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0" w:lineRule="exact"/>
        <w:rPr>
          <w:sz w:val="24"/>
          <w:szCs w:val="24"/>
          <w:color w:val="auto"/>
        </w:rPr>
      </w:pPr>
    </w:p>
    <w:p>
      <w:pPr>
        <w:ind w:left="320" w:right="160"/>
        <w:spacing w:after="0" w:line="24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-215900</wp:posOffset>
            </wp:positionV>
            <wp:extent cx="116840" cy="1168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spacing w:after="0" w:line="202" w:lineRule="exact"/>
        <w:rPr>
          <w:sz w:val="24"/>
          <w:szCs w:val="24"/>
          <w:color w:val="auto"/>
        </w:rPr>
      </w:pPr>
    </w:p>
    <w:p>
      <w:pPr>
        <w:ind w:left="320"/>
        <w:spacing w:after="0" w:line="23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-549275</wp:posOffset>
            </wp:positionV>
            <wp:extent cx="116840" cy="116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6140" w:type="dxa"/>
            <w:vAlign w:val="bottom"/>
          </w:tcPr>
          <w:p>
            <w:pPr>
              <w:jc w:val="center"/>
              <w:ind w:right="320"/>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40" w:type="dxa"/>
            <w:vAlign w:val="bottom"/>
            <w:vMerge w:val="restart"/>
          </w:tcPr>
          <w:p>
            <w:pPr>
              <w:jc w:val="center"/>
              <w:ind w:right="320"/>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00"/>
              <w:spacing w:after="0" w:line="176"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1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4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5171440</wp:posOffset>
            </wp:positionH>
            <wp:positionV relativeFrom="paragraph">
              <wp:posOffset>-594995</wp:posOffset>
            </wp:positionV>
            <wp:extent cx="56515" cy="6083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8330"/>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-594995</wp:posOffset>
            </wp:positionV>
            <wp:extent cx="56515" cy="608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833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-1740535</wp:posOffset>
            </wp:positionH>
            <wp:positionV relativeFrom="paragraph">
              <wp:posOffset>630555</wp:posOffset>
            </wp:positionV>
            <wp:extent cx="7000240" cy="43097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0240" cy="4309745"/>
                    </a:xfrm>
                    <a:prstGeom prst="rect">
                      <a:avLst/>
                    </a:prstGeom>
                    <a:noFill/>
                  </pic:spPr>
                </pic:pic>
              </a:graphicData>
            </a:graphic>
          </wp:anchor>
        </w:drawing>
      </w:r>
    </w:p>
    <w:p>
      <w:pPr>
        <w:spacing w:after="0" w:line="1061" w:lineRule="exact"/>
        <w:rPr>
          <w:sz w:val="24"/>
          <w:szCs w:val="24"/>
          <w:color w:val="auto"/>
        </w:rPr>
      </w:pPr>
    </w:p>
    <w:p>
      <w:pPr>
        <w:sectPr>
          <w:pgSz w:w="11900" w:h="16838" w:orient="portrait"/>
          <w:cols w:equalWidth="0" w:num="2">
            <w:col w:w="2280" w:space="440"/>
            <w:col w:w="8360"/>
          </w:cols>
          <w:pgMar w:left="460" w:top="212"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Gunningham Sebastian J</w:t>
        </w:r>
      </w:hyperlink>
    </w:p>
    <w:p>
      <w:pPr>
        <w:spacing w:after="0" w:line="275"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00" w:right="780"/>
        <w:spacing w:after="0" w:line="389" w:lineRule="auto"/>
        <w:rPr>
          <w:sz w:val="20"/>
          <w:szCs w:val="20"/>
          <w:color w:val="auto"/>
        </w:rPr>
      </w:pPr>
      <w:r>
        <w:rPr>
          <w:rFonts w:ascii="Times New Roman" w:cs="Times New Roman" w:eastAsia="Times New Roman" w:hAnsi="Times New Roman"/>
          <w:sz w:val="15"/>
          <w:szCs w:val="15"/>
          <w:color w:val="0000FF"/>
        </w:rPr>
        <w:t>C/O REMITLY GLOBAL, INC. 401 UNION STREET, SUITE 1000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Remitly Global,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RELY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02/19/2026</w:t>
      </w:r>
    </w:p>
    <w:p>
      <w:pPr>
        <w:spacing w:after="0" w:line="20" w:lineRule="exact"/>
        <w:rPr>
          <w:sz w:val="24"/>
          <w:szCs w:val="24"/>
          <w:color w:val="auto"/>
        </w:rPr>
      </w:pPr>
      <w:r>
        <w:rPr>
          <w:sz w:val="24"/>
          <w:szCs w:val="24"/>
          <w:color w:val="auto"/>
        </w:rPr>
        <w:br w:type="column"/>
      </w:r>
    </w:p>
    <w:p>
      <w:pPr>
        <w:ind w:left="3" w:right="760" w:hanging="3"/>
        <w:spacing w:after="0" w:line="273" w:lineRule="auto"/>
        <w:tabs>
          <w:tab w:leader="none" w:pos="139"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7" w:lineRule="exact"/>
        <w:rPr>
          <w:sz w:val="24"/>
          <w:szCs w:val="24"/>
          <w:color w:val="auto"/>
        </w:rPr>
      </w:pPr>
    </w:p>
    <w:p>
      <w:pPr>
        <w:ind w:left="523"/>
        <w:spacing w:after="0"/>
        <w:tabs>
          <w:tab w:leader="none" w:pos="2083"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0"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9" w:lineRule="exact"/>
        <w:rPr>
          <w:sz w:val="24"/>
          <w:szCs w:val="24"/>
          <w:color w:val="auto"/>
        </w:rPr>
      </w:pPr>
    </w:p>
    <w:p>
      <w:pPr>
        <w:ind w:left="523"/>
        <w:spacing w:after="0"/>
        <w:tabs>
          <w:tab w:leader="none" w:pos="2083"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3" w:lineRule="exact"/>
        <w:rPr>
          <w:sz w:val="24"/>
          <w:szCs w:val="24"/>
          <w:color w:val="auto"/>
        </w:rPr>
      </w:pPr>
    </w:p>
    <w:p>
      <w:pPr>
        <w:ind w:left="823"/>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587" w:lineRule="exact"/>
        <w:rPr>
          <w:sz w:val="24"/>
          <w:szCs w:val="24"/>
          <w:color w:val="auto"/>
        </w:rPr>
      </w:pPr>
    </w:p>
    <w:p>
      <w:pPr>
        <w:sectPr>
          <w:pgSz w:w="11900" w:h="16838" w:orient="portrait"/>
          <w:cols w:equalWidth="0" w:num="3">
            <w:col w:w="3180" w:space="720"/>
            <w:col w:w="3117" w:space="720"/>
            <w:col w:w="3343"/>
          </w:cols>
          <w:pgMar w:left="460" w:top="212" w:right="35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320" w:type="dxa"/>
            <w:vAlign w:val="bottom"/>
            <w:gridSpan w:val="7"/>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320" w:type="dxa"/>
            <w:vAlign w:val="bottom"/>
          </w:tcPr>
          <w:p>
            <w:pPr>
              <w:spacing w:after="0"/>
              <w:rPr>
                <w:sz w:val="13"/>
                <w:szCs w:val="13"/>
                <w:color w:val="auto"/>
              </w:rPr>
            </w:pPr>
          </w:p>
        </w:tc>
        <w:tc>
          <w:tcPr>
            <w:tcW w:w="3680" w:type="dxa"/>
            <w:vAlign w:val="bottom"/>
            <w:gridSpan w:val="8"/>
          </w:tcPr>
          <w:p>
            <w:pPr>
              <w:ind w:left="34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6"/>
                <w:szCs w:val="16"/>
                <w:color w:val="0000FF"/>
                <w:w w:val="98"/>
              </w:rPr>
              <w:t>SEATTLE</w:t>
            </w:r>
          </w:p>
        </w:tc>
        <w:tc>
          <w:tcPr>
            <w:tcW w:w="16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0000FF"/>
              </w:rPr>
              <w:t>WA</w:t>
            </w:r>
          </w:p>
        </w:tc>
        <w:tc>
          <w:tcPr>
            <w:tcW w:w="104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98101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16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960" w:type="dxa"/>
            <w:vAlign w:val="bottom"/>
            <w:gridSpan w:val="7"/>
          </w:tcPr>
          <w:p>
            <w:pPr>
              <w:ind w:left="140"/>
              <w:spacing w:after="0" w:line="128"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2"/>
                <w:szCs w:val="12"/>
                <w:color w:val="auto"/>
              </w:rPr>
              <w:t>(City)</w:t>
            </w:r>
          </w:p>
        </w:tc>
        <w:tc>
          <w:tcPr>
            <w:tcW w:w="1660" w:type="dxa"/>
            <w:vAlign w:val="bottom"/>
            <w:gridSpan w:val="2"/>
          </w:tcPr>
          <w:p>
            <w:pPr>
              <w:ind w:left="540"/>
              <w:spacing w:after="0"/>
              <w:rPr>
                <w:sz w:val="20"/>
                <w:szCs w:val="20"/>
                <w:color w:val="auto"/>
              </w:rPr>
            </w:pPr>
            <w:r>
              <w:rPr>
                <w:rFonts w:ascii="Arial" w:cs="Arial" w:eastAsia="Arial" w:hAnsi="Arial"/>
                <w:sz w:val="12"/>
                <w:szCs w:val="12"/>
                <w:color w:val="auto"/>
              </w:rPr>
              <w:t>(State)</w:t>
            </w:r>
          </w:p>
        </w:tc>
        <w:tc>
          <w:tcPr>
            <w:tcW w:w="1040" w:type="dxa"/>
            <w:vAlign w:val="bottom"/>
          </w:tcPr>
          <w:p>
            <w:pPr>
              <w:ind w:left="10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3360" w:type="dxa"/>
            <w:vAlign w:val="bottom"/>
            <w:tcBorders>
              <w:bottom w:val="single" w:sz="8" w:color="2C2C2C"/>
            </w:tcBorders>
            <w:gridSpan w:val="6"/>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960" w:type="dxa"/>
            <w:vAlign w:val="bottom"/>
            <w:tcBorders>
              <w:top w:val="single" w:sz="8" w:color="2C2C2C"/>
            </w:tcBorders>
          </w:tcPr>
          <w:p>
            <w:pPr>
              <w:spacing w:after="0"/>
              <w:rPr>
                <w:sz w:val="20"/>
                <w:szCs w:val="20"/>
                <w:color w:val="auto"/>
              </w:rPr>
            </w:pPr>
          </w:p>
        </w:tc>
        <w:tc>
          <w:tcPr>
            <w:tcW w:w="6320" w:type="dxa"/>
            <w:vAlign w:val="bottom"/>
            <w:tcBorders>
              <w:top w:val="single" w:sz="8" w:color="2C2C2C"/>
            </w:tcBorders>
            <w:gridSpan w:val="13"/>
          </w:tcPr>
          <w:p>
            <w:pPr>
              <w:jc w:val="right"/>
              <w:ind w:right="202"/>
              <w:spacing w:after="0"/>
              <w:rPr>
                <w:sz w:val="20"/>
                <w:szCs w:val="20"/>
                <w:color w:val="auto"/>
              </w:rPr>
            </w:pPr>
            <w:r>
              <w:rPr>
                <w:rFonts w:ascii="Arial" w:cs="Arial" w:eastAsia="Arial" w:hAnsi="Arial"/>
                <w:sz w:val="16"/>
                <w:szCs w:val="16"/>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40" w:type="dxa"/>
            <w:vAlign w:val="bottom"/>
            <w:tcBorders>
              <w:bottom w:val="single" w:sz="8" w:color="2C2C2C"/>
            </w:tcBorders>
            <w:gridSpan w:val="4"/>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4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00" w:type="dxa"/>
            <w:vAlign w:val="bottom"/>
            <w:gridSpan w:val="4"/>
          </w:tcPr>
          <w:p>
            <w:pPr>
              <w:ind w:left="96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2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120" w:type="dxa"/>
            <w:vAlign w:val="bottom"/>
            <w:gridSpan w:val="4"/>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900" w:type="dxa"/>
            <w:vAlign w:val="bottom"/>
            <w:gridSpan w:val="4"/>
          </w:tcPr>
          <w:p>
            <w:pPr>
              <w:ind w:left="960"/>
              <w:spacing w:after="0" w:line="123" w:lineRule="exact"/>
              <w:rPr>
                <w:sz w:val="20"/>
                <w:szCs w:val="20"/>
                <w:color w:val="auto"/>
              </w:rPr>
            </w:pPr>
            <w:r>
              <w:rPr>
                <w:rFonts w:ascii="Arial" w:cs="Arial" w:eastAsia="Arial" w:hAnsi="Arial"/>
                <w:sz w:val="11"/>
                <w:szCs w:val="11"/>
                <w:b w:val="1"/>
                <w:bCs w:val="1"/>
                <w:color w:val="auto"/>
              </w:rPr>
              <w:t>Date</w:t>
            </w:r>
          </w:p>
        </w:tc>
        <w:tc>
          <w:tcPr>
            <w:tcW w:w="92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w w:val="99"/>
              </w:rPr>
              <w:t>Execution Date,</w:t>
            </w:r>
          </w:p>
        </w:tc>
        <w:tc>
          <w:tcPr>
            <w:tcW w:w="140" w:type="dxa"/>
            <w:vAlign w:val="bottom"/>
          </w:tcPr>
          <w:p>
            <w:pPr>
              <w:spacing w:after="0"/>
              <w:rPr>
                <w:sz w:val="10"/>
                <w:szCs w:val="10"/>
                <w:color w:val="auto"/>
              </w:rPr>
            </w:pPr>
          </w:p>
        </w:tc>
        <w:tc>
          <w:tcPr>
            <w:tcW w:w="2700" w:type="dxa"/>
            <w:vAlign w:val="bottom"/>
            <w:gridSpan w:val="5"/>
          </w:tcPr>
          <w:p>
            <w:pPr>
              <w:ind w:left="60"/>
              <w:spacing w:after="0" w:line="123" w:lineRule="exact"/>
              <w:rPr>
                <w:sz w:val="20"/>
                <w:szCs w:val="20"/>
                <w:color w:val="auto"/>
              </w:rPr>
            </w:pPr>
            <w:r>
              <w:rPr>
                <w:rFonts w:ascii="Arial" w:cs="Arial" w:eastAsia="Arial" w:hAnsi="Arial"/>
                <w:sz w:val="11"/>
                <w:szCs w:val="11"/>
                <w:b w:val="1"/>
                <w:bCs w:val="1"/>
                <w:color w:val="auto"/>
              </w:rPr>
              <w:t>Transaction  Disposed Of (D) (Instr. 3, 4 and 5)</w:t>
            </w: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900" w:type="dxa"/>
            <w:vAlign w:val="bottom"/>
            <w:gridSpan w:val="4"/>
          </w:tcPr>
          <w:p>
            <w:pPr>
              <w:ind w:left="960"/>
              <w:spacing w:after="0" w:line="123"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2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4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(Month/Day/Year)  8)</w:t>
            </w: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2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20" w:type="dxa"/>
            <w:vAlign w:val="bottom"/>
            <w:gridSpan w:val="2"/>
            <w:vMerge w:val="restart"/>
          </w:tcPr>
          <w:p>
            <w:pPr>
              <w:ind w:left="80"/>
              <w:spacing w:after="0" w:line="123"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gridSpan w:val="3"/>
            <w:vMerge w:val="restart"/>
          </w:tcPr>
          <w:p>
            <w:pPr>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300" w:type="dxa"/>
            <w:vAlign w:val="bottom"/>
          </w:tcPr>
          <w:p>
            <w:pPr>
              <w:spacing w:after="0"/>
              <w:rPr>
                <w:sz w:val="10"/>
                <w:szCs w:val="10"/>
                <w:color w:val="auto"/>
              </w:rPr>
            </w:pPr>
          </w:p>
        </w:tc>
        <w:tc>
          <w:tcPr>
            <w:tcW w:w="320" w:type="dxa"/>
            <w:vAlign w:val="bottom"/>
          </w:tcPr>
          <w:p>
            <w:pPr>
              <w:spacing w:after="0" w:line="123" w:lineRule="exact"/>
              <w:rPr>
                <w:sz w:val="20"/>
                <w:szCs w:val="20"/>
                <w:color w:val="auto"/>
              </w:rPr>
            </w:pPr>
            <w:r>
              <w:rPr>
                <w:rFonts w:ascii="Arial" w:cs="Arial" w:eastAsia="Arial" w:hAnsi="Arial"/>
                <w:sz w:val="11"/>
                <w:szCs w:val="11"/>
                <w:b w:val="1"/>
                <w:bCs w:val="1"/>
                <w:color w:val="auto"/>
              </w:rPr>
              <w:t>(A) or</w:t>
            </w:r>
          </w:p>
        </w:tc>
        <w:tc>
          <w:tcPr>
            <w:tcW w:w="7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2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jc w:val="right"/>
              <w:ind w:right="59"/>
              <w:spacing w:after="0"/>
              <w:rPr>
                <w:sz w:val="20"/>
                <w:szCs w:val="20"/>
                <w:color w:val="auto"/>
              </w:rPr>
            </w:pPr>
            <w:r>
              <w:rPr>
                <w:rFonts w:ascii="Times New Roman" w:cs="Times New Roman" w:eastAsia="Times New Roman" w:hAnsi="Times New Roman"/>
                <w:sz w:val="16"/>
                <w:szCs w:val="16"/>
                <w:color w:val="0000FF"/>
                <w:w w:val="98"/>
              </w:rPr>
              <w:t>02/19/2026</w:t>
            </w:r>
          </w:p>
        </w:tc>
        <w:tc>
          <w:tcPr>
            <w:tcW w:w="6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10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6"/>
                <w:szCs w:val="16"/>
                <w:color w:val="0000FF"/>
              </w:rPr>
              <w:t>787,500</w:t>
            </w:r>
            <w:r>
              <w:rPr>
                <w:rFonts w:ascii="Times New Roman" w:cs="Times New Roman" w:eastAsia="Times New Roman" w:hAnsi="Times New Roman"/>
                <w:sz w:val="20"/>
                <w:szCs w:val="20"/>
                <w:color w:val="008000"/>
                <w:vertAlign w:val="superscript"/>
              </w:rPr>
              <w:t>(1)</w:t>
            </w:r>
          </w:p>
        </w:tc>
        <w:tc>
          <w:tcPr>
            <w:tcW w:w="3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tcPr>
          <w:p>
            <w:pPr>
              <w:ind w:left="3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2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6"/>
                <w:szCs w:val="16"/>
                <w:color w:val="0000FF"/>
              </w:rPr>
              <w:t>787,500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960" w:type="dxa"/>
            <w:vAlign w:val="bottom"/>
            <w:tcBorders>
              <w:top w:val="single" w:sz="8" w:color="2C2C2C"/>
            </w:tcBorders>
          </w:tcPr>
          <w:p>
            <w:pPr>
              <w:spacing w:after="0"/>
              <w:rPr>
                <w:sz w:val="17"/>
                <w:szCs w:val="17"/>
                <w:color w:val="auto"/>
              </w:rPr>
            </w:pPr>
          </w:p>
        </w:tc>
        <w:tc>
          <w:tcPr>
            <w:tcW w:w="6320" w:type="dxa"/>
            <w:vAlign w:val="bottom"/>
            <w:tcBorders>
              <w:top w:val="single" w:sz="8" w:color="2C2C2C"/>
            </w:tcBorders>
            <w:gridSpan w:val="13"/>
          </w:tcPr>
          <w:p>
            <w:pPr>
              <w:ind w:left="2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60" w:type="dxa"/>
            <w:vAlign w:val="bottom"/>
            <w:gridSpan w:val="12"/>
          </w:tcPr>
          <w:p>
            <w:pPr>
              <w:ind w:left="8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34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2.</w:t>
            </w: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140"/>
              <w:spacing w:after="0"/>
              <w:rPr>
                <w:sz w:val="20"/>
                <w:szCs w:val="20"/>
                <w:color w:val="auto"/>
              </w:rPr>
            </w:pPr>
            <w:r>
              <w:rPr>
                <w:rFonts w:ascii="Arial" w:cs="Arial" w:eastAsia="Arial" w:hAnsi="Arial"/>
                <w:sz w:val="11"/>
                <w:szCs w:val="11"/>
                <w:b w:val="1"/>
                <w:bCs w:val="1"/>
                <w:color w:val="auto"/>
              </w:rPr>
              <w:t>3A. Deemed</w:t>
            </w:r>
          </w:p>
        </w:tc>
        <w:tc>
          <w:tcPr>
            <w:tcW w:w="26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600" w:type="dxa"/>
            <w:vAlign w:val="bottom"/>
          </w:tcPr>
          <w:p>
            <w:pPr>
              <w:spacing w:after="0"/>
              <w:rPr>
                <w:sz w:val="13"/>
                <w:szCs w:val="13"/>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Conversion</w:t>
            </w:r>
          </w:p>
        </w:tc>
        <w:tc>
          <w:tcPr>
            <w:tcW w:w="9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140"/>
              <w:spacing w:after="0" w:line="123"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60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Derivative</w:t>
            </w:r>
          </w:p>
        </w:tc>
        <w:tc>
          <w:tcPr>
            <w:tcW w:w="320" w:type="dxa"/>
            <w:vAlign w:val="bottom"/>
          </w:tcPr>
          <w:p>
            <w:pPr>
              <w:spacing w:after="0"/>
              <w:rPr>
                <w:sz w:val="10"/>
                <w:szCs w:val="10"/>
                <w:color w:val="auto"/>
              </w:rPr>
            </w:pPr>
          </w:p>
        </w:tc>
        <w:tc>
          <w:tcPr>
            <w:tcW w:w="15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100"/>
              <w:spacing w:after="0" w:line="123"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0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or Exercise</w:t>
            </w:r>
          </w:p>
        </w:tc>
        <w:tc>
          <w:tcPr>
            <w:tcW w:w="96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7"/>
              </w:rPr>
              <w:t>(Month/Day/Year)</w:t>
            </w:r>
          </w:p>
        </w:tc>
        <w:tc>
          <w:tcPr>
            <w:tcW w:w="1040" w:type="dxa"/>
            <w:vAlign w:val="bottom"/>
          </w:tcPr>
          <w:p>
            <w:pPr>
              <w:ind w:left="140"/>
              <w:spacing w:after="0" w:line="123"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60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0"/>
                <w:szCs w:val="10"/>
                <w:color w:val="auto"/>
              </w:rPr>
            </w:pPr>
          </w:p>
        </w:tc>
        <w:tc>
          <w:tcPr>
            <w:tcW w:w="15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70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Price of</w:t>
            </w:r>
          </w:p>
        </w:tc>
        <w:tc>
          <w:tcPr>
            <w:tcW w:w="960" w:type="dxa"/>
            <w:vAlign w:val="bottom"/>
          </w:tcPr>
          <w:p>
            <w:pPr>
              <w:spacing w:after="0"/>
              <w:rPr>
                <w:sz w:val="10"/>
                <w:szCs w:val="10"/>
                <w:color w:val="auto"/>
              </w:rPr>
            </w:pPr>
          </w:p>
        </w:tc>
        <w:tc>
          <w:tcPr>
            <w:tcW w:w="1040" w:type="dxa"/>
            <w:vAlign w:val="bottom"/>
          </w:tcPr>
          <w:p>
            <w:pPr>
              <w:ind w:left="140"/>
              <w:spacing w:after="0" w:line="123" w:lineRule="exact"/>
              <w:rPr>
                <w:sz w:val="20"/>
                <w:szCs w:val="20"/>
                <w:color w:val="auto"/>
              </w:rPr>
            </w:pPr>
            <w:r>
              <w:rPr>
                <w:rFonts w:ascii="Arial" w:cs="Arial" w:eastAsia="Arial" w:hAnsi="Arial"/>
                <w:sz w:val="11"/>
                <w:szCs w:val="11"/>
                <w:b w:val="1"/>
                <w:bCs w:val="1"/>
                <w:color w:val="auto"/>
                <w:w w:val="97"/>
              </w:rPr>
              <w:t>(Month/Day/Year)</w:t>
            </w:r>
          </w:p>
        </w:tc>
        <w:tc>
          <w:tcPr>
            <w:tcW w:w="26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8)</w:t>
            </w:r>
          </w:p>
        </w:tc>
        <w:tc>
          <w:tcPr>
            <w:tcW w:w="600" w:type="dxa"/>
            <w:vAlign w:val="bottom"/>
          </w:tcPr>
          <w:p>
            <w:pPr>
              <w:spacing w:after="0"/>
              <w:rPr>
                <w:sz w:val="10"/>
                <w:szCs w:val="10"/>
                <w:color w:val="auto"/>
              </w:rPr>
            </w:pPr>
          </w:p>
        </w:tc>
        <w:tc>
          <w:tcPr>
            <w:tcW w:w="92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Derivative</w:t>
            </w: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or Disposed of</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w w:val="96"/>
              </w:rPr>
              <w:t>or Indirect</w:t>
            </w:r>
          </w:p>
        </w:tc>
        <w:tc>
          <w:tcPr>
            <w:tcW w:w="80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Security</w:t>
            </w: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(D) (Instr. 3, 4</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100"/>
              <w:spacing w:after="0" w:line="123"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5"/>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gridSpan w:val="2"/>
            <w:vMerge w:val="restart"/>
          </w:tcPr>
          <w:p>
            <w:pPr>
              <w:ind w:left="80"/>
              <w:spacing w:after="0" w:line="123"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5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Date</w:t>
            </w:r>
          </w:p>
        </w:tc>
        <w:tc>
          <w:tcPr>
            <w:tcW w:w="7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Expiration</w:t>
            </w: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32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w w:val="97"/>
              </w:rPr>
              <w:t>Title</w:t>
            </w:r>
          </w:p>
        </w:tc>
        <w:tc>
          <w:tcPr>
            <w:tcW w:w="3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(2)</w:t>
            </w:r>
          </w:p>
        </w:tc>
        <w:tc>
          <w:tcPr>
            <w:tcW w:w="7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02/19/2031</w:t>
            </w:r>
            <w:r>
              <w:rPr>
                <w:rFonts w:ascii="Times New Roman" w:cs="Times New Roman" w:eastAsia="Times New Roman" w:hAnsi="Times New Roman"/>
                <w:sz w:val="20"/>
                <w:szCs w:val="20"/>
                <w:color w:val="008000"/>
                <w:vertAlign w:val="superscript"/>
              </w:rPr>
              <w:t>(2)</w:t>
            </w: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1,462,500</w:t>
            </w: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 Units</w:t>
            </w:r>
          </w:p>
        </w:tc>
        <w:tc>
          <w:tcPr>
            <w:tcW w:w="700" w:type="dxa"/>
            <w:vAlign w:val="bottom"/>
            <w:vMerge w:val="continue"/>
          </w:tcPr>
          <w:p>
            <w:pPr>
              <w:spacing w:after="0"/>
              <w:rPr>
                <w:sz w:val="11"/>
                <w:szCs w:val="11"/>
                <w:color w:val="auto"/>
              </w:rPr>
            </w:pPr>
          </w:p>
        </w:tc>
        <w:tc>
          <w:tcPr>
            <w:tcW w:w="960" w:type="dxa"/>
            <w:vAlign w:val="bottom"/>
          </w:tcPr>
          <w:p>
            <w:pPr>
              <w:jc w:val="right"/>
              <w:ind w:right="103"/>
              <w:spacing w:after="0" w:line="136" w:lineRule="exact"/>
              <w:rPr>
                <w:sz w:val="20"/>
                <w:szCs w:val="20"/>
                <w:color w:val="auto"/>
              </w:rPr>
            </w:pPr>
            <w:r>
              <w:rPr>
                <w:rFonts w:ascii="Times New Roman" w:cs="Times New Roman" w:eastAsia="Times New Roman" w:hAnsi="Times New Roman"/>
                <w:sz w:val="12"/>
                <w:szCs w:val="12"/>
                <w:color w:val="0000FF"/>
              </w:rPr>
              <w:t>02/19/2026</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160"/>
              <w:spacing w:after="0" w:line="136" w:lineRule="exact"/>
              <w:rPr>
                <w:sz w:val="20"/>
                <w:szCs w:val="20"/>
                <w:color w:val="auto"/>
              </w:rPr>
            </w:pPr>
            <w:r>
              <w:rPr>
                <w:rFonts w:ascii="Times New Roman" w:cs="Times New Roman" w:eastAsia="Times New Roman" w:hAnsi="Times New Roman"/>
                <w:sz w:val="12"/>
                <w:szCs w:val="12"/>
                <w:color w:val="0000FF"/>
              </w:rPr>
              <w:t>A</w:t>
            </w:r>
          </w:p>
        </w:tc>
        <w:tc>
          <w:tcPr>
            <w:tcW w:w="600" w:type="dxa"/>
            <w:vAlign w:val="bottom"/>
          </w:tcPr>
          <w:p>
            <w:pPr>
              <w:ind w:left="40"/>
              <w:spacing w:after="0" w:line="136" w:lineRule="exact"/>
              <w:rPr>
                <w:sz w:val="20"/>
                <w:szCs w:val="20"/>
                <w:color w:val="auto"/>
              </w:rPr>
            </w:pPr>
            <w:r>
              <w:rPr>
                <w:rFonts w:ascii="Times New Roman" w:cs="Times New Roman" w:eastAsia="Times New Roman" w:hAnsi="Times New Roman"/>
                <w:sz w:val="12"/>
                <w:szCs w:val="12"/>
                <w:color w:val="0000FF"/>
              </w:rPr>
              <w:t>1,462,500</w:t>
            </w:r>
          </w:p>
        </w:tc>
        <w:tc>
          <w:tcPr>
            <w:tcW w:w="3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60" w:type="dxa"/>
            <w:vAlign w:val="bottom"/>
          </w:tcPr>
          <w:p>
            <w:pPr>
              <w:jc w:val="right"/>
              <w:ind w:right="202"/>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line="136" w:lineRule="exact"/>
              <w:rPr>
                <w:sz w:val="20"/>
                <w:szCs w:val="20"/>
                <w:color w:val="auto"/>
              </w:rPr>
            </w:pPr>
            <w:r>
              <w:rPr>
                <w:rFonts w:ascii="Times New Roman" w:cs="Times New Roman" w:eastAsia="Times New Roman" w:hAnsi="Times New Roman"/>
                <w:sz w:val="12"/>
                <w:szCs w:val="12"/>
                <w:color w:val="0000FF"/>
              </w:rPr>
              <w:t>1,462,500</w:t>
            </w:r>
          </w:p>
        </w:tc>
        <w:tc>
          <w:tcPr>
            <w:tcW w:w="640" w:type="dxa"/>
            <w:vAlign w:val="bottom"/>
          </w:tcPr>
          <w:p>
            <w:pPr>
              <w:ind w:left="34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(PSUs)</w:t>
            </w:r>
          </w:p>
        </w:tc>
        <w:tc>
          <w:tcPr>
            <w:tcW w:w="7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gridSpan w:val="2"/>
          </w:tcPr>
          <w:p>
            <w:pPr>
              <w:ind w:left="160"/>
              <w:spacing w:after="0" w:line="122"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-1598295</wp:posOffset>
            </wp:positionV>
            <wp:extent cx="27940" cy="16040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160401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5" w:lineRule="exact"/>
        <w:rPr>
          <w:sz w:val="24"/>
          <w:szCs w:val="24"/>
          <w:color w:val="auto"/>
        </w:rPr>
      </w:pPr>
    </w:p>
    <w:p>
      <w:pPr>
        <w:ind w:left="40" w:right="180" w:hanging="5"/>
        <w:spacing w:after="0" w:line="270"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 grant of restricted stock units (RSUs). Each RSU represents a contingent right to receive one share of the Issuer's Common Stock upon settlement. The RSUs vest as to 1/16 of the total shares underlying the RSUs on May 25, 2026, and then 1/16 of the total shares vest quarterly thereafter, subject to the reporting person's provision of service to the Issuer on each vesting date.</w:t>
      </w:r>
    </w:p>
    <w:p>
      <w:pPr>
        <w:spacing w:after="0" w:line="7" w:lineRule="exact"/>
        <w:rPr>
          <w:rFonts w:ascii="Times New Roman" w:cs="Times New Roman" w:eastAsia="Times New Roman" w:hAnsi="Times New Roman"/>
          <w:sz w:val="12"/>
          <w:szCs w:val="12"/>
          <w:color w:val="008000"/>
        </w:rPr>
      </w:pPr>
    </w:p>
    <w:p>
      <w:pPr>
        <w:jc w:val="both"/>
        <w:ind w:left="40" w:right="200" w:hanging="5"/>
        <w:spacing w:after="0" w:line="252"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maximum number of shares that may be earned under a grant of performance stock units (PSUs). The PSUs vest based upon achievement of both (i) a time-based service requirement and (ii) certain stock price thresholds. The time-based service requirement is satisfied in annual installments over four years after the grant date and is fully satisfied on February 19, 2030. The stock price performance requirement is satisfied in five intervals and is fully satisfied if the Issuer's stock price reaches $50.00 per share (measured as a 120-day average closing price) prior to February 19, 2031.</w:t>
      </w:r>
    </w:p>
    <w:p>
      <w:pPr>
        <w:spacing w:after="0" w:line="31"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Jeff Mason as Attorney-in-</w:t>
            </w: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02/23/2026</w:t>
            </w:r>
          </w:p>
        </w:tc>
        <w:tc>
          <w:tcPr>
            <w:tcW w:w="0" w:type="dxa"/>
            <w:vAlign w:val="bottom"/>
          </w:tcPr>
          <w:p>
            <w:pPr>
              <w:spacing w:after="0"/>
              <w:rPr>
                <w:sz w:val="1"/>
                <w:szCs w:val="1"/>
                <w:color w:val="auto"/>
              </w:rPr>
            </w:pPr>
          </w:p>
        </w:tc>
      </w:tr>
      <w:tr>
        <w:trPr>
          <w:trHeight w:val="83"/>
        </w:trPr>
        <w:tc>
          <w:tcPr>
            <w:tcW w:w="280" w:type="dxa"/>
            <w:vAlign w:val="bottom"/>
            <w:tcBorders>
              <w:top w:val="single" w:sz="8" w:color="auto"/>
              <w:bottom w:val="single" w:sz="8" w:color="auto"/>
            </w:tcBorders>
            <w:vMerge w:val="restart"/>
          </w:tcPr>
          <w:p>
            <w:pPr>
              <w:spacing w:after="0" w:line="176" w:lineRule="exact"/>
              <w:rPr>
                <w:sz w:val="20"/>
                <w:szCs w:val="20"/>
                <w:color w:val="auto"/>
              </w:rPr>
            </w:pPr>
            <w:r>
              <w:rPr>
                <w:rFonts w:ascii="Times New Roman" w:cs="Times New Roman" w:eastAsia="Times New Roman" w:hAnsi="Times New Roman"/>
                <w:sz w:val="16"/>
                <w:szCs w:val="16"/>
                <w:color w:val="0000FF"/>
                <w:w w:val="94"/>
              </w:rPr>
              <w:t>Fact</w:t>
            </w:r>
          </w:p>
        </w:tc>
        <w:tc>
          <w:tcPr>
            <w:tcW w:w="1620" w:type="dxa"/>
            <w:vAlign w:val="bottom"/>
            <w:tcBorders>
              <w:top w:val="single" w:sz="8" w:color="auto"/>
              <w:bottom w:val="single" w:sz="8" w:color="auto"/>
            </w:tcBorders>
            <w:vMerge w:val="restart"/>
          </w:tcPr>
          <w:p>
            <w:pPr>
              <w:spacing w:after="0"/>
              <w:rPr>
                <w:sz w:val="6"/>
                <w:szCs w:val="6"/>
                <w:color w:val="auto"/>
              </w:rPr>
            </w:pPr>
          </w:p>
        </w:tc>
        <w:tc>
          <w:tcPr>
            <w:tcW w:w="300" w:type="dxa"/>
            <w:vAlign w:val="bottom"/>
            <w:vMerge w:val="restart"/>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80" w:type="dxa"/>
            <w:vAlign w:val="bottom"/>
            <w:tcBorders>
              <w:bottom w:val="single" w:sz="8" w:color="auto"/>
            </w:tcBorders>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6" w:lineRule="exact"/>
        <w:rPr>
          <w:sz w:val="24"/>
          <w:szCs w:val="24"/>
          <w:color w:val="auto"/>
        </w:rPr>
      </w:pPr>
    </w:p>
    <w:p>
      <w:pPr>
        <w:jc w:val="both"/>
        <w:ind w:left="40" w:right="3980" w:hanging="5"/>
        <w:spacing w:after="0" w:line="319" w:lineRule="auto"/>
        <w:tabs>
          <w:tab w:leader="none" w:pos="169"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92259" TargetMode="External"/><Relationship Id="rId14" Type="http://schemas.openxmlformats.org/officeDocument/2006/relationships/hyperlink" Target="http://www.sec.gov/cgi-bin/browse-edgar?action=getcompany&amp;CIK=00017821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2026-02-23T17:49:44Z</dcterms:created>
  <dcterms:modified xsi:type="dcterms:W3CDTF">2026-02-23T17:49:44Z</dcterms:modified>
</cp:coreProperties>
</file>