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60325</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73025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65" w:lineRule="exact"/>
        <w:rPr>
          <w:sz w:val="24"/>
          <w:szCs w:val="24"/>
          <w:color w:val="auto"/>
        </w:rPr>
      </w:pPr>
    </w:p>
    <w:p>
      <w:pPr>
        <w:ind w:right="2800" w:firstLine="8"/>
        <w:spacing w:after="0" w:line="467" w:lineRule="auto"/>
        <w:tabs>
          <w:tab w:leader="none" w:pos="18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OR</w:t>
      </w:r>
    </w:p>
    <w:p>
      <w:pPr>
        <w:spacing w:after="0" w:line="165"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001-40822</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Remitly Global,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106045</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34" w:lineRule="exact"/>
        <w:rPr>
          <w:sz w:val="24"/>
          <w:szCs w:val="24"/>
          <w:color w:val="auto"/>
        </w:rPr>
      </w:pPr>
    </w:p>
    <w:tbl>
      <w:tblPr>
        <w:tblLayout w:type="fixed"/>
        <w:tblInd w:w="1360" w:type="dxa"/>
        <w:tblCellMar>
          <w:top w:w="0" w:type="dxa"/>
          <w:left w:w="0" w:type="dxa"/>
          <w:bottom w:w="0" w:type="dxa"/>
          <w:right w:w="0" w:type="dxa"/>
        </w:tblCellMar>
      </w:tblPr>
      <w:tr>
        <w:trPr>
          <w:trHeight w:val="212"/>
        </w:trPr>
        <w:tc>
          <w:tcPr>
            <w:tcW w:w="32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2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w w:val="99"/>
              </w:rPr>
              <w:t>7372</w:t>
            </w:r>
          </w:p>
        </w:tc>
        <w:tc>
          <w:tcPr>
            <w:tcW w:w="880" w:type="dxa"/>
            <w:vAlign w:val="bottom"/>
          </w:tcPr>
          <w:p>
            <w:pPr>
              <w:spacing w:after="0"/>
              <w:rPr>
                <w:sz w:val="18"/>
                <w:szCs w:val="18"/>
                <w:color w:val="auto"/>
              </w:rPr>
            </w:pPr>
          </w:p>
        </w:tc>
        <w:tc>
          <w:tcPr>
            <w:tcW w:w="3180" w:type="dxa"/>
            <w:vAlign w:val="bottom"/>
          </w:tcPr>
          <w:p>
            <w:pPr>
              <w:jc w:val="center"/>
              <w:ind w:left="361"/>
              <w:spacing w:after="0"/>
              <w:rPr>
                <w:sz w:val="20"/>
                <w:szCs w:val="20"/>
                <w:color w:val="auto"/>
              </w:rPr>
            </w:pPr>
            <w:r>
              <w:rPr>
                <w:rFonts w:ascii="Times New Roman" w:cs="Times New Roman" w:eastAsia="Times New Roman" w:hAnsi="Times New Roman"/>
                <w:sz w:val="16"/>
                <w:szCs w:val="16"/>
                <w:b w:val="1"/>
                <w:bCs w:val="1"/>
                <w:color w:val="auto"/>
              </w:rPr>
              <w:t>83-2301143</w:t>
            </w:r>
          </w:p>
        </w:tc>
      </w:tr>
      <w:tr>
        <w:trPr>
          <w:trHeight w:val="235"/>
        </w:trPr>
        <w:tc>
          <w:tcPr>
            <w:tcW w:w="326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(Primary Standard Industrial</w:t>
            </w:r>
          </w:p>
        </w:tc>
        <w:tc>
          <w:tcPr>
            <w:tcW w:w="318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26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Classification Code Number)</w:t>
            </w:r>
          </w:p>
        </w:tc>
        <w:tc>
          <w:tcPr>
            <w:tcW w:w="318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Identification Number)</w:t>
            </w:r>
          </w:p>
        </w:tc>
      </w:tr>
      <w:tr>
        <w:trPr>
          <w:trHeight w:val="195"/>
        </w:trPr>
        <w:tc>
          <w:tcPr>
            <w:tcW w:w="3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180" w:type="dxa"/>
            <w:vAlign w:val="bottom"/>
          </w:tcPr>
          <w:p>
            <w:pPr>
              <w:spacing w:after="0"/>
              <w:rPr>
                <w:sz w:val="16"/>
                <w:szCs w:val="16"/>
                <w:color w:val="auto"/>
              </w:rPr>
            </w:pPr>
          </w:p>
        </w:tc>
      </w:tr>
      <w:tr>
        <w:trPr>
          <w:trHeight w:val="405"/>
        </w:trPr>
        <w:tc>
          <w:tcPr>
            <w:tcW w:w="326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401 Union Street, Suite 1000  Seattle,</w:t>
            </w: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WA</w:t>
            </w:r>
          </w:p>
        </w:tc>
        <w:tc>
          <w:tcPr>
            <w:tcW w:w="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jc w:val="right"/>
              <w:ind w:right="1761"/>
              <w:spacing w:after="0"/>
              <w:rPr>
                <w:sz w:val="20"/>
                <w:szCs w:val="20"/>
                <w:color w:val="auto"/>
              </w:rPr>
            </w:pPr>
            <w:r>
              <w:rPr>
                <w:rFonts w:ascii="Times New Roman" w:cs="Times New Roman" w:eastAsia="Times New Roman" w:hAnsi="Times New Roman"/>
                <w:sz w:val="16"/>
                <w:szCs w:val="16"/>
                <w:b w:val="1"/>
                <w:bCs w:val="1"/>
                <w:color w:val="auto"/>
              </w:rPr>
              <w:t>98101</w:t>
            </w:r>
          </w:p>
        </w:tc>
      </w:tr>
      <w:tr>
        <w:trPr>
          <w:trHeight w:val="193"/>
        </w:trPr>
        <w:tc>
          <w:tcPr>
            <w:tcW w:w="5360" w:type="dxa"/>
            <w:vAlign w:val="bottom"/>
            <w:gridSpan w:val="5"/>
          </w:tcPr>
          <w:p>
            <w:pPr>
              <w:ind w:left="98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80" w:type="dxa"/>
            <w:vAlign w:val="bottom"/>
          </w:tcPr>
          <w:p>
            <w:pPr>
              <w:jc w:val="center"/>
              <w:ind w:right="82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(888) 736-4859</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65"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4480" w:type="dxa"/>
            <w:vAlign w:val="bottom"/>
            <w:gridSpan w:val="5"/>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440" w:type="dxa"/>
            <w:vAlign w:val="bottom"/>
          </w:tcPr>
          <w:p>
            <w:pPr>
              <w:spacing w:after="0"/>
              <w:rPr>
                <w:sz w:val="18"/>
                <w:szCs w:val="18"/>
                <w:color w:val="auto"/>
              </w:rPr>
            </w:pPr>
          </w:p>
        </w:tc>
      </w:tr>
      <w:tr>
        <w:trPr>
          <w:trHeight w:val="256"/>
        </w:trPr>
        <w:tc>
          <w:tcPr>
            <w:tcW w:w="3280" w:type="dxa"/>
            <w:vAlign w:val="bottom"/>
            <w:tcBorders>
              <w:bottom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3"/>
        </w:trPr>
        <w:tc>
          <w:tcPr>
            <w:tcW w:w="328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color w:val="auto"/>
              </w:rPr>
              <w:t>RELY</w:t>
            </w:r>
          </w:p>
        </w:tc>
        <w:tc>
          <w:tcPr>
            <w:tcW w:w="34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08"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7"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1140" w:type="dxa"/>
        <w:tblCellMar>
          <w:top w:w="0" w:type="dxa"/>
          <w:left w:w="0" w:type="dxa"/>
          <w:bottom w:w="0" w:type="dxa"/>
          <w:right w:w="0" w:type="dxa"/>
        </w:tblCellMar>
      </w:tblPr>
      <w:tr>
        <w:trPr>
          <w:trHeight w:val="272"/>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33"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3, 2025, the registrant had 209,045,931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026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2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Page(s)</w:t>
            </w:r>
          </w:p>
        </w:tc>
        <w:tc>
          <w:tcPr>
            <w:tcW w:w="0" w:type="dxa"/>
            <w:vAlign w:val="bottom"/>
          </w:tcPr>
          <w:p>
            <w:pPr>
              <w:spacing w:after="0"/>
              <w:rPr>
                <w:sz w:val="1"/>
                <w:szCs w:val="1"/>
                <w:color w:val="auto"/>
              </w:rPr>
            </w:pPr>
          </w:p>
        </w:tc>
      </w:tr>
      <w:tr>
        <w:trPr>
          <w:trHeight w:val="243"/>
        </w:trPr>
        <w:tc>
          <w:tcPr>
            <w:tcW w:w="1026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tc>
        <w:tc>
          <w:tcPr>
            <w:tcW w:w="82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ii</w:t>
            </w:r>
          </w:p>
        </w:tc>
        <w:tc>
          <w:tcPr>
            <w:tcW w:w="0" w:type="dxa"/>
            <w:vAlign w:val="bottom"/>
          </w:tcPr>
          <w:p>
            <w:pPr>
              <w:spacing w:after="0"/>
              <w:rPr>
                <w:sz w:val="1"/>
                <w:szCs w:val="1"/>
                <w:color w:val="auto"/>
              </w:rPr>
            </w:pPr>
          </w:p>
        </w:tc>
      </w:tr>
      <w:tr>
        <w:trPr>
          <w:trHeight w:val="513"/>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Financial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36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6"/>
                <w:szCs w:val="16"/>
                <w:color w:val="3051F2"/>
              </w:rPr>
              <w:t>Financial Statements</w:t>
            </w:r>
          </w:p>
        </w:tc>
        <w:tc>
          <w:tcPr>
            <w:tcW w:w="7920" w:type="dxa"/>
            <w:vAlign w:val="bottom"/>
            <w:gridSpan w:val="12"/>
          </w:tcPr>
          <w:p>
            <w:pPr>
              <w:spacing w:after="0"/>
              <w:rPr>
                <w:sz w:val="18"/>
                <w:szCs w:val="18"/>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92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6"/>
                <w:szCs w:val="16"/>
                <w:color w:val="3051F2"/>
              </w:rPr>
              <w:t>Condensed Consolidated Balance Sheets as of September 30, 2025 and December 31, 2024</w:t>
            </w:r>
          </w:p>
        </w:tc>
        <w:tc>
          <w:tcPr>
            <w:tcW w:w="3360" w:type="dxa"/>
            <w:vAlign w:val="bottom"/>
            <w:gridSpan w:val="5"/>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color w:val="3051F2"/>
              </w:rPr>
              <w:t>Condensed Consolidated Statements of Operations for the three and nine months ended September 30, 2025 and 2024</w:t>
            </w: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880" w:type="dxa"/>
            <w:vAlign w:val="bottom"/>
            <w:shd w:val="clear" w:color="auto" w:fill="3051F2"/>
          </w:tcPr>
          <w:p>
            <w:pPr>
              <w:spacing w:after="0" w:line="20" w:lineRule="exact"/>
              <w:rPr>
                <w:sz w:val="1"/>
                <w:szCs w:val="1"/>
                <w:color w:val="auto"/>
              </w:rPr>
            </w:pPr>
          </w:p>
        </w:tc>
        <w:tc>
          <w:tcPr>
            <w:tcW w:w="1240" w:type="dxa"/>
            <w:vAlign w:val="bottom"/>
            <w:gridSpan w:val="2"/>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color w:val="3051F2"/>
              </w:rPr>
              <w:t>Condensed Consolidated Statements of Comprehensive Income (Loss) for the three and nine months ended September 30, 2025 and 2024</w:t>
            </w: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8920" w:type="dxa"/>
            <w:vAlign w:val="bottom"/>
            <w:tcBorders>
              <w:top w:val="single" w:sz="8" w:color="3051F2"/>
            </w:tcBorders>
            <w:gridSpan w:val="16"/>
          </w:tcPr>
          <w:p>
            <w:pPr>
              <w:spacing w:after="0"/>
              <w:rPr>
                <w:sz w:val="20"/>
                <w:szCs w:val="20"/>
                <w:color w:val="auto"/>
              </w:rPr>
            </w:pPr>
            <w:r>
              <w:rPr>
                <w:rFonts w:ascii="Times New Roman" w:cs="Times New Roman" w:eastAsia="Times New Roman" w:hAnsi="Times New Roman"/>
                <w:sz w:val="16"/>
                <w:szCs w:val="16"/>
                <w:color w:val="3051F2"/>
              </w:rPr>
              <w:t>Condensed Consolidated Statements of Stockholders’ Equity for the three and nine months ended September 30, 2025 and 2024</w:t>
            </w:r>
          </w:p>
        </w:tc>
        <w:tc>
          <w:tcPr>
            <w:tcW w:w="360" w:type="dxa"/>
            <w:vAlign w:val="bottom"/>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7060" w:type="dxa"/>
            <w:vAlign w:val="bottom"/>
            <w:tcBorders>
              <w:top w:val="single" w:sz="8" w:color="3051F2"/>
              <w:bottom w:val="single" w:sz="8" w:color="3051F2"/>
            </w:tcBorders>
            <w:gridSpan w:val="13"/>
          </w:tcPr>
          <w:p>
            <w:pPr>
              <w:spacing w:after="0"/>
              <w:rPr>
                <w:sz w:val="20"/>
                <w:szCs w:val="20"/>
                <w:color w:val="auto"/>
              </w:rPr>
            </w:pPr>
            <w:r>
              <w:rPr>
                <w:rFonts w:ascii="Times New Roman" w:cs="Times New Roman" w:eastAsia="Times New Roman" w:hAnsi="Times New Roman"/>
                <w:sz w:val="16"/>
                <w:szCs w:val="16"/>
                <w:color w:val="3051F2"/>
              </w:rPr>
              <w:t>Condensed Consolidated Statements of Cash Flows for the nine months ended September 30, 2025 and 2024</w:t>
            </w:r>
          </w:p>
        </w:tc>
        <w:tc>
          <w:tcPr>
            <w:tcW w:w="1240" w:type="dxa"/>
            <w:vAlign w:val="bottom"/>
            <w:tcBorders>
              <w:top w:val="single" w:sz="8" w:color="3051F2"/>
            </w:tcBorders>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0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6"/>
                <w:szCs w:val="16"/>
                <w:color w:val="3051F2"/>
              </w:rPr>
              <w:t>Notes to Condensed Consolidated Financial Statements</w:t>
            </w:r>
          </w:p>
        </w:tc>
        <w:tc>
          <w:tcPr>
            <w:tcW w:w="5680" w:type="dxa"/>
            <w:vAlign w:val="bottom"/>
            <w:gridSpan w:val="9"/>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3051F2"/>
            </w:tcBorders>
            <w:gridSpan w:val="11"/>
          </w:tcPr>
          <w:p>
            <w:pPr>
              <w:spacing w:after="0"/>
              <w:rPr>
                <w:sz w:val="20"/>
                <w:szCs w:val="20"/>
                <w:color w:val="auto"/>
              </w:rPr>
            </w:pPr>
            <w:r>
              <w:rPr>
                <w:rFonts w:ascii="Times New Roman" w:cs="Times New Roman" w:eastAsia="Times New Roman" w:hAnsi="Times New Roman"/>
                <w:sz w:val="16"/>
                <w:szCs w:val="16"/>
                <w:color w:val="3051F2"/>
              </w:rPr>
              <w:t>Management’s Discussion and Analysis of Financial Condition and Results of Operations</w:t>
            </w:r>
          </w:p>
        </w:tc>
        <w:tc>
          <w:tcPr>
            <w:tcW w:w="3460" w:type="dxa"/>
            <w:vAlign w:val="bottom"/>
            <w:gridSpan w:val="6"/>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21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6"/>
                <w:szCs w:val="16"/>
                <w:color w:val="3051F2"/>
              </w:rPr>
              <w:t>Quantitative and Qualitative Disclosures About Market Risk</w:t>
            </w:r>
          </w:p>
        </w:tc>
        <w:tc>
          <w:tcPr>
            <w:tcW w:w="5340" w:type="dxa"/>
            <w:vAlign w:val="bottom"/>
            <w:gridSpan w:val="7"/>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6"/>
                <w:szCs w:val="16"/>
                <w:color w:val="3051F2"/>
              </w:rPr>
              <w:t>Controls and Procedures</w:t>
            </w:r>
          </w:p>
        </w:tc>
        <w:tc>
          <w:tcPr>
            <w:tcW w:w="7680" w:type="dxa"/>
            <w:vAlign w:val="bottom"/>
            <w:gridSpan w:val="11"/>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33</w:t>
            </w:r>
          </w:p>
        </w:tc>
        <w:tc>
          <w:tcPr>
            <w:tcW w:w="0" w:type="dxa"/>
            <w:vAlign w:val="bottom"/>
          </w:tcPr>
          <w:p>
            <w:pPr>
              <w:spacing w:after="0"/>
              <w:rPr>
                <w:sz w:val="1"/>
                <w:szCs w:val="1"/>
                <w:color w:val="auto"/>
              </w:rPr>
            </w:pPr>
          </w:p>
        </w:tc>
      </w:tr>
      <w:tr>
        <w:trPr>
          <w:trHeight w:val="528"/>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Other Information</w:t>
            </w: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6"/>
                <w:szCs w:val="16"/>
                <w:color w:val="3051F2"/>
                <w:w w:val="99"/>
              </w:rPr>
              <w:t>Legal Proceedings</w:t>
            </w:r>
          </w:p>
        </w:tc>
        <w:tc>
          <w:tcPr>
            <w:tcW w:w="8080" w:type="dxa"/>
            <w:vAlign w:val="bottom"/>
            <w:gridSpan w:val="13"/>
          </w:tcPr>
          <w:p>
            <w:pPr>
              <w:spacing w:after="0"/>
              <w:rPr>
                <w:sz w:val="18"/>
                <w:szCs w:val="18"/>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6"/>
                <w:szCs w:val="16"/>
                <w:color w:val="3051F2"/>
                <w:w w:val="99"/>
              </w:rPr>
              <w:t>Risk Factors</w:t>
            </w:r>
          </w:p>
        </w:tc>
        <w:tc>
          <w:tcPr>
            <w:tcW w:w="8460" w:type="dxa"/>
            <w:vAlign w:val="bottom"/>
            <w:gridSpan w:val="15"/>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6"/>
                <w:szCs w:val="16"/>
                <w:color w:val="3051F2"/>
              </w:rPr>
              <w:t>Unregistered Sales of Equity Securities and Use of Proceeds</w:t>
            </w:r>
          </w:p>
        </w:tc>
        <w:tc>
          <w:tcPr>
            <w:tcW w:w="5360" w:type="dxa"/>
            <w:vAlign w:val="bottom"/>
            <w:gridSpan w:val="8"/>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210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6"/>
                <w:szCs w:val="16"/>
                <w:color w:val="3051F2"/>
              </w:rPr>
              <w:t>Defaults Upon Senior Securities</w:t>
            </w:r>
          </w:p>
        </w:tc>
        <w:tc>
          <w:tcPr>
            <w:tcW w:w="7180" w:type="dxa"/>
            <w:vAlign w:val="bottom"/>
            <w:gridSpan w:val="10"/>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6"/>
                <w:szCs w:val="16"/>
                <w:color w:val="3051F2"/>
              </w:rPr>
              <w:t>Mine Safety Disclosures</w:t>
            </w:r>
          </w:p>
        </w:tc>
        <w:tc>
          <w:tcPr>
            <w:tcW w:w="7680" w:type="dxa"/>
            <w:vAlign w:val="bottom"/>
            <w:gridSpan w:val="11"/>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35</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9280" w:type="dxa"/>
            <w:vAlign w:val="bottom"/>
            <w:gridSpan w:val="17"/>
          </w:tcPr>
          <w:p>
            <w:pPr>
              <w:spacing w:after="0"/>
              <w:rPr>
                <w:sz w:val="20"/>
                <w:szCs w:val="20"/>
                <w:color w:val="auto"/>
              </w:rPr>
            </w:pPr>
            <w:r>
              <w:rPr>
                <w:rFonts w:ascii="Times New Roman" w:cs="Times New Roman" w:eastAsia="Times New Roman" w:hAnsi="Times New Roman"/>
                <w:sz w:val="16"/>
                <w:szCs w:val="16"/>
                <w:color w:val="3051F2"/>
              </w:rPr>
              <w:t>Other Information</w:t>
            </w: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35</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1180" w:type="dxa"/>
            <w:vAlign w:val="bottom"/>
            <w:tcBorders>
              <w:top w:val="single" w:sz="8" w:color="3051F2"/>
            </w:tcBorders>
            <w:gridSpan w:val="3"/>
          </w:tcPr>
          <w:p>
            <w:pPr>
              <w:spacing w:after="0"/>
              <w:rPr>
                <w:sz w:val="20"/>
                <w:szCs w:val="20"/>
                <w:color w:val="auto"/>
              </w:rPr>
            </w:pPr>
            <w:r>
              <w:rPr>
                <w:rFonts w:ascii="Times New Roman" w:cs="Times New Roman" w:eastAsia="Times New Roman" w:hAnsi="Times New Roman"/>
                <w:sz w:val="16"/>
                <w:szCs w:val="16"/>
                <w:color w:val="3051F2"/>
              </w:rPr>
              <w:t>Exhibits</w:t>
            </w:r>
          </w:p>
        </w:tc>
        <w:tc>
          <w:tcPr>
            <w:tcW w:w="8100" w:type="dxa"/>
            <w:vAlign w:val="bottom"/>
            <w:gridSpan w:val="14"/>
          </w:tcPr>
          <w:p>
            <w:pPr>
              <w:spacing w:after="0"/>
              <w:rPr>
                <w:sz w:val="19"/>
                <w:szCs w:val="19"/>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36</w:t>
            </w:r>
          </w:p>
        </w:tc>
        <w:tc>
          <w:tcPr>
            <w:tcW w:w="0" w:type="dxa"/>
            <w:vAlign w:val="bottom"/>
          </w:tcPr>
          <w:p>
            <w:pPr>
              <w:spacing w:after="0"/>
              <w:rPr>
                <w:sz w:val="1"/>
                <w:szCs w:val="1"/>
                <w:color w:val="auto"/>
              </w:rPr>
            </w:pPr>
          </w:p>
        </w:tc>
      </w:tr>
      <w:tr>
        <w:trPr>
          <w:trHeight w:val="527"/>
        </w:trPr>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Signatures</w:t>
            </w:r>
          </w:p>
        </w:tc>
        <w:tc>
          <w:tcPr>
            <w:tcW w:w="540" w:type="dxa"/>
            <w:vAlign w:val="bottom"/>
            <w:tcBorders>
              <w:top w:val="single" w:sz="8" w:color="3051F2"/>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center"/>
              <w:ind w:left="259"/>
              <w:spacing w:after="0"/>
              <w:rPr>
                <w:sz w:val="20"/>
                <w:szCs w:val="20"/>
                <w:color w:val="auto"/>
              </w:rPr>
            </w:pPr>
            <w:r>
              <w:rPr>
                <w:rFonts w:ascii="Times New Roman" w:cs="Times New Roman" w:eastAsia="Times New Roman" w:hAnsi="Times New Roman"/>
                <w:sz w:val="16"/>
                <w:szCs w:val="16"/>
                <w:color w:val="auto"/>
                <w:w w:val="99"/>
              </w:rPr>
              <w:t>37</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6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41" w:lineRule="exact"/>
        <w:rPr>
          <w:sz w:val="20"/>
          <w:szCs w:val="20"/>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our revenue, expenses, and other operating results;</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acquire new customers and successfully retain existing customers;</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to develop new products and services in a timely manner;</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achieve or sustain our profitability;</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expand our strategic relationships with third parties;</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plan and our ability to effectively manage our growth;</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anticipated trends, growth rates, and challenges in our business and in the market segments in which we operate;</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qualified employees;</w:t>
      </w:r>
    </w:p>
    <w:p>
      <w:pPr>
        <w:spacing w:after="0" w:line="72" w:lineRule="exact"/>
        <w:rPr>
          <w:rFonts w:ascii="Times New Roman" w:cs="Times New Roman" w:eastAsia="Times New Roman" w:hAnsi="Times New Roman"/>
          <w:sz w:val="16"/>
          <w:szCs w:val="16"/>
          <w:color w:val="auto"/>
        </w:rPr>
      </w:pPr>
    </w:p>
    <w:p>
      <w:pPr>
        <w:ind w:left="660" w:right="120" w:hanging="328"/>
        <w:spacing w:after="0" w:line="272" w:lineRule="auto"/>
        <w:tabs>
          <w:tab w:leader="none" w:pos="55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regarding the impact of geopolitical and macroeconomic conditions, including currency fluctuations, inflation, regulatory changes (including as may be related to immigration, fiscal and tax policy, foreign trade, or foreign investment), regional and global conflicts or related government sanctions, or legislative or regulatory developments;</w:t>
      </w:r>
    </w:p>
    <w:p>
      <w:pPr>
        <w:spacing w:after="0" w:line="8"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the security and availability of our solutions;</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our money transmission licenses and other regulatory clearances or obtain new licenses and regulatory clearances;</w:t>
      </w:r>
    </w:p>
    <w:p>
      <w:pPr>
        <w:spacing w:after="0" w:line="72"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expand international operations;</w:t>
      </w:r>
    </w:p>
    <w:p>
      <w:pPr>
        <w:spacing w:after="0" w:line="59" w:lineRule="exact"/>
        <w:rPr>
          <w:rFonts w:ascii="Times New Roman" w:cs="Times New Roman" w:eastAsia="Times New Roman" w:hAnsi="Times New Roman"/>
          <w:sz w:val="16"/>
          <w:szCs w:val="16"/>
          <w:color w:val="auto"/>
        </w:rPr>
      </w:pPr>
    </w:p>
    <w:p>
      <w:pPr>
        <w:ind w:left="560" w:hanging="22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anticipated technology needs and developments and our ability to address those needs and developments with our solutions; and</w:t>
      </w:r>
    </w:p>
    <w:p>
      <w:pPr>
        <w:spacing w:after="0" w:line="72"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stock repurchase program, the timing and number of shares of our common stock to be repurchased, and the potential benefits thereof.</w:t>
      </w:r>
    </w:p>
    <w:p>
      <w:pPr>
        <w:spacing w:after="0" w:line="1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44"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6"/>
          <w:szCs w:val="16"/>
          <w:color w:val="auto"/>
        </w:rPr>
        <w:t>Unless the context otherwise requires, the terms “Remitly Global,” “Remitly,” “the Company,” “we,” “us,” and “our” in this Quarterly Report on Form 10-Q refer to Remitly Global, Inc. and our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and per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476,896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368,097</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Disbursement prefunding</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288,934</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funds receivable, net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307,512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193,965</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51,174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46,518</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1,081,422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897,514</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52,272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31,566</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13,002</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5,386</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1,213,684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32,185</w:t>
            </w:r>
          </w:p>
        </w:tc>
        <w:tc>
          <w:tcPr>
            <w:tcW w:w="8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16,159</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Customer liabilities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213,375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188,984</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debt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123,256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116,652</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329,008</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9,319</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416,517</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347,400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Common stock, $0.0001 par value; 725,000,000 shares authorized as of both September 30, 2025 and December 31,</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2024; 209,331,306 and 200,534,626 shares issued and outstanding as of September 30, 2025 and December 31,</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2024, respectively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1,295,011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1,195,390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(501,564)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(528,281)</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797,167</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665,471</w:t>
            </w:r>
          </w:p>
        </w:tc>
        <w:tc>
          <w:tcPr>
            <w:tcW w:w="0" w:type="dxa"/>
            <w:vAlign w:val="bottom"/>
          </w:tcPr>
          <w:p>
            <w:pPr>
              <w:spacing w:after="0"/>
              <w:rPr>
                <w:sz w:val="1"/>
                <w:szCs w:val="1"/>
                <w:color w:val="auto"/>
              </w:rPr>
            </w:pP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1,213,684</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1,012,871</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and per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74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419,494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336,527</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1,192,970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912,068</w:t>
            </w:r>
          </w:p>
        </w:tc>
      </w:tr>
      <w:tr>
        <w:trPr>
          <w:trHeight w:val="21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146,725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115,554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411,874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313,215</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61,910</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91,778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74,792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250,103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219,862</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68,446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199,206</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168,383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140,982</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12,240</w:t>
            </w:r>
          </w:p>
        </w:tc>
      </w:tr>
      <w:tr>
        <w:trPr>
          <w:trHeight w:val="237"/>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407,717</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336,159</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1,154,317</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947,415</w:t>
            </w:r>
          </w:p>
        </w:tc>
      </w:tr>
      <w:tr>
        <w:trPr>
          <w:trHeight w:val="23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(35,347)</w:t>
            </w: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w:t>
            </w: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w:t>
            </w:r>
          </w:p>
        </w:tc>
      </w:tr>
      <w:tr>
        <w:trPr>
          <w:trHeight w:val="23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(25,116)</w:t>
            </w: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6,138</w:t>
            </w:r>
          </w:p>
        </w:tc>
      </w:tr>
      <w:tr>
        <w:trPr>
          <w:trHeight w:val="24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26,717</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(31,254)</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5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207,150,067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196,169,417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204,549,044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193,167,942</w:t>
            </w: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217,231,102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205,251,546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218,227,638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193,167,942</w:t>
            </w:r>
          </w:p>
        </w:tc>
      </w:tr>
      <w:tr>
        <w:trPr>
          <w:trHeight w:val="2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__________________</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ind w:left="140" w:hanging="132"/>
        <w:spacing w:after="0"/>
        <w:tabs>
          <w:tab w:leader="none" w:pos="1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Exclusive of depreciation and amortization, shown separately.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 (loss)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8"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4"/>
          <w:szCs w:val="14"/>
          <w:color w:val="auto"/>
        </w:rPr>
        <w:t>(unaudited)</w:t>
      </w:r>
    </w:p>
    <w:p>
      <w:pPr>
        <w:spacing w:after="0" w:line="211" w:lineRule="exact"/>
        <w:rPr>
          <w:sz w:val="20"/>
          <w:szCs w:val="20"/>
          <w:color w:val="auto"/>
        </w:rPr>
      </w:pPr>
    </w:p>
    <w:tbl>
      <w:tblPr>
        <w:tblLayout w:type="fixed"/>
        <w:tblInd w:w="1560" w:type="dxa"/>
        <w:tblCellMar>
          <w:top w:w="0" w:type="dxa"/>
          <w:left w:w="0" w:type="dxa"/>
          <w:bottom w:w="0" w:type="dxa"/>
          <w:right w:w="0" w:type="dxa"/>
        </w:tblCellMar>
      </w:tblPr>
      <w:tr>
        <w:trPr>
          <w:trHeight w:val="225"/>
        </w:trPr>
        <w:tc>
          <w:tcPr>
            <w:tcW w:w="22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7"/>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26,717</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(31,254)</w:t>
            </w:r>
          </w:p>
        </w:tc>
      </w:tr>
      <w:tr>
        <w:trPr>
          <w:trHeight w:val="466"/>
        </w:trPr>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w:t>
            </w:r>
          </w:p>
        </w:tc>
      </w:tr>
      <w:tr>
        <w:trPr>
          <w:trHeight w:val="237"/>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8,344</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4,202</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32,074</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(29,708)</w:t>
            </w:r>
          </w:p>
        </w:tc>
      </w:tr>
      <w:tr>
        <w:trPr>
          <w:trHeight w:val="27"/>
        </w:trPr>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-668020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-351155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520"/>
            <w:col w:w="8040"/>
          </w:cols>
          <w:pgMar w:left="320" w:top="126"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92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200,534,626</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1,195,390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(528,281)</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665,471</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 and</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2,792,726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36,890</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11,352</w:t>
            </w:r>
          </w:p>
        </w:tc>
        <w:tc>
          <w:tcPr>
            <w:tcW w:w="0" w:type="dxa"/>
            <w:vAlign w:val="bottom"/>
          </w:tcPr>
          <w:p>
            <w:pPr>
              <w:spacing w:after="0"/>
              <w:rPr>
                <w:sz w:val="1"/>
                <w:szCs w:val="1"/>
                <w:color w:val="auto"/>
              </w:rPr>
            </w:pPr>
          </w:p>
        </w:tc>
      </w:tr>
      <w:tr>
        <w:trPr>
          <w:trHeight w:val="24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March 31, 2025</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203,825,920</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1,240,310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(516,929)</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723,476</w:t>
            </w:r>
          </w:p>
        </w:tc>
        <w:tc>
          <w:tcPr>
            <w:tcW w:w="0" w:type="dxa"/>
            <w:vAlign w:val="bottom"/>
          </w:tcPr>
          <w:p>
            <w:pPr>
              <w:spacing w:after="0"/>
              <w:rPr>
                <w:sz w:val="1"/>
                <w:szCs w:val="1"/>
                <w:color w:val="auto"/>
              </w:rPr>
            </w:pPr>
          </w:p>
        </w:tc>
      </w:tr>
      <w:tr>
        <w:trPr>
          <w:trHeight w:val="20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 and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2,738,866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(11,589)</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39,296</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w:t>
            </w:r>
          </w:p>
        </w:tc>
        <w:tc>
          <w:tcPr>
            <w:tcW w:w="0" w:type="dxa"/>
            <w:vAlign w:val="bottom"/>
          </w:tcPr>
          <w:p>
            <w:pPr>
              <w:spacing w:after="0"/>
              <w:rPr>
                <w:sz w:val="1"/>
                <w:szCs w:val="1"/>
                <w:color w:val="auto"/>
              </w:rPr>
            </w:pPr>
          </w:p>
        </w:tc>
      </w:tr>
      <w:tr>
        <w:trPr>
          <w:trHeight w:val="24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2025</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206,091,275</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1,271,110</w:t>
            </w:r>
          </w:p>
        </w:tc>
        <w:tc>
          <w:tcPr>
            <w:tcW w:w="8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4,184</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(510,393)</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764,922</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431,988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w:t>
            </w:r>
          </w:p>
        </w:tc>
        <w:tc>
          <w:tcPr>
            <w:tcW w:w="0" w:type="dxa"/>
            <w:vAlign w:val="bottom"/>
          </w:tcPr>
          <w:p>
            <w:pPr>
              <w:spacing w:after="0"/>
              <w:rPr>
                <w:sz w:val="1"/>
                <w:szCs w:val="1"/>
                <w:color w:val="auto"/>
              </w:rPr>
            </w:pPr>
          </w:p>
        </w:tc>
      </w:tr>
      <w:tr>
        <w:trPr>
          <w:trHeight w:val="20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 and</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4,087,019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(710,906)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(13,433)</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repurchased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(613,560)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(11,876)</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41,336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41,336</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0" w:type="dxa"/>
            <w:vAlign w:val="bottom"/>
          </w:tcPr>
          <w:p>
            <w:pPr>
              <w:spacing w:after="0"/>
              <w:rPr>
                <w:sz w:val="1"/>
                <w:szCs w:val="1"/>
                <w:color w:val="auto"/>
              </w:rPr>
            </w:pPr>
          </w:p>
        </w:tc>
      </w:tr>
      <w:tr>
        <w:trPr>
          <w:trHeight w:val="26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209,331,306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1,295,011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(501,564)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797,167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2024</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 thousands, except share data</w:t>
      </w:r>
      <w:r>
        <w:rPr>
          <w:rFonts w:ascii="Times New Roman" w:cs="Times New Roman" w:eastAsia="Times New Roman" w:hAnsi="Times New Roman"/>
          <w:sz w:val="14"/>
          <w:szCs w:val="14"/>
          <w:color w:val="auto"/>
        </w:rPr>
        <w: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92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040" w:type="dxa"/>
            <w:vAlign w:val="bottom"/>
            <w:gridSpan w:val="3"/>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4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188,435,952</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1,020,286</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(491,303)</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529,337</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439,247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3,500,485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(64,634)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35,575</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4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(21,080)</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192,311,050</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1,062,029</w:t>
            </w:r>
          </w:p>
        </w:tc>
        <w:tc>
          <w:tcPr>
            <w:tcW w:w="8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(512,383)</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549,358</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2,741,097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0" w:type="dxa"/>
            <w:vAlign w:val="bottom"/>
          </w:tcPr>
          <w:p>
            <w:pPr>
              <w:spacing w:after="0"/>
              <w:rPr>
                <w:sz w:val="1"/>
                <w:szCs w:val="1"/>
                <w:color w:val="auto"/>
              </w:rPr>
            </w:pPr>
          </w:p>
        </w:tc>
      </w:tr>
      <w:tr>
        <w:trPr>
          <w:trHeight w:val="20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previously held back for acquisition</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consideration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38,438</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(12,091)</w:t>
            </w:r>
          </w:p>
        </w:tc>
        <w:tc>
          <w:tcPr>
            <w:tcW w:w="0" w:type="dxa"/>
            <w:vAlign w:val="bottom"/>
          </w:tcPr>
          <w:p>
            <w:pPr>
              <w:spacing w:after="0"/>
              <w:rPr>
                <w:sz w:val="1"/>
                <w:szCs w:val="1"/>
                <w:color w:val="auto"/>
              </w:rPr>
            </w:pPr>
          </w:p>
        </w:tc>
      </w:tr>
      <w:tr>
        <w:trPr>
          <w:trHeight w:val="24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195,095,978</w:t>
            </w: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1,103,760</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(524,474)</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578,902</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 with ESPP</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 of stock options,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including early exercised options, and vesting of restricted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2,456,427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Donation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shares settlement of equity awards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(87,579)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0" w:type="dxa"/>
            <w:vAlign w:val="bottom"/>
          </w:tcPr>
          <w:p>
            <w:pPr>
              <w:spacing w:after="0"/>
              <w:rPr>
                <w:sz w:val="1"/>
                <w:szCs w:val="1"/>
                <w:color w:val="auto"/>
              </w:rPr>
            </w:pPr>
          </w:p>
        </w:tc>
      </w:tr>
      <w:tr>
        <w:trPr>
          <w:trHeight w:val="23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40,400</w:t>
            </w:r>
          </w:p>
        </w:tc>
        <w:tc>
          <w:tcPr>
            <w:tcW w:w="0" w:type="dxa"/>
            <w:vAlign w:val="bottom"/>
          </w:tcPr>
          <w:p>
            <w:pPr>
              <w:spacing w:after="0"/>
              <w:rPr>
                <w:sz w:val="1"/>
                <w:szCs w:val="1"/>
                <w:color w:val="auto"/>
              </w:rPr>
            </w:pPr>
          </w:p>
        </w:tc>
      </w:tr>
      <w:tr>
        <w:trPr>
          <w:trHeight w:val="25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0" w:type="dxa"/>
            <w:vAlign w:val="bottom"/>
          </w:tcPr>
          <w:p>
            <w:pPr>
              <w:spacing w:after="0"/>
              <w:rPr>
                <w:sz w:val="1"/>
                <w:szCs w:val="1"/>
                <w:color w:val="auto"/>
              </w:rPr>
            </w:pPr>
          </w:p>
        </w:tc>
      </w:tr>
      <w:tr>
        <w:trPr>
          <w:trHeight w:val="26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198,033,845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1,151,479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(522,557)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630,823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26,717</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(31,254)</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amortization, and other</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12,539</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113,832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110,523</w:t>
            </w: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Donation of common stock</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Disbursement prefunding</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(23,795)</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Customer funds receivable</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100,539</w:t>
            </w:r>
          </w:p>
        </w:tc>
        <w:tc>
          <w:tcPr>
            <w:tcW w:w="0" w:type="dxa"/>
            <w:vAlign w:val="bottom"/>
          </w:tcPr>
          <w:p>
            <w:pPr>
              <w:spacing w:after="0"/>
              <w:rPr>
                <w:sz w:val="1"/>
                <w:szCs w:val="1"/>
                <w:color w:val="auto"/>
              </w:rPr>
            </w:pP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(6,787)</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4,475</w:t>
            </w:r>
          </w:p>
        </w:tc>
        <w:tc>
          <w:tcPr>
            <w:tcW w:w="0" w:type="dxa"/>
            <w:vAlign w:val="bottom"/>
          </w:tcPr>
          <w:p>
            <w:pPr>
              <w:spacing w:after="0"/>
              <w:rPr>
                <w:sz w:val="1"/>
                <w:szCs w:val="1"/>
                <w:color w:val="auto"/>
              </w:rPr>
            </w:pP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(18,285)</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Customer liabilities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16,811</w:t>
            </w:r>
          </w:p>
        </w:tc>
        <w:tc>
          <w:tcPr>
            <w:tcW w:w="0" w:type="dxa"/>
            <w:vAlign w:val="bottom"/>
          </w:tcPr>
          <w:p>
            <w:pPr>
              <w:spacing w:after="0"/>
              <w:rPr>
                <w:sz w:val="1"/>
                <w:szCs w:val="1"/>
                <w:color w:val="auto"/>
              </w:rPr>
            </w:pPr>
          </w:p>
        </w:tc>
      </w:tr>
      <w:tr>
        <w:trPr>
          <w:trHeight w:val="233"/>
        </w:trPr>
        <w:tc>
          <w:tcPr>
            <w:tcW w:w="80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(23,521)</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175,464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138,850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 costs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(9,288)</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collections (originations) from consumer receivables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(12,480)</w:t>
            </w:r>
          </w:p>
        </w:tc>
        <w:tc>
          <w:tcPr>
            <w:tcW w:w="0" w:type="dxa"/>
            <w:vAlign w:val="bottom"/>
          </w:tcPr>
          <w:p>
            <w:pPr>
              <w:spacing w:after="0"/>
              <w:rPr>
                <w:sz w:val="1"/>
                <w:szCs w:val="1"/>
                <w:color w:val="auto"/>
              </w:rPr>
            </w:pPr>
          </w:p>
        </w:tc>
      </w:tr>
      <w:tr>
        <w:trPr>
          <w:trHeight w:val="21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ESPP</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9,382</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repurchase of common stock</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borrowings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4,104,000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863,000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(4,104,000)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(993,000)</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settlement of amounts previously held back for acquisition consideration</w:t>
            </w:r>
          </w:p>
        </w:tc>
        <w:tc>
          <w:tcPr>
            <w:tcW w:w="2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(10,261)</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(23,703)</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(128,899)</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108,646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369,817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325,029</w:t>
            </w: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478,463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476,896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324,434</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noncurrent assets, net</w:t>
            </w: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478,463</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326,441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REMITLY GLOBAL,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38" w:lineRule="exact"/>
        <w:rPr>
          <w:sz w:val="20"/>
          <w:szCs w:val="20"/>
          <w:color w:val="auto"/>
        </w:rPr>
      </w:pPr>
    </w:p>
    <w:p>
      <w:pPr>
        <w:ind w:right="8060" w:firstLine="8"/>
        <w:spacing w:after="0" w:line="467" w:lineRule="auto"/>
        <w:tabs>
          <w:tab w:leader="none" w:pos="283"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Description of Business Description of Business</w:t>
      </w:r>
    </w:p>
    <w:p>
      <w:pPr>
        <w:spacing w:after="0" w:line="1"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6"/>
          <w:szCs w:val="16"/>
          <w:color w:val="auto"/>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which is now a wholly-owned subsidiary of Remitly Global, Inc.</w:t>
      </w:r>
    </w:p>
    <w:p>
      <w:pPr>
        <w:spacing w:after="0" w:line="11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6"/>
          <w:szCs w:val="16"/>
          <w:color w:val="auto"/>
        </w:rPr>
        <w:t>Remitly is a trusted provider of digital financial services that transcend borders. With a global footprint spanning more than 170 countries, Remitly’s digitally native, cross-border payments app delights customers with a fast, reliable, and transparent money movement experience.</w:t>
      </w:r>
    </w:p>
    <w:p>
      <w:pPr>
        <w:spacing w:after="0" w:line="97"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Unless otherwise expressly stated or the context otherwise requires, the terms “Remitly” and the “Company” within these notes to the condensed consolidated financial statements refer to Remitly Global, Inc. and its wholly-owned subsidiaries.</w:t>
      </w:r>
    </w:p>
    <w:p>
      <w:pPr>
        <w:spacing w:after="0" w:line="122" w:lineRule="exact"/>
        <w:rPr>
          <w:sz w:val="20"/>
          <w:szCs w:val="20"/>
          <w:color w:val="auto"/>
        </w:rPr>
      </w:pPr>
    </w:p>
    <w:p>
      <w:pPr>
        <w:ind w:right="6100" w:firstLine="8"/>
        <w:spacing w:after="0" w:line="459" w:lineRule="auto"/>
        <w:tabs>
          <w:tab w:leader="none" w:pos="283"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Basis of Presentation and Summary of Significant Accounting Policies Basis of Presentation</w:t>
      </w:r>
    </w:p>
    <w:p>
      <w:pPr>
        <w:ind w:right="40"/>
        <w:spacing w:after="0" w:line="263"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data within the Condensed Consolidated Balance Sheets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2024.</w:t>
      </w:r>
    </w:p>
    <w:p>
      <w:pPr>
        <w:spacing w:after="0" w:line="12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6"/>
          <w:szCs w:val="16"/>
          <w:color w:val="auto"/>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income (loss), and cash flows for the interim periods. The interim results for the three and nine months ended September 30, 2025 are not necessarily indicative of the results that may be expected for the year ending December 31, 2025, or for any other future annual or interim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Principles of Consolidation</w:t>
      </w:r>
    </w:p>
    <w:p>
      <w:pPr>
        <w:spacing w:after="0" w:line="169" w:lineRule="exact"/>
        <w:rPr>
          <w:sz w:val="20"/>
          <w:szCs w:val="20"/>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The condensed consolidated financial statements include the accounts of Remitly Global, Inc. and its wholly-owned subsidiaries. All intercompany transactions and balances have been eliminated in consolidation.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Reclassification</w:t>
      </w:r>
    </w:p>
    <w:p>
      <w:pPr>
        <w:spacing w:after="0" w:line="183" w:lineRule="exact"/>
        <w:rPr>
          <w:sz w:val="20"/>
          <w:szCs w:val="20"/>
          <w:color w:val="auto"/>
        </w:rPr>
      </w:pPr>
    </w:p>
    <w:p>
      <w:pPr>
        <w:ind w:right="420"/>
        <w:spacing w:after="0" w:line="457" w:lineRule="auto"/>
        <w:rPr>
          <w:sz w:val="20"/>
          <w:szCs w:val="20"/>
          <w:color w:val="auto"/>
        </w:rPr>
      </w:pPr>
      <w:r>
        <w:rPr>
          <w:rFonts w:ascii="Times New Roman" w:cs="Times New Roman" w:eastAsia="Times New Roman" w:hAnsi="Times New Roman"/>
          <w:sz w:val="16"/>
          <w:szCs w:val="16"/>
          <w:color w:val="auto"/>
        </w:rPr>
        <w:t xml:space="preserve">Certain immaterial amounts in the prior period Condensed Consolidated Statements of Cash Flows were reclassified to conform with the current period’s presentation. </w:t>
      </w:r>
      <w:r>
        <w:rPr>
          <w:rFonts w:ascii="Times New Roman" w:cs="Times New Roman" w:eastAsia="Times New Roman" w:hAnsi="Times New Roman"/>
          <w:sz w:val="16"/>
          <w:szCs w:val="16"/>
          <w:b w:val="1"/>
          <w:bCs w:val="1"/>
          <w:color w:val="auto"/>
        </w:rPr>
        <w:t>Use of Estimates</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The preparation of the accompanying condensed consolidated financial statements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stock-based compensation expense, the carrying value of operating lease right-of-use assets and operating lease liabilities, the recoverability of deferred tax assets, capitalization of software development costs, goodwill, and intangible assets. The key assumptions applied for the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16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primarily located in India, Mexico, and the Philippines. The Company has not experienced material losses on its deposits of cash and cash equivalents, disbursement prefunding, restricted cash, or customer funds receivable in the three and nine months ended September 30, 2025 and 2024.</w:t>
      </w:r>
    </w:p>
    <w:p>
      <w:pPr>
        <w:spacing w:after="0" w:line="141" w:lineRule="exact"/>
        <w:rPr>
          <w:sz w:val="20"/>
          <w:szCs w:val="20"/>
          <w:color w:val="auto"/>
        </w:rPr>
      </w:pPr>
    </w:p>
    <w:p>
      <w:pPr>
        <w:ind w:right="560"/>
        <w:spacing w:after="0" w:line="465" w:lineRule="auto"/>
        <w:rPr>
          <w:sz w:val="20"/>
          <w:szCs w:val="20"/>
          <w:color w:val="auto"/>
        </w:rPr>
      </w:pPr>
      <w:r>
        <w:rPr>
          <w:rFonts w:ascii="Times New Roman" w:cs="Times New Roman" w:eastAsia="Times New Roman" w:hAnsi="Times New Roman"/>
          <w:sz w:val="16"/>
          <w:szCs w:val="16"/>
          <w:color w:val="auto"/>
        </w:rPr>
        <w:t xml:space="preserve">For the three and nine months ended September 30, 2025 and 2024, no individual customer represented 10% or more of total revenues or customer funds receivable. </w:t>
      </w:r>
      <w:r>
        <w:rPr>
          <w:rFonts w:ascii="Times New Roman" w:cs="Times New Roman" w:eastAsia="Times New Roman" w:hAnsi="Times New Roman"/>
          <w:sz w:val="16"/>
          <w:szCs w:val="16"/>
          <w:b w:val="1"/>
          <w:bCs w:val="1"/>
          <w:color w:val="auto"/>
        </w:rPr>
        <w:t>Summary of Significant Accounting Policies</w:t>
      </w:r>
    </w:p>
    <w:p>
      <w:pPr>
        <w:spacing w:after="0" w:line="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6"/>
          <w:szCs w:val="16"/>
          <w:color w:val="auto"/>
        </w:rPr>
        <w:t xml:space="preserve">The Company’s significant accounting policies are discussed in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within the notes to the consolidated financial statements included in the Company’s Annual Report on Form 10-K for the year ended December 31, 2024. Except as described below, there have been no significant changes to these policies during the nine months ended September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Funds Receivable</w:t>
      </w:r>
    </w:p>
    <w:p>
      <w:pPr>
        <w:spacing w:after="0" w:line="17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 xml:space="preserve">When customers fund their transactions using credit cards or debit cards, there is a clearing period before the cash is received by the Company from the payment processors of usually one business day. Similarly, when customers provide bank information and authorization for the Company to receive funds via electronic funds transfer, the transactions are submitted via batch and received in cash usually in one to three business days. These card and electronic funds are treated as a receivable from the bank until the cash is received by the Company. The Company’s reserve for transaction losses, which includes fraud losses, is further discussed in Note 15. </w:t>
      </w:r>
      <w:r>
        <w:rPr>
          <w:rFonts w:ascii="Times New Roman" w:cs="Times New Roman" w:eastAsia="Times New Roman" w:hAnsi="Times New Roman"/>
          <w:sz w:val="16"/>
          <w:szCs w:val="16"/>
          <w:i w:val="1"/>
          <w:iCs w:val="1"/>
          <w:color w:val="auto"/>
        </w:rPr>
        <w:t>Commitments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Contingencies</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Consumer Receivables</w:t>
      </w:r>
    </w:p>
    <w:p>
      <w:pPr>
        <w:spacing w:after="0" w:line="16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color w:val="auto"/>
        </w:rPr>
        <w:t>The Company offers a payment option that allows customers to fund their transactions while deferring the remittance payment (“Remitly Flex”). When Customers use Remitly Flex, the Company advances the remittance amount on behalf of the customer and establishes a receivable due from the customer for repayment of the advance in order to retain access to the Remitly Flex terms. Customers are required to repay Remitly Flex receivables in full within 30 days of the transaction, or up to 90 days if customers enroll in a monthly subscription fee program. Remitly Flex receivables are recorded in ‘</w:t>
      </w:r>
      <w:r>
        <w:rPr>
          <w:rFonts w:ascii="Times New Roman" w:cs="Times New Roman" w:eastAsia="Times New Roman" w:hAnsi="Times New Roman"/>
          <w:sz w:val="16"/>
          <w:szCs w:val="16"/>
          <w:i w:val="1"/>
          <w:iCs w:val="1"/>
          <w:color w:val="auto"/>
        </w:rPr>
        <w:t>Customer funds receivable, net</w:t>
      </w:r>
      <w:r>
        <w:rPr>
          <w:rFonts w:ascii="Times New Roman" w:cs="Times New Roman" w:eastAsia="Times New Roman" w:hAnsi="Times New Roman"/>
          <w:sz w:val="16"/>
          <w:szCs w:val="16"/>
          <w:color w:val="auto"/>
        </w:rPr>
        <w:t xml:space="preserve">’ until collected and classified as held for investment as the Company has the intent and ability to hold the investment for the foreseeable future, or until maturity or payment is received. Consumer receivables, net are further discussed in Note 4. </w:t>
      </w:r>
      <w:r>
        <w:rPr>
          <w:rFonts w:ascii="Times New Roman" w:cs="Times New Roman" w:eastAsia="Times New Roman" w:hAnsi="Times New Roman"/>
          <w:sz w:val="16"/>
          <w:szCs w:val="16"/>
          <w:i w:val="1"/>
          <w:iCs w:val="1"/>
          <w:color w:val="auto"/>
        </w:rPr>
        <w:t>Consumer Receivables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Collectability of Customer Funds Receivable</w:t>
      </w:r>
    </w:p>
    <w:p>
      <w:pPr>
        <w:spacing w:after="0" w:line="169"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6"/>
          <w:szCs w:val="16"/>
          <w:color w:val="auto"/>
        </w:rPr>
        <w:t>Under the current expected credit loss (“CECL”) model, the Company evaluates the collectability of its customer funds receivable on a number of factors, including historical losses, aging, payment processor risks, specific customer repayment trends, and forecasted losses. The allowance for credit losses related to customer funds receivable, inclusive of consumer receivables, was immaterial as of both September 30, 2025 and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Advertising</w:t>
      </w:r>
    </w:p>
    <w:p>
      <w:pPr>
        <w:spacing w:after="0" w:line="18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color w:val="auto"/>
        </w:rPr>
        <w:t>Advertising expenses are charged to operations as incurred and are included as a component of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within the Condensed Consolidated Statements of Operations. Advertising expenses are used primarily to attract new customers. Advertising expenses totaled $69.5 million and $54.6 million during the three months ended September 30, 2025 and 2024, respectively. Advertising expenses totaled $187.6 million and $163.1 million during the nine months ended September 30, 2025 and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Not Yet Adopted</w:t>
      </w:r>
    </w:p>
    <w:p>
      <w:pPr>
        <w:spacing w:after="0" w:line="16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 xml:space="preserve">Except as described below, there have been no changes to the Company’s new accounting pronouncements not yet adopted as discussed in Note 2. </w:t>
      </w:r>
      <w:r>
        <w:rPr>
          <w:rFonts w:ascii="Times New Roman" w:cs="Times New Roman" w:eastAsia="Times New Roman" w:hAnsi="Times New Roman"/>
          <w:sz w:val="16"/>
          <w:szCs w:val="16"/>
          <w:i w:val="1"/>
          <w:iCs w:val="1"/>
          <w:color w:val="auto"/>
        </w:rPr>
        <w:t>Basis of Presentation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Summary of Significant Accounting Policies </w:t>
      </w:r>
      <w:r>
        <w:rPr>
          <w:rFonts w:ascii="Times New Roman" w:cs="Times New Roman" w:eastAsia="Times New Roman" w:hAnsi="Times New Roman"/>
          <w:sz w:val="16"/>
          <w:szCs w:val="16"/>
          <w:color w:val="auto"/>
        </w:rPr>
        <w:t>within the notes to the consolidated financial statements included in the Company’s Annual Report on Form 10-K for the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ended December 31, 2024.</w:t>
      </w:r>
    </w:p>
    <w:p>
      <w:pPr>
        <w:spacing w:after="0" w:line="21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In September 2025, the Financial Accounting Standards Board (“FASB”) issued Accounting Standards Update (“ASU”) No. 2025-06, “Intangibles - Goodwill and Other - Internal-Use Software (Subtopic 350-40): Targeted Improvements to the Accounting for Internal-Use Software,” which is intended to modernize the recognition and capitalization framework to reflect current software development practices. The amendments in ASU 2025-06 are effective for annual periods beginning after December 15, 2027, and interim periods within those annual periods. Early adoption is permitted. The Company is currently evaluating the potential impact of adopting this new guidance to its condensed consolidated financial statements and related disclosures.</w:t>
      </w:r>
    </w:p>
    <w:p>
      <w:pPr>
        <w:spacing w:after="0" w:line="22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There are other new accounting pronouncements issued by the FASB that the Company has adopted or will adopt, as applicable. The Company does not believe any of these accounting pronouncements have had, or will have, a material impact on the condensed consolidated financial statements or disclosures.</w:t>
      </w:r>
    </w:p>
    <w:p>
      <w:pPr>
        <w:spacing w:after="0" w:line="190"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 xml:space="preserve">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in an amount that reflects the consideration the Company expects to be entitled to in exchange for services provided, when control of these services is transferred to the Company’s customers, which is the time the funds have been delivered to the intended recipient. The Company accounts for revenue in accordance with Accounting Standards Codification (“ASC”) 606, </w:t>
      </w:r>
      <w:r>
        <w:rPr>
          <w:rFonts w:ascii="Times New Roman" w:cs="Times New Roman" w:eastAsia="Times New Roman" w:hAnsi="Times New Roman"/>
          <w:sz w:val="16"/>
          <w:szCs w:val="16"/>
          <w:i w:val="1"/>
          <w:iCs w:val="1"/>
          <w:color w:val="auto"/>
        </w:rPr>
        <w:t>Revenue from Contracts with Customers</w:t>
      </w:r>
      <w:r>
        <w:rPr>
          <w:rFonts w:ascii="Times New Roman" w:cs="Times New Roman" w:eastAsia="Times New Roman" w:hAnsi="Times New Roman"/>
          <w:sz w:val="16"/>
          <w:szCs w:val="16"/>
          <w:color w:val="auto"/>
        </w:rPr>
        <w:t>, which includes the following steps:</w:t>
      </w:r>
    </w:p>
    <w:p>
      <w:pPr>
        <w:spacing w:after="0" w:line="14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 with a customer;</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performance obligations in the contract;</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transaction price;</w:t>
      </w:r>
    </w:p>
    <w:p>
      <w:pPr>
        <w:spacing w:after="0" w:line="18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the transaction price to the performance obligations in the contract; and</w:t>
      </w:r>
    </w:p>
    <w:p>
      <w:pPr>
        <w:spacing w:after="0" w:line="167"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 when, or as, the Company satisfies a performance obligation.</w:t>
      </w:r>
    </w:p>
    <w:p>
      <w:pPr>
        <w:spacing w:after="0" w:line="181" w:lineRule="exact"/>
        <w:rPr>
          <w:sz w:val="20"/>
          <w:szCs w:val="20"/>
          <w:color w:val="auto"/>
        </w:rPr>
      </w:pPr>
    </w:p>
    <w:p>
      <w:pPr>
        <w:jc w:val="both"/>
        <w:ind w:right="420"/>
        <w:spacing w:after="0" w:line="263" w:lineRule="auto"/>
        <w:rPr>
          <w:sz w:val="20"/>
          <w:szCs w:val="20"/>
          <w:color w:val="auto"/>
        </w:rPr>
      </w:pPr>
      <w:r>
        <w:rPr>
          <w:rFonts w:ascii="Times New Roman" w:cs="Times New Roman" w:eastAsia="Times New Roman" w:hAnsi="Times New Roman"/>
          <w:sz w:val="16"/>
          <w:szCs w:val="16"/>
          <w:color w:val="auto"/>
        </w:rPr>
        <w:t>Customers primarily engage the Company to perform one integrated service—collect the customer’s money and deliver funds to the intended recipient in the currency requested. Payment is generally due from the customer upfront upon initiation of a transaction, when the customer simultaneously agrees to the Company’s terms and conditions.</w:t>
      </w:r>
    </w:p>
    <w:p>
      <w:pPr>
        <w:spacing w:after="0" w:line="138" w:lineRule="exact"/>
        <w:rPr>
          <w:sz w:val="20"/>
          <w:szCs w:val="20"/>
          <w:color w:val="auto"/>
        </w:rPr>
      </w:pPr>
    </w:p>
    <w:p>
      <w:pPr>
        <w:ind w:right="580"/>
        <w:spacing w:after="0" w:line="263" w:lineRule="auto"/>
        <w:rPr>
          <w:sz w:val="20"/>
          <w:szCs w:val="20"/>
          <w:color w:val="auto"/>
        </w:rPr>
      </w:pPr>
      <w:r>
        <w:rPr>
          <w:rFonts w:ascii="Times New Roman" w:cs="Times New Roman" w:eastAsia="Times New Roman" w:hAnsi="Times New Roman"/>
          <w:sz w:val="16"/>
          <w:szCs w:val="16"/>
          <w:color w:val="auto"/>
        </w:rPr>
        <w:t>Revenue is derived from each transaction and varies based on the funding method chosen by the customer, the size of the transaction, the currency to be ultimately disbursed, the rate at which the currency was purchased, the disbursement method chosen by the customer, and the country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2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The Company’s service predominately comprises of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The Company recognizes transaction revenue on a gross basis as it is the principal for fulfilling payment transactions. As the principal to the transaction, the Company controls the service of completing payments for its customers.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 w:cs="Times New Roman" w:eastAsia="Times New Roman" w:hAnsi="Times New Roman"/>
          <w:sz w:val="16"/>
          <w:szCs w:val="16"/>
          <w:i w:val="1"/>
          <w:iCs w:val="1"/>
          <w:color w:val="auto"/>
        </w:rPr>
        <w:t>Transaction expenses</w:t>
      </w:r>
      <w:r>
        <w:rPr>
          <w:rFonts w:ascii="Times New Roman" w:cs="Times New Roman" w:eastAsia="Times New Roman" w:hAnsi="Times New Roman"/>
          <w:sz w:val="16"/>
          <w:szCs w:val="16"/>
          <w:color w:val="auto"/>
        </w:rPr>
        <w:t>’ within the Condensed Consolidated Statements of Operations. The Company does not have any capitalized contract acquisition costs.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Incentives</w:t>
      </w:r>
    </w:p>
    <w:p>
      <w:pPr>
        <w:spacing w:after="0" w:line="16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within the Condensed Consolidated Statements of Operations. In addition, referral credits given to a referrer are classified as ‘</w:t>
      </w:r>
      <w:r>
        <w:rPr>
          <w:rFonts w:ascii="Times New Roman" w:cs="Times New Roman" w:eastAsia="Times New Roman" w:hAnsi="Times New Roman"/>
          <w:sz w:val="16"/>
          <w:szCs w:val="16"/>
          <w:i w:val="1"/>
          <w:iCs w:val="1"/>
          <w:color w:val="auto"/>
        </w:rPr>
        <w:t>Marketing expenses</w:t>
      </w:r>
      <w:r>
        <w:rPr>
          <w:rFonts w:ascii="Times New Roman" w:cs="Times New Roman" w:eastAsia="Times New Roman" w:hAnsi="Times New Roman"/>
          <w:sz w:val="16"/>
          <w:szCs w:val="16"/>
          <w:color w:val="auto"/>
        </w:rPr>
        <w:t>,’ as these incentives are paid in exchange for a distinct service.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Company’s sales incentives for the three and nine months ended September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 to 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28,048</w:t>
            </w:r>
          </w:p>
        </w:tc>
        <w:tc>
          <w:tcPr>
            <w:tcW w:w="0" w:type="dxa"/>
            <w:vAlign w:val="bottom"/>
          </w:tcPr>
          <w:p>
            <w:pPr>
              <w:spacing w:after="0"/>
              <w:rPr>
                <w:sz w:val="1"/>
                <w:szCs w:val="1"/>
                <w:color w:val="auto"/>
              </w:rPr>
            </w:pPr>
          </w:p>
        </w:tc>
      </w:tr>
      <w:tr>
        <w:trPr>
          <w:trHeight w:val="28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expenses</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8,225</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18,958</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16,136</w:t>
            </w:r>
          </w:p>
        </w:tc>
        <w:tc>
          <w:tcPr>
            <w:tcW w:w="0" w:type="dxa"/>
            <w:vAlign w:val="bottom"/>
          </w:tcPr>
          <w:p>
            <w:pPr>
              <w:spacing w:after="0"/>
              <w:rPr>
                <w:sz w:val="1"/>
                <w:szCs w:val="1"/>
                <w:color w:val="auto"/>
              </w:rPr>
            </w:pPr>
          </w:p>
        </w:tc>
      </w:tr>
      <w:tr>
        <w:trPr>
          <w:trHeight w:val="262"/>
        </w:trPr>
        <w:tc>
          <w:tcPr>
            <w:tcW w:w="4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sales incentives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21,446</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7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140" w:hanging="132"/>
        <w:spacing w:after="0" w:line="236" w:lineRule="auto"/>
        <w:tabs>
          <w:tab w:leader="none" w:pos="14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 xml:space="preserve">Sales incentives that are charged to marketing expenses are included in </w:t>
      </w:r>
      <w:r>
        <w:rPr>
          <w:rFonts w:ascii="Times New Roman" w:cs="Times New Roman" w:eastAsia="Times New Roman" w:hAnsi="Times New Roman"/>
          <w:sz w:val="12"/>
          <w:szCs w:val="12"/>
          <w:i w:val="1"/>
          <w:iCs w:val="1"/>
          <w:color w:val="auto"/>
        </w:rPr>
        <w:t>Advertising expenses</w:t>
      </w:r>
      <w:r>
        <w:rPr>
          <w:rFonts w:ascii="Times New Roman" w:cs="Times New Roman" w:eastAsia="Times New Roman" w:hAnsi="Times New Roman"/>
          <w:sz w:val="12"/>
          <w:szCs w:val="12"/>
          <w:color w:val="auto"/>
        </w:rPr>
        <w:t xml:space="preserve"> as disclosed in Note 2. </w:t>
      </w:r>
      <w:r>
        <w:rPr>
          <w:rFonts w:ascii="Times New Roman" w:cs="Times New Roman" w:eastAsia="Times New Roman" w:hAnsi="Times New Roman"/>
          <w:sz w:val="12"/>
          <w:szCs w:val="12"/>
          <w:i w:val="1"/>
          <w:iCs w:val="1"/>
          <w:color w:val="auto"/>
        </w:rPr>
        <w:t>Basis of Presentation and Summary of Significant Accounting Policies.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by Geography</w:t>
      </w:r>
    </w:p>
    <w:p>
      <w:pPr>
        <w:spacing w:after="0" w:line="169"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Company’s revenue disaggregated by primary geographical location for the three and nine months ended September 30, 2025 and 2024, attributed to the country in which the sending customer is located: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279,674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219,066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789,401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596,343</w:t>
            </w: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122,284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103,681</w:t>
            </w: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98,040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81,439</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281,285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212,044</w:t>
            </w:r>
          </w:p>
        </w:tc>
      </w:tr>
      <w:tr>
        <w:trPr>
          <w:trHeight w:val="243"/>
        </w:trPr>
        <w:tc>
          <w:tcPr>
            <w:tcW w:w="4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419,494</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336,527</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1,192,970</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912,068</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Consumer Receivables</w:t>
      </w:r>
    </w:p>
    <w:p>
      <w:pPr>
        <w:spacing w:after="0" w:line="16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Consumer receivables represent amounts due from customers for remittance advances processed through Remitly Flex and are classified as held for investment. These receivables are interest free and are generally due within 30 days of the transaction in order to retain access to the Remitly Flex terms, or up to 90 days if customers enroll in a monthly subscription fee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an aging analysis of the amortized cost of consumer receivables by delinquency status as of September 30, 2025 and December 31,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1 - 30 days past due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31 - 60 days past due</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61 - 90 days past due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91+ days past due</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amortized cost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2,290</w:t>
            </w: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80"/>
        <w:spacing w:after="0" w:line="298" w:lineRule="auto"/>
        <w:rPr>
          <w:sz w:val="20"/>
          <w:szCs w:val="20"/>
          <w:color w:val="auto"/>
        </w:rPr>
      </w:pPr>
      <w:r>
        <w:rPr>
          <w:rFonts w:ascii="Times New Roman" w:cs="Times New Roman" w:eastAsia="Times New Roman" w:hAnsi="Times New Roman"/>
          <w:sz w:val="16"/>
          <w:szCs w:val="16"/>
          <w:color w:val="auto"/>
        </w:rPr>
        <w:t>The allowance for credit losses and charge-offs related to consumer receivables, as well as for other components of customer funds receivable, were each immaterial for the three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5.  Prepaid Expenses &amp; Other Current Assets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 consisted of the following as of September 30, 2025 and December 31, 2024:</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2"/>
                <w:szCs w:val="22"/>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22,529</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card receivable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11,677</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receivable</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Tenant improvement allowance and other receivables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compensation arrangements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prepaid expenses and other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0" w:type="dxa"/>
            <w:vAlign w:val="bottom"/>
          </w:tcPr>
          <w:p>
            <w:pPr>
              <w:spacing w:after="0"/>
              <w:rPr>
                <w:sz w:val="1"/>
                <w:szCs w:val="1"/>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51,174</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46,518</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6.  Property and Equipment</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8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 consisted of the following as of September 30, 2025 and December 31, 2024:</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24"/>
                <w:szCs w:val="24"/>
                <w:color w:val="auto"/>
              </w:rPr>
            </w:pPr>
          </w:p>
        </w:tc>
        <w:tc>
          <w:tcPr>
            <w:tcW w:w="13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internal-use software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39,627</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8,440</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8,720</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Projects in process</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w:t>
            </w:r>
          </w:p>
        </w:tc>
        <w:tc>
          <w:tcPr>
            <w:tcW w:w="0" w:type="dxa"/>
            <w:vAlign w:val="bottom"/>
          </w:tcPr>
          <w:p>
            <w:pPr>
              <w:spacing w:after="0"/>
              <w:rPr>
                <w:sz w:val="1"/>
                <w:szCs w:val="1"/>
                <w:color w:val="auto"/>
              </w:rPr>
            </w:pPr>
          </w:p>
        </w:tc>
      </w:tr>
      <w:tr>
        <w:trPr>
          <w:trHeight w:val="233"/>
        </w:trPr>
        <w:tc>
          <w:tcPr>
            <w:tcW w:w="8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gross property and equipment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67,312</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(35,746)</w:t>
            </w:r>
          </w:p>
        </w:tc>
        <w:tc>
          <w:tcPr>
            <w:tcW w:w="0" w:type="dxa"/>
            <w:vAlign w:val="bottom"/>
          </w:tcPr>
          <w:p>
            <w:pPr>
              <w:spacing w:after="0"/>
              <w:rPr>
                <w:sz w:val="1"/>
                <w:szCs w:val="1"/>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52,272</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31,566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6"/>
          <w:szCs w:val="16"/>
          <w:color w:val="auto"/>
        </w:rPr>
        <w:t>Depreciation and amortization expense related to property and equipment was $4.3 million and $2.9 million for the three months ended September 30, 2025 and 2024, respectively. Depreciation and amortization expense related to property and equipment was $11.9 million and $8.1 million for the nine months ended September 30, 2025 and 2024, respectively.</w:t>
      </w:r>
    </w:p>
    <w:p>
      <w:pPr>
        <w:spacing w:after="0" w:line="117"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During the nine months ended September 30, 2025, the Company disposed of fully depreciated property and equipment assets with an accumulated depreciation amount of $5.7 million. The amount of disposals related to fully depreciated property and equipment assets during the three months ended September 30, 2025 was immaterial.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Capitalized Internal-Use Software Costs</w:t>
      </w:r>
    </w:p>
    <w:p>
      <w:pPr>
        <w:spacing w:after="0" w:line="169"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The following table presents the Company’s capitalized internal-use software, including amortization expense recognized, for the three and nine months ended September 30, 2025 and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capitalized internal-use software costs</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13,178</w:t>
            </w:r>
          </w:p>
        </w:tc>
      </w:tr>
      <w:tr>
        <w:trPr>
          <w:trHeight w:val="23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costs capitalized to internal-use software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r>
      <w:tr>
        <w:trPr>
          <w:trHeight w:val="25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w:t>
            </w:r>
          </w:p>
        </w:tc>
      </w:tr>
      <w:tr>
        <w:trPr>
          <w:trHeight w:val="268"/>
        </w:trPr>
        <w:tc>
          <w:tcPr>
            <w:tcW w:w="476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ind w:left="140" w:hanging="132"/>
        <w:spacing w:after="0" w:line="236" w:lineRule="auto"/>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are inclusive of stock-based compensation costs capitalized to internal-use software as denoted within the table.</w:t>
      </w:r>
    </w:p>
    <w:p>
      <w:pPr>
        <w:spacing w:after="0" w:line="3" w:lineRule="exact"/>
        <w:rPr>
          <w:rFonts w:ascii="Times New Roman" w:cs="Times New Roman" w:eastAsia="Times New Roman" w:hAnsi="Times New Roman"/>
          <w:sz w:val="16"/>
          <w:szCs w:val="16"/>
          <w:color w:val="auto"/>
          <w:vertAlign w:val="superscript"/>
        </w:rPr>
      </w:pPr>
    </w:p>
    <w:p>
      <w:pPr>
        <w:ind w:left="140" w:hanging="132"/>
        <w:spacing w:after="0" w:line="224" w:lineRule="auto"/>
        <w:tabs>
          <w:tab w:leader="none" w:pos="14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are included in ‘</w:t>
      </w:r>
      <w:r>
        <w:rPr>
          <w:rFonts w:ascii="Times New Roman" w:cs="Times New Roman" w:eastAsia="Times New Roman" w:hAnsi="Times New Roman"/>
          <w:sz w:val="12"/>
          <w:szCs w:val="12"/>
          <w:i w:val="1"/>
          <w:iCs w:val="1"/>
          <w:color w:val="auto"/>
        </w:rPr>
        <w:t>Depreciation and amortization</w:t>
      </w:r>
      <w:r>
        <w:rPr>
          <w:rFonts w:ascii="Times New Roman" w:cs="Times New Roman" w:eastAsia="Times New Roman" w:hAnsi="Times New Roman"/>
          <w:sz w:val="12"/>
          <w:szCs w:val="12"/>
          <w:color w:val="auto"/>
        </w:rPr>
        <w:t>’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Company’s long-lived assets based on geography, which consist of property and equipment, net and operating lease right-of-use assets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September 30, 2025 and December 31, 2024:</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30,141</w:t>
            </w:r>
          </w:p>
        </w:tc>
      </w:tr>
      <w:tr>
        <w:trPr>
          <w:trHeight w:val="233"/>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4,245</w:t>
            </w:r>
          </w:p>
        </w:tc>
      </w:tr>
      <w:tr>
        <w:trPr>
          <w:trHeight w:val="24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10,182</w:t>
            </w:r>
          </w:p>
        </w:tc>
      </w:tr>
      <w:tr>
        <w:trPr>
          <w:trHeight w:val="243"/>
        </w:trPr>
        <w:tc>
          <w:tcPr>
            <w:tcW w:w="8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long-lived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66,024</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44,568</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7.</w:t>
        <w:tab/>
        <w:t>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components of identifiable intangible assets as of September 30, 2025 and December 31, 2024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9"/>
        </w:trPr>
        <w:tc>
          <w:tcPr>
            <w:tcW w:w="1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9"/>
        </w:trPr>
        <w:tc>
          <w:tcPr>
            <w:tcW w:w="1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Weighted-Average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Weighted-Average</w:t>
            </w:r>
          </w:p>
        </w:tc>
      </w:tr>
      <w:tr>
        <w:trPr>
          <w:trHeight w:val="162"/>
        </w:trPr>
        <w:tc>
          <w:tcPr>
            <w:tcW w:w="182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Gross Carrying</w:t>
            </w: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Estimated Remaining</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7"/>
              </w:rPr>
              <w:t>Net Carrying</w:t>
            </w:r>
          </w:p>
        </w:tc>
        <w:tc>
          <w:tcPr>
            <w:tcW w:w="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Estimated Remaining</w:t>
            </w:r>
          </w:p>
        </w:tc>
      </w:tr>
      <w:tr>
        <w:trPr>
          <w:trHeight w:val="166"/>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Useful Life (in years)</w:t>
            </w:r>
          </w:p>
        </w:tc>
        <w:tc>
          <w:tcPr>
            <w:tcW w:w="18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Useful Life (in years)</w:t>
            </w:r>
          </w:p>
        </w:tc>
      </w:tr>
      <w:tr>
        <w:trPr>
          <w:trHeight w:val="29"/>
        </w:trPr>
        <w:tc>
          <w:tcPr>
            <w:tcW w:w="1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6"/>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3"/>
        </w:trPr>
        <w:tc>
          <w:tcPr>
            <w:tcW w:w="1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29"/>
        </w:trPr>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Developed technology</w:t>
            </w: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95"/>
        </w:trPr>
        <w:tc>
          <w:tcPr>
            <w:tcW w:w="18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(17,290)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4,210</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10,463</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2"/>
        </w:trPr>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acquired identified intangible assets have estimated useful lives ranging from three to four years. Amortization expense for intangible assets was $2.1 million and</w:t>
      </w:r>
    </w:p>
    <w:p>
      <w:pPr>
        <w:spacing w:after="0" w:line="23"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6"/>
          <w:szCs w:val="16"/>
          <w:color w:val="auto"/>
        </w:rPr>
        <w:t>$1.7 million for the three months ended September 30, 2025 and 2024, respectively. Amortization expense for intangible assets was $6.3 million and $4.1 million for the nine months ended September 30, 2025 and 2024,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Expected future intangible asset amortization as of September 30, 2025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36"/>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w:t>
            </w:r>
          </w:p>
        </w:tc>
      </w:tr>
      <w:tr>
        <w:trPr>
          <w:trHeight w:val="268"/>
        </w:trPr>
        <w:tc>
          <w:tcPr>
            <w:tcW w:w="9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2"/>
        <w:spacing w:after="0"/>
        <w:tabs>
          <w:tab w:leader="none" w:pos="30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w:t>
      </w:r>
    </w:p>
    <w:p>
      <w:pPr>
        <w:spacing w:after="0" w:line="16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6"/>
          <w:szCs w:val="16"/>
          <w:color w:val="auto"/>
        </w:rPr>
        <w:t>As of September 30, 2025, the Company held $24.8 million of money market funds presented within ‘</w:t>
      </w:r>
      <w:r>
        <w:rPr>
          <w:rFonts w:ascii="Times New Roman" w:cs="Times New Roman" w:eastAsia="Times New Roman" w:hAnsi="Times New Roman"/>
          <w:sz w:val="16"/>
          <w:szCs w:val="16"/>
          <w:i w:val="1"/>
          <w:iCs w:val="1"/>
          <w:color w:val="auto"/>
        </w:rPr>
        <w:t>Cash and cash equivalents</w:t>
      </w:r>
      <w:r>
        <w:rPr>
          <w:rFonts w:ascii="Times New Roman" w:cs="Times New Roman" w:eastAsia="Times New Roman" w:hAnsi="Times New Roman"/>
          <w:sz w:val="16"/>
          <w:szCs w:val="16"/>
          <w:color w:val="auto"/>
        </w:rPr>
        <w:t>’ on the Condensed Consolidated Balance Sheets. They are classified as Level 1 in the fair value hierarchy as the Company values these amounts using quoted market prices. Related gains or losses were immaterial for the three and nine months ended September 30, 2025. There were no other financial assets and liabilities that were measured at fair value on a recurring basis as of September 30, 2025 and December 31, 2024.</w:t>
      </w:r>
    </w:p>
    <w:p>
      <w:pPr>
        <w:spacing w:after="0" w:line="119"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The carrying values of certain financial instruments, including disbursement prefunding, customer funds receivable, accounts payable, accrued expenses and other current liabilities, customer liabilities, short-term debt, and long-term debt, approximate their respective fair values due to their relative short maturities. If these financial instruments were measured at fair value in the financial statements, they would be classified as Level 2.</w:t>
      </w:r>
    </w:p>
    <w:p>
      <w:pPr>
        <w:spacing w:after="0" w:line="115"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Secured Revolving Credit Facility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2025 Revolving Credit Facility</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In June 2025, Remitly Global, Inc. and Remitly, Inc., a wholly-owned subsidiary of Remitly Global, Inc., as co-borrowers, entered into a credit agreement (the “2025 Revolving Credit Facility”) with certain lenders and JPMorgan Chase Bank, N.A. acting as administrative agent and collateral agent. The 2025 Revolving Credit Facility has a revolving commitment of $550.0 million (including a $200.0 million letter of credit sub-facility). The 2025 Revolving Credit Facility replaced the existing 2021 Revolving Credit Facility, which is further discussed below. Proceeds under the 2025 Revolving Credit Facility are primarily used to support prefunding of customer flows within the Company’s global remittance business and also for general corporate purposes. As part of the 2025 Revolving Credit Facility, the Company capitalized $3.1 million of new debt issuance costs within ‘</w:t>
      </w:r>
      <w:r>
        <w:rPr>
          <w:rFonts w:ascii="Times New Roman" w:cs="Times New Roman" w:eastAsia="Times New Roman" w:hAnsi="Times New Roman"/>
          <w:sz w:val="16"/>
          <w:szCs w:val="16"/>
          <w:i w:val="1"/>
          <w:iCs w:val="1"/>
          <w:color w:val="auto"/>
        </w:rPr>
        <w:t>Other noncurrent assets, net</w:t>
      </w:r>
      <w:r>
        <w:rPr>
          <w:rFonts w:ascii="Times New Roman" w:cs="Times New Roman" w:eastAsia="Times New Roman" w:hAnsi="Times New Roman"/>
          <w:sz w:val="16"/>
          <w:szCs w:val="16"/>
          <w:color w:val="auto"/>
        </w:rPr>
        <w:t>’ on the Condensed Consolidated Balance Sheets, which are amortized to interest expense over the term of the 2025 Revolving Credit Facility.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The 2025 Revolving Credit Facility permits borrowings in the form of (a) alternate base rate loans, (b) term benchmark loans, and (c) swingline loans and has a maturity date of June 24, 2030. Borrowings under the 2025 Revolving Credit Facility accrue interest at a floating rate per annum equal to, at the Company’s option, (1) the Alternate Base Rate (defined in the 2025 Revolving Credit Facility as the rate per annum equal to the highest of (a) the Prime Rate in effect on such day, (b) the New York Federal Reserve Bank Rate in effect on such day plus 0.50% and (c) the Term SOFR Rate for an interest period of one month plus 1.00% (subject to a floor of 1.00%) plus 0.50% per annum) or (2) the Term SOFR Rate (subject to a floor of 0.00%) plus 1.50% per annum. Such interest is payable (a) with respect to loans bearing interest based on the Alternate Base Rate, the last day of each March, June, September, and December, (b) with respect to any term benchmark loan, at the end of each applicable interest period, but in no event less frequently than three months, and (c) with respect to any swingline loan, the day the loan is required to be repaid. In addition, an unused commitment fee, which accrues at a rate per annum equal to 0.25% of the unused portion of the revolving commitments, is payable on the fifteenth business day of each January, April, July, and October. Unused commitment fees were immaterial during the three and nine months ended September 30, 2025.</w:t>
      </w:r>
    </w:p>
    <w:p>
      <w:pPr>
        <w:spacing w:after="0" w:line="14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 2025 Revolving Credit Facility contains customary conditions to borrowing, events of default, and covenants, including covenants that restrict the ability to dispose of certain assets, merge with other entities, incur certain indebtedness, grant liens, pay dividends or make other distributions to holders of the Company’s capital stock, make investments, enter into restrictive agreements, or engage in certain transactions with affiliates. Financial covenants in the 2025 Revolving Credit Facility include a requirement to maintain a net leverage ratio of no greater than 4.50:1.00, which is tested quarterly. The Company was in compliance with all financial covenants under the 2025 Revolving Credit Facility as of September 30, 2025.</w:t>
      </w:r>
    </w:p>
    <w:p>
      <w:pPr>
        <w:spacing w:after="0" w:line="12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obligations under the 2025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2025 Revolving Credit Facility may fluctuate depending on transaction volumes and seasonality.</w:t>
      </w:r>
    </w:p>
    <w:p>
      <w:pPr>
        <w:spacing w:after="0" w:line="13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As of September 30, 2025, the Company had no outstanding borrowings under the 2025 Revolving Credit Facility. As of September 30, 2025, the Company had unused borrowing capacity of $484.6 million under the 2025 Revolving Credit Facility. As of September 30, 2025, the Company had $66.0 million in issued, but undrawn, standby letters of credit.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 Revolving Credit Facility</w:t>
      </w:r>
    </w:p>
    <w:p>
      <w:pPr>
        <w:spacing w:after="0" w:line="171"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On September 13, 2021, Remitly Global, Inc. and Remitly, Inc., a wholly-owned subsidiary of Remitly Global, Inc., as co-borrowers, entered into a credit agreement (the “2021 Revolving Credit Facility”) with certain lenders and JPMorgan Chase Bank, N.A. acting as administrative agent and collateral agent. The 2021 Revolving Credit Facility, as amended in and prior to December 2023, had a revolving commitment of $325.0 million (including a $60.0 million letter of credit sub-facility). In connection with the 2025 Revolving Credit Facility, all obligations under the 2021 Revolving Credit Facility were paid in full and the agreement was terminated.</w:t>
      </w:r>
    </w:p>
    <w:p>
      <w:pPr>
        <w:spacing w:after="0" w:line="13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The 2021 Revolving Credit Facility had a maturity date of September 13, 2026. Borrowings under the 2021 Revolving Credit Facility, as amended, accrued interest at a floating rate per annum equal to, at the Company’s option, (1) the Alternate Base Rate (defined in the 2021 Revolving Credit Facility as the rate per annum equal to the highest of (a) the Prime Rate in effect on such day, (b) the NYFRB Rate in effect for such day plus 0.50%, and (c) the Adjusted Term SOFR Rate for an interest period of one month plus 1.00% (subject to a floor of 1.00%) plus 0.50% per annum) or (2) the Adjusted Term SOFR Rate (subject to a floor of 0.00%) plus 1.50% per annum.</w:t>
      </w:r>
    </w:p>
    <w:p>
      <w:pPr>
        <w:spacing w:after="0" w:line="12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 2021 Revolving Credit Facility contained customary conditions to borrowing, events of default, and covenants, including covenants that restricted the ability to dispose of assets, merge with other entities, incur indebtedness, grant liens, pay dividends or make other distributions to holders of its capital stock, make investments, enter into restrictive agreements, or engage in transactions with affiliates. As of December 31, 2024, financial covenants in the 2021 Revolving Credit Facility included (1) a requirement to maintain a minimum Adjusted Quick Ratio of 1.50:1.00, which is tested quarterly and (2) a requirement to maintain a minimum Liquidity of $100.0 million, which is tested quarterly. The Company was in compliance with all financial covenants under the 2021 Revolving Credit Facility as of December 31, 2024.</w:t>
      </w:r>
    </w:p>
    <w:p>
      <w:pPr>
        <w:spacing w:after="0" w:line="126"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The obligations under the 2021 Revolving Credit Facility were guaranteed by the material domestic subsidiaries of Remitly Global, Inc., subject to customary exceptions, and were secured by substantially all of the assets of the borrowers and guarantors thereunder, subject to customary exceptions. Amounts of borrowings under the 2021 Revolving Credit Facility fluctuated depending on transaction volumes and seasonality.</w:t>
      </w:r>
    </w:p>
    <w:p>
      <w:pPr>
        <w:spacing w:after="0" w:line="11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As of December 31, 2024, the Company had no outstanding borrowings under the 2021 Revolving Credit Facility. As of December 31, 2024, the Company had unused borrowing capacity of $277.3 million under the 2021 Revolving Credit Facility. As of December 31, 2024, the Company had $48.2 million, in issued, but undrawn, standby letters of credit.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10.</w:t>
        <w:tab/>
        <w:t>Net Income (Loss) Per Common Share</w:t>
      </w:r>
    </w:p>
    <w:p>
      <w:pPr>
        <w:spacing w:after="0" w:line="169"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6"/>
          <w:szCs w:val="16"/>
          <w:color w:val="auto"/>
        </w:rPr>
        <w:t>The following table presents the calculation of basic and diluted net income (loss) per share attributable to common stockholders for the periods indicated. Basic net income (loss) per share is calculated using the weighted-average number of shares of common stock outstanding during the period. Diluted net income per share is calculated using the weighted-average number of shares of common stock outstanding including the dilutive effect of all potential shares of common stock as determined under the treasury stock method. Dilutive common shares primarily include outstanding stock options, unvested RSUs, and Employee Stock Purchase Plan (“ESPP”) related shares. In periods when the Company reported a net loss, diluted net loss per share is the same as basic net loss per share because the effects of potentially dilutive items were anti-dilutive.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26,717</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(31,254)</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attributable to common stockholders: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207,150,067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196,169,417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204,549,044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193,167,942</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10,081,035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9,082,129</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13,678,594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8"/>
        </w:trPr>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217,231,102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205,251,546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218,227,638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193,167,942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securities were not included in the computation of diluted shares outstanding because the effect would be anti-dilutive: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328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4740" w:type="dxa"/>
            <w:vAlign w:val="bottom"/>
            <w:tcBorders>
              <w:bottom w:val="single" w:sz="8" w:color="CCEEFF"/>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outstanding</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993,843</w:t>
            </w: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8,938,147</w:t>
            </w: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RSUs outstanding</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6,174,736</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12,936,491</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6,174,736</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25,570,037</w:t>
            </w: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483,555</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2,072,556</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483,555</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2,072,556</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common stock, subject to service-based vesting conditions,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issued in connection with acquisition</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52,040</w:t>
            </w:r>
          </w:p>
        </w:tc>
      </w:tr>
      <w:tr>
        <w:trPr>
          <w:trHeight w:val="268"/>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6,658,291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16,002,890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6,658,291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36,632,780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60" w:hanging="352"/>
        <w:spacing w:after="0"/>
        <w:tabs>
          <w:tab w:leader="none" w:pos="360"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Common Stock</w:t>
      </w:r>
    </w:p>
    <w:p>
      <w:pPr>
        <w:spacing w:after="0" w:line="169"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As of September 30, 2025,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nine months ended September 30, 2025 or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Donation to Remitly Philanthropy Fund</w:t>
      </w:r>
    </w:p>
    <w:p>
      <w:pPr>
        <w:spacing w:after="0" w:line="169"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In July 2021, the Company’s board of directors approved the reservation of up to 1,819,609 shares of common stock (which was approximately 1.0% of the fully diluted capitalization as of June 30, 2021) that the Company may issue to or for the benefit of a 501(c)(3) nonprofit foundation or a similar charitable organization pursuant to the Company’s Pledge 1% commitment, in installments over ten years. On September 10, 2021, the Company executed the stock donation agreement, pursuant to which it issued the first installment of the Pledge 1% commitment to Remitly Philanthropy Fund, a donor advised fund administered on the Company’s behalf by Rockefeller Philanthropy Advisors, Inc., on the day after consummation of the Company’s initial public offering.</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The Company donated 45,490 shares of its common stock to Remitly Philanthropy Fund on March 7, 2025, June 12, 2025, and September 10, 2025, and 181,961 shares of its common stock to Remitly Philanthropy Fund on September 18, 2024, pursuant to the stock donation agreement. These stock donations were made in connection with the Pledge 1% commitment, which publicly acknowledges the Company’s intent to give back and increase social impact, in order to sustainably fund a portion of its corporate social responsibility goals and further its mission to expand financial inclusion for immigrants. Historically, these contributions were performed annually. In the three and nine months ended September 30, 2025, quarterly donations were completed in an amount equal to a quarter of the annual share contribution. For the three and nine months ended September 30, 2025, the Company recorded a charge of $0.9 million and $2.7 million, respectively, to ‘</w:t>
      </w:r>
      <w:r>
        <w:rPr>
          <w:rFonts w:ascii="Times New Roman" w:cs="Times New Roman" w:eastAsia="Times New Roman" w:hAnsi="Times New Roman"/>
          <w:sz w:val="16"/>
          <w:szCs w:val="16"/>
          <w:i w:val="1"/>
          <w:iCs w:val="1"/>
          <w:color w:val="auto"/>
        </w:rPr>
        <w:t>General and administrative expenses</w:t>
      </w:r>
      <w:r>
        <w:rPr>
          <w:rFonts w:ascii="Times New Roman" w:cs="Times New Roman" w:eastAsia="Times New Roman" w:hAnsi="Times New Roman"/>
          <w:sz w:val="16"/>
          <w:szCs w:val="16"/>
          <w:color w:val="auto"/>
        </w:rPr>
        <w:t xml:space="preserve">’ within the Condensed Consolidated Statements of Operations. For the three and nine months ended September 30, 2024, the Company recorded a charge of $2.6 million to </w:t>
      </w:r>
      <w:r>
        <w:rPr>
          <w:rFonts w:ascii="Times New Roman" w:cs="Times New Roman" w:eastAsia="Times New Roman" w:hAnsi="Times New Roman"/>
          <w:sz w:val="16"/>
          <w:szCs w:val="16"/>
          <w:i w:val="1"/>
          <w:iCs w:val="1"/>
          <w:color w:val="auto"/>
        </w:rPr>
        <w:t>‘General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administrative expenses’ </w:t>
      </w:r>
      <w:r>
        <w:rPr>
          <w:rFonts w:ascii="Times New Roman" w:cs="Times New Roman" w:eastAsia="Times New Roman" w:hAnsi="Times New Roman"/>
          <w:sz w:val="16"/>
          <w:szCs w:val="16"/>
          <w:color w:val="auto"/>
        </w:rPr>
        <w:t>within the Condensed Consolidated Statements of Operations.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Repurchase</w:t>
      </w:r>
    </w:p>
    <w:p>
      <w:pPr>
        <w:spacing w:after="0" w:line="1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 xml:space="preserve">In July 2025, the Company’s board of directors approved a share repurchase program that provides for the repurchase of up to an aggregate $200.0 million of the Company’s outstanding common stock. The share repurchase program does not expire and may be suspended, discontinued, or modified at any time without notice, at the Company’s discretion. Any share repurchases under the Company’s share repurchase program may be made through open market transactions, in privately negotiated transactions, or by other means, including through the use of trading plans intended to qualify under 10b5-1 under the Securities Exchange Act of 1934, as amended, in accordance with applicable securities laws and other restrictions. During the three and nine months ended September 30, 2025, the Company repurchased and retired an aggregate 613,560 shares of its common stock for $11.9 million, which was recorded to </w:t>
      </w:r>
      <w:r>
        <w:rPr>
          <w:rFonts w:ascii="Times New Roman" w:cs="Times New Roman" w:eastAsia="Times New Roman" w:hAnsi="Times New Roman"/>
          <w:sz w:val="16"/>
          <w:szCs w:val="16"/>
          <w:i w:val="1"/>
          <w:iCs w:val="1"/>
          <w:color w:val="auto"/>
        </w:rPr>
        <w:t>‘Additional paid in capital’</w:t>
      </w:r>
      <w:r>
        <w:rPr>
          <w:rFonts w:ascii="Times New Roman" w:cs="Times New Roman" w:eastAsia="Times New Roman" w:hAnsi="Times New Roman"/>
          <w:sz w:val="16"/>
          <w:szCs w:val="16"/>
          <w:color w:val="auto"/>
        </w:rPr>
        <w:t xml:space="preserve"> within the Condensed Consolidated Balance Sheets. As of September 30, 2025, a total of $188.1 million remained available for future repurchases of the Company’s common stock under the share repurchase program. There were no share repurchases completed during the three and nine months ended September 30, 2024.</w:t>
      </w:r>
    </w:p>
    <w:p>
      <w:pPr>
        <w:spacing w:after="0" w:line="138" w:lineRule="exact"/>
        <w:rPr>
          <w:sz w:val="20"/>
          <w:szCs w:val="20"/>
          <w:color w:val="auto"/>
        </w:rPr>
      </w:pPr>
    </w:p>
    <w:p>
      <w:pPr>
        <w:ind w:right="8980" w:firstLine="8"/>
        <w:spacing w:after="0" w:line="459" w:lineRule="auto"/>
        <w:tabs>
          <w:tab w:leader="none" w:pos="364"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Stock-Based Compensation Shares Available for Issuance</w:t>
      </w:r>
    </w:p>
    <w:p>
      <w:pPr>
        <w:spacing w:after="0"/>
        <w:rPr>
          <w:sz w:val="20"/>
          <w:szCs w:val="20"/>
          <w:color w:val="auto"/>
        </w:rPr>
      </w:pPr>
      <w:r>
        <w:rPr>
          <w:rFonts w:ascii="Times New Roman" w:cs="Times New Roman" w:eastAsia="Times New Roman" w:hAnsi="Times New Roman"/>
          <w:sz w:val="16"/>
          <w:szCs w:val="16"/>
          <w:color w:val="auto"/>
        </w:rPr>
        <w:t>As of September 30, 2025, 18,182,944 and 7,997,937 awards remain available for issuance under the 2021 Plan and the ESPP,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option activity during the nine months ended September 30, 2025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5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5"/>
                <w:szCs w:val="15"/>
                <w:color w:val="auto"/>
              </w:rPr>
            </w:pPr>
          </w:p>
        </w:tc>
        <w:tc>
          <w:tcPr>
            <w:tcW w:w="142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56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7"/>
                <w:szCs w:val="17"/>
                <w:color w:val="auto"/>
              </w:rPr>
            </w:pPr>
          </w:p>
        </w:tc>
        <w:tc>
          <w:tcPr>
            <w:tcW w:w="142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3"/>
        </w:trPr>
        <w:tc>
          <w:tcPr>
            <w:tcW w:w="47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January 1, 2025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8,240,251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148,247</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(3,396,198)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59,242</w:t>
            </w:r>
          </w:p>
        </w:tc>
        <w:tc>
          <w:tcPr>
            <w:tcW w:w="0" w:type="dxa"/>
            <w:vAlign w:val="bottom"/>
          </w:tcPr>
          <w:p>
            <w:pPr>
              <w:spacing w:after="0"/>
              <w:rPr>
                <w:sz w:val="1"/>
                <w:szCs w:val="1"/>
                <w:color w:val="auto"/>
              </w:rPr>
            </w:pPr>
          </w:p>
        </w:tc>
      </w:tr>
      <w:tr>
        <w:trPr>
          <w:trHeight w:val="24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as of September 30, 2025</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4,831,613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exercisable as of September 30, 2025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4,831,613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50,230</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September 30,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4,831,613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50,230</w:t>
            </w:r>
          </w:p>
        </w:tc>
        <w:tc>
          <w:tcPr>
            <w:tcW w:w="0" w:type="dxa"/>
            <w:vAlign w:val="bottom"/>
          </w:tcPr>
          <w:p>
            <w:pPr>
              <w:spacing w:after="0"/>
              <w:rPr>
                <w:sz w:val="1"/>
                <w:szCs w:val="1"/>
                <w:color w:val="auto"/>
              </w:rPr>
            </w:pPr>
          </w:p>
        </w:tc>
      </w:tr>
      <w:tr>
        <w:trPr>
          <w:trHeight w:val="27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60" w:hanging="152"/>
        <w:spacing w:after="0" w:line="225" w:lineRule="auto"/>
        <w:tabs>
          <w:tab w:leader="none" w:pos="1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aggregate intrinsic value is calculated as the difference between the exercise price of the underlying stock options and the estimated fair value of the Company’s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stock options were granted during the nine months ended September 30, 2025 or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stock option activity during the nine months ended September 30, 2025 and 2024:</w:t>
      </w:r>
    </w:p>
    <w:p>
      <w:pPr>
        <w:spacing w:after="0" w:line="21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Aggregate grant-date fair value of options vested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10,266</w:t>
            </w:r>
          </w:p>
        </w:tc>
      </w:tr>
      <w:tr>
        <w:trPr>
          <w:trHeight w:val="22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Intrinsic value of options exercised</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24,089</w:t>
            </w:r>
          </w:p>
        </w:tc>
      </w:tr>
      <w:tr>
        <w:trPr>
          <w:trHeight w:val="472"/>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1"/>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 activity during the nine months ended September 30, 2025 was as follows: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9"/>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75"/>
        </w:trPr>
        <w:tc>
          <w:tcPr>
            <w:tcW w:w="8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 Fair Value</w:t>
            </w:r>
          </w:p>
        </w:tc>
      </w:tr>
      <w:tr>
        <w:trPr>
          <w:trHeight w:val="190"/>
        </w:trPr>
        <w:tc>
          <w:tcPr>
            <w:tcW w:w="8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6"/>
                <w:szCs w:val="16"/>
                <w:color w:val="auto"/>
              </w:rPr>
            </w:pPr>
          </w:p>
        </w:tc>
        <w:tc>
          <w:tcPr>
            <w:tcW w:w="14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80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January 1, 2025</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23,886,131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7,348,776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(6,375,839)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Cancelled/forfeited</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(2,568,428)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16.30</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at September 30, 2025</w:t>
            </w: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22,290,640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summary of the Company’s restricted stock unit activity during the nine months ended September 30, 2025 and 2024:</w:t>
      </w:r>
    </w:p>
    <w:p>
      <w:pPr>
        <w:spacing w:after="0" w:line="21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grant-date fair value per share of RSUs granted</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r>
      <w:tr>
        <w:trPr>
          <w:trHeight w:val="224"/>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Aggregate grant-date fair value of RSUs vested</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95,880</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Employee Stock Purchase Plan (“ESPP”)</w:t>
      </w:r>
    </w:p>
    <w:p>
      <w:pPr>
        <w:spacing w:after="0" w:line="16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 new 24-month ESPP offering period commenced on March 1, 2025, and a new 12-month ESPP offering period commenced on September 1, 2025. The ESPP includes a rollover feature for the purchase price if the Company's stock price at the end of the purchase period is less than the Company's stock price on the first day of the offering. If this rollover feature is triggered, a new offering period begins. This feature was triggered on February 29, 2024, and August 30, 2024, resulting in incremental stock-based compensation expense of $1.7 million and $4.5 million, respectively. The rollover feature had an immaterial impact for all other periods presented. The incremental stock-based compensation expense is recognized over each new offering period.</w:t>
      </w:r>
    </w:p>
    <w:p>
      <w:pPr>
        <w:spacing w:after="0" w:line="12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6"/>
          <w:szCs w:val="16"/>
          <w:color w:val="auto"/>
        </w:rPr>
        <w:t>The fair value of the ESPP offerings, including those described above, were estimated using the Black-Scholes option-pricing model as of the respective offering dates, using the following assumptions. These assumptions represent the grant-date fair value inputs for new offerings, which commenced during the nine months ended September 30, 2025 and 2024, as well as updated valuation information as of the modification date for any offerings for which a modification occurred during the periods presented herein: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20" w:type="dxa"/>
            <w:vAlign w:val="bottom"/>
          </w:tcPr>
          <w:p>
            <w:pPr>
              <w:spacing w:after="0"/>
              <w:rPr>
                <w:sz w:val="19"/>
                <w:szCs w:val="19"/>
                <w:color w:val="auto"/>
              </w:rPr>
            </w:pPr>
          </w:p>
        </w:tc>
        <w:tc>
          <w:tcPr>
            <w:tcW w:w="3420" w:type="dxa"/>
            <w:vAlign w:val="bottom"/>
            <w:tcBorders>
              <w:bottom w:val="single" w:sz="8" w:color="auto"/>
            </w:tcBorders>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78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rates</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3.79% to 4.26%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 to 5.20%</w:t>
            </w: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 to 2.0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to 2.0 years</w:t>
            </w:r>
          </w:p>
        </w:tc>
      </w:tr>
      <w:tr>
        <w:trPr>
          <w:trHeight w:val="2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43.8% to 49.1%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 to 61.3%</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rate</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Stock-Based Compensation Expense</w:t>
      </w:r>
    </w:p>
    <w:p>
      <w:pPr>
        <w:spacing w:after="0" w:line="16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 xml:space="preserve">Stock-based compensation expense for stock options, RSUs, and ESPP, included within the Condensed Consolidated Statements of Operations, net of amounts capitalized to internal-use software, as described in Note 6. </w:t>
      </w: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r>
      <w:tr>
        <w:trPr>
          <w:trHeight w:val="23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13,014</w:t>
            </w:r>
          </w:p>
        </w:tc>
      </w:tr>
      <w:tr>
        <w:trPr>
          <w:trHeight w:val="2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61,854</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12,613</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34,765</w:t>
            </w:r>
          </w:p>
        </w:tc>
      </w:tr>
      <w:tr>
        <w:trPr>
          <w:trHeight w:val="268"/>
        </w:trPr>
        <w:tc>
          <w:tcPr>
            <w:tcW w:w="4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113,832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110,523</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6"/>
          <w:szCs w:val="16"/>
          <w:color w:val="auto"/>
        </w:rPr>
        <w:t>As of September 30, 2025, the total unamortized compensation cost related to all non-vested equity awards, including options and RSUs, was $306.1 million, which will be amortized over a weighted-average remaining requisite service period of approximately 2.5 years. As of September 30, 2025, the total unrecognized compensation expense related to the ESPP was $6.4 million, which is expected to be amortized over the next 0.9 years.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13.</w:t>
        <w:tab/>
        <w:t>Restructuring Initiatives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had no material restructuring initiatives in the three and nine months ended September 30, 2025.</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 the nine months ended September 30, 2024, as a result of simplifying and scaling certain processes, functions, and team capabilities, the Company continued restructuring initiatives that commenced within the three months ended September 30, 2023 in order to better serve the Company's customers and allow the Company to centralize, transform, and automate global operations. The Company incurred no charges and $0.8 million for the three and nine months ended September 30, 2024, respectively, related to these initiatives. Restructuring costs incurred primarily included severance and certain other associated costs. These specific restructuring initiatives were complete as of September 30,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the restructuring costs included within the Condensed Consolidated Statements of Operations for the nine months ended September 30, 2024:</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support and operations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36"/>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68"/>
        </w:trPr>
        <w:tc>
          <w:tcPr>
            <w:tcW w:w="9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The following table presents the changes in liabilities, including expenses incurred and cash payments resulting from the restructuring costs and related accruals, during the nine months ended September 30, 2024:</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33"/>
        </w:trPr>
        <w:tc>
          <w:tcPr>
            <w:tcW w:w="9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Expenses incurred</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46"/>
        </w:trPr>
        <w:tc>
          <w:tcPr>
            <w:tcW w:w="9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payments</w:t>
            </w:r>
          </w:p>
        </w:tc>
        <w:tc>
          <w:tcPr>
            <w:tcW w:w="3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2024</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9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14.</w:t>
      </w:r>
      <w:r>
        <w:rPr>
          <w:sz w:val="20"/>
          <w:szCs w:val="20"/>
          <w:color w:val="auto"/>
        </w:rPr>
        <w:tab/>
      </w:r>
      <w:r>
        <w:rPr>
          <w:rFonts w:ascii="Times New Roman" w:cs="Times New Roman" w:eastAsia="Times New Roman" w:hAnsi="Times New Roman"/>
          <w:sz w:val="15"/>
          <w:szCs w:val="15"/>
          <w:b w:val="1"/>
          <w:bCs w:val="1"/>
          <w:color w:val="auto"/>
        </w:rPr>
        <w:t>Income Taxes</w:t>
      </w:r>
    </w:p>
    <w:p>
      <w:pPr>
        <w:spacing w:after="0" w:line="169" w:lineRule="exact"/>
        <w:rPr>
          <w:sz w:val="20"/>
          <w:szCs w:val="20"/>
          <w:color w:val="auto"/>
        </w:rPr>
      </w:pPr>
    </w:p>
    <w:p>
      <w:pPr>
        <w:ind w:right="520"/>
        <w:spacing w:after="0" w:line="298" w:lineRule="auto"/>
        <w:rPr>
          <w:sz w:val="20"/>
          <w:szCs w:val="20"/>
          <w:color w:val="auto"/>
        </w:rPr>
      </w:pPr>
      <w:r>
        <w:rPr>
          <w:rFonts w:ascii="Times New Roman" w:cs="Times New Roman" w:eastAsia="Times New Roman" w:hAnsi="Times New Roman"/>
          <w:sz w:val="16"/>
          <w:szCs w:val="16"/>
          <w:color w:val="auto"/>
        </w:rPr>
        <w:t>The Company computes its tax provision for interim periods by applying the estimated annual effective tax rate to year-to-date income from recurring operations and adjusting for discrete items arising in that quarter.</w:t>
      </w:r>
    </w:p>
    <w:p>
      <w:pPr>
        <w:spacing w:after="0" w:line="9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The Company’s effective tax rates on pre-tax income (loss) were 28.9% and 49.1% for the three months ended September 30, 2025 and 2024, respectively, and 24.7% and (24.4)% for the nine months ended September 30, 2025 and 2024, respectively. The difference between the effective tax rate and the U.S. federal statutory rate of 21.0% in all periods was primarily the result of foreign income taxed at different rates, changes in the U.S. valuation allowance, non-deductible stock-based compensation, and recognition of a discrete income tax benefit, primarily driven by excess stock-based compensation deductions.</w:t>
      </w:r>
    </w:p>
    <w:p>
      <w:pPr>
        <w:spacing w:after="0" w:line="13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The Company maintains a full valuation allowance against the U.S. net deferred tax assets, as it believes that these deferred tax assets do not meet the more likely than not threshold.</w:t>
      </w:r>
    </w:p>
    <w:p>
      <w:pPr>
        <w:spacing w:after="0" w:line="12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Company files income tax returns in the U.S. federal jurisdiction, various state jurisdictions, and internationally. As of September 30, 2025, tax years 2012 through 2024 remain open for examination by taxing authorities.</w:t>
      </w:r>
    </w:p>
    <w:p>
      <w:pPr>
        <w:spacing w:after="0" w:line="109" w:lineRule="exact"/>
        <w:rPr>
          <w:sz w:val="20"/>
          <w:szCs w:val="20"/>
          <w:color w:val="auto"/>
        </w:rPr>
      </w:pPr>
    </w:p>
    <w:p>
      <w:pPr>
        <w:ind w:right="8580" w:firstLine="8"/>
        <w:spacing w:after="0" w:line="467" w:lineRule="auto"/>
        <w:tabs>
          <w:tab w:leader="none" w:pos="364" w:val="left"/>
        </w:tabs>
        <w:numPr>
          <w:ilvl w:val="0"/>
          <w:numId w:val="1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 Guarantees and Indemnification</w:t>
      </w:r>
    </w:p>
    <w:p>
      <w:pPr>
        <w:spacing w:after="0" w:line="1"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amended and restated certificate of incorporation and amended and restated bylaws include similar indemnification obligations to its officers and directors. To date, there have been no claims under any indemnification provisions; therefore, no such amounts have been accrued as of September 30, 2025 and December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Litigation and Loss Contingencies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Litigation</w:t>
      </w:r>
    </w:p>
    <w:p>
      <w:pPr>
        <w:spacing w:after="0" w:line="17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As of September 30, 2025 the Company was involved in certain intellectual property and trademark disputes in certain jurisdictions; any potential loss related to those disputes cannot currently be reasonably estimated and any impact is expected to be immaterial.</w:t>
      </w:r>
    </w:p>
    <w:p>
      <w:pPr>
        <w:spacing w:after="0" w:line="12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Although the results of litigation and claims are inherently unpredictable, the Company does not believe that there was a reasonable possibility that it had incurred a material loss with respect to such loss contingencies as of September 30, 2025 and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Purchase Commitments</w:t>
      </w:r>
    </w:p>
    <w:p>
      <w:pPr>
        <w:spacing w:after="0" w:line="16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The disclosure of purchase commitments in these condensed consolidated financial statements should be read in conjunction with the consolidated financial statements and related notes within the Company’s Annual Report on Form 10-K for the year ended December 31, 2024. The Company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w:t>
      </w:r>
    </w:p>
    <w:p>
      <w:pPr>
        <w:spacing w:after="0" w:line="13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During the nine months ended September 30, 2025, the Company entered into a five-year cloud infrastructure arrangement in an amount of $134.5 million, increasing the total future minimum payments under non-cancellable purchase commitments from the amounts disclosed within the Company’s Annual Report on Form 10-K for the year ended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Leases Commenced in Current Period</w:t>
      </w:r>
    </w:p>
    <w:p>
      <w:pPr>
        <w:spacing w:after="0" w:line="169"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During the nine months ended September 30, 2025, the Company entered into lease agreements for its corporate facilities, certain of which included terms of one to seven years and contractual lease commitments of $12.6 million. Leasehold improvements within certain of the facilities will be constructed under the Company’s direction, and the Company will be entitled to an allowance for a substantial portion of the improvements.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Reserve for Transaction Losses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51"/>
        </w:trPr>
        <w:tc>
          <w:tcPr>
            <w:tcW w:w="968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The table below summarizes the Company’s reserve for transaction losses for the three and nine months ended September 30, 2025 and 2024:</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1"/>
        </w:trPr>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24"/>
                <w:szCs w:val="24"/>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w:t>
            </w:r>
          </w:p>
        </w:tc>
      </w:tr>
      <w:tr>
        <w:trPr>
          <w:trHeight w:val="233"/>
        </w:trPr>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Provisions for transaction losses</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70,929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44,304</w:t>
            </w:r>
          </w:p>
        </w:tc>
      </w:tr>
      <w:tr>
        <w:trPr>
          <w:trHeight w:val="246"/>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incurred, net of recoveries</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(16,367)</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(43,702)</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w:t>
            </w:r>
          </w:p>
        </w:tc>
      </w:tr>
      <w:tr>
        <w:trPr>
          <w:trHeight w:val="21"/>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16.</w:t>
        <w:tab/>
        <w:t>Accrued Expenses &amp; Other Current Liabilities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Accrued expenses and other current liabilities consisted of the following as of September 30, 2025 and December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5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settlement liability</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33,946</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transaction expense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21,949</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marketing expense</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19,258</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salary, benefits, and related taxes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14,782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11,704</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Reserve for transaction losses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taxes and taxes payable</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5,888</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ESPP employee contributions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property and equipment purchases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0" w:type="dxa"/>
            <w:vAlign w:val="bottom"/>
          </w:tcPr>
          <w:p>
            <w:pPr>
              <w:spacing w:after="0"/>
              <w:rPr>
                <w:sz w:val="1"/>
                <w:szCs w:val="1"/>
                <w:color w:val="auto"/>
              </w:rPr>
            </w:pPr>
          </w:p>
        </w:tc>
      </w:tr>
      <w:tr>
        <w:trPr>
          <w:trHeight w:val="24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expenses</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13,524</w:t>
            </w:r>
          </w:p>
        </w:tc>
        <w:tc>
          <w:tcPr>
            <w:tcW w:w="0" w:type="dxa"/>
            <w:vAlign w:val="bottom"/>
          </w:tcPr>
          <w:p>
            <w:pPr>
              <w:spacing w:after="0"/>
              <w:rPr>
                <w:sz w:val="1"/>
                <w:szCs w:val="1"/>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123,256</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116,652</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8020" w:type="dxa"/>
            <w:vAlign w:val="bottom"/>
            <w:vMerge w:val="continue"/>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ind w:right="220" w:firstLine="8"/>
        <w:spacing w:after="0" w:line="270" w:lineRule="auto"/>
        <w:tabs>
          <w:tab w:leader="none" w:pos="132"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 trade settlement liability amount represents the total of disbursement postfunding liabilities and book overdrafts owed to the Company’s disbursement partners. Refer to Note 2. </w:t>
      </w:r>
      <w:r>
        <w:rPr>
          <w:rFonts w:ascii="Times New Roman" w:cs="Times New Roman" w:eastAsia="Times New Roman" w:hAnsi="Times New Roman"/>
          <w:sz w:val="14"/>
          <w:szCs w:val="14"/>
          <w:i w:val="1"/>
          <w:iCs w:val="1"/>
          <w:color w:val="auto"/>
        </w:rPr>
        <w:t>Basis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Presentation and Summary of Significant Accounting Policies </w:t>
      </w:r>
      <w:r>
        <w:rPr>
          <w:rFonts w:ascii="Times New Roman" w:cs="Times New Roman" w:eastAsia="Times New Roman" w:hAnsi="Times New Roman"/>
          <w:sz w:val="14"/>
          <w:szCs w:val="14"/>
          <w:color w:val="auto"/>
        </w:rPr>
        <w:t>within the notes to consolidated financial statements included in the Company’s Annual Report on Form 10-K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for further discussion.</w:t>
      </w:r>
    </w:p>
    <w:p>
      <w:pPr>
        <w:spacing w:after="0" w:line="13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17.</w:t>
        <w:tab/>
        <w:t>Supplemental Cash Flow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supplemental disclosures of cash flow information consisted of the following:</w:t>
      </w:r>
    </w:p>
    <w:p>
      <w:pPr>
        <w:spacing w:after="0" w:line="219"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30480</wp:posOffset>
            </wp:positionV>
            <wp:extent cx="1903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operating lease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5,617</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capitalized to internal-use software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w:t>
            </w: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property and equipment purchases in accounts payable and accrued expenses and other current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equity amounts previously held back for acquisition consideration</w:t>
            </w:r>
          </w:p>
        </w:tc>
        <w:tc>
          <w:tcPr>
            <w:tcW w:w="3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r>
      <w:tr>
        <w:trPr>
          <w:trHeight w:val="25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options</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18.</w:t>
      </w:r>
      <w:r>
        <w:rPr>
          <w:sz w:val="20"/>
          <w:szCs w:val="20"/>
          <w:color w:val="auto"/>
        </w:rPr>
        <w:tab/>
      </w:r>
      <w:r>
        <w:rPr>
          <w:rFonts w:ascii="Times New Roman" w:cs="Times New Roman" w:eastAsia="Times New Roman" w:hAnsi="Times New Roman"/>
          <w:sz w:val="15"/>
          <w:szCs w:val="15"/>
          <w:b w:val="1"/>
          <w:bCs w:val="1"/>
          <w:color w:val="auto"/>
        </w:rPr>
        <w:t>Segment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and Geographic Information</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 xml:space="preserve">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operating segment. Based on the information provided to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and earned from similar services for which the nature of associated fees and the related revenue recognition models are substantially the same. Refer to Note 3. </w:t>
      </w:r>
      <w:r>
        <w:rPr>
          <w:rFonts w:ascii="Times New Roman" w:cs="Times New Roman" w:eastAsia="Times New Roman" w:hAnsi="Times New Roman"/>
          <w:sz w:val="16"/>
          <w:szCs w:val="16"/>
          <w:i w:val="1"/>
          <w:iCs w:val="1"/>
          <w:color w:val="auto"/>
        </w:rPr>
        <w:t>Revenue</w:t>
      </w:r>
      <w:r>
        <w:rPr>
          <w:rFonts w:ascii="Times New Roman" w:cs="Times New Roman" w:eastAsia="Times New Roman" w:hAnsi="Times New Roman"/>
          <w:sz w:val="16"/>
          <w:szCs w:val="16"/>
          <w:color w:val="auto"/>
        </w:rPr>
        <w:t xml:space="preserve"> and Note 6. </w:t>
      </w:r>
      <w:r>
        <w:rPr>
          <w:rFonts w:ascii="Times New Roman" w:cs="Times New Roman" w:eastAsia="Times New Roman" w:hAnsi="Times New Roman"/>
          <w:sz w:val="16"/>
          <w:szCs w:val="16"/>
          <w:i w:val="1"/>
          <w:iCs w:val="1"/>
          <w:color w:val="auto"/>
        </w:rPr>
        <w:t>Property and Equipment</w:t>
      </w:r>
      <w:r>
        <w:rPr>
          <w:rFonts w:ascii="Times New Roman" w:cs="Times New Roman" w:eastAsia="Times New Roman" w:hAnsi="Times New Roman"/>
          <w:sz w:val="16"/>
          <w:szCs w:val="16"/>
          <w:color w:val="auto"/>
        </w:rPr>
        <w:t xml:space="preserve"> for information related to the Company’s geographic information for revenue and long-lived assets,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Loss and Performance Measurement</w:t>
      </w:r>
    </w:p>
    <w:p>
      <w:pPr>
        <w:spacing w:after="0" w:line="169"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The Company’s CODM is provided the financial performance of the Company's one operating segment showing net income (loss) as the primary measure of segment profitability. Net income (loss) reflects revenue generated and expenses incurred for the business. The CODM uses this measure to evaluate the operational efficiency and profitability of the Company, to make strategic decisions about capital allocation, and to assess whether the Company is meeting its financial targets. The CODM does not evaluate the performance of its one operating segment using asset information.</w:t>
      </w:r>
    </w:p>
    <w:p>
      <w:pPr>
        <w:spacing w:after="0" w:line="125"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The Company’s CODM is regularly provided results comparing actual performance against budgeted targets and prior periods. This measure aligns with how resources are managed and allocated within the Company’s one operating segment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Significant Segment Expenses</w:t>
      </w:r>
    </w:p>
    <w:p>
      <w:pPr>
        <w:spacing w:after="0" w:line="183"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On a regular basis, the Company’s CODM is provided certain significant segment expenses, which include advertising expense and stock-based compensation expense, in addition to those significant segment expenses reported within the Consolidated Statements of Operations.</w:t>
      </w:r>
    </w:p>
    <w:p>
      <w:pPr>
        <w:spacing w:after="0" w:line="11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6"/>
          <w:szCs w:val="16"/>
          <w:color w:val="auto"/>
        </w:rPr>
        <w:t>The following table reconciles the significant segment expenses regularly provided to the Company’s CODM for the three and nine months ended September 30, 2025 and 2024, to the primary measure of segment profitability, net income (loss):</w:t>
      </w: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9"/>
                <w:szCs w:val="19"/>
                <w:color w:val="auto"/>
              </w:rPr>
            </w:pPr>
          </w:p>
        </w:tc>
        <w:tc>
          <w:tcPr>
            <w:tcW w:w="11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419,494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336,527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1,192,970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912,068</w:t>
            </w:r>
          </w:p>
        </w:tc>
        <w:tc>
          <w:tcPr>
            <w:tcW w:w="0" w:type="dxa"/>
            <w:vAlign w:val="bottom"/>
          </w:tcPr>
          <w:p>
            <w:pPr>
              <w:spacing w:after="0"/>
              <w:rPr>
                <w:sz w:val="1"/>
                <w:szCs w:val="1"/>
                <w:color w:val="auto"/>
              </w:rPr>
            </w:pPr>
          </w:p>
        </w:tc>
      </w:tr>
      <w:tr>
        <w:trPr>
          <w:trHeight w:val="23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Significant segment expenses: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Transaction expenses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(146,725)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(115,554)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(411,874)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(313,215)</w:t>
            </w:r>
          </w:p>
        </w:tc>
        <w:tc>
          <w:tcPr>
            <w:tcW w:w="0" w:type="dxa"/>
            <w:vAlign w:val="bottom"/>
          </w:tcPr>
          <w:p>
            <w:pPr>
              <w:spacing w:after="0"/>
              <w:rPr>
                <w:sz w:val="1"/>
                <w:szCs w:val="1"/>
                <w:color w:val="auto"/>
              </w:rPr>
            </w:pPr>
          </w:p>
        </w:tc>
      </w:tr>
      <w:tr>
        <w:trPr>
          <w:trHeight w:val="24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support and operations, excluding stock-based compensation expense</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(72,869)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(61,020)</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Marketing, excluding stock-based compensation expense and advertising expense</w:t>
            </w:r>
            <w:r>
              <w:rPr>
                <w:rFonts w:ascii="Times New Roman" w:cs="Times New Roman" w:eastAsia="Times New Roman" w:hAnsi="Times New Roman"/>
                <w:sz w:val="21"/>
                <w:szCs w:val="21"/>
                <w:color w:val="auto"/>
                <w:vertAlign w:val="superscript"/>
              </w:rPr>
              <w:t>(1)(2)</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(43,729)</w:t>
            </w:r>
          </w:p>
        </w:tc>
        <w:tc>
          <w:tcPr>
            <w:tcW w:w="0" w:type="dxa"/>
            <w:vAlign w:val="bottom"/>
          </w:tcPr>
          <w:p>
            <w:pPr>
              <w:spacing w:after="0"/>
              <w:rPr>
                <w:sz w:val="1"/>
                <w:szCs w:val="1"/>
                <w:color w:val="auto"/>
              </w:rPr>
            </w:pPr>
          </w:p>
        </w:tc>
      </w:tr>
      <w:tr>
        <w:trPr>
          <w:trHeight w:val="24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Technology and development, excluding stock-based compensation expense</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(46,573)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(137,352)</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 excluding stock-based compensation expense</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(136,101)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(106,217)</w:t>
            </w:r>
          </w:p>
        </w:tc>
        <w:tc>
          <w:tcPr>
            <w:tcW w:w="0" w:type="dxa"/>
            <w:vAlign w:val="bottom"/>
          </w:tcPr>
          <w:p>
            <w:pPr>
              <w:spacing w:after="0"/>
              <w:rPr>
                <w:sz w:val="1"/>
                <w:szCs w:val="1"/>
                <w:color w:val="auto"/>
              </w:rPr>
            </w:pPr>
          </w:p>
        </w:tc>
      </w:tr>
      <w:tr>
        <w:trPr>
          <w:trHeight w:val="23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Advertising expense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(54,588)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(163,119)</w:t>
            </w: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(113,832)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(110,523)</w:t>
            </w:r>
          </w:p>
        </w:tc>
        <w:tc>
          <w:tcPr>
            <w:tcW w:w="0" w:type="dxa"/>
            <w:vAlign w:val="bottom"/>
          </w:tcPr>
          <w:p>
            <w:pPr>
              <w:spacing w:after="0"/>
              <w:rPr>
                <w:sz w:val="1"/>
                <w:szCs w:val="1"/>
                <w:color w:val="auto"/>
              </w:rPr>
            </w:pPr>
          </w:p>
        </w:tc>
      </w:tr>
      <w:tr>
        <w:trPr>
          <w:trHeight w:val="23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segment disclosures: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0" w:type="dxa"/>
            <w:vAlign w:val="bottom"/>
          </w:tcPr>
          <w:p>
            <w:pPr>
              <w:spacing w:after="0"/>
              <w:rPr>
                <w:sz w:val="1"/>
                <w:szCs w:val="1"/>
                <w:color w:val="auto"/>
              </w:rPr>
            </w:pPr>
          </w:p>
        </w:tc>
      </w:tr>
      <w:tr>
        <w:trPr>
          <w:trHeight w:val="23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0" w:type="dxa"/>
            <w:vAlign w:val="bottom"/>
          </w:tcPr>
          <w:p>
            <w:pPr>
              <w:spacing w:after="0"/>
              <w:rPr>
                <w:sz w:val="1"/>
                <w:szCs w:val="1"/>
                <w:color w:val="auto"/>
              </w:rPr>
            </w:pPr>
          </w:p>
        </w:tc>
      </w:tr>
      <w:tr>
        <w:trPr>
          <w:trHeight w:val="233"/>
        </w:trPr>
        <w:tc>
          <w:tcPr>
            <w:tcW w:w="6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(6,138)</w:t>
            </w:r>
          </w:p>
        </w:tc>
        <w:tc>
          <w:tcPr>
            <w:tcW w:w="0" w:type="dxa"/>
            <w:vAlign w:val="bottom"/>
          </w:tcPr>
          <w:p>
            <w:pPr>
              <w:spacing w:after="0"/>
              <w:rPr>
                <w:sz w:val="1"/>
                <w:szCs w:val="1"/>
                <w:color w:val="auto"/>
              </w:rPr>
            </w:pPr>
          </w:p>
        </w:tc>
      </w:tr>
      <w:tr>
        <w:trPr>
          <w:trHeight w:val="253"/>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segment income (expense), net</w:t>
            </w:r>
            <w:r>
              <w:rPr>
                <w:rFonts w:ascii="Times New Roman" w:cs="Times New Roman" w:eastAsia="Times New Roman" w:hAnsi="Times New Roman"/>
                <w:sz w:val="21"/>
                <w:szCs w:val="21"/>
                <w:color w:val="auto"/>
                <w:vertAlign w:val="superscript"/>
              </w:rPr>
              <w:t>(3)</w:t>
            </w: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tcPr>
          <w:p>
            <w:pPr>
              <w:spacing w:after="0"/>
              <w:rPr>
                <w:sz w:val="20"/>
                <w:szCs w:val="20"/>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26,717</w:t>
            </w: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(31,254)</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674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right="120" w:firstLine="8"/>
        <w:spacing w:after="0" w:line="256" w:lineRule="auto"/>
        <w:tabs>
          <w:tab w:leader="none" w:pos="145"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 significant segment expenses reported within the Condensed Consolidated Statements of Operations are presented in this table excluding stock-based compensation expense. Stock-based compensation expense is presented separately as an additional significant segment expense and is regularly provided to the CODM. Refer to Note 12.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xml:space="preserve"> for tabular disclosure of amounts included within other significant segment expenses, stock-based compensation expense, net of amounts capitalized to internal-use software, as described in Note 6. </w:t>
      </w:r>
      <w:r>
        <w:rPr>
          <w:rFonts w:ascii="Times New Roman" w:cs="Times New Roman" w:eastAsia="Times New Roman" w:hAnsi="Times New Roman"/>
          <w:sz w:val="14"/>
          <w:szCs w:val="14"/>
          <w:i w:val="1"/>
          <w:iCs w:val="1"/>
          <w:color w:val="auto"/>
        </w:rPr>
        <w:t>Property and Equipment</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9"/>
          <w:szCs w:val="9"/>
          <w:color w:val="auto"/>
        </w:rPr>
      </w:pPr>
    </w:p>
    <w:p>
      <w:pPr>
        <w:ind w:right="120" w:firstLine="8"/>
        <w:spacing w:after="0" w:line="260" w:lineRule="auto"/>
        <w:tabs>
          <w:tab w:leader="none" w:pos="145"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The significant segment expense reported within the Condensed Consolidated Statements of Operations is presented in this table excluding advertising expense. Advertising expense is presented separately as an additional significant segment expense and is regularly provided to the CODM. Advertising expense is included in Marketing expense as described in Note </w:t>
      </w:r>
      <w:r>
        <w:rPr>
          <w:rFonts w:ascii="Times New Roman" w:cs="Times New Roman" w:eastAsia="Times New Roman" w:hAnsi="Times New Roman"/>
          <w:sz w:val="14"/>
          <w:szCs w:val="14"/>
          <w:i w:val="1"/>
          <w:iCs w:val="1"/>
          <w:color w:val="auto"/>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Basis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Presentation and Summary of Significant Accounting Policies.</w:t>
      </w:r>
    </w:p>
    <w:p>
      <w:pPr>
        <w:ind w:right="100" w:firstLine="8"/>
        <w:spacing w:after="0" w:line="249" w:lineRule="auto"/>
        <w:tabs>
          <w:tab w:leader="none" w:pos="145"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Other segment income (expense) includes Other income (expense), net, which is described in Note </w:t>
      </w:r>
      <w:r>
        <w:rPr>
          <w:rFonts w:ascii="Times New Roman" w:cs="Times New Roman" w:eastAsia="Times New Roman" w:hAnsi="Times New Roman"/>
          <w:sz w:val="13"/>
          <w:szCs w:val="13"/>
          <w:i w:val="1"/>
          <w:iCs w:val="1"/>
          <w:color w:val="auto"/>
        </w:rPr>
        <w:t>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Basis of Presentation and Summary of Significant Accounting Policies</w:t>
      </w:r>
      <w:r>
        <w:rPr>
          <w:rFonts w:ascii="Times New Roman" w:cs="Times New Roman" w:eastAsia="Times New Roman" w:hAnsi="Times New Roman"/>
          <w:sz w:val="13"/>
          <w:szCs w:val="13"/>
          <w:color w:val="auto"/>
        </w:rPr>
        <w:t xml:space="preserve"> in the notes to the consolidated financial statements included in Part II, Item 8 in the Company’s Annual Report on Form 10-K for the year ended December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unusual items or other significant noncash items for the three and nine months ended September 30, 2025 and 2024.</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6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You should read the following discussion and analysis of our financial condition and results of operations together with our unaudited condensed consolidated financial statements and the related notes appearing elsewhere in this Quarterly Report on Form 10-Q and our audited consolidated financial statements and the related notes and the discussion under the heading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Management’s Discussion and Analysis of Financial Condition and Results of Operations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6"/>
          <w:szCs w:val="16"/>
          <w:i w:val="1"/>
          <w:iCs w:val="1"/>
          <w:color w:val="auto"/>
        </w:rPr>
        <w:t xml:space="preserve"> included in the Annual Report on Form 10-K for the year ended December 31, 2024.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69"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Remitly is a trusted provider of digital financial services that transcend borders. With a global footprint spanning more than 170 countries, Remitly’s digitally native, cross-border payments app delights customers with a fast, reliable, and transparent money movement experience. Building on its strong foundation, Remitly is expanding its suite of products to further its vision and transform lives around the world.</w:t>
      </w:r>
    </w:p>
    <w:p>
      <w:pPr>
        <w:spacing w:after="0" w:line="117"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16"/>
          <w:szCs w:val="16"/>
          <w:color w:val="auto"/>
        </w:rPr>
        <w:t>Our brand promise is to bring “peace of mind” into everything we do. We focus on bringing trust, reliability, and a fair and transparent price to cross-border financial services.</w:t>
      </w:r>
    </w:p>
    <w:p>
      <w:pPr>
        <w:spacing w:after="0" w:line="124"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To deliver on our brand promise, we have a differentiated approach that aligns with the specific needs and interests of our customers who are sending money across borders and solves the problems they often face. There are four core elements to our differentiated approach:</w:t>
      </w:r>
    </w:p>
    <w:p>
      <w:pPr>
        <w:spacing w:after="0" w:line="122" w:lineRule="exact"/>
        <w:rPr>
          <w:sz w:val="20"/>
          <w:szCs w:val="20"/>
          <w:color w:val="auto"/>
        </w:rPr>
      </w:pPr>
    </w:p>
    <w:p>
      <w:pPr>
        <w:ind w:left="660" w:right="40" w:hanging="328"/>
        <w:spacing w:after="0" w:line="256"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Mobile First. </w:t>
      </w:r>
      <w:r>
        <w:rPr>
          <w:rFonts w:ascii="Times New Roman" w:cs="Times New Roman" w:eastAsia="Times New Roman" w:hAnsi="Times New Roman"/>
          <w:sz w:val="16"/>
          <w:szCs w:val="16"/>
          <w:color w:val="auto"/>
        </w:rPr>
        <w:t>Our mobile app for cross-border remittances provides an easy-to-use, end-to-end process with a simple and reliable user experience that delivers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peace of mind. In just a few minutes, customers are able to set up and send money for the first time with Remitly, and repeat transactions are easier with just a few taps. Our users can also track the status of their transactions as they are processed, and we provide a reliability promise to customers which is underpinned by our sophisticated risk models, high-quality network, and empathetic customer service. This mobile-first experience enables us to engage beyond the initial transaction, generating strong repeat usage and high customer loyalty. Our services are highly non-discretionary for many of our customers which results in high revenue visibility throughout economic cycles. As of September 30, 2025, our Remitly app had a 4.9 iOS App Store rating with over 3.8 million reviewers and a 4.8 Android Google Play rating with over 1.2 million reviewers. App rating is based on all countries or regions and the rating may vary based on user location and device type.</w:t>
      </w:r>
    </w:p>
    <w:p>
      <w:pPr>
        <w:spacing w:after="0" w:line="144" w:lineRule="exact"/>
        <w:rPr>
          <w:rFonts w:ascii="Times New Roman" w:cs="Times New Roman" w:eastAsia="Times New Roman" w:hAnsi="Times New Roman"/>
          <w:sz w:val="16"/>
          <w:szCs w:val="16"/>
          <w:color w:val="auto"/>
        </w:rPr>
      </w:pPr>
    </w:p>
    <w:p>
      <w:pPr>
        <w:ind w:left="660" w:right="40" w:hanging="328"/>
        <w:spacing w:after="0" w:line="258" w:lineRule="auto"/>
        <w:tabs>
          <w:tab w:leader="none" w:pos="649"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Global Presence and High-Quality Money Movement Network</w:t>
      </w:r>
      <w:r>
        <w:rPr>
          <w:rFonts w:ascii="Times New Roman" w:cs="Times New Roman" w:eastAsia="Times New Roman" w:hAnsi="Times New Roman"/>
          <w:sz w:val="16"/>
          <w:szCs w:val="16"/>
          <w:color w:val="auto"/>
        </w:rPr>
        <w:t>. Our global network of funding and disbursement partnerships enables us to complete money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transfers efficiently in over 5,300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 Our significant global presence and direct integration strategy allows us to negotiate favorable terms with both funding and disbursement partners while providing a great end-to-end customer experience including rapid and reliable transfers.</w:t>
      </w:r>
    </w:p>
    <w:p>
      <w:pPr>
        <w:spacing w:after="0" w:line="143" w:lineRule="exact"/>
        <w:rPr>
          <w:rFonts w:ascii="Times New Roman" w:cs="Times New Roman" w:eastAsia="Times New Roman" w:hAnsi="Times New Roman"/>
          <w:sz w:val="16"/>
          <w:szCs w:val="16"/>
          <w:b w:val="1"/>
          <w:bCs w:val="1"/>
          <w:color w:val="auto"/>
        </w:rPr>
      </w:pPr>
    </w:p>
    <w:p>
      <w:pPr>
        <w:jc w:val="both"/>
        <w:ind w:left="660" w:right="40"/>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provide broad and high-quality disbursement options to our customers allowing them to choose the method that is most convenient for their family and friends to receive funds. We have partner relationships with global banks, aggregators, and leading payment providers to give our customers an array of payment (or pay-in) options, including with a bank account, card-based payments, and alternative payment methods.</w:t>
      </w:r>
    </w:p>
    <w:p>
      <w:pPr>
        <w:spacing w:after="0" w:line="137" w:lineRule="exact"/>
        <w:rPr>
          <w:rFonts w:ascii="Times New Roman" w:cs="Times New Roman" w:eastAsia="Times New Roman" w:hAnsi="Times New Roman"/>
          <w:sz w:val="16"/>
          <w:szCs w:val="16"/>
          <w:b w:val="1"/>
          <w:bCs w:val="1"/>
          <w:color w:val="auto"/>
        </w:rPr>
      </w:pPr>
    </w:p>
    <w:p>
      <w:pPr>
        <w:ind w:left="660"/>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Our disbursement network enables us to send (or pay-out) funds to over 5.4 billion bank accounts and mobile wallets and approximately 490,000 cash pick-up options. We focus on creating financial inclusion by providing payout optionality and access for recipients who do not always have convenient access to traditional banking. We believe that our focus on financial inclusion creates peace of mind for our customers and their families while attracting and retaining loyal customers.</w:t>
      </w:r>
    </w:p>
    <w:p>
      <w:pPr>
        <w:spacing w:after="0" w:line="135" w:lineRule="exact"/>
        <w:rPr>
          <w:rFonts w:ascii="Times New Roman" w:cs="Times New Roman" w:eastAsia="Times New Roman" w:hAnsi="Times New Roman"/>
          <w:sz w:val="16"/>
          <w:szCs w:val="16"/>
          <w:b w:val="1"/>
          <w:bCs w:val="1"/>
          <w:color w:val="auto"/>
        </w:rPr>
      </w:pPr>
    </w:p>
    <w:p>
      <w:pPr>
        <w:ind w:left="660" w:right="180" w:hanging="328"/>
        <w:spacing w:after="0" w:line="260" w:lineRule="auto"/>
        <w:tabs>
          <w:tab w:leader="none" w:pos="649"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Highly Attractive Unit Economics. </w:t>
      </w:r>
      <w:r>
        <w:rPr>
          <w:rFonts w:ascii="Times New Roman" w:cs="Times New Roman" w:eastAsia="Times New Roman" w:hAnsi="Times New Roman"/>
          <w:sz w:val="16"/>
          <w:szCs w:val="16"/>
          <w:color w:val="auto"/>
        </w:rPr>
        <w:t>Our data-driven approach to optimizing customer lifetime value combined with a localized and scalable marketing solution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allows us to acquire new customers at highly attractive unit economics. As we continue to improve customer lifetime value through product enhancements and improvements to variable operating costs, we can optimize marketing spend to drive both growth and efficiency with a focus on maintaining strong unit economics. We believe that our expertise in localizing our marketing, products, and customer support at scale is a key differentiator and enables us to provide customers with a personalized experience that drives peace of mind while also delivering high returns on marketing and product investments.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right="40" w:hanging="328"/>
        <w:spacing w:after="0" w:line="259" w:lineRule="auto"/>
        <w:tabs>
          <w:tab w:leader="none" w:pos="649"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Superior Technology. </w:t>
      </w:r>
      <w:r>
        <w:rPr>
          <w:rFonts w:ascii="Times New Roman" w:cs="Times New Roman" w:eastAsia="Times New Roman" w:hAnsi="Times New Roman"/>
          <w:sz w:val="16"/>
          <w:szCs w:val="16"/>
          <w:color w:val="auto"/>
        </w:rPr>
        <w:t>We believe that our differentiated approach to building our technology infrastructure enables a great customer experience and allows us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meet customer demands in a more flexible way. We have been able to reach more customers, more regions, and more use cases while continuing to get better at our reliability, speed, and performance due to our investments and approach to our technology. This enables not only our ability to scale, but also accelerates innovation on behalf of our customers - whether that is doing simple things well or about enabling new use cases like seafarers or micro businesses. Because our customers initiate transfers digitally, we capture a body of transaction-related data that provides insight into customer behavior and customer experience. This data and our analytics inform our marketing investments and product development prioritization. In addition, we use data and our proprietary models to improve our compliance systems and manage pricing, treasury, fraud risk, and customer support. Finally, our proactive investments in artificial intelligence and machine learning have continued to drive improvement in the areas of fraud and risk, pricing, customer support, and marketing.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Revenue Model</w:t>
      </w:r>
    </w:p>
    <w:p>
      <w:pPr>
        <w:spacing w:after="0" w:line="18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For our remittance business, which represents substantially all of our revenue today, we generate revenue from transaction fees charged to customers and foreign exchange spreads applied to the amount the customer is sending.</w:t>
      </w:r>
    </w:p>
    <w:p>
      <w:pPr>
        <w:spacing w:after="0" w:line="11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spacing w:after="0" w:line="97"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6"/>
          <w:szCs w:val="16"/>
          <w:color w:val="auto"/>
        </w:rPr>
        <w:t>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w:t>
      </w:r>
    </w:p>
    <w:p>
      <w:pPr>
        <w:spacing w:after="0" w:line="11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Performance Metrics</w:t>
      </w:r>
    </w:p>
    <w:p>
      <w:pPr>
        <w:spacing w:after="0" w:line="16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We regularly review the following key performance metrics to evaluate our performance, identify trends affecting our business, prepare financial projections, and make strategic decisions. We believe that these key performance metrics provide meaningful supplemental information for management and investors in assessing our historical and future operating performance. The calculation of these key performance metrics discussed below may differ from other similarly titled metrics used by other companies, analysts, or investors. The key performance metrics that we use to measure the performance of our business are defined as follows:</w:t>
      </w:r>
    </w:p>
    <w:p>
      <w:pPr>
        <w:spacing w:after="0" w:line="139" w:lineRule="exact"/>
        <w:rPr>
          <w:sz w:val="20"/>
          <w:szCs w:val="20"/>
          <w:color w:val="auto"/>
        </w:rPr>
      </w:pPr>
    </w:p>
    <w:p>
      <w:pPr>
        <w:ind w:left="660" w:right="180" w:hanging="328"/>
        <w:spacing w:after="0" w:line="280"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“Active customers” is defined as the number of distinct customers that have successfully completed at least one transaction using Remitly during a given period. We identify customers through unique account numbers.</w:t>
      </w:r>
    </w:p>
    <w:p>
      <w:pPr>
        <w:spacing w:after="0" w:line="124" w:lineRule="exact"/>
        <w:rPr>
          <w:rFonts w:ascii="Times New Roman" w:cs="Times New Roman" w:eastAsia="Times New Roman" w:hAnsi="Times New Roman"/>
          <w:sz w:val="16"/>
          <w:szCs w:val="16"/>
          <w:color w:val="auto"/>
        </w:rPr>
      </w:pPr>
    </w:p>
    <w:p>
      <w:pPr>
        <w:ind w:left="660" w:right="120" w:hanging="328"/>
        <w:spacing w:after="0" w:line="263" w:lineRule="auto"/>
        <w:tabs>
          <w:tab w:leader="none" w:pos="64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“Send volume” 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Active Customers</w:t>
      </w:r>
    </w:p>
    <w:p>
      <w:pPr>
        <w:spacing w:after="0" w:line="22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Active customers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8,856</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7,310</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that the number of our active customers is an important indicator of customer engagement, customer retention, and the overall growth of our business.</w:t>
      </w:r>
    </w:p>
    <w:p>
      <w:pPr>
        <w:spacing w:after="0" w:line="16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Active customers increased to approximately 8.9 million, or 21% growth, for the three months ended September 30, 2025, compared to the three months ended September 30, 2024. This increase was primarily due to an increase in the number of new customers, driven by investments in our mobile app and efficient marketing spend, our focus on customer experience and how we serve our customers, expansion of our global disbursement network, and the continued diversification across both send and receive countries. While we continue to see strong results in our largest existing receive countries (India, Mexico, and the Philippines), our successful diversification of our corridor portfolio across both send and receive countries has contributed to new customer growth.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Send Volume</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18"/>
        </w:trPr>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24"/>
                <w:szCs w:val="24"/>
                <w:color w:val="auto"/>
              </w:rPr>
            </w:pPr>
          </w:p>
        </w:tc>
        <w:tc>
          <w:tcPr>
            <w:tcW w:w="296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Send volume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39,195</w:t>
            </w:r>
          </w:p>
        </w:tc>
      </w:tr>
    </w:tbl>
    <w:p>
      <w:pPr>
        <w:spacing w:after="0" w:line="243"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We measure send volume to assess the scale of remittances sent using our service. Our customers mostly send from the United States, Canada, the United Kingdom, and other countries in Europe. Our customers and their recipients are located in over 170 countries and territories across the globe; the largest receive countries by send volume include India, Mexico, and the Philippines.</w:t>
      </w:r>
    </w:p>
    <w:p>
      <w:pPr>
        <w:spacing w:after="0" w:line="117"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6"/>
          <w:szCs w:val="16"/>
          <w:color w:val="auto"/>
        </w:rPr>
        <w:t>Send volume increased 35% to $19.5 billion for the three months ended September 30, 2025, compared to $14.5 billion for the three months ended September 30, 2024, driven by the increase in active customers.</w:t>
      </w:r>
    </w:p>
    <w:p>
      <w:pPr>
        <w:spacing w:after="0" w:line="97"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Send volume increased 38%, to $54.2 billion for the nine months ended September 30, 2025, compared to $39.2 billion for the nine months ended September 30, 2024, driven by the increase in active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Retention and High Customer Engagement</w:t>
      </w:r>
    </w:p>
    <w:p>
      <w:pPr>
        <w:spacing w:after="0" w:line="185"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Our send volume is primarily driven by existing customers who regularly use our cross-border payment product to send money to family and friends. We believe our mobile-first products and superior customer experience encourage high retention and repeat usage, which are significant though not the only drivers of our performance.</w:t>
      </w:r>
    </w:p>
    <w:p>
      <w:pPr>
        <w:spacing w:after="0" w:line="111" w:lineRule="exact"/>
        <w:rPr>
          <w:sz w:val="20"/>
          <w:szCs w:val="20"/>
          <w:color w:val="auto"/>
        </w:rPr>
      </w:pPr>
    </w:p>
    <w:p>
      <w:pPr>
        <w:ind w:right="780"/>
        <w:spacing w:after="0" w:line="298" w:lineRule="auto"/>
        <w:rPr>
          <w:sz w:val="20"/>
          <w:szCs w:val="20"/>
          <w:color w:val="auto"/>
        </w:rPr>
      </w:pPr>
      <w:r>
        <w:rPr>
          <w:rFonts w:ascii="Times New Roman" w:cs="Times New Roman" w:eastAsia="Times New Roman" w:hAnsi="Times New Roman"/>
          <w:sz w:val="16"/>
          <w:szCs w:val="16"/>
          <w:color w:val="auto"/>
        </w:rPr>
        <w:t>We measure active customers to monitor the growth and performance of our customer base. The majority of our active customers send money for recurring, non-discretionary needs multiple times per month, providing a recurring revenue stream with high predictability and durability.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Attracting New Customers</w:t>
      </w:r>
    </w:p>
    <w:p>
      <w:pPr>
        <w:spacing w:after="0" w:line="18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Our continued ability to attract new customers is a key driver for our long-term growth. We continue to expand our customer base by launching new send and receive corridors, by continuing to innovate on existing and new products, and by providing the most trusted financial services for customers with cross-border financial needs. We plan to continue to acquire new customers through digital marketing channels and word-of-mouth referrals from existing customers, and by exploring new customer acquisition channels. Given the nature of our business, new customer acquisition marketing investments may negatively impact net income (loss) and Adjusted EBITDA in the quarter they are acquired, but are expected to favorably impact net income (loss) and Adjusted EBITDA in subsequent periods as many customers continue to send transactions in the periods after they are acquired.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Acquisition Costs</w:t>
      </w:r>
    </w:p>
    <w:p>
      <w:pPr>
        <w:spacing w:after="0" w:line="17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 xml:space="preserve">Efficiently acquiring customers is critical to our growth and maintaining attractive customer economics, which are impacted by online marketing competition, our ability to effectively target the right demographic, and competitive environment. We have a history of successfully monitoring customer acquisition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which are deployed to acquire new customers or retain existing customers in certain circumstances, are a component of advertising expenses as defined in Note 2. </w:t>
      </w:r>
      <w:r>
        <w:rPr>
          <w:rFonts w:ascii="Times New Roman" w:cs="Times New Roman" w:eastAsia="Times New Roman" w:hAnsi="Times New Roman"/>
          <w:sz w:val="16"/>
          <w:szCs w:val="16"/>
          <w:i w:val="1"/>
          <w:iCs w:val="1"/>
          <w:color w:val="auto"/>
        </w:rPr>
        <w:t>Basis of Presentation and Summary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Significant Accounting Policies </w:t>
      </w:r>
      <w:r>
        <w:rPr>
          <w:rFonts w:ascii="Times New Roman" w:cs="Times New Roman" w:eastAsia="Times New Roman" w:hAnsi="Times New Roman"/>
          <w:sz w:val="16"/>
          <w:szCs w:val="16"/>
          <w:color w:val="auto"/>
        </w:rPr>
        <w:t>in the notes to the condensed consolidated financial statements included in Part I, Item 1 of this Quarterly Report on Form 10-Q.</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Corridor Mix</w:t>
      </w:r>
    </w:p>
    <w:p>
      <w:pPr>
        <w:spacing w:after="0" w:line="17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6"/>
          <w:szCs w:val="16"/>
          <w:color w:val="auto"/>
        </w:rPr>
        <w:t>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and the timing of some of these holidays varies from year to year. Conversely, we typically observe lower customer acquisition and existing customer activity through most of the first quarter, especially in regions that experience favorable seasonality in the fourth quarter. Following the fourth quarter, typically the second quarter is seasonally the next strongest quarter from an existing customer activity perspective, however customer activity and the impact on financial results can vary across quarters based on the timing of holidays and other geographic drivers. Additionally, the number of business days in a quarter and the day of the week that the last day of the quarter falls on may also introduce variability in our results, working capital balances, or cash flows period over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Technology</w:t>
      </w:r>
    </w:p>
    <w:p>
      <w:pPr>
        <w:spacing w:after="0" w:line="18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We will continue to invest significant resources in our technology.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 of Risk and Fraud</w:t>
      </w:r>
    </w:p>
    <w:p>
      <w:pPr>
        <w:spacing w:after="0" w:line="18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tune our risk models to target other illegitimate activity.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Macroeconomic and Geopolitical Changes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 xml:space="preserve">Global macroeconomic and geopolitical factors, including inflation, currency fluctuations, immigration and immigration policy, regulatory changes, trade and regulatory policies, including imposition of trade restrictions, taxes and tariffs, and any related market or economic uncertainty or slowdown, regional and global conflicts, global crises and natural disasters,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immigration policy, or international trade, and changes to digital adoption trends may shift the timing and volume of transactions, or the number of customers using our service. In addition, foreign currency movements impact our business in numerous ways. For example, as the U.S. dollar strengthens, we see customers in certain geographies taking advantage of the ability to get more local currency to their families and friends. We also believe the strength of the U.S. dollar and the strength of other developed country currencies versus emerging country currencies make it easier to acquire new customers in certain geographies.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Refer to Note 2. </w:t>
      </w:r>
      <w:r>
        <w:rPr>
          <w:rFonts w:ascii="Times New Roman" w:cs="Times New Roman" w:eastAsia="Times New Roman" w:hAnsi="Times New Roman"/>
          <w:sz w:val="16"/>
          <w:szCs w:val="16"/>
          <w:i w:val="1"/>
          <w:iCs w:val="1"/>
          <w:color w:val="auto"/>
        </w:rPr>
        <w:t>Basis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Presentation and Summary of Significant Accounting Policies </w:t>
      </w:r>
      <w:r>
        <w:rPr>
          <w:rFonts w:ascii="Times New Roman" w:cs="Times New Roman" w:eastAsia="Times New Roman" w:hAnsi="Times New Roman"/>
          <w:sz w:val="16"/>
          <w:szCs w:val="16"/>
          <w:color w:val="auto"/>
        </w:rPr>
        <w:t>in the notes to the condensed consolidated financial statements included in Part I, Item 1 of this Quarterly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Report on Form 10-Q for a more comprehensive description of current business concentrations.</w:t>
      </w:r>
    </w:p>
    <w:p>
      <w:pPr>
        <w:spacing w:after="0" w:line="135"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We continue to assess the impact of developments in foreign trade policy, including taxes and tariffs, and global market conditions. While the imposition of tariffs has not had a significant impact on our business historically, we recognize there is a potential for indirect effects, particularly from foreign exchange volatility to which we are exposed due to the global nature of our cross-border payment operations. We maintain a balanced portfolio of currency and manage foreign exchange risk through various operational measures. While foreign exchange fluctuations may impact certain areas of our business, our proactive risk management is designed to help mitigate potential impacts. Refer to our discussion of foreign currency exchange rate risk included in Part I, Item 3 of this Quarterly Report on Form 10-Q for further details.</w:t>
      </w:r>
    </w:p>
    <w:p>
      <w:pPr>
        <w:spacing w:after="0" w:line="12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6"/>
          <w:szCs w:val="16"/>
          <w:color w:val="auto"/>
        </w:rPr>
        <w:t>In addition, evolving regulatory developments may influence customer behavior and transaction volumes. For example, recent U.S. policy changes have increased the costs associated with the H-1B visa program and increased deportation activity more broadly, and the One Big Beautiful Bill Act (the “OBBBA”) passed on July 4, 2025, imposes a tax on outbound, non-digital remittances from the United States to recipients abroad. While these regulatory developments may impact certain areas of our business, our business has remained resilient through various macroeconomic, political, and regulatory cycles over the past decade. We will continue to evaluate the impact the new legislation will have on our condensed consolidated financial statements, but at this time, we do not expect that the remittance tax included in the OBBBA will have a material impact on our business.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6"/>
          <w:szCs w:val="16"/>
          <w:color w:val="auto"/>
        </w:rPr>
        <w:t>The OBBBA also enacts U.S. corporate income tax reform, certain aspects of which apply to our business beginning in the current year. We will continue to evaluate the impact the new legislation will have on our condensed consolidated financial statements, but we do not expect a significant impact, inclusive of the effect of the valuation allowance on U.S. deferred tax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Components of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7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Our primary source of revenue is generated from our remittance business, which is generated on transaction fees charged to customers and foreign exchange spreads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Expenses</w:t>
      </w:r>
    </w:p>
    <w:p>
      <w:pPr>
        <w:spacing w:after="0" w:line="17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Transaction expenses include fees paid to disbursement partners for paying funds to the recipient, provisions for transaction losses, and fees paid to payment processors for funding transactions. Transaction expenses also include chargebacks, fraud prevention, fraud management tools, and compliance tools. We establish reserves for transaction losses based on historical trends and any specific risks identified in processing customer transactions. This reserve is included in ‘</w:t>
      </w:r>
      <w:r>
        <w:rPr>
          <w:rFonts w:ascii="Times New Roman" w:cs="Times New Roman" w:eastAsia="Times New Roman" w:hAnsi="Times New Roman"/>
          <w:sz w:val="16"/>
          <w:szCs w:val="16"/>
          <w:i w:val="1"/>
          <w:iCs w:val="1"/>
          <w:color w:val="auto"/>
        </w:rPr>
        <w:t>Accrued expenses and other current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liabilities’ </w:t>
      </w:r>
      <w:r>
        <w:rPr>
          <w:rFonts w:ascii="Times New Roman" w:cs="Times New Roman" w:eastAsia="Times New Roman" w:hAnsi="Times New Roman"/>
          <w:sz w:val="16"/>
          <w:szCs w:val="16"/>
          <w:color w:val="auto"/>
        </w:rPr>
        <w:t>on the Condensed Consolidated Balance Sheets included in Part I, Item 1 of this Quarterly Report on Form 10-Q. Over the long term, we expect to continue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benefit from improvements in our proprietary fraud models, although we expect some variability in transaction expense from quarter to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Support and Operations</w:t>
      </w:r>
    </w:p>
    <w:p>
      <w:pPr>
        <w:spacing w:after="0" w:line="1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w:t>
      </w:r>
    </w:p>
    <w:p>
      <w:pPr>
        <w:spacing w:after="0" w:line="17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Technology and Development</w:t>
      </w:r>
    </w:p>
    <w:p>
      <w:pPr>
        <w:spacing w:after="0" w:line="18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color w:val="auto"/>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 w:cs="Times New Roman" w:eastAsia="Times New Roman" w:hAnsi="Times New Roman"/>
          <w:sz w:val="16"/>
          <w:szCs w:val="16"/>
          <w:i w:val="1"/>
          <w:iCs w:val="1"/>
          <w:color w:val="auto"/>
        </w:rPr>
        <w:t>Intangibles - Goodwill and Other-Internal-Use Software</w:t>
      </w:r>
      <w:r>
        <w:rPr>
          <w:rFonts w:ascii="Times New Roman" w:cs="Times New Roman" w:eastAsia="Times New Roman" w:hAnsi="Times New Roman"/>
          <w:sz w:val="16"/>
          <w:szCs w:val="16"/>
          <w:color w:val="auto"/>
        </w:rPr>
        <w:t>, are separately presented under the caption ‘</w:t>
      </w:r>
      <w:r>
        <w:rPr>
          <w:rFonts w:ascii="Times New Roman" w:cs="Times New Roman" w:eastAsia="Times New Roman" w:hAnsi="Times New Roman"/>
          <w:sz w:val="16"/>
          <w:szCs w:val="16"/>
          <w:i w:val="1"/>
          <w:iCs w:val="1"/>
          <w:color w:val="auto"/>
        </w:rPr>
        <w:t>Depreciation and amortization</w:t>
      </w:r>
      <w:r>
        <w:rPr>
          <w:rFonts w:ascii="Times New Roman" w:cs="Times New Roman" w:eastAsia="Times New Roman" w:hAnsi="Times New Roman"/>
          <w:sz w:val="16"/>
          <w:szCs w:val="16"/>
          <w:color w:val="auto"/>
        </w:rPr>
        <w:t>’ within the Condensed Consolidated Statements of Operations included in Part I, Item 1 of this Quarterly Report on Form 10-Q.</w:t>
      </w:r>
    </w:p>
    <w:p>
      <w:pPr>
        <w:spacing w:after="0" w:line="144"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General and administrative expenses consist primarily of personnel-related expenses for our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credit losses, and other corporate expenses, including acquisition and integration expenses. Such expenses primarily include external legal, accounting, valuation, and due diligence costs, advisory and other professional services fees necessary to integrate acquired businesses.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171"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Depreciation and amortization expense includes depreciation on property and equipment and leasehold improvements, as well as the amortization of internal-use software costs and intangible assets.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income consists primarily of interest income earned on our cash and cash equivalents.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consists primarily of the interest expense on our borrowings.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7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Other income (expense), net, primarily includes foreign currency exchange gains and losses due to remeasurement of certain foreign currency denominated monetary assets and liabilities.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7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Provision for income taxes consists primarily of income taxes in certain foreign jurisdictions in which we conduct business and state income taxes in the United States. We maintain a full valuation allowance for U.S. deferred tax assets. We expect to maintain this full valuation allowance in the United States for the foreseeable future as it is more likely than not that the assets will not be realized based on our history of losses.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and nine months ended September 30, 2025 and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together with the dollar and percentage change for the three and nine months ended September 30, 2025 and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7"/>
                <w:szCs w:val="17"/>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06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5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0" w:type="dxa"/>
            <w:vAlign w:val="bottom"/>
          </w:tcPr>
          <w:p>
            <w:pPr>
              <w:spacing w:after="0"/>
              <w:rPr>
                <w:sz w:val="1"/>
                <w:szCs w:val="1"/>
                <w:color w:val="auto"/>
              </w:rPr>
            </w:pPr>
          </w:p>
        </w:tc>
      </w:tr>
      <w:tr>
        <w:trPr>
          <w:trHeight w:val="37"/>
        </w:trPr>
        <w:tc>
          <w:tcPr>
            <w:tcW w:w="35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419,494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336,527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82,967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1,192,970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912,068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280,902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0" w:type="dxa"/>
            <w:vAlign w:val="bottom"/>
          </w:tcPr>
          <w:p>
            <w:pPr>
              <w:spacing w:after="0"/>
              <w:rPr>
                <w:sz w:val="1"/>
                <w:szCs w:val="1"/>
                <w:color w:val="auto"/>
              </w:rPr>
            </w:pPr>
          </w:p>
        </w:tc>
      </w:tr>
      <w:tr>
        <w:trPr>
          <w:trHeight w:val="173"/>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Costs and expenses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expenses</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146,725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115,554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31,171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411,874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313,215</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98,659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0" w:type="dxa"/>
            <w:vAlign w:val="bottom"/>
          </w:tcPr>
          <w:p>
            <w:pPr>
              <w:spacing w:after="0"/>
              <w:rPr>
                <w:sz w:val="1"/>
                <w:szCs w:val="1"/>
                <w:color w:val="auto"/>
              </w:rPr>
            </w:pPr>
          </w:p>
        </w:tc>
      </w:tr>
      <w:tr>
        <w:trPr>
          <w:trHeight w:val="173"/>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support and operations</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Marketing</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91,778</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74,792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250,103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219,862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30,241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0" w:type="dxa"/>
            <w:vAlign w:val="bottom"/>
          </w:tcPr>
          <w:p>
            <w:pPr>
              <w:spacing w:after="0"/>
              <w:rPr>
                <w:sz w:val="1"/>
                <w:szCs w:val="1"/>
                <w:color w:val="auto"/>
              </w:rPr>
            </w:pPr>
          </w:p>
        </w:tc>
      </w:tr>
      <w:tr>
        <w:trPr>
          <w:trHeight w:val="173"/>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Technology and development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231,768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55,973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50,920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168,383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140,982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27,401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0" w:type="dxa"/>
            <w:vAlign w:val="bottom"/>
          </w:tcPr>
          <w:p>
            <w:pPr>
              <w:spacing w:after="0"/>
              <w:rPr>
                <w:sz w:val="1"/>
                <w:szCs w:val="1"/>
                <w:color w:val="auto"/>
              </w:rPr>
            </w:pPr>
          </w:p>
        </w:tc>
      </w:tr>
      <w:tr>
        <w:trPr>
          <w:trHeight w:val="173"/>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48 %</w:t>
            </w:r>
          </w:p>
        </w:tc>
        <w:tc>
          <w:tcPr>
            <w:tcW w:w="0" w:type="dxa"/>
            <w:vAlign w:val="bottom"/>
          </w:tcPr>
          <w:p>
            <w:pPr>
              <w:spacing w:after="0"/>
              <w:rPr>
                <w:sz w:val="1"/>
                <w:szCs w:val="1"/>
                <w:color w:val="auto"/>
              </w:rPr>
            </w:pPr>
          </w:p>
        </w:tc>
      </w:tr>
      <w:tr>
        <w:trPr>
          <w:trHeight w:val="30"/>
        </w:trPr>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costs and expenses</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407,717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336,159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71,558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1,154,317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947,415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206,902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0" w:type="dxa"/>
            <w:vAlign w:val="bottom"/>
          </w:tcPr>
          <w:p>
            <w:pPr>
              <w:spacing w:after="0"/>
              <w:rPr>
                <w:sz w:val="1"/>
                <w:szCs w:val="1"/>
                <w:color w:val="auto"/>
              </w:rPr>
            </w:pPr>
          </w:p>
        </w:tc>
      </w:tr>
      <w:tr>
        <w:trPr>
          <w:trHeight w:val="166"/>
        </w:trPr>
        <w:tc>
          <w:tcPr>
            <w:tcW w:w="3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11,777</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11,409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38,653</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(35,347)</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3"/>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(5,065)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123 %</w:t>
            </w: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(4,023)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167"/>
        </w:trPr>
        <w:tc>
          <w:tcPr>
            <w:tcW w:w="3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Income (loss) before provision for income taxes</w:t>
            </w: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12,423</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3,767</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35,479</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(25,116)</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60,595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8,762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0" w:type="dxa"/>
            <w:vAlign w:val="bottom"/>
          </w:tcPr>
          <w:p>
            <w:pPr>
              <w:spacing w:after="0"/>
              <w:rPr>
                <w:sz w:val="1"/>
                <w:szCs w:val="1"/>
                <w:color w:val="auto"/>
              </w:rPr>
            </w:pPr>
          </w:p>
        </w:tc>
      </w:tr>
      <w:tr>
        <w:trPr>
          <w:trHeight w:val="195"/>
        </w:trPr>
        <w:tc>
          <w:tcPr>
            <w:tcW w:w="3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Net income (loss)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8,829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6,912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361 %</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26,717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(31,254)</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0" w:type="dxa"/>
            <w:vAlign w:val="bottom"/>
          </w:tcPr>
          <w:p>
            <w:pPr>
              <w:spacing w:after="0"/>
              <w:rPr>
                <w:sz w:val="1"/>
                <w:szCs w:val="1"/>
                <w:color w:val="auto"/>
              </w:rPr>
            </w:pPr>
          </w:p>
        </w:tc>
      </w:tr>
      <w:tr>
        <w:trPr>
          <w:trHeight w:val="22"/>
        </w:trPr>
        <w:tc>
          <w:tcPr>
            <w:tcW w:w="3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discussion and analysis is for the three and nine months ended September 30, 2025, compared to the same periods in 2024.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7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Revenue increased 25%, or $83.0 million, and 31%, or $280.9 million, for the three and nine months ended September 30, 2025, respectively, compared to the three and nine months ended September 30, 2024. The increase was primarily driven by a 21% increase in active customers period over period, continued strength in the retention of existing customers, favorable customer behavior based on foreign currency movement, and a continued mix shift trending towards digital disbursements. Revenue derived from each transaction varies based on a number of attributes, including the funding method chosen by the customer, the size of the transaction, the currency to be ultimately disbursed, the rate at which the currency was purchased, the disbursement method chosen by the customer, and the country to which the funds were transferred.</w:t>
      </w:r>
    </w:p>
    <w:p>
      <w:pPr>
        <w:spacing w:after="0" w:line="126"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As a reflection of this growth, send volume increased 35% and 38% to $19.5 billion and $54.2 billion for the three and nine months ended September 30, 2025, respectively, as compared to $14.5 billion and $39.2 billion for the three and nine months ended September 30, 2024,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 Expenses</w:t>
      </w:r>
    </w:p>
    <w:p>
      <w:pPr>
        <w:spacing w:after="0" w:line="18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Transaction expenses increased $31.2 million, or 27%, to $146.7 million for the three months ended September 30, 2025, compared to $115.6 million for the three months ended September 30, 2024. The increase was primarily due to a $21.0 million, or 23%, increase in direct costs associated with processing a higher volume of our customers’ remittance transactions and the disbursement of our customers’ funds to their recipients, and an $8.4 million increase in our provision for transaction and other losses.</w:t>
      </w:r>
    </w:p>
    <w:p>
      <w:pPr>
        <w:spacing w:after="0" w:line="13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Transaction expenses increased $98.7 million, or 31%, to $411.9 million for the nine months ended September 30, 2025, compared to $313.2 million for the nine months ended September 30, 2024. The increase was primarily due to a $67.5 million, or 27%, increase in direct costs associated with processing a higher volume of our customers’ remittance transactions and the disbursement of our customers’ funds to their recipients, and a $26.0 million increase in our provision for transaction and other losses.</w:t>
      </w:r>
    </w:p>
    <w:p>
      <w:pPr>
        <w:spacing w:after="0" w:line="138"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As a percentage of revenue, transaction expenses increased to 35% for both the three and nine months ended September 30, 2025, compared to 34% for both the three and nine months ended September 30,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Customer Support and Operations Expenses</w:t>
      </w:r>
    </w:p>
    <w:p>
      <w:pPr>
        <w:spacing w:after="0" w:line="17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Customer support and operations expenses increased $4.6 million, or 21%, for the three months ended September 30, 2025, compared to the three months ended September 30, 2024. The increase was primarily driven by a $3.1 million increase in personnel-related costs compared to the three months ended September 30, 2024.</w:t>
      </w:r>
    </w:p>
    <w:p>
      <w:pPr>
        <w:spacing w:after="0" w:line="12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Customer support and operations expenses increased $12.1 million, or 20%, for the nine months ended September 30, 2025, compared to the nine months ended September 30, 2024. The increase was primarily driven by an $8.5 million increase in personnel-related costs compared to the nine months ended September 30, 2024.</w:t>
      </w:r>
    </w:p>
    <w:p>
      <w:pPr>
        <w:spacing w:after="0" w:line="124"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6"/>
          <w:szCs w:val="16"/>
          <w:color w:val="auto"/>
        </w:rPr>
        <w:t>As a percentage of revenue, customer support and operations expenses decreased to 6% for both the three and nine months ended September 30, 2025, compared to 7% for both the three and nine months ended September 30, 2024. The decrease was primarily due to process improvements and automation across customer support headcount at internal and third-party customer support sites.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Marketing Expenses</w:t>
      </w:r>
    </w:p>
    <w:p>
      <w:pPr>
        <w:spacing w:after="0" w:line="17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Marketing expenses increased $17.0 million, or 23%, for the three months ended September 30, 2025, compared to the three months ended September 30, 2024, primarily due to an increase of $13.3 million in advertising expense and other targeted marketing expense, including online and offline marketing spend and promotion costs to acquire new customers. In addition, the increase was driven by a $1.3 million increase in personnel-related costs compared to the three months ended September 30, 2024.</w:t>
      </w:r>
    </w:p>
    <w:p>
      <w:pPr>
        <w:spacing w:after="0" w:line="11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Marketing expenses increased $30.2 million, or 14%, for the nine months ended September 30, 2025, compared to the nine months ended September 30, 2024, primarily due to an increase of $20.6 million in advertising expense and other targeted marketing expense, including online and offline marketing spend and promotion costs to acquire new customers. In addition, the increase was driven by a $4.9 million increase in personnel-related costs compared to the nine months ended September 30, 2024.</w:t>
      </w:r>
    </w:p>
    <w:p>
      <w:pPr>
        <w:spacing w:after="0" w:line="130"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As a percentage of revenue, marketing expenses were 22% and 21% for the three and nine months ended September 30, 2025, respectively, compared to 22% and 24% for the three and nine months ended September 30, 2024, respectively. The decrease was primarily due to efficiencies in digital and brand marketing.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Technology and Development Expenses</w:t>
      </w:r>
    </w:p>
    <w:p>
      <w:pPr>
        <w:spacing w:after="0" w:line="17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Technology and development expenses increased $12.0 million, or 17%, for the three months ended September 30, 2025, compared to the three months ended September 30, 2024. The increase was driven by $8.7 million in personnel-related expenses, net of amounts capitalized as internal-use software. The increase in technology and development expense was also driven by a $2.1 million increase in software costs for cloud services to support incremental transaction volume.</w:t>
      </w:r>
    </w:p>
    <w:p>
      <w:pPr>
        <w:spacing w:after="0" w:line="13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Technology and development expenses increased $32.6 million, or 16%, for the nine months ended September 30, 2025, compared to the nine months ended September 30, 2024. The increase was driven by $23.5 million in personnel-related expenses, net of amounts capitalized as internal-use software. The increase in technology and development expense was also driven by a $4.9 million increase in software costs for cloud services to support incremental transaction volume.</w:t>
      </w:r>
    </w:p>
    <w:p>
      <w:pPr>
        <w:spacing w:after="0" w:line="13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As a percentage of revenue, technology and development expenses decreased to 19% for both the three and nine months ended September 30, 2025, respectively, from 20% and 22% for the three and nine months ended September 30, 2024, as we benefited from increasing efficiencies.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71"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6"/>
          <w:szCs w:val="16"/>
          <w:color w:val="auto"/>
        </w:rPr>
        <w:t>General and administrative expenses increased $5.1 million, or 10%, for the three months ended September 30, 2025, compared to the three months ended September 30, 2024. The increase was driven by a $2.3 million increase in provisions related to collectability of amounts due from certain processing partners, as well as a $0.5 million increase in personnel-related expenses.</w:t>
      </w:r>
    </w:p>
    <w:p>
      <w:pPr>
        <w:spacing w:after="0" w:line="117"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16"/>
          <w:szCs w:val="16"/>
          <w:color w:val="auto"/>
        </w:rPr>
        <w:t>General and administrative expenses increased $27.4 million, or 19%, for the nine months ended September 30, 2025, compared to the nine months ended September 30, 2024, primarily due to a $10.2 million increase in provisions related to collectability of amounts due from certain processing partners. The increase in general and administrative expenses was also driven by a $4.7 million increase in personnel-related expenses.</w:t>
      </w:r>
    </w:p>
    <w:p>
      <w:pPr>
        <w:spacing w:after="0" w:line="117" w:lineRule="exact"/>
        <w:rPr>
          <w:sz w:val="20"/>
          <w:szCs w:val="20"/>
          <w:color w:val="auto"/>
        </w:rPr>
      </w:pPr>
    </w:p>
    <w:p>
      <w:pPr>
        <w:jc w:val="both"/>
        <w:ind w:right="280"/>
        <w:spacing w:after="0" w:line="298" w:lineRule="auto"/>
        <w:rPr>
          <w:sz w:val="20"/>
          <w:szCs w:val="20"/>
          <w:color w:val="auto"/>
        </w:rPr>
      </w:pPr>
      <w:r>
        <w:rPr>
          <w:rFonts w:ascii="Times New Roman" w:cs="Times New Roman" w:eastAsia="Times New Roman" w:hAnsi="Times New Roman"/>
          <w:sz w:val="16"/>
          <w:szCs w:val="16"/>
          <w:color w:val="auto"/>
        </w:rPr>
        <w:t>As a percentage of revenue, general and administrative expenses decreased to 13% and 14% for the three and nine months ended September 30, 2025, respectively, from 15% for both the three and nine months ended September 30, 2024, respectively, as we continue to leverage scale in our general and administrative functions.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171" w:lineRule="exact"/>
        <w:rPr>
          <w:sz w:val="20"/>
          <w:szCs w:val="20"/>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Depreciation and amortization increased $1.8 million and $5.9 million, or 38% and 48%, respectively, for the three and nine months ended September 30, 2025, compared to the three and nine months ended September 30, 2024. The increase is primarily driven by an increase in amortization of intangibles and internal-use software.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Income</w:t>
      </w:r>
    </w:p>
    <w:p>
      <w:pPr>
        <w:spacing w:after="0" w:line="185"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Interest income increased by an immaterial amount and decreased $0.3 million for the three and nine months ended September 30, 2025, respectively, compared to the three and nine months ended September 30, 2024. This is primarily driven by increases and decreases on average invested balances throughout the periods.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w:t>
      </w:r>
    </w:p>
    <w:p>
      <w:pPr>
        <w:spacing w:after="0" w:line="18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Interest expense increased $1.4 million and $2.8 million for the three and nine months ended September 30, 2025, respectively, compared to the three and nine months ended September 30, 2024, primarily due to draws on the 2021 Revolving Credit Facility and the 2025 Revolving Credit Facility.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71"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16"/>
          <w:szCs w:val="16"/>
          <w:color w:val="auto"/>
        </w:rPr>
        <w:t>Other income (expense), net is primarily driven by unrealized losses and gains on foreign exchange remeasurements of certain foreign currency denominated monetary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171" w:lineRule="exact"/>
        <w:rPr>
          <w:sz w:val="20"/>
          <w:szCs w:val="20"/>
          <w:color w:val="auto"/>
        </w:rPr>
      </w:pPr>
    </w:p>
    <w:p>
      <w:pPr>
        <w:jc w:val="both"/>
        <w:ind w:right="280"/>
        <w:spacing w:after="0" w:line="272" w:lineRule="auto"/>
        <w:rPr>
          <w:sz w:val="20"/>
          <w:szCs w:val="20"/>
          <w:color w:val="auto"/>
        </w:rPr>
      </w:pPr>
      <w:r>
        <w:rPr>
          <w:rFonts w:ascii="Times New Roman" w:cs="Times New Roman" w:eastAsia="Times New Roman" w:hAnsi="Times New Roman"/>
          <w:sz w:val="16"/>
          <w:szCs w:val="16"/>
          <w:color w:val="auto"/>
        </w:rPr>
        <w:t>The provision for income taxes increased $1.7 million and $2.6 million for the three and nine months ended September 30, 2025, respectively, compared to the three and nine months ended September 30, 2024. The increases in both the three and nine months ended September 30, 2025 are primarily due to higher taxable income in certain foreign jurisdictions.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8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6"/>
          <w:szCs w:val="16"/>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6"/>
          <w:szCs w:val="16"/>
          <w:color w:val="auto"/>
        </w:rPr>
        <w:t>We use Adjusted EBITDA, a non-GAAP financial measure to supplement net income (loss). Adjusted EBITDA is calculated as net income (loss) adjusted by (i) interest (income) expense, net; (ii) provision for income taxes; (iii) noncash charges of depreciation and amortization; (iv) other income (expense), net; (v) noncash charges associated with our donation of common stock in connection with our Pledge 1% commitment; (vi) noncash stock-based compensation expense, net; (vii) payroll taxes related to stock-based compensation expense, net; and (viii) certain integration, restructuring, and other costs.</w:t>
      </w:r>
    </w:p>
    <w:p>
      <w:pPr>
        <w:spacing w:after="0" w:line="139"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Adjusted EBITDA is a key output measure used by our management to evaluate our operating performance, inform future operating plans, and make strategic long-term decisions, including those relating to operating expenses and the allocation of internal resources.</w:t>
      </w:r>
    </w:p>
    <w:p>
      <w:pPr>
        <w:spacing w:after="0" w:line="111" w:lineRule="exact"/>
        <w:rPr>
          <w:sz w:val="20"/>
          <w:szCs w:val="20"/>
          <w:color w:val="auto"/>
        </w:rPr>
      </w:pPr>
    </w:p>
    <w:p>
      <w:pPr>
        <w:ind w:right="760"/>
        <w:spacing w:after="0" w:line="298" w:lineRule="auto"/>
        <w:rPr>
          <w:sz w:val="20"/>
          <w:szCs w:val="20"/>
          <w:color w:val="auto"/>
        </w:rPr>
      </w:pPr>
      <w:r>
        <w:rPr>
          <w:rFonts w:ascii="Times New Roman" w:cs="Times New Roman" w:eastAsia="Times New Roman" w:hAnsi="Times New Roman"/>
          <w:sz w:val="16"/>
          <w:szCs w:val="16"/>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97" w:lineRule="exact"/>
        <w:rPr>
          <w:sz w:val="20"/>
          <w:szCs w:val="20"/>
          <w:color w:val="auto"/>
        </w:rPr>
      </w:pPr>
    </w:p>
    <w:p>
      <w:pPr>
        <w:ind w:left="660" w:right="480" w:hanging="328"/>
        <w:spacing w:after="0" w:line="290"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changes in, or cash requirements for, our working capital needs;</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the effect of income taxes that may represent a reduction in cash available to us;</w:t>
      </w:r>
    </w:p>
    <w:p>
      <w:pPr>
        <w:spacing w:after="0" w:line="72" w:lineRule="exact"/>
        <w:rPr>
          <w:rFonts w:ascii="Times New Roman" w:cs="Times New Roman" w:eastAsia="Times New Roman" w:hAnsi="Times New Roman"/>
          <w:sz w:val="16"/>
          <w:szCs w:val="16"/>
          <w:color w:val="auto"/>
        </w:rPr>
      </w:pPr>
    </w:p>
    <w:p>
      <w:pPr>
        <w:ind w:left="660" w:right="480" w:hanging="328"/>
        <w:spacing w:after="0" w:line="280"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does not reflect the changes in other income (expense), net, primarily driven by the effect of gains and losses from the remeasurement of foreign currency assets and liabilities into their functional currency;</w:t>
      </w:r>
    </w:p>
    <w:p>
      <w:pPr>
        <w:spacing w:after="0" w:line="2" w:lineRule="exact"/>
        <w:rPr>
          <w:rFonts w:ascii="Times New Roman" w:cs="Times New Roman" w:eastAsia="Times New Roman" w:hAnsi="Times New Roman"/>
          <w:sz w:val="16"/>
          <w:szCs w:val="16"/>
          <w:color w:val="auto"/>
        </w:rPr>
      </w:pPr>
    </w:p>
    <w:p>
      <w:pPr>
        <w:ind w:left="660" w:right="20" w:hanging="328"/>
        <w:spacing w:after="0" w:line="290"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noncash charges associated with the donation of our common stock in connection with our Pledge 1% commitment, which is recorded in general and administrative expenses;</w:t>
      </w:r>
    </w:p>
    <w:p>
      <w:pPr>
        <w:ind w:left="660" w:right="120" w:hanging="328"/>
        <w:spacing w:after="0" w:line="263"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stock-based compensation expense, net and payroll taxes related to stock-based compensation expense, net. These charges have recently been, and will continue to be for the foreseeable future, significant recurring expenses for our business as they are an important part of our compensation strategy; however, they are not directly linked to the current period’s operational performance. Additionally, payroll taxes related to stock-based compensation expense, net are outside of our direct control;</w:t>
      </w:r>
    </w:p>
    <w:p>
      <w:pPr>
        <w:spacing w:after="0" w:line="30" w:lineRule="exact"/>
        <w:rPr>
          <w:rFonts w:ascii="Times New Roman" w:cs="Times New Roman" w:eastAsia="Times New Roman" w:hAnsi="Times New Roman"/>
          <w:sz w:val="16"/>
          <w:szCs w:val="16"/>
          <w:color w:val="auto"/>
        </w:rPr>
      </w:pPr>
    </w:p>
    <w:p>
      <w:pPr>
        <w:ind w:left="660" w:right="240" w:hanging="328"/>
        <w:spacing w:after="0" w:line="263"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excludes certain transaction costs related to integration, restructuring, and other costs. The integration costs are primarily related to the acquisition of Rewire (O.S.G.) Research and Development Ltd. (“Rewire”) and primarily include external legal, accounting, valuation, and due diligence costs, advisory and other professional services fees necessary to integrate acquired businesses, and the change in the fair value of the holdback liability as part of the acquisition of Rewire. The restructuring costs are primarily related to severance and other associated costs; and</w:t>
      </w:r>
    </w:p>
    <w:p>
      <w:pPr>
        <w:spacing w:after="0" w:line="17" w:lineRule="exact"/>
        <w:rPr>
          <w:rFonts w:ascii="Times New Roman" w:cs="Times New Roman" w:eastAsia="Times New Roman" w:hAnsi="Times New Roman"/>
          <w:sz w:val="16"/>
          <w:szCs w:val="16"/>
          <w:color w:val="auto"/>
        </w:rPr>
      </w:pPr>
    </w:p>
    <w:p>
      <w:pPr>
        <w:ind w:left="660" w:right="520" w:hanging="328"/>
        <w:spacing w:after="0" w:line="298" w:lineRule="auto"/>
        <w:tabs>
          <w:tab w:leader="none" w:pos="6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companies, including companies in our industry, may calculate Adjusted EBITDA differently from how we calculate this measure or not at all, which reduces its usefulness as a comparative measure.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a reconciliation of net income (loss) to Adjusted EBITDA, the most directly comparable financial measure prepared in accordance with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for each of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9"/>
                <w:szCs w:val="19"/>
                <w:color w:val="auto"/>
              </w:rPr>
            </w:pPr>
          </w:p>
        </w:tc>
        <w:tc>
          <w:tcPr>
            <w:tcW w:w="284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1"/>
                <w:szCs w:val="21"/>
                <w:b w:val="1"/>
                <w:bCs w:val="1"/>
                <w:color w:val="auto"/>
                <w:vertAlign w:val="superscript"/>
              </w:rPr>
              <w:t>(3)</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1"/>
                <w:szCs w:val="21"/>
                <w:b w:val="1"/>
                <w:bCs w:val="1"/>
                <w:color w:val="auto"/>
                <w:vertAlign w:val="superscript"/>
              </w:rPr>
              <w:t>(3)</w:t>
            </w:r>
          </w:p>
        </w:tc>
        <w:tc>
          <w:tcPr>
            <w:tcW w:w="0" w:type="dxa"/>
            <w:vAlign w:val="bottom"/>
          </w:tcPr>
          <w:p>
            <w:pPr>
              <w:spacing w:after="0"/>
              <w:rPr>
                <w:sz w:val="1"/>
                <w:szCs w:val="1"/>
                <w:color w:val="auto"/>
              </w:rPr>
            </w:pPr>
          </w:p>
        </w:tc>
      </w:tr>
      <w:tr>
        <w:trPr>
          <w:trHeight w:val="23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26,717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(31,254)</w:t>
            </w:r>
          </w:p>
        </w:tc>
        <w:tc>
          <w:tcPr>
            <w:tcW w:w="0" w:type="dxa"/>
            <w:vAlign w:val="bottom"/>
          </w:tcPr>
          <w:p>
            <w:pPr>
              <w:spacing w:after="0"/>
              <w:rPr>
                <w:sz w:val="1"/>
                <w:szCs w:val="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 expense, net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w:t>
            </w:r>
          </w:p>
        </w:tc>
        <w:tc>
          <w:tcPr>
            <w:tcW w:w="0" w:type="dxa"/>
            <w:vAlign w:val="bottom"/>
          </w:tcPr>
          <w:p>
            <w:pPr>
              <w:spacing w:after="0"/>
              <w:rPr>
                <w:sz w:val="1"/>
                <w:szCs w:val="1"/>
                <w:color w:val="auto"/>
              </w:rPr>
            </w:pPr>
          </w:p>
        </w:tc>
      </w:tr>
      <w:tr>
        <w:trPr>
          <w:trHeight w:val="233"/>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6,138</w:t>
            </w:r>
          </w:p>
        </w:tc>
        <w:tc>
          <w:tcPr>
            <w:tcW w:w="0" w:type="dxa"/>
            <w:vAlign w:val="bottom"/>
          </w:tcPr>
          <w:p>
            <w:pPr>
              <w:spacing w:after="0"/>
              <w:rPr>
                <w:sz w:val="1"/>
                <w:szCs w:val="1"/>
                <w:color w:val="auto"/>
              </w:rPr>
            </w:pPr>
          </w:p>
        </w:tc>
      </w:tr>
      <w:tr>
        <w:trPr>
          <w:trHeight w:val="253"/>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12,240</w:t>
            </w:r>
          </w:p>
        </w:tc>
        <w:tc>
          <w:tcPr>
            <w:tcW w:w="0" w:type="dxa"/>
            <w:vAlign w:val="bottom"/>
          </w:tcPr>
          <w:p>
            <w:pPr>
              <w:spacing w:after="0"/>
              <w:rPr>
                <w:sz w:val="1"/>
                <w:szCs w:val="1"/>
                <w:color w:val="auto"/>
              </w:rPr>
            </w:pPr>
          </w:p>
        </w:tc>
      </w:tr>
      <w:tr>
        <w:trPr>
          <w:trHeight w:val="233"/>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0" w:type="dxa"/>
            <w:vAlign w:val="bottom"/>
          </w:tcPr>
          <w:p>
            <w:pPr>
              <w:spacing w:after="0"/>
              <w:rPr>
                <w:sz w:val="1"/>
                <w:szCs w:val="1"/>
                <w:color w:val="auto"/>
              </w:rPr>
            </w:pPr>
          </w:p>
        </w:tc>
      </w:tr>
      <w:tr>
        <w:trPr>
          <w:trHeight w:val="253"/>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Donation of common stock</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0" w:type="dxa"/>
            <w:vAlign w:val="bottom"/>
          </w:tcPr>
          <w:p>
            <w:pPr>
              <w:spacing w:after="0"/>
              <w:rPr>
                <w:sz w:val="1"/>
                <w:szCs w:val="1"/>
                <w:color w:val="auto"/>
              </w:rPr>
            </w:pPr>
          </w:p>
        </w:tc>
      </w:tr>
      <w:tr>
        <w:trPr>
          <w:trHeight w:val="233"/>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113,832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110,523</w:t>
            </w:r>
          </w:p>
        </w:tc>
        <w:tc>
          <w:tcPr>
            <w:tcW w:w="0" w:type="dxa"/>
            <w:vAlign w:val="bottom"/>
          </w:tcPr>
          <w:p>
            <w:pPr>
              <w:spacing w:after="0"/>
              <w:rPr>
                <w:sz w:val="1"/>
                <w:szCs w:val="1"/>
                <w:color w:val="auto"/>
              </w:rPr>
            </w:pPr>
          </w:p>
        </w:tc>
      </w:tr>
      <w:tr>
        <w:trPr>
          <w:trHeight w:val="253"/>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Payroll taxes related to stock-based compensation expense, net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w:t>
            </w:r>
          </w:p>
        </w:tc>
        <w:tc>
          <w:tcPr>
            <w:tcW w:w="0" w:type="dxa"/>
            <w:vAlign w:val="bottom"/>
          </w:tcPr>
          <w:p>
            <w:pPr>
              <w:spacing w:after="0"/>
              <w:rPr>
                <w:sz w:val="1"/>
                <w:szCs w:val="1"/>
                <w:color w:val="auto"/>
              </w:rPr>
            </w:pPr>
          </w:p>
        </w:tc>
      </w:tr>
      <w:tr>
        <w:trPr>
          <w:trHeight w:val="243"/>
        </w:trPr>
        <w:tc>
          <w:tcPr>
            <w:tcW w:w="5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Integration, restructuring, and other costs</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r>
        <w:trPr>
          <w:trHeight w:val="262"/>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61,181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183,606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0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right="160" w:firstLine="8"/>
        <w:spacing w:after="0" w:line="259" w:lineRule="auto"/>
        <w:tabs>
          <w:tab w:leader="none" w:pos="145"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Refer to Note 11. </w:t>
      </w:r>
      <w:r>
        <w:rPr>
          <w:rFonts w:ascii="Times New Roman" w:cs="Times New Roman" w:eastAsia="Times New Roman" w:hAnsi="Times New Roman"/>
          <w:sz w:val="13"/>
          <w:szCs w:val="13"/>
          <w:i w:val="1"/>
          <w:iCs w:val="1"/>
          <w:color w:val="auto"/>
        </w:rPr>
        <w:t>Common Stock</w:t>
      </w:r>
      <w:r>
        <w:rPr>
          <w:rFonts w:ascii="Times New Roman" w:cs="Times New Roman" w:eastAsia="Times New Roman" w:hAnsi="Times New Roman"/>
          <w:sz w:val="13"/>
          <w:szCs w:val="13"/>
          <w:color w:val="auto"/>
        </w:rPr>
        <w:t xml:space="preserve"> within the notes to the condensed consolidated financial statements included in Part I, Item 1 of this Quarterly Report on Form 10-Q for further detail on the donation of common stock.</w:t>
      </w:r>
    </w:p>
    <w:p>
      <w:pPr>
        <w:spacing w:after="0" w:line="25" w:lineRule="exact"/>
        <w:rPr>
          <w:rFonts w:ascii="Times New Roman" w:cs="Times New Roman" w:eastAsia="Times New Roman" w:hAnsi="Times New Roman"/>
          <w:sz w:val="17"/>
          <w:szCs w:val="17"/>
          <w:color w:val="auto"/>
          <w:vertAlign w:val="superscript"/>
        </w:rPr>
      </w:pPr>
    </w:p>
    <w:p>
      <w:pPr>
        <w:jc w:val="both"/>
        <w:ind w:right="320" w:firstLine="8"/>
        <w:spacing w:after="0" w:line="337" w:lineRule="auto"/>
        <w:tabs>
          <w:tab w:leader="none" w:pos="132" w:val="left"/>
        </w:tabs>
        <w:numPr>
          <w:ilvl w:val="0"/>
          <w:numId w:val="2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Integration, restructuring, and other costs for the three and nine months ended September 30, 2025 consisted primarily of non-recurring termination benefits. Integration, restructuring, and other costs for the nine months ended September 30, 2024 consisted primarily of $0.8 million in restructuring charges incurred, $0.5 million of non-recurring legal charges, and $0.2 million related to the change in the fair value of the holdback liability associated with the acquisition of Rewire.</w:t>
      </w:r>
    </w:p>
    <w:p>
      <w:pPr>
        <w:spacing w:after="0" w:line="147" w:lineRule="exact"/>
        <w:rPr>
          <w:rFonts w:ascii="Times New Roman" w:cs="Times New Roman" w:eastAsia="Times New Roman" w:hAnsi="Times New Roman"/>
          <w:sz w:val="15"/>
          <w:szCs w:val="15"/>
          <w:color w:val="auto"/>
          <w:vertAlign w:val="superscript"/>
        </w:rPr>
      </w:pPr>
    </w:p>
    <w:p>
      <w:pPr>
        <w:ind w:right="40" w:firstLine="8"/>
        <w:spacing w:after="0" w:line="270" w:lineRule="auto"/>
        <w:tabs>
          <w:tab w:leader="none" w:pos="145" w:val="left"/>
        </w:tabs>
        <w:numPr>
          <w:ilvl w:val="0"/>
          <w:numId w:val="2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previously announced on February 19, 2025, our presentation of Adjusted EBITDA now excludes the impact of payroll taxes related to stock-based compensation expense, net. Prior period Adjusted EBITDA has been recast to reflect this change.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 and Material Future Cash Requirements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As of September 30, 2025 and December 31, 2024, our principal sources of liquidity were cash and cash equivalents of $476.9 million and $368.1 million, respectively, as well as funds available under the 2021 Revolving Credit Facility and the 2025 Revolving Credit Facility, which we entered into in September 2021 and June 2025, respectively. The 2021 Revolving Credit Facility was amended in December 2023 to increase the revolving commitments from $250.0 million (including a $60.0 million letter of credit sub-facility) to $325.0 million, and was replaced in June 2025 with the 2025 Revolving Credit Facility, which increased the revolving commitments to $550.0 million (including a $200.0 million letter of credit sub-facility). We have historically financed our operations and capital expenditures primarily through cash generated from operations, including from transaction fees and foreign exchange spreads. In recent periods, we have supplemented those cash flows with borrowings on our 2021 Revolving Credit Facility and 2025 Revolving Credit Facility, primarily to support customer transaction volumes during peak periods and weekends, which we expect to continue to do in the future. During the nine months ended September 30, 2025 and 2024, the average term of outstanding borrowings under our 2021 Revolving Credit Facility and 2025 Revolving Credit Facility was approximately four days. Operations continue to be substantially funded by the existing cash we have on hand and ongoing utilization of the 2021 Revolving Credit Facility and 2025 Revolving Credit Facility (including the letter of credit sub-facility). During the nine months ended September 30, 2025, we cumulatively borrowed and repaid $4.1 billion against these credit facilities. As of September 30, 2025, we had no outstanding borrowings under the 2025 Revolving Credit Facility. As of September 30, 2025, we had unused borrowing capacity of $484.6 million.</w:t>
      </w:r>
    </w:p>
    <w:p>
      <w:pPr>
        <w:spacing w:after="0" w:line="1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6"/>
          <w:szCs w:val="16"/>
          <w:color w:val="auto"/>
        </w:rPr>
        <w:t>In July 2025, our board of directors approved a share repurchase program that provides for the repurchase of up to an aggregate of $200 million of our outstanding common stock. The program allows for share repurchases through open market transactions, in privately negotiated transactions, or by other means, in accordance with applicable securities laws and other restrictions, but does not obligate us to acquire any amount of common stock. The timing and total amount of share repurchases will be determined by us in our discretion and will depend on a variety of factors, including business, economic and market conditions, corporate and regulatory requirements, prevailing stock prices, alternative investment opportunities, and other considerations. During the three months ended September 30, 2025, we repurchased $11.9 million of our common stock in open market transactions.</w:t>
      </w:r>
    </w:p>
    <w:p>
      <w:pPr>
        <w:spacing w:after="0" w:line="141" w:lineRule="exact"/>
        <w:rPr>
          <w:sz w:val="20"/>
          <w:szCs w:val="20"/>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We believe that our cash, cash equivalents, and funds available under the 2025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and other strategic investments. Furthermore, certain jurisdictions where we operate require us to hold eligible liquid assets, based on regulatory or legal requirements, equal to the aggregate amount of all customer balances that have not yet been disbursed.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which are generally entered into in the ordinary course of business, and that can include minimum purchase quantities, requiring us to utilize cash on hand to fulfill these amounts. Refer to “Contractual Obligations and Commitments” discussed further below.</w:t>
      </w:r>
    </w:p>
    <w:p>
      <w:pPr>
        <w:spacing w:after="0" w:line="13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a summary of our Condensed Consolidated Statements of Cash Flows for the periods presented:</w:t>
      </w:r>
    </w:p>
    <w:p>
      <w:pPr>
        <w:spacing w:after="0" w:line="21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30480</wp:posOffset>
            </wp:positionV>
            <wp:extent cx="2040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activities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175,464</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138,850</w:t>
            </w:r>
          </w:p>
        </w:tc>
      </w:tr>
      <w:tr>
        <w:trPr>
          <w:trHeight w:val="25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Investing activities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(12,480)</w:t>
            </w: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Financing activities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(128,899)</w:t>
            </w:r>
          </w:p>
        </w:tc>
      </w:tr>
      <w:tr>
        <w:trPr>
          <w:trHeight w:val="246"/>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3,941</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108,646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Changes in our operating cash flows are heavily impacted by the timing of customer transactions and, in particular, the day of the week that the quarter end falls on, including holidays and long weekends. For example, we generally have higher prefunding amounts if the quarter closes on a weekend or in advance of a long weekend, such as a holiday, which creates variability in customer transaction-related balances period over period and can reduce our cash position at a particular point in time. These balances within our Condensed Consolidated Statements of Cash Flows include disbursement prefunding, customer funds receivable, customer liabilities, and trade settlement liability which is included within the line item ‘</w:t>
      </w:r>
      <w:r>
        <w:rPr>
          <w:rFonts w:ascii="Times New Roman" w:cs="Times New Roman" w:eastAsia="Times New Roman" w:hAnsi="Times New Roman"/>
          <w:sz w:val="16"/>
          <w:szCs w:val="16"/>
          <w:i w:val="1"/>
          <w:iCs w:val="1"/>
          <w:color w:val="auto"/>
        </w:rPr>
        <w:t>Accrued expenses and other liabilities.</w:t>
      </w:r>
      <w:r>
        <w:rPr>
          <w:rFonts w:ascii="Times New Roman" w:cs="Times New Roman" w:eastAsia="Times New Roman" w:hAnsi="Times New Roman"/>
          <w:sz w:val="16"/>
          <w:szCs w:val="16"/>
          <w:color w:val="auto"/>
        </w:rPr>
        <w:t>’</w:t>
      </w:r>
    </w:p>
    <w:p>
      <w:pPr>
        <w:spacing w:after="0" w:line="14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6"/>
          <w:szCs w:val="16"/>
          <w:color w:val="auto"/>
        </w:rPr>
        <w:t>For the nine months ended September 30, 2025, net cash provided by operating activities was $175.5 million, which was primarily driven by timing impacts of current growth in our global network. Specifically, as a result of timing, we saw a decrease in cash flow due to customer funds working capital changes of $38.0 million related to combined customer funds receivable, customer liabilities, disbursement prefunding, and trade settlement liability. In addition to these and other changes in working capital, the cash generated from operations reflects the $26.7 million net income for the period exclusive of the $142.0 million of noncash charges.</w:t>
      </w:r>
    </w:p>
    <w:p>
      <w:pPr>
        <w:spacing w:after="0" w:line="125" w:lineRule="exact"/>
        <w:rPr>
          <w:sz w:val="20"/>
          <w:szCs w:val="20"/>
          <w:color w:val="auto"/>
        </w:rPr>
      </w:pPr>
    </w:p>
    <w:p>
      <w:pPr>
        <w:jc w:val="both"/>
        <w:ind w:right="380"/>
        <w:spacing w:after="0" w:line="263" w:lineRule="auto"/>
        <w:rPr>
          <w:sz w:val="20"/>
          <w:szCs w:val="20"/>
          <w:color w:val="auto"/>
        </w:rPr>
      </w:pPr>
      <w:r>
        <w:rPr>
          <w:rFonts w:ascii="Times New Roman" w:cs="Times New Roman" w:eastAsia="Times New Roman" w:hAnsi="Times New Roman"/>
          <w:sz w:val="16"/>
          <w:szCs w:val="16"/>
          <w:color w:val="auto"/>
        </w:rPr>
        <w:t>For the nine months ended September 30, 2024, net cash provided by operating activities was $138.9 million, which was primarily driven by timing impacts of current growth in our global network. Specifically, as a result of both growth and timing, we saw an increase in cash flow related to customer funds working capital changes of $63.8 million related to combined customer funds receivable, customer liabilities, disbursement prefunding, and trade settlement liability. In addition to these and other changes in working capital, the cash generated from operations reflects the $31.3 million net loss for the period exclusive of the $125.6 million of noncash charges.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69"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Cash used in investing activities consists primarily of purchases of property and equipment, net originations from consumer receivables, and the capitalization of internal-use software.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used in investing activities was $51.6 million for the nine months ended September 30, 2025, an increase of $39.1 million, compared to net cash used in investing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activities of $12.5 million for the nine months ended September 30, 2024. This increase was primarily driven by an increase in purchases of property and equipment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$19.9 million, primarily related to leasehold improvements for our corporate headquarters, and $19.2 million in originations from consumer receivables, net of collections.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69"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Cash used in financing activities consists primarily of borrowings on our 2021 Revolving Credit Facility and 2025 Revolving Credit Facility, proceeds from the exercise of stock options, and proceeds from the issuance of common stock in connection with the ESPP, offset by repayments of our 2021 Revolving Credit Facility and 2025 Revolving Credit Facility borrowings, cash paid for taxes related to net share settlement of equity awards, and cash paid for repurchases of common stock.</w:t>
      </w:r>
    </w:p>
    <w:p>
      <w:pPr>
        <w:spacing w:after="0" w:line="13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6"/>
          <w:szCs w:val="16"/>
          <w:color w:val="auto"/>
        </w:rPr>
        <w:t>Net cash used in financing activities for the nine months ended September 30, 2025 was $23.7 million, a decrease of $105.2 million, compared to net cash used in financing activities for the nine months ended September 30, 2024 of $128.9 million. The decrease was primarily driven by a reduction in net repayments on both our 2021 Revolving Credit Facility and our 2025 Revolving Credit Facility of $130.0 million, partially offset by an increase in cash outflows of $22.3 million for taxes related to net share settlement of equity awards and $11.9 million for repurchases of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Obligations and Commitments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w:t>
      </w:r>
    </w:p>
    <w:p>
      <w:pPr>
        <w:spacing w:after="0" w:line="14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During the nine months ended September 30, 2025, other than software, cloud infrastructure (as described below), marketing, compliance-tool related contracts, and leases (as described below) entered into in the normal course of business, there were no other material changes to the contractual obligations and contingencies as disclosed in Note</w:t>
      </w:r>
    </w:p>
    <w:p>
      <w:pPr>
        <w:spacing w:after="0" w:line="1" w:lineRule="exact"/>
        <w:rPr>
          <w:sz w:val="20"/>
          <w:szCs w:val="20"/>
          <w:color w:val="auto"/>
        </w:rPr>
      </w:pPr>
    </w:p>
    <w:p>
      <w:pPr>
        <w:ind w:firstLine="8"/>
        <w:spacing w:after="0" w:line="258" w:lineRule="auto"/>
        <w:tabs>
          <w:tab w:leader="none" w:pos="243"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Commitments and Contingencies </w:t>
      </w:r>
      <w:r>
        <w:rPr>
          <w:rFonts w:ascii="Times New Roman" w:cs="Times New Roman" w:eastAsia="Times New Roman" w:hAnsi="Times New Roman"/>
          <w:sz w:val="16"/>
          <w:szCs w:val="16"/>
          <w:color w:val="auto"/>
        </w:rPr>
        <w:t>and Note 18.</w:t>
      </w:r>
      <w:r>
        <w:rPr>
          <w:rFonts w:ascii="Times New Roman" w:cs="Times New Roman" w:eastAsia="Times New Roman" w:hAnsi="Times New Roman"/>
          <w:sz w:val="16"/>
          <w:szCs w:val="16"/>
          <w:i w:val="1"/>
          <w:iCs w:val="1"/>
          <w:color w:val="auto"/>
        </w:rPr>
        <w:t xml:space="preserve"> Leases </w:t>
      </w:r>
      <w:r>
        <w:rPr>
          <w:rFonts w:ascii="Times New Roman" w:cs="Times New Roman" w:eastAsia="Times New Roman" w:hAnsi="Times New Roman"/>
          <w:sz w:val="16"/>
          <w:szCs w:val="16"/>
          <w:color w:val="auto"/>
        </w:rPr>
        <w:t>in the notes to the consolidated financial statements included in Part II, Item 8 in our Annual Report on Form 10-K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for the year ended December 31, 2024. For further discussion of commitments and contingencies, also refer to Note 15.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in the notes to the condensed consolidated financial statements included in Part I, Item 1 of this Quarterly Report on Form 10-Q</w:t>
      </w:r>
      <w:r>
        <w:rPr>
          <w:rFonts w:ascii="Times New Roman" w:cs="Times New Roman" w:eastAsia="Times New Roman" w:hAnsi="Times New Roman"/>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Purchase Commitments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nine months ended September 30, 2025, we entered into a five-year cloud infrastructure arrangement. For further details on this arrangement, refer to Note 15.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Commitments and Contingencies </w:t>
      </w:r>
      <w:r>
        <w:rPr>
          <w:rFonts w:ascii="Times New Roman" w:cs="Times New Roman" w:eastAsia="Times New Roman" w:hAnsi="Times New Roman"/>
          <w:sz w:val="16"/>
          <w:szCs w:val="16"/>
          <w:color w:val="auto"/>
        </w:rPr>
        <w:t>in the notes to the condensed consolidated financial statements included in Part I, Item 1 of this Quarterly Report on Form 10-Q.</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Leases Commenced in Current Period</w:t>
      </w:r>
    </w:p>
    <w:p>
      <w:pPr>
        <w:spacing w:after="0" w:line="183"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 xml:space="preserve">During the nine months ended September 30, 2025, we entered into lease agreements for our corporate facilities. For further details on these lease agreements, refer to Note 15.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in the notes to the condensed consolidated financial statements included in Part I, Item 1 of this Quarterly Report on Form 10-Q.</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8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As of September 30, 2025, we had no material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consolidated financial statements in our Annual Report on Form 10-K, we elected not to record leases on our Condensed Consolidated Balance Sheets if the lease term is 12 months or less. For further information on our lease arrangements, refer to our Annual Report on Form 10-K for the year ended December 31,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69"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6"/>
          <w:szCs w:val="16"/>
          <w:color w:val="auto"/>
        </w:rPr>
        <w:t>The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Our estimates are based on historical experience and on various other factors that we believe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2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color w:val="auto"/>
        </w:rPr>
        <w:t xml:space="preserve">There have been no material changes, other than as described in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in the notes to the condensed consolidated financial statements included in Part I, Item 1 of this Quarterly Report on Form 10-Q, to the critical accounting policies and estimates as compared to those described in “Management’s Discussion and Analysis of Financial Condition and Results of Operations” set forth in our Annual Report on Form 10-K for the year ended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67"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6"/>
          <w:szCs w:val="16"/>
          <w:color w:val="auto"/>
        </w:rPr>
        <w:t xml:space="preserve">See Note 2. </w:t>
      </w:r>
      <w:r>
        <w:rPr>
          <w:rFonts w:ascii="Times New Roman" w:cs="Times New Roman" w:eastAsia="Times New Roman" w:hAnsi="Times New Roman"/>
          <w:sz w:val="16"/>
          <w:szCs w:val="16"/>
          <w:i w:val="1"/>
          <w:iCs w:val="1"/>
          <w:color w:val="auto"/>
        </w:rPr>
        <w:t>Basis of Presentation and Summary of Significant Accounting Policies</w:t>
      </w:r>
      <w:r>
        <w:rPr>
          <w:rFonts w:ascii="Times New Roman" w:cs="Times New Roman" w:eastAsia="Times New Roman" w:hAnsi="Times New Roman"/>
          <w:sz w:val="16"/>
          <w:szCs w:val="16"/>
          <w:color w:val="auto"/>
        </w:rPr>
        <w:t xml:space="preserve"> in the notes to the condensed consolidated financial statements included in Part I, Item 1 of this Quarterly Report on Form 10-Q for a discussion of recent accounting pronouncements.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69" w:lineRule="exact"/>
        <w:rPr>
          <w:sz w:val="20"/>
          <w:szCs w:val="20"/>
          <w:color w:val="auto"/>
        </w:rPr>
      </w:pPr>
    </w:p>
    <w:p>
      <w:pPr>
        <w:jc w:val="both"/>
        <w:ind w:right="300"/>
        <w:spacing w:after="0" w:line="272" w:lineRule="auto"/>
        <w:rPr>
          <w:sz w:val="20"/>
          <w:szCs w:val="20"/>
          <w:color w:val="auto"/>
        </w:rPr>
      </w:pPr>
      <w:r>
        <w:rPr>
          <w:rFonts w:ascii="Times New Roman" w:cs="Times New Roman" w:eastAsia="Times New Roman" w:hAnsi="Times New Roman"/>
          <w:sz w:val="16"/>
          <w:szCs w:val="16"/>
          <w:color w:val="auto"/>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We partner with pay-in payment providers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our banking partners where we hold assets, and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Exchange Rate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Given the nature of our business, we are exposed to foreign exchange rate risk in a number of ways. Our principal exposure to foreign exchange rate risk includes:</w:t>
      </w:r>
    </w:p>
    <w:p>
      <w:pPr>
        <w:spacing w:after="0" w:line="181" w:lineRule="exact"/>
        <w:rPr>
          <w:sz w:val="20"/>
          <w:szCs w:val="20"/>
          <w:color w:val="auto"/>
        </w:rPr>
      </w:pPr>
    </w:p>
    <w:p>
      <w:pPr>
        <w:ind w:left="660" w:right="60" w:hanging="328"/>
        <w:spacing w:after="0" w:line="26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partially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127" w:lineRule="exact"/>
        <w:rPr>
          <w:rFonts w:ascii="Times New Roman" w:cs="Times New Roman" w:eastAsia="Times New Roman" w:hAnsi="Times New Roman"/>
          <w:sz w:val="16"/>
          <w:szCs w:val="16"/>
          <w:color w:val="auto"/>
        </w:rPr>
      </w:pPr>
    </w:p>
    <w:p>
      <w:pPr>
        <w:ind w:left="660" w:right="40" w:hanging="328"/>
        <w:spacing w:after="0" w:line="260" w:lineRule="auto"/>
        <w:tabs>
          <w:tab w:leader="none" w:pos="64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the majority of our revenue and expenses are denominated in the U.S. dollar, certain of our international operations are conducted in foreign currencies, a significant portion of which occur in Canada.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spacing w:after="0" w:line="1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As of September 30, 2025 and December 31, 2024, a hypothetical uniform 10% strengthening or weakening in the value of the U.S. dollar relative to other currencies in which our net income (loss) was generated would have resulted in a decrease or increase to the fair value of our customer transaction-related assets and liabilities denominated in currencies other than the subsidiaries’ functional currencies of approximately $25.4 million and $17.4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remittance transactions. For example, an increase in the value of a send currency against a receive currency may accelerate the timing or amount of remittances.</w:t>
      </w:r>
    </w:p>
    <w:p>
      <w:pPr>
        <w:spacing w:after="0" w:line="130"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6"/>
          <w:szCs w:val="16"/>
          <w:color w:val="auto"/>
        </w:rPr>
        <w:t>To the extent practicable, we minimize our foreign currency exposures by maintaining natural hedges between our current assets and current liabilities in similarly denominated foreign currencies. We also deploy derivatives and other financial instruments that we use to hedge foreign currency exchange risk, which have not had a material impact on our operations in the period.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7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Based on their evaluation as of September 30, 2025,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8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defined in the Exchange Act Rule 13a-15(f) that occurred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83" w:lineRule="exact"/>
        <w:rPr>
          <w:sz w:val="20"/>
          <w:szCs w:val="20"/>
          <w:color w:val="auto"/>
        </w:rPr>
      </w:pPr>
    </w:p>
    <w:p>
      <w:pPr>
        <w:ind w:right="660"/>
        <w:spacing w:after="0" w:line="280" w:lineRule="auto"/>
        <w:rPr>
          <w:sz w:val="20"/>
          <w:szCs w:val="20"/>
          <w:color w:val="auto"/>
        </w:rPr>
      </w:pPr>
      <w:r>
        <w:rPr>
          <w:rFonts w:ascii="Times New Roman" w:cs="Times New Roman" w:eastAsia="Times New Roman" w:hAnsi="Times New Roman"/>
          <w:sz w:val="16"/>
          <w:szCs w:val="16"/>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 addition to the other information set forth in this Quarterly Report on Form 10-Q, you should carefully consider the factors discussed in Part I, Item 1A, “Risk Factors,” in our Annual Report on Form 10-K for the year ended December 31, 2024, which could materially affect our business, financial condition, operating results, reputation, future prospects, or the trading price of the Company’s stock. Other than the risk factor below, there have been no material changes from the risk factors described in our Annual Report on Form 10-K. These are not the only risks facing the Company. Additional risks and uncertainties that we are unaware of or that we deem immaterial may also become important factors that adversely affect our business.</w:t>
      </w:r>
    </w:p>
    <w:p>
      <w:pPr>
        <w:spacing w:after="0" w:line="12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cannot guarantee that our share repurchase program will be fully consummated or that it will enhance long-term stockholder value. Share repurchases could also affect the trading price of our stock and may reduce working capital.</w:t>
      </w:r>
    </w:p>
    <w:p>
      <w:pPr>
        <w:spacing w:after="0" w:line="11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In August 2025, we announced that our board of directors had approved a share repurchase program that provides for the repurchase of up to an aggregate of $200 million of our outstanding common stock. The timing, method, and total amount of share repurchases will be determined by us at our discretion and will depend on a variety of factors, including business, economic, and market conditions, corporate and regulatory requirements, prevailing stock prices, alternative investment opportunities, and other considerations. The share repurchase program does not expire and may be suspended, discontinued, or modified at any time without notice at our discretion, and the program does not obligate us to acquire any amount of common stock.</w:t>
      </w:r>
    </w:p>
    <w:p>
      <w:pPr>
        <w:spacing w:after="0" w:line="14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6"/>
          <w:szCs w:val="16"/>
          <w:color w:val="auto"/>
        </w:rPr>
        <w:t>Repurchase activity under the program could affect the trading price of our common stock and increase the volatility thereof. We cannot guarantee that the share repurchase program will be fully consummated, and any future announcement of a suspension or discontinuation of the program, or our decision not to utilize the full authorized repurchase amount under the program, may reduce investor confidence and could negatively impact the trading price of our common stock.</w:t>
      </w:r>
    </w:p>
    <w:p>
      <w:pPr>
        <w:spacing w:after="0" w:line="13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There can be no assurance that the share repurchase program will enhance long-term stockholder value, in particular if the trading price of our common stock declines below the levels at which we repurchased such shares. Additionally, short-term share price fluctuations could reduce the number or amount of shares we may ultimately repurchase pursuant to the program and reduce the program’s effectiveness. Furthermore, repurchases under this program will diminish our working capital, which could impact our ability to execute on our business plan.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Sales of Unregistered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Issuer Purchase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 repurchase activity during the three months ended September 30, 2025, was as follows (in thousands, except share and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Purchased Under the Plans or</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Periods</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Per Share</w:t>
            </w:r>
            <w:r>
              <w:rPr>
                <w:rFonts w:ascii="Times New Roman" w:cs="Times New Roman" w:eastAsia="Times New Roman" w:hAnsi="Times New Roman"/>
                <w:sz w:val="21"/>
                <w:szCs w:val="21"/>
                <w:b w:val="1"/>
                <w:bCs w:val="1"/>
                <w:color w:val="auto"/>
                <w:vertAlign w:val="superscript"/>
              </w:rPr>
              <w:t>(1)</w:t>
            </w:r>
          </w:p>
        </w:tc>
        <w:tc>
          <w:tcPr>
            <w:tcW w:w="80" w:type="dxa"/>
            <w:vAlign w:val="bottom"/>
            <w:tcBorders>
              <w:bottom w:val="single" w:sz="8" w:color="CCEEFF"/>
            </w:tcBorders>
          </w:tcPr>
          <w:p>
            <w:pPr>
              <w:spacing w:after="0"/>
              <w:rPr>
                <w:sz w:val="21"/>
                <w:szCs w:val="21"/>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Announced Plans or Programs</w:t>
            </w:r>
            <w:r>
              <w:rPr>
                <w:rFonts w:ascii="Times New Roman" w:cs="Times New Roman" w:eastAsia="Times New Roman" w:hAnsi="Times New Roman"/>
                <w:sz w:val="21"/>
                <w:szCs w:val="21"/>
                <w:b w:val="1"/>
                <w:bCs w:val="1"/>
                <w:color w:val="auto"/>
                <w:w w:val="98"/>
                <w:vertAlign w:val="superscript"/>
              </w:rPr>
              <w:t>(2)</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5"/>
              </w:rPr>
              <w:t>Programs</w:t>
            </w:r>
            <w:r>
              <w:rPr>
                <w:rFonts w:ascii="Times New Roman" w:cs="Times New Roman" w:eastAsia="Times New Roman" w:hAnsi="Times New Roman"/>
                <w:sz w:val="21"/>
                <w:szCs w:val="21"/>
                <w:b w:val="1"/>
                <w:bCs w:val="1"/>
                <w:color w:val="auto"/>
                <w:w w:val="95"/>
                <w:vertAlign w:val="superscript"/>
              </w:rPr>
              <w:t>(2)</w:t>
            </w:r>
          </w:p>
        </w:tc>
        <w:tc>
          <w:tcPr>
            <w:tcW w:w="0" w:type="dxa"/>
            <w:vAlign w:val="bottom"/>
          </w:tcPr>
          <w:p>
            <w:pPr>
              <w:spacing w:after="0"/>
              <w:rPr>
                <w:sz w:val="1"/>
                <w:szCs w:val="1"/>
                <w:color w:val="auto"/>
              </w:rPr>
            </w:pPr>
          </w:p>
        </w:tc>
      </w:tr>
      <w:tr>
        <w:trPr>
          <w:trHeight w:val="23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2025 - July 31, 2025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0" w:type="dxa"/>
            <w:vAlign w:val="bottom"/>
          </w:tcPr>
          <w:p>
            <w:pPr>
              <w:spacing w:after="0"/>
              <w:rPr>
                <w:sz w:val="1"/>
                <w:szCs w:val="1"/>
                <w:color w:val="auto"/>
              </w:rPr>
            </w:pPr>
          </w:p>
        </w:tc>
      </w:tr>
      <w:tr>
        <w:trPr>
          <w:trHeight w:val="23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2025 - August 31,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613,560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8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613,560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188,124</w:t>
            </w:r>
          </w:p>
        </w:tc>
        <w:tc>
          <w:tcPr>
            <w:tcW w:w="0" w:type="dxa"/>
            <w:vAlign w:val="bottom"/>
          </w:tcPr>
          <w:p>
            <w:pPr>
              <w:spacing w:after="0"/>
              <w:rPr>
                <w:sz w:val="1"/>
                <w:szCs w:val="1"/>
                <w:color w:val="auto"/>
              </w:rPr>
            </w:pPr>
          </w:p>
        </w:tc>
      </w:tr>
      <w:tr>
        <w:trPr>
          <w:trHeight w:val="24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2025 - September 30,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188,124</w:t>
            </w:r>
          </w:p>
        </w:tc>
        <w:tc>
          <w:tcPr>
            <w:tcW w:w="0" w:type="dxa"/>
            <w:vAlign w:val="bottom"/>
          </w:tcPr>
          <w:p>
            <w:pPr>
              <w:spacing w:after="0"/>
              <w:rPr>
                <w:sz w:val="1"/>
                <w:szCs w:val="1"/>
                <w:color w:val="auto"/>
              </w:rPr>
            </w:pPr>
          </w:p>
        </w:tc>
      </w:tr>
      <w:tr>
        <w:trPr>
          <w:trHeight w:val="243"/>
        </w:trPr>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613,560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613,560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31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160" w:hanging="152"/>
        <w:spacing w:after="0"/>
        <w:tabs>
          <w:tab w:leader="none" w:pos="16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Average price paid per share includes related commissions paid by us.</w:t>
      </w:r>
    </w:p>
    <w:p>
      <w:pPr>
        <w:spacing w:after="0" w:line="52" w:lineRule="exact"/>
        <w:rPr>
          <w:rFonts w:ascii="Times New Roman" w:cs="Times New Roman" w:eastAsia="Times New Roman" w:hAnsi="Times New Roman"/>
          <w:sz w:val="9"/>
          <w:szCs w:val="9"/>
          <w:color w:val="auto"/>
        </w:rPr>
      </w:pPr>
    </w:p>
    <w:p>
      <w:pPr>
        <w:ind w:right="40" w:firstLine="8"/>
        <w:spacing w:after="0" w:line="263" w:lineRule="auto"/>
        <w:tabs>
          <w:tab w:leader="none" w:pos="145" w:val="left"/>
        </w:tabs>
        <w:numPr>
          <w:ilvl w:val="0"/>
          <w:numId w:val="2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On August 6, 2025, we announced that our board of directors had authorized a share repurchase program to repurchase up to $200 million of our outstanding common stock, with no expiration date. Refer to Note 11. </w:t>
      </w:r>
      <w:r>
        <w:rPr>
          <w:rFonts w:ascii="Times New Roman" w:cs="Times New Roman" w:eastAsia="Times New Roman" w:hAnsi="Times New Roman"/>
          <w:sz w:val="13"/>
          <w:szCs w:val="13"/>
          <w:i w:val="1"/>
          <w:iCs w:val="1"/>
          <w:color w:val="auto"/>
        </w:rPr>
        <w:t>Common Stock</w:t>
      </w:r>
      <w:r>
        <w:rPr>
          <w:rFonts w:ascii="Times New Roman" w:cs="Times New Roman" w:eastAsia="Times New Roman" w:hAnsi="Times New Roman"/>
          <w:sz w:val="13"/>
          <w:szCs w:val="13"/>
          <w:color w:val="auto"/>
        </w:rPr>
        <w:t xml:space="preserve"> within the notes to the condensed consolidated financial statements included in Part I, Item 1 of this Quarterly Report on Form 10-Q for further details regarding the share repurchase program.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Rule 10b5-1 and Non-Rule 10b5-1 Trading Arrangements</w:t>
      </w:r>
    </w:p>
    <w:p>
      <w:pPr>
        <w:spacing w:after="0" w:line="18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During the three months ended September 30, 2025, none of our officers or directors adopted, modified, or terminated any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5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214"/>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Exhibit</w:t>
            </w: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Description</w:t>
            </w: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Number</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54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c>
          <w:tcPr>
            <w:tcW w:w="0" w:type="dxa"/>
            <w:vAlign w:val="bottom"/>
          </w:tcPr>
          <w:p>
            <w:pPr>
              <w:spacing w:after="0"/>
              <w:rPr>
                <w:sz w:val="1"/>
                <w:szCs w:val="1"/>
                <w:color w:val="auto"/>
              </w:rPr>
            </w:pPr>
          </w:p>
        </w:tc>
      </w:tr>
      <w:tr>
        <w:trPr>
          <w:trHeight w:val="195"/>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3.1</w:t>
            </w:r>
          </w:p>
        </w:tc>
        <w:tc>
          <w:tcPr>
            <w:tcW w:w="4420" w:type="dxa"/>
            <w:vAlign w:val="bottom"/>
            <w:gridSpan w:val="13"/>
          </w:tcPr>
          <w:p>
            <w:pPr>
              <w:spacing w:after="0"/>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Amended and Restated Certificate of Incorporation</w:t>
              </w:r>
            </w:hyperlink>
          </w:p>
        </w:tc>
        <w:tc>
          <w:tcPr>
            <w:tcW w:w="9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54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November 12, 2021</w:t>
            </w:r>
          </w:p>
        </w:tc>
        <w:tc>
          <w:tcPr>
            <w:tcW w:w="0" w:type="dxa"/>
            <w:vAlign w:val="bottom"/>
          </w:tcPr>
          <w:p>
            <w:pPr>
              <w:spacing w:after="0"/>
              <w:rPr>
                <w:sz w:val="1"/>
                <w:szCs w:val="1"/>
                <w:color w:val="auto"/>
              </w:rPr>
            </w:pPr>
          </w:p>
        </w:tc>
      </w:tr>
      <w:tr>
        <w:trPr>
          <w:trHeight w:val="223"/>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3.2</w:t>
            </w:r>
          </w:p>
        </w:tc>
        <w:tc>
          <w:tcPr>
            <w:tcW w:w="3320" w:type="dxa"/>
            <w:vAlign w:val="bottom"/>
            <w:tcBorders>
              <w:top w:val="single" w:sz="8" w:color="0000FF"/>
            </w:tcBorders>
            <w:gridSpan w:val="5"/>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Amended and Restated Bylaws</w:t>
              </w:r>
            </w:hyperlink>
          </w:p>
        </w:tc>
        <w:tc>
          <w:tcPr>
            <w:tcW w:w="1100" w:type="dxa"/>
            <w:vAlign w:val="bottom"/>
            <w:gridSpan w:val="8"/>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54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March 20, 2024</w:t>
            </w: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w w:val="99"/>
              </w:rPr>
              <w:t>3.3</w:t>
            </w: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001-40822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1540" w:type="dxa"/>
            <w:vAlign w:val="bottom"/>
            <w:vMerge w:val="restart"/>
          </w:tcPr>
          <w:p>
            <w:pPr>
              <w:jc w:val="center"/>
              <w:ind w:left="159"/>
              <w:spacing w:after="0"/>
              <w:rPr>
                <w:sz w:val="20"/>
                <w:szCs w:val="20"/>
                <w:color w:val="auto"/>
              </w:rPr>
            </w:pPr>
            <w:r>
              <w:rPr>
                <w:rFonts w:ascii="Times New Roman" w:cs="Times New Roman" w:eastAsia="Times New Roman" w:hAnsi="Times New Roman"/>
                <w:sz w:val="16"/>
                <w:szCs w:val="16"/>
                <w:color w:val="auto"/>
              </w:rPr>
              <w:t>May 7, 2025</w:t>
            </w:r>
          </w:p>
        </w:tc>
        <w:tc>
          <w:tcPr>
            <w:tcW w:w="0" w:type="dxa"/>
            <w:vAlign w:val="bottom"/>
          </w:tcPr>
          <w:p>
            <w:pPr>
              <w:spacing w:after="0" w:line="20" w:lineRule="exact"/>
              <w:rPr>
                <w:sz w:val="1"/>
                <w:szCs w:val="1"/>
                <w:color w:val="auto"/>
              </w:rPr>
            </w:pPr>
          </w:p>
        </w:tc>
      </w:tr>
      <w:tr>
        <w:trPr>
          <w:trHeight w:val="223"/>
        </w:trPr>
        <w:tc>
          <w:tcPr>
            <w:tcW w:w="940" w:type="dxa"/>
            <w:vAlign w:val="bottom"/>
            <w:vMerge w:val="continue"/>
          </w:tcPr>
          <w:p>
            <w:pPr>
              <w:spacing w:after="0"/>
              <w:rPr>
                <w:sz w:val="19"/>
                <w:szCs w:val="19"/>
                <w:color w:val="auto"/>
              </w:rPr>
            </w:pPr>
          </w:p>
        </w:tc>
        <w:tc>
          <w:tcPr>
            <w:tcW w:w="2740" w:type="dxa"/>
            <w:vAlign w:val="bottom"/>
            <w:tcBorders>
              <w:bottom w:val="single" w:sz="8" w:color="0000FF"/>
            </w:tcBorders>
            <w:gridSpan w:val="4"/>
          </w:tcPr>
          <w:p>
            <w:pPr>
              <w:spacing w:after="0"/>
              <w:rPr>
                <w:rFonts w:ascii="Times New Roman" w:cs="Times New Roman" w:eastAsia="Times New Roman" w:hAnsi="Times New Roman"/>
                <w:sz w:val="16"/>
                <w:szCs w:val="16"/>
                <w:color w:val="0000FF"/>
              </w:rPr>
            </w:pPr>
            <w:hyperlink r:id="rId60">
              <w:r>
                <w:rPr>
                  <w:rFonts w:ascii="Times New Roman" w:cs="Times New Roman" w:eastAsia="Times New Roman" w:hAnsi="Times New Roman"/>
                  <w:sz w:val="16"/>
                  <w:szCs w:val="16"/>
                  <w:color w:val="0000FF"/>
                </w:rPr>
                <w:t>Certificate of Change of Registered Agent</w:t>
              </w:r>
            </w:hyperlink>
          </w:p>
        </w:tc>
        <w:tc>
          <w:tcPr>
            <w:tcW w:w="1680" w:type="dxa"/>
            <w:vAlign w:val="bottom"/>
            <w:gridSpan w:val="9"/>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31.1</w:t>
            </w: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6"/>
                <w:szCs w:val="16"/>
                <w:color w:val="0000FF"/>
              </w:rPr>
              <w:t>14(a) and 15d-14(a) under the Securities Exchange Act of 1934, as</w:t>
            </w: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340" w:type="dxa"/>
            <w:vAlign w:val="bottom"/>
            <w:gridSpan w:val="11"/>
          </w:tcPr>
          <w:p>
            <w:pPr>
              <w:spacing w:after="0" w:line="155"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3"/>
              </w:rPr>
              <w:t>2002</w:t>
            </w:r>
          </w:p>
        </w:tc>
        <w:tc>
          <w:tcPr>
            <w:tcW w:w="88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31.2</w:t>
            </w:r>
          </w:p>
        </w:tc>
        <w:tc>
          <w:tcPr>
            <w:tcW w:w="42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w:t>
            </w:r>
          </w:p>
        </w:tc>
        <w:tc>
          <w:tcPr>
            <w:tcW w:w="140" w:type="dxa"/>
            <w:vAlign w:val="bottom"/>
            <w:gridSpan w:val="4"/>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420" w:type="dxa"/>
            <w:vAlign w:val="bottom"/>
            <w:gridSpan w:val="13"/>
          </w:tcPr>
          <w:p>
            <w:pPr>
              <w:spacing w:after="0" w:line="169" w:lineRule="exact"/>
              <w:rPr>
                <w:sz w:val="20"/>
                <w:szCs w:val="20"/>
                <w:color w:val="auto"/>
              </w:rPr>
            </w:pPr>
            <w:r>
              <w:rPr>
                <w:rFonts w:ascii="Times New Roman" w:cs="Times New Roman" w:eastAsia="Times New Roman" w:hAnsi="Times New Roman"/>
                <w:sz w:val="16"/>
                <w:szCs w:val="16"/>
                <w:color w:val="0000FF"/>
              </w:rPr>
              <w:t>14(a) and 15d-14(a) under the Securities Exchange Act of 1934, as</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340" w:type="dxa"/>
            <w:vAlign w:val="bottom"/>
            <w:tcBorders>
              <w:top w:val="single" w:sz="8" w:color="0000FF"/>
            </w:tcBorders>
            <w:gridSpan w:val="11"/>
          </w:tcPr>
          <w:p>
            <w:pPr>
              <w:spacing w:after="0" w:line="155" w:lineRule="exact"/>
              <w:rPr>
                <w:sz w:val="20"/>
                <w:szCs w:val="20"/>
                <w:color w:val="auto"/>
              </w:rPr>
            </w:pPr>
            <w:r>
              <w:rPr>
                <w:rFonts w:ascii="Times New Roman" w:cs="Times New Roman" w:eastAsia="Times New Roman" w:hAnsi="Times New Roman"/>
                <w:sz w:val="16"/>
                <w:szCs w:val="16"/>
                <w:color w:val="0000FF"/>
              </w:rPr>
              <w:t>Adopted Pursuant to Section 302 of the Sarbanes-Oxley Act of</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3"/>
              </w:rPr>
              <w:t>2002</w:t>
            </w:r>
          </w:p>
        </w:tc>
        <w:tc>
          <w:tcPr>
            <w:tcW w:w="88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32.1*</w:t>
            </w: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6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6"/>
                <w:szCs w:val="16"/>
                <w:color w:val="0000FF"/>
              </w:rPr>
              <w:t>Section 1350, as Adopted Pursuant to Section 906 of the Sarbanes</w:t>
            </w:r>
          </w:p>
        </w:tc>
        <w:tc>
          <w:tcPr>
            <w:tcW w:w="160" w:type="dxa"/>
            <w:vAlign w:val="bottom"/>
            <w:gridSpan w:val="5"/>
          </w:tcPr>
          <w:p>
            <w:pPr>
              <w:jc w:val="right"/>
              <w:ind w:right="80"/>
              <w:spacing w:after="0" w:line="169" w:lineRule="exact"/>
              <w:rPr>
                <w:sz w:val="20"/>
                <w:szCs w:val="20"/>
                <w:color w:val="auto"/>
              </w:rPr>
            </w:pPr>
            <w:r>
              <w:rPr>
                <w:rFonts w:ascii="Times New Roman" w:cs="Times New Roman" w:eastAsia="Times New Roman" w:hAnsi="Times New Roman"/>
                <w:sz w:val="16"/>
                <w:szCs w:val="16"/>
                <w:color w:val="0000FF"/>
              </w:rPr>
              <w:t>-</w:t>
            </w: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360" w:type="dxa"/>
            <w:vAlign w:val="bottom"/>
            <w:tcBorders>
              <w:top w:val="single" w:sz="8" w:color="0000FF"/>
            </w:tcBorders>
            <w:gridSpan w:val="12"/>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32.2*</w:t>
            </w: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422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6"/>
                <w:szCs w:val="16"/>
                <w:color w:val="0000FF"/>
                <w:w w:val="99"/>
              </w:rPr>
              <w:t>Section 1350, as Adopted Pursuant to Section 906 of the Sarbanes</w:t>
            </w:r>
          </w:p>
        </w:tc>
        <w:tc>
          <w:tcPr>
            <w:tcW w:w="200" w:type="dxa"/>
            <w:vAlign w:val="bottom"/>
            <w:gridSpan w:val="6"/>
          </w:tcPr>
          <w:p>
            <w:pPr>
              <w:jc w:val="right"/>
              <w:ind w:right="80"/>
              <w:spacing w:after="0" w:line="169" w:lineRule="exact"/>
              <w:rPr>
                <w:sz w:val="20"/>
                <w:szCs w:val="20"/>
                <w:color w:val="auto"/>
              </w:rPr>
            </w:pPr>
            <w:r>
              <w:rPr>
                <w:rFonts w:ascii="Times New Roman" w:cs="Times New Roman" w:eastAsia="Times New Roman" w:hAnsi="Times New Roman"/>
                <w:sz w:val="16"/>
                <w:szCs w:val="16"/>
                <w:color w:val="0000FF"/>
              </w:rPr>
              <w:t>-</w:t>
            </w:r>
          </w:p>
        </w:tc>
        <w:tc>
          <w:tcPr>
            <w:tcW w:w="92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360" w:type="dxa"/>
            <w:vAlign w:val="bottom"/>
            <w:tcBorders>
              <w:top w:val="single" w:sz="8" w:color="0000FF"/>
            </w:tcBorders>
            <w:gridSpan w:val="12"/>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20" w:type="dxa"/>
            <w:vAlign w:val="bottom"/>
            <w:gridSpan w:val="11"/>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101.INS</w:t>
            </w: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w:t>
            </w: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40" w:type="dxa"/>
            <w:vAlign w:val="bottom"/>
          </w:tcPr>
          <w:p>
            <w:pPr>
              <w:spacing w:after="0"/>
              <w:rPr>
                <w:sz w:val="15"/>
                <w:szCs w:val="15"/>
                <w:color w:val="auto"/>
              </w:rPr>
            </w:pPr>
          </w:p>
        </w:tc>
        <w:tc>
          <w:tcPr>
            <w:tcW w:w="4420" w:type="dxa"/>
            <w:vAlign w:val="bottom"/>
            <w:gridSpan w:val="13"/>
          </w:tcPr>
          <w:p>
            <w:pPr>
              <w:spacing w:after="0" w:line="175" w:lineRule="exact"/>
              <w:rPr>
                <w:sz w:val="20"/>
                <w:szCs w:val="20"/>
                <w:color w:val="auto"/>
              </w:rPr>
            </w:pPr>
            <w:r>
              <w:rPr>
                <w:rFonts w:ascii="Times New Roman" w:cs="Times New Roman" w:eastAsia="Times New Roman" w:hAnsi="Times New Roman"/>
                <w:sz w:val="16"/>
                <w:szCs w:val="16"/>
                <w:color w:val="auto"/>
              </w:rPr>
              <w:t>appear in the Interactive Data File because its XBRL tags are</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embedded within the Inline XBRL 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101.SCH</w:t>
            </w: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101.CAL</w:t>
            </w: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101.DEF</w:t>
            </w: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101.LAB</w:t>
            </w: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101.PRE</w:t>
            </w: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Document.</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9"/>
              </w:rPr>
              <w:t>104</w:t>
            </w: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w:t>
            </w: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442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contained in Exhibit 101).</w:t>
            </w:r>
          </w:p>
        </w:tc>
        <w:tc>
          <w:tcPr>
            <w:tcW w:w="9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x</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ind w:firstLine="8"/>
        <w:spacing w:after="0" w:line="273" w:lineRule="auto"/>
        <w:tabs>
          <w:tab w:leader="none" w:pos="137" w:val="left"/>
        </w:tabs>
        <w:numPr>
          <w:ilvl w:val="0"/>
          <w:numId w:val="2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SIGNATURES</w:t>
      </w:r>
    </w:p>
    <w:p>
      <w:pPr>
        <w:spacing w:after="0" w:line="16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Remitly Global, Inc.</w:t>
            </w:r>
          </w:p>
        </w:tc>
      </w:tr>
      <w:tr>
        <w:trPr>
          <w:trHeight w:val="52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November 5, 2025</w:t>
            </w:r>
          </w:p>
        </w:tc>
        <w:tc>
          <w:tcPr>
            <w:tcW w:w="13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Matthew Oppenheimer</w:t>
            </w:r>
          </w:p>
        </w:tc>
      </w:tr>
      <w:tr>
        <w:trPr>
          <w:trHeight w:val="210"/>
        </w:trPr>
        <w:tc>
          <w:tcPr>
            <w:tcW w:w="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Oppenheimer</w:t>
            </w:r>
          </w:p>
        </w:tc>
      </w:tr>
      <w:tr>
        <w:trPr>
          <w:trHeight w:val="243"/>
        </w:trPr>
        <w:tc>
          <w:tcPr>
            <w:tcW w:w="4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43"/>
        </w:trPr>
        <w:tc>
          <w:tcPr>
            <w:tcW w:w="4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2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November 5, 2025</w:t>
            </w:r>
          </w:p>
        </w:tc>
        <w:tc>
          <w:tcPr>
            <w:tcW w:w="13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Vikas Mehta</w:t>
            </w:r>
          </w:p>
        </w:tc>
      </w:tr>
      <w:tr>
        <w:trPr>
          <w:trHeight w:val="210"/>
        </w:trPr>
        <w:tc>
          <w:tcPr>
            <w:tcW w:w="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Vikas Mehta</w:t>
            </w:r>
          </w:p>
        </w:tc>
      </w:tr>
      <w:tr>
        <w:trPr>
          <w:trHeight w:val="243"/>
        </w:trPr>
        <w:tc>
          <w:tcPr>
            <w:tcW w:w="4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3"/>
        </w:trPr>
        <w:tc>
          <w:tcPr>
            <w:tcW w:w="4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526"/>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November 5, 2025</w:t>
            </w:r>
          </w:p>
        </w:tc>
        <w:tc>
          <w:tcPr>
            <w:tcW w:w="130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Luke Tavis</w:t>
            </w:r>
          </w:p>
        </w:tc>
      </w:tr>
      <w:tr>
        <w:trPr>
          <w:trHeight w:val="210"/>
        </w:trPr>
        <w:tc>
          <w:tcPr>
            <w:tcW w:w="4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Luke Tavis</w:t>
            </w:r>
          </w:p>
        </w:tc>
      </w:tr>
      <w:tr>
        <w:trPr>
          <w:trHeight w:val="243"/>
        </w:trPr>
        <w:tc>
          <w:tcPr>
            <w:tcW w:w="4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43"/>
        </w:trPr>
        <w:tc>
          <w:tcPr>
            <w:tcW w:w="4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080"/>
          </w:cols>
          <w:pgMar w:left="320" w:top="126" w:right="49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77"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Oppenheimer, certify that:</w:t>
      </w:r>
    </w:p>
    <w:p>
      <w:pPr>
        <w:spacing w:after="0" w:line="306"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Remitly Global, Inc.;</w:t>
      </w:r>
    </w:p>
    <w:p>
      <w:pPr>
        <w:spacing w:after="0" w:line="319" w:lineRule="exact"/>
        <w:rPr>
          <w:rFonts w:ascii="Times New Roman" w:cs="Times New Roman" w:eastAsia="Times New Roman" w:hAnsi="Times New Roman"/>
          <w:sz w:val="18"/>
          <w:szCs w:val="18"/>
          <w:color w:val="auto"/>
        </w:rPr>
      </w:pPr>
    </w:p>
    <w:p>
      <w:pPr>
        <w:jc w:val="both"/>
        <w:ind w:left="340" w:hanging="8"/>
        <w:spacing w:after="0" w:line="360" w:lineRule="auto"/>
        <w:tabs>
          <w:tab w:leader="none" w:pos="6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8"/>
        <w:spacing w:after="0" w:line="391" w:lineRule="auto"/>
        <w:tabs>
          <w:tab w:leader="none" w:pos="6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340" w:hanging="8"/>
        <w:spacing w:after="0" w:line="368" w:lineRule="auto"/>
        <w:tabs>
          <w:tab w:leader="none" w:pos="7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106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391" w:lineRule="auto"/>
        <w:tabs>
          <w:tab w:leader="none" w:pos="10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340" w:hanging="8"/>
        <w:spacing w:after="0" w:line="376"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391" w:lineRule="auto"/>
        <w:tabs>
          <w:tab w:leader="none" w:pos="111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660" w:right="20" w:hanging="4"/>
        <w:spacing w:after="0" w:line="376" w:lineRule="auto"/>
        <w:tabs>
          <w:tab w:leader="none" w:pos="105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3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Matthew Oppenheimer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27" w:right="339" w:bottom="1440" w:gutter="0" w:footer="0" w:header="0"/>
        </w:sectPr>
      </w:pPr>
    </w:p>
    <w:bookmarkStart w:id="41" w:name="page42"/>
    <w:bookmarkEnd w:id="4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77" w:lineRule="exact"/>
        <w:rPr>
          <w:sz w:val="20"/>
          <w:szCs w:val="20"/>
          <w:color w:val="auto"/>
        </w:rPr>
      </w:pPr>
    </w:p>
    <w:p>
      <w:pPr>
        <w:jc w:val="center"/>
        <w:spacing w:after="0" w:line="289"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Vikas Mehta, certify that:</w:t>
      </w:r>
    </w:p>
    <w:p>
      <w:pPr>
        <w:spacing w:after="0" w:line="306" w:lineRule="exact"/>
        <w:rPr>
          <w:sz w:val="20"/>
          <w:szCs w:val="20"/>
          <w:color w:val="auto"/>
        </w:rPr>
      </w:pPr>
    </w:p>
    <w:p>
      <w:pPr>
        <w:ind w:left="640" w:hanging="308"/>
        <w:spacing w:after="0"/>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Remitly Global, Inc.;</w:t>
      </w:r>
    </w:p>
    <w:p>
      <w:pPr>
        <w:spacing w:after="0" w:line="319" w:lineRule="exact"/>
        <w:rPr>
          <w:rFonts w:ascii="Times New Roman" w:cs="Times New Roman" w:eastAsia="Times New Roman" w:hAnsi="Times New Roman"/>
          <w:sz w:val="18"/>
          <w:szCs w:val="18"/>
          <w:color w:val="auto"/>
        </w:rPr>
      </w:pPr>
    </w:p>
    <w:p>
      <w:pPr>
        <w:jc w:val="both"/>
        <w:ind w:left="340" w:hanging="8"/>
        <w:spacing w:after="0" w:line="360" w:lineRule="auto"/>
        <w:tabs>
          <w:tab w:leader="none" w:pos="6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8"/>
        <w:spacing w:after="0" w:line="391" w:lineRule="auto"/>
        <w:tabs>
          <w:tab w:leader="none" w:pos="6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Times New Roman" w:cs="Times New Roman" w:eastAsia="Times New Roman" w:hAnsi="Times New Roman"/>
          <w:sz w:val="18"/>
          <w:szCs w:val="18"/>
          <w:color w:val="auto"/>
        </w:rPr>
      </w:pPr>
    </w:p>
    <w:p>
      <w:pPr>
        <w:jc w:val="both"/>
        <w:ind w:left="340" w:hanging="8"/>
        <w:spacing w:after="0" w:line="368" w:lineRule="auto"/>
        <w:tabs>
          <w:tab w:leader="none" w:pos="70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89"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106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hanging="4"/>
        <w:spacing w:after="0" w:line="391" w:lineRule="auto"/>
        <w:tabs>
          <w:tab w:leader="none" w:pos="108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49" w:lineRule="exact"/>
        <w:rPr>
          <w:rFonts w:ascii="Times New Roman" w:cs="Times New Roman" w:eastAsia="Times New Roman" w:hAnsi="Times New Roman"/>
          <w:sz w:val="18"/>
          <w:szCs w:val="18"/>
          <w:color w:val="auto"/>
        </w:rPr>
      </w:pPr>
    </w:p>
    <w:p>
      <w:pPr>
        <w:jc w:val="both"/>
        <w:ind w:left="660" w:hanging="4"/>
        <w:spacing w:after="0" w:line="360" w:lineRule="auto"/>
        <w:tabs>
          <w:tab w:leader="none" w:pos="997"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firstLine="8"/>
        <w:spacing w:after="0" w:line="376" w:lineRule="auto"/>
        <w:tabs>
          <w:tab w:leader="none" w:pos="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391" w:lineRule="auto"/>
        <w:tabs>
          <w:tab w:leader="none" w:pos="1112"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8"/>
          <w:szCs w:val="18"/>
          <w:color w:val="auto"/>
        </w:rPr>
      </w:pPr>
    </w:p>
    <w:p>
      <w:pPr>
        <w:ind w:left="660" w:right="20" w:hanging="4"/>
        <w:spacing w:after="0" w:line="376" w:lineRule="auto"/>
        <w:tabs>
          <w:tab w:leader="none" w:pos="1056"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3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34290</wp:posOffset>
            </wp:positionV>
            <wp:extent cx="37376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Vikas Mehta</w:t>
      </w:r>
    </w:p>
    <w:p>
      <w:pPr>
        <w:spacing w:after="0" w:line="30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27" w:right="339" w:bottom="1158" w:gutter="0" w:footer="0" w:header="0"/>
        </w:sectPr>
      </w:pPr>
    </w:p>
    <w:bookmarkStart w:id="42" w:name="page43"/>
    <w:bookmarkEnd w:id="4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70"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right="560" w:hanging="328"/>
        <w:spacing w:after="0" w:line="313"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2025 (the “Report”)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660" w:right="240" w:hanging="328"/>
        <w:spacing w:after="0" w:line="313"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3754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Matthew Oppenheimer</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2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24"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8"/>
          <w:szCs w:val="18"/>
          <w:color w:val="auto"/>
        </w:rPr>
        <w:t>I, Vikas Mehta, Chief Financial Officer of Remitly Global, Inc. (the “Company”), do hereby certify, pursuant to 18 U.S.C. Section 1350, as adopted pursuant to Section 906 of the Sarbanes-Oxley Act of 2002, that to the best of my knowledge:</w:t>
      </w:r>
    </w:p>
    <w:p>
      <w:pPr>
        <w:spacing w:after="0" w:line="134" w:lineRule="exact"/>
        <w:rPr>
          <w:sz w:val="20"/>
          <w:szCs w:val="20"/>
          <w:color w:val="auto"/>
        </w:rPr>
      </w:pPr>
    </w:p>
    <w:p>
      <w:pPr>
        <w:ind w:left="660" w:right="560" w:hanging="328"/>
        <w:spacing w:after="0" w:line="32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2025 (the “Report”) fully complies with the requirements of Section 13(a) or 15(d) of the Securities Exchange Act of 1934, as amended; and</w:t>
      </w:r>
    </w:p>
    <w:p>
      <w:pPr>
        <w:spacing w:after="0" w:line="148" w:lineRule="exact"/>
        <w:rPr>
          <w:rFonts w:ascii="Times New Roman" w:cs="Times New Roman" w:eastAsia="Times New Roman" w:hAnsi="Times New Roman"/>
          <w:sz w:val="18"/>
          <w:szCs w:val="18"/>
          <w:color w:val="auto"/>
        </w:rPr>
      </w:pPr>
    </w:p>
    <w:p>
      <w:pPr>
        <w:ind w:left="660" w:right="240" w:hanging="328"/>
        <w:spacing w:after="0" w:line="32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17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3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34290</wp:posOffset>
            </wp:positionV>
            <wp:extent cx="37630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9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Vikas Mehta</w:t>
      </w:r>
    </w:p>
    <w:p>
      <w:pPr>
        <w:spacing w:after="0" w:line="3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1."/>
      <w:numFmt w:val="decimal"/>
      <w:start w:val="3"/>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4"/>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8"/>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1"/>
    </w:lvl>
  </w:abstractNum>
  <w:abstractNum w:abstractNumId="14">
    <w:nsid w:val="75A2A8D4"/>
    <w:multiLevelType w:val="hybridMultilevel"/>
    <w:lvl w:ilvl="0">
      <w:lvlJc w:val="left"/>
      <w:lvlText w:val="%1."/>
      <w:numFmt w:val="decimal"/>
      <w:start w:val="12"/>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5"/>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6"/>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0">
    <w:nsid w:val="6CEAF08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8" Type="http://schemas.openxmlformats.org/officeDocument/2006/relationships/hyperlink" Target="https://www.sec.gov/Archives/edgar/data/0001782170/000178217021000011/exhibit33-remitlyglobalxpu.htm" TargetMode="External"/><Relationship Id="rId59" Type="http://schemas.openxmlformats.org/officeDocument/2006/relationships/hyperlink" Target="https://www.sec.gov/Archives/edgar/data/1782170/000178217024000074/ex31-restatedbylaws.htm" TargetMode="External"/><Relationship Id="rId60" Type="http://schemas.openxmlformats.org/officeDocument/2006/relationships/hyperlink" Target="https://www.sec.gov/Archives/edgar/data/1782170/000178217025000093/exhibit33-remitlyglobal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2025-11-05T15:33:02Z</dcterms:created>
  <dcterms:modified xsi:type="dcterms:W3CDTF">2025-11-05T15:33:02Z</dcterms:modified>
</cp:coreProperties>
</file>