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491908.xml.htm"/>
      <w:bookmarkStart w:id="1" w:name="kswkform4_179149190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Hug Joshua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REMITLY GLOBAL,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401 UNION STREET, SUITE 1000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SEATTLE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98101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Remitly Global, Inc.</w:t>
              </w:r>
            </w:hyperlink>
            <w:r>
              <w:rPr/>
              <w:t xml:space="preserve"> [ </w:t>
            </w:r>
            <w:r>
              <w:rPr>
                <w:rFonts w:ascii="Times;serif" w:hAnsi="Times;serif"/>
                <w:color w:val="0000FF"/>
                <w:sz w:val="24"/>
                <w:shd w:fill="FFFFFF" w:val="clear"/>
              </w:rPr>
              <w:t>RELY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839"/>
        <w:gridCol w:w="449"/>
        <w:gridCol w:w="795"/>
        <w:gridCol w:w="1272"/>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5,500</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23.18</w:t>
            </w:r>
            <w:r>
              <w:rPr>
                <w:rFonts w:ascii="Times;serif" w:hAnsi="Times;serif"/>
                <w:color w:val="008000"/>
                <w:position w:val="7"/>
                <w:sz w:val="16"/>
                <w:sz w:val="20"/>
                <w:shd w:fill="FFFFFF" w:val="clear"/>
              </w:rPr>
              <w:t>(2)</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2,653,389</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5,500</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23.07</w:t>
            </w:r>
            <w:r>
              <w:rPr>
                <w:rFonts w:ascii="Times;serif" w:hAnsi="Times;serif"/>
                <w:color w:val="008000"/>
                <w:position w:val="7"/>
                <w:sz w:val="16"/>
                <w:sz w:val="20"/>
                <w:shd w:fill="FFFFFF" w:val="clear"/>
              </w:rPr>
              <w:t>(3)</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2,647,889</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300,000</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automatically pursuant to a Rule 10b5-1 trading plan adopted by the reporting person December 11,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Weighted average price. These shares were sold in multiple transactions at prices ranging from $22.68 to $23.56 inclusive. The reporting person undertakes to provide the issuer, any security holder of the issuer, or the staff of the Securities and Exchange Commission,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Weighted average price. These shares were sold in multiple transactions at prices ranging from $22.91 to $23.20 inclusive. The reporting person undertakes to provide the issuer, any security holder of the issuer, or the staff of the Securities and Exchange Commission,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securities are held by a family trust, of which the reporting person's spouse is the trustee.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 Mason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80864" TargetMode="External"/><Relationship Id="rId5" Type="http://schemas.openxmlformats.org/officeDocument/2006/relationships/hyperlink" Target="http://www.sec.gov/cgi-bin/browse-edgar?action=getcompany&amp;CIK=00017821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744</Words>
  <Characters>4031</Characters>
  <CharactersWithSpaces>4692</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