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325755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361950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345440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REMITLY GLOBAL,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330200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840" w:type="dxa"/>
            <w:vAlign w:val="bottom"/>
          </w:tcPr>
          <w:p>
            <w:pPr>
              <w:jc w:val="center"/>
              <w:ind w:right="122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001-40822</w:t>
            </w:r>
          </w:p>
        </w:tc>
        <w:tc>
          <w:tcPr>
            <w:tcW w:w="2480" w:type="dxa"/>
            <w:vAlign w:val="bottom"/>
          </w:tcPr>
          <w:p>
            <w:pPr>
              <w:jc w:val="center"/>
              <w:ind w:left="1348"/>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354"/>
        </w:trPr>
        <w:tc>
          <w:tcPr>
            <w:tcW w:w="2840" w:type="dxa"/>
            <w:vAlign w:val="bottom"/>
          </w:tcPr>
          <w:p>
            <w:pPr>
              <w:jc w:val="center"/>
              <w:ind w:right="122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4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840" w:type="dxa"/>
            <w:vAlign w:val="bottom"/>
          </w:tcPr>
          <w:p>
            <w:pPr>
              <w:jc w:val="center"/>
              <w:ind w:right="122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48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80" w:type="dxa"/>
            <w:vAlign w:val="bottom"/>
          </w:tcPr>
          <w:p>
            <w:pPr>
              <w:jc w:val="center"/>
              <w:ind w:left="1348"/>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1111 Third Avenue, Suite 2100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(888)736-4859</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339090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ind w:left="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9"/>
        </w:trPr>
        <w:tc>
          <w:tcPr>
            <w:tcW w:w="4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r>
      <w:tr>
        <w:trPr>
          <w:trHeight w:val="217"/>
        </w:trPr>
        <w:tc>
          <w:tcPr>
            <w:tcW w:w="4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RELY</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334" w:right="499" w:bottom="73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161925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December 17, 2024, Remitly Global, Inc. (the “Company”) entered into a consulting agreement (the “Consulting Agreement”) with Rene Yoakum, the Company’s EVP, Customer and Culture. The Company previously announced Ms. Yoakum’s retirement from the Company effective December 31, 2024.</w:t>
      </w:r>
    </w:p>
    <w:p>
      <w:pPr>
        <w:spacing w:after="0" w:line="12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Pursuant to the Consulting Agreement, Ms. Yoakum will provide consulting services to the Company beginning January 1, 2025, and ending December 31, 2026, or upon termination by either party (the “Consulting Term”) and receive continued vesting of her 31,250 outstanding stock options, and 262,991 outstanding restricted stock units during the Consulting Term. Additionally, in the event of Ms. Yoakum’s death, any remaining outstanding and unvested equity awards will accelerate and vest in full. During the Consulting Term, the Company will pay for Ms. Yoakum’s monthly healthcare coverage under COBRA for 18 months and will pay Ms. Yoakum a monthly amount of $4,000 for the cost of her health insurance premiums during the remainder of the Consulting Term. The Consulting Agreement also contains a release of claims by Ms. Yoakum against the Company, as well as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Remitly Global, Inc.</w:t>
            </w:r>
          </w:p>
        </w:tc>
      </w:tr>
      <w:tr>
        <w:trPr>
          <w:trHeight w:val="4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2024</w:t>
            </w:r>
          </w:p>
        </w:tc>
        <w:tc>
          <w:tcPr>
            <w:tcW w:w="26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Saema Somalya</w:t>
            </w:r>
          </w:p>
        </w:tc>
      </w:tr>
      <w:tr>
        <w:trPr>
          <w:trHeight w:val="218"/>
        </w:trPr>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Saema Somalya</w:t>
            </w:r>
          </w:p>
        </w:tc>
      </w:tr>
      <w:tr>
        <w:trPr>
          <w:trHeight w:val="234"/>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EVP, Legal and Risk</w:t>
            </w: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2024-12-20T15:23:20Z</dcterms:created>
  <dcterms:modified xsi:type="dcterms:W3CDTF">2024-12-20T15:23:20Z</dcterms:modified>
</cp:coreProperties>
</file>