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9" w:lineRule="exact"/>
        <w:rPr>
          <w:sz w:val="24"/>
          <w:szCs w:val="24"/>
          <w:color w:val="auto"/>
        </w:rPr>
      </w:pPr>
    </w:p>
    <w:p>
      <w:pPr>
        <w:ind w:right="3140" w:firstLine="8"/>
        <w:spacing w:after="0" w:line="317" w:lineRule="auto"/>
        <w:tabs>
          <w:tab w:leader="none" w:pos="1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57" w:lineRule="exact"/>
        <w:rPr>
          <w:sz w:val="24"/>
          <w:szCs w:val="24"/>
          <w:color w:val="auto"/>
        </w:rPr>
      </w:pPr>
    </w:p>
    <w:p>
      <w:pPr>
        <w:ind w:left="4380" w:right="2800" w:hanging="4372"/>
        <w:spacing w:after="0" w:line="317" w:lineRule="auto"/>
        <w:tabs>
          <w:tab w:leader="none" w:pos="20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001-40822</w:t>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Remitly Global,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80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6"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334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140" w:type="dxa"/>
            <w:vAlign w:val="bottom"/>
            <w:gridSpan w:val="2"/>
          </w:tcPr>
          <w:p>
            <w:pPr>
              <w:jc w:val="center"/>
              <w:ind w:left="624"/>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880" w:type="dxa"/>
            <w:vAlign w:val="bottom"/>
          </w:tcPr>
          <w:p>
            <w:pPr>
              <w:spacing w:after="0"/>
              <w:rPr>
                <w:sz w:val="18"/>
                <w:szCs w:val="18"/>
                <w:color w:val="auto"/>
              </w:rPr>
            </w:pPr>
          </w:p>
        </w:tc>
        <w:tc>
          <w:tcPr>
            <w:tcW w:w="3180" w:type="dxa"/>
            <w:vAlign w:val="bottom"/>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rPr>
              <w:t>83-2301143</w:t>
            </w:r>
          </w:p>
        </w:tc>
      </w:tr>
      <w:tr>
        <w:trPr>
          <w:trHeight w:val="199"/>
        </w:trPr>
        <w:tc>
          <w:tcPr>
            <w:tcW w:w="33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3180" w:type="dxa"/>
            <w:vAlign w:val="bottom"/>
          </w:tcPr>
          <w:p>
            <w:pPr>
              <w:jc w:val="center"/>
              <w:ind w:left="36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3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180" w:type="dxa"/>
            <w:vAlign w:val="bottom"/>
          </w:tcPr>
          <w:p>
            <w:pPr>
              <w:jc w:val="center"/>
              <w:ind w:left="364"/>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13"/>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180" w:type="dxa"/>
            <w:vAlign w:val="bottom"/>
          </w:tcPr>
          <w:p>
            <w:pPr>
              <w:spacing w:after="0"/>
              <w:rPr>
                <w:sz w:val="18"/>
                <w:szCs w:val="18"/>
                <w:color w:val="auto"/>
              </w:rPr>
            </w:pPr>
          </w:p>
        </w:tc>
      </w:tr>
      <w:tr>
        <w:trPr>
          <w:trHeight w:val="352"/>
        </w:trPr>
        <w:tc>
          <w:tcPr>
            <w:tcW w:w="334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401 Union Street, Suite 1000  Seattle,</w:t>
            </w: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WA</w:t>
            </w:r>
          </w:p>
        </w:tc>
        <w:tc>
          <w:tcPr>
            <w:tcW w:w="3180" w:type="dxa"/>
            <w:vAlign w:val="bottom"/>
          </w:tcPr>
          <w:p>
            <w:pPr>
              <w:jc w:val="right"/>
              <w:ind w:right="1764"/>
              <w:spacing w:after="0"/>
              <w:rPr>
                <w:sz w:val="20"/>
                <w:szCs w:val="20"/>
                <w:color w:val="auto"/>
              </w:rPr>
            </w:pPr>
            <w:r>
              <w:rPr>
                <w:rFonts w:ascii="Times New Roman" w:cs="Times New Roman" w:eastAsia="Times New Roman" w:hAnsi="Times New Roman"/>
                <w:sz w:val="16"/>
                <w:szCs w:val="16"/>
                <w:b w:val="1"/>
                <w:bCs w:val="1"/>
                <w:color w:val="auto"/>
              </w:rPr>
              <w:t>98101</w:t>
            </w:r>
          </w:p>
        </w:tc>
      </w:tr>
      <w:tr>
        <w:trPr>
          <w:trHeight w:val="193"/>
        </w:trPr>
        <w:tc>
          <w:tcPr>
            <w:tcW w:w="3340" w:type="dxa"/>
            <w:vAlign w:val="bottom"/>
            <w:tcBorders>
              <w:top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82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(888) 736-4859</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75"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6720" w:type="dxa"/>
            <w:vAlign w:val="bottom"/>
            <w:gridSpan w:val="5"/>
          </w:tcPr>
          <w:p>
            <w:pPr>
              <w:jc w:val="center"/>
              <w:ind w:right="25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56"/>
        </w:trPr>
        <w:tc>
          <w:tcPr>
            <w:tcW w:w="266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6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26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5"/>
              </w:rPr>
              <w:t>RELY</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5" w:lineRule="exact"/>
        <w:rPr>
          <w:sz w:val="24"/>
          <w:szCs w:val="24"/>
          <w:color w:val="auto"/>
        </w:rPr>
      </w:pPr>
    </w:p>
    <w:p>
      <w:pPr>
        <w:ind w:right="274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14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8"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As of June 30, 2025, the aggregate market value of the registrant’s common stock held by non-affiliates of the registrant was approximately $3.2 billion based on the closing sale price of $18.77 as reported on the NASDAQ Global Select Market.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16, 2026, the registrant had 210,654,386 shares of common stock, $0.0001 par value per share, outstanding.</w:t>
      </w:r>
    </w:p>
    <w:p>
      <w:pPr>
        <w:spacing w:after="0" w:line="8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information required by Part III (Items 10, 11, 12, 13, and 14) is incorporated by reference from the registrant’s Definitive Proxy Statement for its 2025 Annual Meeting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46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56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3"/>
        </w:trPr>
        <w:tc>
          <w:tcPr>
            <w:tcW w:w="946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tc>
        <w:tc>
          <w:tcPr>
            <w:tcW w:w="156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rPr>
              <w:t>ii</w:t>
            </w:r>
          </w:p>
        </w:tc>
      </w:tr>
      <w:tr>
        <w:trPr>
          <w:trHeight w:val="499"/>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58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6"/>
                <w:szCs w:val="16"/>
                <w:color w:val="3051F2"/>
                <w:w w:val="98"/>
              </w:rPr>
              <w:t>Business</w:t>
            </w:r>
          </w:p>
        </w:tc>
        <w:tc>
          <w:tcPr>
            <w:tcW w:w="7900" w:type="dxa"/>
            <w:vAlign w:val="bottom"/>
            <w:gridSpan w:val="27"/>
          </w:tcPr>
          <w:p>
            <w:pPr>
              <w:spacing w:after="0"/>
              <w:rPr>
                <w:sz w:val="18"/>
                <w:szCs w:val="18"/>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1</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6"/>
                <w:szCs w:val="16"/>
                <w:color w:val="3051F2"/>
                <w:w w:val="99"/>
              </w:rPr>
              <w:t>Risk Factors</w:t>
            </w:r>
          </w:p>
        </w:tc>
        <w:tc>
          <w:tcPr>
            <w:tcW w:w="7660" w:type="dxa"/>
            <w:vAlign w:val="bottom"/>
            <w:gridSpan w:val="24"/>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12</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184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6"/>
                <w:szCs w:val="16"/>
                <w:color w:val="3051F2"/>
                <w:w w:val="99"/>
              </w:rPr>
              <w:t>Unresolved Staff Comments</w:t>
            </w:r>
          </w:p>
        </w:tc>
        <w:tc>
          <w:tcPr>
            <w:tcW w:w="6640" w:type="dxa"/>
            <w:vAlign w:val="bottom"/>
            <w:gridSpan w:val="17"/>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660" w:type="dxa"/>
            <w:vAlign w:val="bottom"/>
            <w:tcBorders>
              <w:top w:val="single" w:sz="8" w:color="0000FF"/>
              <w:bottom w:val="single" w:sz="8" w:color="3051F2"/>
            </w:tcBorders>
            <w:gridSpan w:val="3"/>
          </w:tcPr>
          <w:p>
            <w:pPr>
              <w:spacing w:after="0"/>
              <w:rPr>
                <w:sz w:val="20"/>
                <w:szCs w:val="20"/>
                <w:color w:val="auto"/>
              </w:rPr>
            </w:pPr>
            <w:r>
              <w:rPr>
                <w:rFonts w:ascii="Times New Roman" w:cs="Times New Roman" w:eastAsia="Times New Roman" w:hAnsi="Times New Roman"/>
                <w:sz w:val="16"/>
                <w:szCs w:val="16"/>
                <w:color w:val="3051F2"/>
                <w:w w:val="98"/>
              </w:rPr>
              <w:t>Properties</w:t>
            </w:r>
          </w:p>
        </w:tc>
        <w:tc>
          <w:tcPr>
            <w:tcW w:w="240" w:type="dxa"/>
            <w:vAlign w:val="bottom"/>
            <w:tcBorders>
              <w:top w:val="single" w:sz="8" w:color="0000FF"/>
            </w:tcBorders>
            <w:gridSpan w:val="2"/>
          </w:tcPr>
          <w:p>
            <w:pPr>
              <w:spacing w:after="0"/>
              <w:rPr>
                <w:sz w:val="19"/>
                <w:szCs w:val="19"/>
                <w:color w:val="auto"/>
              </w:rPr>
            </w:pPr>
          </w:p>
        </w:tc>
        <w:tc>
          <w:tcPr>
            <w:tcW w:w="7580" w:type="dxa"/>
            <w:vAlign w:val="bottom"/>
            <w:gridSpan w:val="2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120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6"/>
                <w:szCs w:val="16"/>
                <w:color w:val="3051F2"/>
                <w:w w:val="99"/>
              </w:rPr>
              <w:t>Legal Proceedings</w:t>
            </w:r>
          </w:p>
        </w:tc>
        <w:tc>
          <w:tcPr>
            <w:tcW w:w="7280" w:type="dxa"/>
            <w:vAlign w:val="bottom"/>
            <w:gridSpan w:val="21"/>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41</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Mine Safety Disclosures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41</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7260" w:type="dxa"/>
            <w:vAlign w:val="bottom"/>
            <w:tcBorders>
              <w:bottom w:val="single" w:sz="8" w:color="3051F2"/>
            </w:tcBorders>
            <w:gridSpan w:val="27"/>
          </w:tcPr>
          <w:p>
            <w:pPr>
              <w:spacing w:after="0"/>
              <w:rPr>
                <w:sz w:val="20"/>
                <w:szCs w:val="20"/>
                <w:color w:val="auto"/>
              </w:rPr>
            </w:pPr>
            <w:r>
              <w:rPr>
                <w:rFonts w:ascii="Times New Roman" w:cs="Times New Roman" w:eastAsia="Times New Roman" w:hAnsi="Times New Roman"/>
                <w:sz w:val="16"/>
                <w:szCs w:val="16"/>
                <w:color w:val="3051F2"/>
              </w:rPr>
              <w:t>Market for Registrant's Common Equity, Related Stockholder Matters and Issuer Purchases of Equity Securities</w:t>
            </w:r>
          </w:p>
        </w:tc>
        <w:tc>
          <w:tcPr>
            <w:tcW w:w="1220" w:type="dxa"/>
            <w:vAlign w:val="bottom"/>
          </w:tcPr>
          <w:p>
            <w:pPr>
              <w:spacing w:after="0"/>
              <w:rPr>
                <w:sz w:val="18"/>
                <w:szCs w:val="18"/>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42</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Reserved</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44</w:t>
            </w: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5800" w:type="dxa"/>
            <w:vAlign w:val="bottom"/>
            <w:tcBorders>
              <w:bottom w:val="single" w:sz="8" w:color="3051F2"/>
            </w:tcBorders>
            <w:gridSpan w:val="24"/>
          </w:tcPr>
          <w:p>
            <w:pPr>
              <w:spacing w:after="0"/>
              <w:rPr>
                <w:sz w:val="20"/>
                <w:szCs w:val="20"/>
                <w:color w:val="auto"/>
              </w:rPr>
            </w:pPr>
            <w:r>
              <w:rPr>
                <w:rFonts w:ascii="Times New Roman" w:cs="Times New Roman" w:eastAsia="Times New Roman" w:hAnsi="Times New Roman"/>
                <w:sz w:val="16"/>
                <w:szCs w:val="16"/>
                <w:color w:val="3051F2"/>
              </w:rPr>
              <w:t>Management's Discussion and Analysis of Financial Condition and Results of Operations</w:t>
            </w:r>
          </w:p>
        </w:tc>
        <w:tc>
          <w:tcPr>
            <w:tcW w:w="2680" w:type="dxa"/>
            <w:vAlign w:val="bottom"/>
            <w:gridSpan w:val="4"/>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45</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Quantitative and Qualitative Disclosures About Market Risk</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55</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3000" w:type="dxa"/>
            <w:vAlign w:val="bottom"/>
            <w:tcBorders>
              <w:top w:val="single" w:sz="8" w:color="3051F2"/>
              <w:bottom w:val="single" w:sz="8" w:color="3051F2"/>
            </w:tcBorders>
            <w:gridSpan w:val="16"/>
          </w:tcPr>
          <w:p>
            <w:pPr>
              <w:spacing w:after="0"/>
              <w:rPr>
                <w:sz w:val="20"/>
                <w:szCs w:val="20"/>
                <w:color w:val="auto"/>
              </w:rPr>
            </w:pPr>
            <w:r>
              <w:rPr>
                <w:rFonts w:ascii="Times New Roman" w:cs="Times New Roman" w:eastAsia="Times New Roman" w:hAnsi="Times New Roman"/>
                <w:sz w:val="16"/>
                <w:szCs w:val="16"/>
                <w:color w:val="3051F2"/>
              </w:rPr>
              <w:t>Financial Statements and Supplementary Data</w:t>
            </w:r>
          </w:p>
        </w:tc>
        <w:tc>
          <w:tcPr>
            <w:tcW w:w="920" w:type="dxa"/>
            <w:vAlign w:val="bottom"/>
            <w:tcBorders>
              <w:top w:val="single" w:sz="8" w:color="3051F2"/>
            </w:tcBorders>
            <w:gridSpan w:val="5"/>
          </w:tcPr>
          <w:p>
            <w:pPr>
              <w:spacing w:after="0"/>
              <w:rPr>
                <w:sz w:val="19"/>
                <w:szCs w:val="19"/>
                <w:color w:val="auto"/>
              </w:rPr>
            </w:pPr>
          </w:p>
        </w:tc>
        <w:tc>
          <w:tcPr>
            <w:tcW w:w="4560" w:type="dxa"/>
            <w:vAlign w:val="bottom"/>
            <w:gridSpan w:val="7"/>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57</w:t>
            </w:r>
          </w:p>
        </w:tc>
      </w:tr>
      <w:tr>
        <w:trPr>
          <w:trHeight w:val="223"/>
        </w:trPr>
        <w:tc>
          <w:tcPr>
            <w:tcW w:w="980" w:type="dxa"/>
            <w:vAlign w:val="bottom"/>
          </w:tcPr>
          <w:p>
            <w:pPr>
              <w:spacing w:after="0"/>
              <w:rPr>
                <w:sz w:val="19"/>
                <w:szCs w:val="19"/>
                <w:color w:val="auto"/>
              </w:rPr>
            </w:pPr>
          </w:p>
        </w:tc>
        <w:tc>
          <w:tcPr>
            <w:tcW w:w="3800" w:type="dxa"/>
            <w:vAlign w:val="bottom"/>
            <w:tcBorders>
              <w:bottom w:val="single" w:sz="8" w:color="3051F2"/>
            </w:tcBorders>
            <w:gridSpan w:val="19"/>
          </w:tcPr>
          <w:p>
            <w:pPr>
              <w:spacing w:after="0"/>
              <w:rPr>
                <w:sz w:val="20"/>
                <w:szCs w:val="20"/>
                <w:color w:val="auto"/>
              </w:rPr>
            </w:pPr>
            <w:r>
              <w:rPr>
                <w:rFonts w:ascii="Times New Roman" w:cs="Times New Roman" w:eastAsia="Times New Roman" w:hAnsi="Times New Roman"/>
                <w:sz w:val="16"/>
                <w:szCs w:val="16"/>
                <w:color w:val="3051F2"/>
              </w:rPr>
              <w:t>Report of Independent Registered Public Accounting Firm</w:t>
            </w:r>
          </w:p>
        </w:tc>
        <w:tc>
          <w:tcPr>
            <w:tcW w:w="4680" w:type="dxa"/>
            <w:vAlign w:val="bottom"/>
            <w:gridSpan w:val="9"/>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58</w:t>
            </w:r>
          </w:p>
        </w:tc>
      </w:tr>
      <w:tr>
        <w:trPr>
          <w:trHeight w:val="223"/>
        </w:trPr>
        <w:tc>
          <w:tcPr>
            <w:tcW w:w="980" w:type="dxa"/>
            <w:vAlign w:val="bottom"/>
          </w:tcPr>
          <w:p>
            <w:pPr>
              <w:spacing w:after="0"/>
              <w:rPr>
                <w:sz w:val="19"/>
                <w:szCs w:val="19"/>
                <w:color w:val="auto"/>
              </w:rPr>
            </w:pPr>
          </w:p>
        </w:tc>
        <w:tc>
          <w:tcPr>
            <w:tcW w:w="188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6"/>
                <w:szCs w:val="16"/>
                <w:color w:val="3051F2"/>
              </w:rPr>
              <w:t>Consolidated Balance Sheets</w:t>
            </w:r>
          </w:p>
        </w:tc>
        <w:tc>
          <w:tcPr>
            <w:tcW w:w="6600" w:type="dxa"/>
            <w:vAlign w:val="bottom"/>
            <w:gridSpan w:val="16"/>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60</w:t>
            </w:r>
          </w:p>
        </w:tc>
      </w:tr>
      <w:tr>
        <w:trPr>
          <w:trHeight w:val="223"/>
        </w:trPr>
        <w:tc>
          <w:tcPr>
            <w:tcW w:w="980" w:type="dxa"/>
            <w:vAlign w:val="bottom"/>
          </w:tcPr>
          <w:p>
            <w:pPr>
              <w:spacing w:after="0"/>
              <w:rPr>
                <w:sz w:val="19"/>
                <w:szCs w:val="19"/>
                <w:color w:val="auto"/>
              </w:rPr>
            </w:pPr>
          </w:p>
        </w:tc>
        <w:tc>
          <w:tcPr>
            <w:tcW w:w="254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6"/>
                <w:szCs w:val="16"/>
                <w:color w:val="3051F2"/>
              </w:rPr>
              <w:t>Consolidated Statements of Operations</w:t>
            </w:r>
          </w:p>
        </w:tc>
        <w:tc>
          <w:tcPr>
            <w:tcW w:w="5940" w:type="dxa"/>
            <w:vAlign w:val="bottom"/>
            <w:gridSpan w:val="15"/>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61</w:t>
            </w:r>
          </w:p>
        </w:tc>
      </w:tr>
      <w:tr>
        <w:trPr>
          <w:trHeight w:val="223"/>
        </w:trPr>
        <w:tc>
          <w:tcPr>
            <w:tcW w:w="980" w:type="dxa"/>
            <w:vAlign w:val="bottom"/>
          </w:tcPr>
          <w:p>
            <w:pPr>
              <w:spacing w:after="0"/>
              <w:rPr>
                <w:sz w:val="19"/>
                <w:szCs w:val="19"/>
                <w:color w:val="auto"/>
              </w:rPr>
            </w:pPr>
          </w:p>
        </w:tc>
        <w:tc>
          <w:tcPr>
            <w:tcW w:w="382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6"/>
                <w:szCs w:val="16"/>
                <w:color w:val="3051F2"/>
              </w:rPr>
              <w:t>Consolidated Statements of Comprehensive Income (Loss)</w:t>
            </w:r>
          </w:p>
        </w:tc>
        <w:tc>
          <w:tcPr>
            <w:tcW w:w="4660" w:type="dxa"/>
            <w:vAlign w:val="bottom"/>
            <w:gridSpan w:val="8"/>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62</w:t>
            </w:r>
          </w:p>
        </w:tc>
      </w:tr>
      <w:tr>
        <w:trPr>
          <w:trHeight w:val="223"/>
        </w:trPr>
        <w:tc>
          <w:tcPr>
            <w:tcW w:w="980" w:type="dxa"/>
            <w:vAlign w:val="bottom"/>
          </w:tcPr>
          <w:p>
            <w:pPr>
              <w:spacing w:after="0"/>
              <w:rPr>
                <w:sz w:val="19"/>
                <w:szCs w:val="19"/>
                <w:color w:val="auto"/>
              </w:rPr>
            </w:pPr>
          </w:p>
        </w:tc>
        <w:tc>
          <w:tcPr>
            <w:tcW w:w="3200" w:type="dxa"/>
            <w:vAlign w:val="bottom"/>
            <w:tcBorders>
              <w:bottom w:val="single" w:sz="8" w:color="3051F2"/>
            </w:tcBorders>
            <w:gridSpan w:val="17"/>
          </w:tcPr>
          <w:p>
            <w:pPr>
              <w:spacing w:after="0"/>
              <w:rPr>
                <w:sz w:val="20"/>
                <w:szCs w:val="20"/>
                <w:color w:val="auto"/>
              </w:rPr>
            </w:pPr>
            <w:r>
              <w:rPr>
                <w:rFonts w:ascii="Times New Roman" w:cs="Times New Roman" w:eastAsia="Times New Roman" w:hAnsi="Times New Roman"/>
                <w:sz w:val="16"/>
                <w:szCs w:val="16"/>
                <w:color w:val="3051F2"/>
              </w:rPr>
              <w:t>Consolidated Statements of Stockholders’ Equity</w:t>
            </w:r>
          </w:p>
        </w:tc>
        <w:tc>
          <w:tcPr>
            <w:tcW w:w="5280" w:type="dxa"/>
            <w:vAlign w:val="bottom"/>
            <w:gridSpan w:val="11"/>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63</w:t>
            </w:r>
          </w:p>
        </w:tc>
      </w:tr>
      <w:tr>
        <w:trPr>
          <w:trHeight w:val="223"/>
        </w:trPr>
        <w:tc>
          <w:tcPr>
            <w:tcW w:w="980" w:type="dxa"/>
            <w:vAlign w:val="bottom"/>
          </w:tcPr>
          <w:p>
            <w:pPr>
              <w:spacing w:after="0"/>
              <w:rPr>
                <w:sz w:val="19"/>
                <w:szCs w:val="19"/>
                <w:color w:val="auto"/>
              </w:rPr>
            </w:pP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Consolidated Statements of Cash Flows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65</w:t>
            </w:r>
          </w:p>
        </w:tc>
      </w:tr>
      <w:tr>
        <w:trPr>
          <w:trHeight w:val="20"/>
        </w:trPr>
        <w:tc>
          <w:tcPr>
            <w:tcW w:w="980" w:type="dxa"/>
            <w:vAlign w:val="bottom"/>
          </w:tcPr>
          <w:p>
            <w:pPr>
              <w:spacing w:after="0" w:line="20" w:lineRule="exact"/>
              <w:rPr>
                <w:sz w:val="1"/>
                <w:szCs w:val="1"/>
                <w:color w:val="auto"/>
              </w:rPr>
            </w:pPr>
          </w:p>
        </w:tc>
        <w:tc>
          <w:tcPr>
            <w:tcW w:w="1180" w:type="dxa"/>
            <w:vAlign w:val="bottom"/>
            <w:gridSpan w:val="6"/>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284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6"/>
                <w:szCs w:val="16"/>
                <w:color w:val="3051F2"/>
              </w:rPr>
              <w:t>Notes to Consolidated Financial Statements</w:t>
            </w:r>
          </w:p>
        </w:tc>
        <w:tc>
          <w:tcPr>
            <w:tcW w:w="5640" w:type="dxa"/>
            <w:vAlign w:val="bottom"/>
            <w:gridSpan w:val="1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66</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Changes in and Disagreements with Accountants on Accounting and Financial Disclosure</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93</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160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6"/>
                <w:szCs w:val="16"/>
                <w:color w:val="3051F2"/>
              </w:rPr>
              <w:t>Controls and Procedures</w:t>
            </w:r>
          </w:p>
        </w:tc>
        <w:tc>
          <w:tcPr>
            <w:tcW w:w="4220" w:type="dxa"/>
            <w:vAlign w:val="bottom"/>
            <w:tcBorders>
              <w:top w:val="single" w:sz="8" w:color="3051F2"/>
            </w:tcBorders>
            <w:gridSpan w:val="16"/>
          </w:tcPr>
          <w:p>
            <w:pPr>
              <w:spacing w:after="0"/>
              <w:rPr>
                <w:sz w:val="19"/>
                <w:szCs w:val="19"/>
                <w:color w:val="auto"/>
              </w:rPr>
            </w:pPr>
          </w:p>
        </w:tc>
        <w:tc>
          <w:tcPr>
            <w:tcW w:w="2660" w:type="dxa"/>
            <w:vAlign w:val="bottom"/>
            <w:gridSpan w:val="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93</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Other Information</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93</w:t>
            </w:r>
          </w:p>
        </w:tc>
      </w:tr>
      <w:tr>
        <w:trPr>
          <w:trHeight w:val="20"/>
        </w:trPr>
        <w:tc>
          <w:tcPr>
            <w:tcW w:w="980" w:type="dxa"/>
            <w:vAlign w:val="bottom"/>
          </w:tcPr>
          <w:p>
            <w:pPr>
              <w:spacing w:after="0" w:line="20" w:lineRule="exact"/>
              <w:rPr>
                <w:sz w:val="1"/>
                <w:szCs w:val="1"/>
                <w:color w:val="auto"/>
              </w:rPr>
            </w:pPr>
          </w:p>
        </w:tc>
        <w:tc>
          <w:tcPr>
            <w:tcW w:w="1180" w:type="dxa"/>
            <w:vAlign w:val="bottom"/>
            <w:gridSpan w:val="6"/>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Disclosure Regarding Foreign Jurisdictions That Prevent Inspections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93</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8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Directors, Executive Officers and Corporate Governance</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94</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3680" w:type="dxa"/>
            <w:vAlign w:val="bottom"/>
            <w:tcBorders>
              <w:top w:val="single" w:sz="8" w:color="3051F2"/>
            </w:tcBorders>
            <w:gridSpan w:val="18"/>
          </w:tcPr>
          <w:p>
            <w:pPr>
              <w:spacing w:after="0"/>
              <w:rPr>
                <w:sz w:val="20"/>
                <w:szCs w:val="20"/>
                <w:color w:val="auto"/>
              </w:rPr>
            </w:pPr>
            <w:r>
              <w:rPr>
                <w:rFonts w:ascii="Times New Roman" w:cs="Times New Roman" w:eastAsia="Times New Roman" w:hAnsi="Times New Roman"/>
                <w:sz w:val="16"/>
                <w:szCs w:val="16"/>
                <w:color w:val="3051F2"/>
              </w:rPr>
              <w:t>Executive Compensation</w:t>
            </w:r>
          </w:p>
        </w:tc>
        <w:tc>
          <w:tcPr>
            <w:tcW w:w="4800" w:type="dxa"/>
            <w:vAlign w:val="bottom"/>
            <w:gridSpan w:val="10"/>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94</w:t>
            </w:r>
          </w:p>
        </w:tc>
      </w:tr>
      <w:tr>
        <w:trPr>
          <w:trHeight w:val="20"/>
        </w:trPr>
        <w:tc>
          <w:tcPr>
            <w:tcW w:w="980" w:type="dxa"/>
            <w:vAlign w:val="bottom"/>
          </w:tcPr>
          <w:p>
            <w:pPr>
              <w:spacing w:after="0" w:line="20" w:lineRule="exact"/>
              <w:rPr>
                <w:sz w:val="1"/>
                <w:szCs w:val="1"/>
                <w:color w:val="auto"/>
              </w:rPr>
            </w:pPr>
          </w:p>
        </w:tc>
        <w:tc>
          <w:tcPr>
            <w:tcW w:w="1400" w:type="dxa"/>
            <w:vAlign w:val="bottom"/>
            <w:gridSpan w:val="8"/>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Security Ownership of Certain Beneficial Owners and Management and Related Stockholders Matters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94</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6620" w:type="dxa"/>
            <w:vAlign w:val="bottom"/>
            <w:tcBorders>
              <w:top w:val="single" w:sz="8" w:color="3051F2"/>
            </w:tcBorders>
            <w:gridSpan w:val="26"/>
          </w:tcPr>
          <w:p>
            <w:pPr>
              <w:spacing w:after="0"/>
              <w:rPr>
                <w:sz w:val="20"/>
                <w:szCs w:val="20"/>
                <w:color w:val="auto"/>
              </w:rPr>
            </w:pPr>
            <w:r>
              <w:rPr>
                <w:rFonts w:ascii="Times New Roman" w:cs="Times New Roman" w:eastAsia="Times New Roman" w:hAnsi="Times New Roman"/>
                <w:sz w:val="16"/>
                <w:szCs w:val="16"/>
                <w:color w:val="3051F2"/>
              </w:rPr>
              <w:t>Certain Relationships and Related Transactions, and Director Independence</w:t>
            </w:r>
          </w:p>
        </w:tc>
        <w:tc>
          <w:tcPr>
            <w:tcW w:w="1860" w:type="dxa"/>
            <w:vAlign w:val="bottom"/>
            <w:gridSpan w:val="2"/>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94</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4900" w:type="dxa"/>
            <w:vAlign w:val="bottom"/>
            <w:tcBorders>
              <w:top w:val="single" w:sz="8" w:color="3051F2"/>
            </w:tcBorders>
            <w:gridSpan w:val="23"/>
          </w:tcPr>
          <w:p>
            <w:pPr>
              <w:spacing w:after="0"/>
              <w:rPr>
                <w:sz w:val="20"/>
                <w:szCs w:val="20"/>
                <w:color w:val="auto"/>
              </w:rPr>
            </w:pPr>
            <w:r>
              <w:rPr>
                <w:rFonts w:ascii="Times New Roman" w:cs="Times New Roman" w:eastAsia="Times New Roman" w:hAnsi="Times New Roman"/>
                <w:sz w:val="16"/>
                <w:szCs w:val="16"/>
                <w:color w:val="3051F2"/>
              </w:rPr>
              <w:t>Principal Accounting Fees and Services</w:t>
            </w:r>
          </w:p>
        </w:tc>
        <w:tc>
          <w:tcPr>
            <w:tcW w:w="3580" w:type="dxa"/>
            <w:vAlign w:val="bottom"/>
            <w:gridSpan w:val="5"/>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94</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Exhibits and Financial Statement Schedules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95</w:t>
            </w: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580" w:type="dxa"/>
            <w:vAlign w:val="bottom"/>
            <w:tcBorders>
              <w:top w:val="single" w:sz="8" w:color="3051F2"/>
            </w:tcBorders>
          </w:tcPr>
          <w:p>
            <w:pPr>
              <w:spacing w:after="0"/>
              <w:rPr>
                <w:sz w:val="22"/>
                <w:szCs w:val="22"/>
                <w:color w:val="auto"/>
              </w:rPr>
            </w:pPr>
          </w:p>
        </w:tc>
        <w:tc>
          <w:tcPr>
            <w:tcW w:w="20" w:type="dxa"/>
            <w:vAlign w:val="bottom"/>
            <w:tcBorders>
              <w:top w:val="single" w:sz="8" w:color="3051F2"/>
            </w:tcBorders>
          </w:tcPr>
          <w:p>
            <w:pPr>
              <w:spacing w:after="0"/>
              <w:rPr>
                <w:sz w:val="22"/>
                <w:szCs w:val="22"/>
                <w:color w:val="auto"/>
              </w:rPr>
            </w:pPr>
          </w:p>
        </w:tc>
        <w:tc>
          <w:tcPr>
            <w:tcW w:w="60" w:type="dxa"/>
            <w:vAlign w:val="bottom"/>
            <w:tcBorders>
              <w:top w:val="single" w:sz="8" w:color="3051F2"/>
            </w:tcBorders>
          </w:tcPr>
          <w:p>
            <w:pPr>
              <w:spacing w:after="0"/>
              <w:rPr>
                <w:sz w:val="22"/>
                <w:szCs w:val="22"/>
                <w:color w:val="auto"/>
              </w:rPr>
            </w:pPr>
          </w:p>
        </w:tc>
        <w:tc>
          <w:tcPr>
            <w:tcW w:w="160" w:type="dxa"/>
            <w:vAlign w:val="bottom"/>
            <w:tcBorders>
              <w:top w:val="single" w:sz="8" w:color="3051F2"/>
            </w:tcBorders>
          </w:tcPr>
          <w:p>
            <w:pPr>
              <w:spacing w:after="0"/>
              <w:rPr>
                <w:sz w:val="22"/>
                <w:szCs w:val="22"/>
                <w:color w:val="auto"/>
              </w:rPr>
            </w:pPr>
          </w:p>
        </w:tc>
        <w:tc>
          <w:tcPr>
            <w:tcW w:w="80" w:type="dxa"/>
            <w:vAlign w:val="bottom"/>
            <w:tcBorders>
              <w:top w:val="single" w:sz="8" w:color="3051F2"/>
            </w:tcBorders>
          </w:tcPr>
          <w:p>
            <w:pPr>
              <w:spacing w:after="0"/>
              <w:rPr>
                <w:sz w:val="22"/>
                <w:szCs w:val="22"/>
                <w:color w:val="auto"/>
              </w:rPr>
            </w:pPr>
          </w:p>
        </w:tc>
        <w:tc>
          <w:tcPr>
            <w:tcW w:w="280" w:type="dxa"/>
            <w:vAlign w:val="bottom"/>
            <w:tcBorders>
              <w:top w:val="single" w:sz="8" w:color="3051F2"/>
            </w:tcBorders>
          </w:tcPr>
          <w:p>
            <w:pPr>
              <w:spacing w:after="0"/>
              <w:rPr>
                <w:sz w:val="22"/>
                <w:szCs w:val="22"/>
                <w:color w:val="auto"/>
              </w:rPr>
            </w:pPr>
          </w:p>
        </w:tc>
        <w:tc>
          <w:tcPr>
            <w:tcW w:w="20" w:type="dxa"/>
            <w:vAlign w:val="bottom"/>
            <w:tcBorders>
              <w:top w:val="single" w:sz="8" w:color="3051F2"/>
            </w:tcBorders>
          </w:tcPr>
          <w:p>
            <w:pPr>
              <w:spacing w:after="0"/>
              <w:rPr>
                <w:sz w:val="22"/>
                <w:szCs w:val="22"/>
                <w:color w:val="auto"/>
              </w:rPr>
            </w:pPr>
          </w:p>
        </w:tc>
        <w:tc>
          <w:tcPr>
            <w:tcW w:w="200" w:type="dxa"/>
            <w:vAlign w:val="bottom"/>
            <w:tcBorders>
              <w:top w:val="single" w:sz="8" w:color="3051F2"/>
            </w:tcBorders>
          </w:tcPr>
          <w:p>
            <w:pPr>
              <w:spacing w:after="0"/>
              <w:rPr>
                <w:sz w:val="22"/>
                <w:szCs w:val="22"/>
                <w:color w:val="auto"/>
              </w:rPr>
            </w:pPr>
          </w:p>
        </w:tc>
        <w:tc>
          <w:tcPr>
            <w:tcW w:w="200" w:type="dxa"/>
            <w:vAlign w:val="bottom"/>
            <w:tcBorders>
              <w:top w:val="single" w:sz="8" w:color="3051F2"/>
            </w:tcBorders>
          </w:tcPr>
          <w:p>
            <w:pPr>
              <w:spacing w:after="0"/>
              <w:rPr>
                <w:sz w:val="22"/>
                <w:szCs w:val="22"/>
                <w:color w:val="auto"/>
              </w:rPr>
            </w:pPr>
          </w:p>
        </w:tc>
        <w:tc>
          <w:tcPr>
            <w:tcW w:w="20" w:type="dxa"/>
            <w:vAlign w:val="bottom"/>
            <w:tcBorders>
              <w:top w:val="single" w:sz="8" w:color="3051F2"/>
            </w:tcBorders>
          </w:tcPr>
          <w:p>
            <w:pPr>
              <w:spacing w:after="0"/>
              <w:rPr>
                <w:sz w:val="22"/>
                <w:szCs w:val="22"/>
                <w:color w:val="auto"/>
              </w:rPr>
            </w:pPr>
          </w:p>
        </w:tc>
        <w:tc>
          <w:tcPr>
            <w:tcW w:w="220" w:type="dxa"/>
            <w:vAlign w:val="bottom"/>
            <w:tcBorders>
              <w:top w:val="single" w:sz="8" w:color="3051F2"/>
            </w:tcBorders>
          </w:tcPr>
          <w:p>
            <w:pPr>
              <w:spacing w:after="0"/>
              <w:rPr>
                <w:sz w:val="22"/>
                <w:szCs w:val="22"/>
                <w:color w:val="auto"/>
              </w:rPr>
            </w:pPr>
          </w:p>
        </w:tc>
        <w:tc>
          <w:tcPr>
            <w:tcW w:w="40" w:type="dxa"/>
            <w:vAlign w:val="bottom"/>
            <w:tcBorders>
              <w:top w:val="single" w:sz="8" w:color="3051F2"/>
            </w:tcBorders>
          </w:tcPr>
          <w:p>
            <w:pPr>
              <w:spacing w:after="0"/>
              <w:rPr>
                <w:sz w:val="22"/>
                <w:szCs w:val="22"/>
                <w:color w:val="auto"/>
              </w:rPr>
            </w:pPr>
          </w:p>
        </w:tc>
        <w:tc>
          <w:tcPr>
            <w:tcW w:w="660" w:type="dxa"/>
            <w:vAlign w:val="bottom"/>
            <w:tcBorders>
              <w:top w:val="single" w:sz="8" w:color="3051F2"/>
            </w:tcBorders>
          </w:tcPr>
          <w:p>
            <w:pPr>
              <w:spacing w:after="0"/>
              <w:rPr>
                <w:sz w:val="22"/>
                <w:szCs w:val="22"/>
                <w:color w:val="auto"/>
              </w:rPr>
            </w:pPr>
          </w:p>
        </w:tc>
        <w:tc>
          <w:tcPr>
            <w:tcW w:w="40" w:type="dxa"/>
            <w:vAlign w:val="bottom"/>
            <w:tcBorders>
              <w:top w:val="single" w:sz="8" w:color="3051F2"/>
            </w:tcBorders>
          </w:tcPr>
          <w:p>
            <w:pPr>
              <w:spacing w:after="0"/>
              <w:rPr>
                <w:sz w:val="22"/>
                <w:szCs w:val="22"/>
                <w:color w:val="auto"/>
              </w:rPr>
            </w:pPr>
          </w:p>
        </w:tc>
        <w:tc>
          <w:tcPr>
            <w:tcW w:w="260" w:type="dxa"/>
            <w:vAlign w:val="bottom"/>
            <w:tcBorders>
              <w:top w:val="single" w:sz="8" w:color="3051F2"/>
            </w:tcBorders>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96</w:t>
            </w: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Form 10-K Summary</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97</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98</w:t>
            </w:r>
          </w:p>
        </w:tc>
      </w:tr>
    </w:tbl>
    <w:p>
      <w:pPr>
        <w:spacing w:after="0" w:line="200" w:lineRule="exact"/>
        <w:rPr>
          <w:sz w:val="20"/>
          <w:szCs w:val="20"/>
          <w:color w:val="auto"/>
        </w:rPr>
      </w:pPr>
    </w:p>
    <w:p>
      <w:pPr>
        <w:sectPr>
          <w:pgSz w:w="11900" w:h="16838" w:orient="portrait"/>
          <w:cols w:equalWidth="0" w:num="1">
            <w:col w:w="11040"/>
          </w:cols>
          <w:pgMar w:left="320" w:top="36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9"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revenue, expenses, and other operating results;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customers and successfully retain existing customers;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new products and services in a timely manner;</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sustain our profitability;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our strategic relationships with third parties;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plan and our ability to effectively manage our growth;</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trends, growth rates, and challenges in our business and in the market segments in which we operate;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employees;</w:t>
      </w:r>
    </w:p>
    <w:p>
      <w:pPr>
        <w:spacing w:after="0" w:line="72" w:lineRule="exact"/>
        <w:rPr>
          <w:rFonts w:ascii="Times New Roman" w:cs="Times New Roman" w:eastAsia="Times New Roman" w:hAnsi="Times New Roman"/>
          <w:sz w:val="16"/>
          <w:szCs w:val="16"/>
          <w:color w:val="auto"/>
        </w:rPr>
      </w:pPr>
    </w:p>
    <w:p>
      <w:pPr>
        <w:ind w:left="660" w:right="10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the impact of geopolitical and macroeconomic conditions, including currency fluctuations, inflation, regulatory changes (including as may be related to immigration, fiscal policy, foreign trade, or foreign investment), or regional and global conflicts or related government sanctions;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security and availability of our solutions;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money transmission licenses and other regulatory clearances;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international operations; and</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anticipated technology needs and developments and our ability to address those needs and developments with our solutions.</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Annual Report on Form 10-K.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4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Unless the context otherwise requires, the terms “Remitly Global,” “Remitly,” “the Company,” “we,” “us,” and “our” in this Annual Report on Form 10-K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9"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Remitly, founded in 2011, is a trusted provider of financial services that transcend borders. With a footprint spanning more than 175 countries, we have built one of the world’s leading global money movement platforms, trusted by millions of customers who rely on us every day.</w:t>
      </w:r>
    </w:p>
    <w:p>
      <w:pPr>
        <w:spacing w:after="0" w:line="9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long-term, trusted relationships we foster with our customers have enabled us to scale to more than 5,300 corridors and more than 9.3 million quarterly active users worldwide. Leveraging our strengths in global money movement, we continue to evolve beyond a remittance company into a diversified, cross-border financial services provider, serving both consumers and businesses across a growing set of use cases. To further our vision, we have expanded by serving new customer categories, including high-amount senders, businesses, and receivers, and by introducing new products. These offerings build on our foundation and extend our ability to support the financial lives of our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strategy and execution is grounded in three core strengths:</w:t>
      </w:r>
    </w:p>
    <w:p>
      <w:pPr>
        <w:spacing w:after="0" w:line="165"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Trust: </w:t>
      </w:r>
      <w:r>
        <w:rPr>
          <w:rFonts w:ascii="Times New Roman" w:cs="Times New Roman" w:eastAsia="Times New Roman" w:hAnsi="Times New Roman"/>
          <w:sz w:val="16"/>
          <w:szCs w:val="16"/>
          <w:color w:val="auto"/>
        </w:rPr>
        <w:t>This is the foundation of everything we do—built through reliability, fairness, and security with millions of customers;</w:t>
      </w:r>
    </w:p>
    <w:p>
      <w:pPr>
        <w:spacing w:after="0" w:line="18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Network: </w:t>
      </w:r>
      <w:r>
        <w:rPr>
          <w:rFonts w:ascii="Times New Roman" w:cs="Times New Roman" w:eastAsia="Times New Roman" w:hAnsi="Times New Roman"/>
          <w:sz w:val="16"/>
          <w:szCs w:val="16"/>
          <w:color w:val="auto"/>
        </w:rPr>
        <w:t>The strength of our network makes our service fast, reliable, and affordable; and</w:t>
      </w:r>
    </w:p>
    <w:p>
      <w:pPr>
        <w:spacing w:after="0" w:line="167" w:lineRule="exact"/>
        <w:rPr>
          <w:rFonts w:ascii="Times New Roman" w:cs="Times New Roman" w:eastAsia="Times New Roman" w:hAnsi="Times New Roman"/>
          <w:sz w:val="16"/>
          <w:szCs w:val="16"/>
          <w:color w:val="auto"/>
        </w:rPr>
      </w:pPr>
    </w:p>
    <w:p>
      <w:pPr>
        <w:ind w:left="660" w:right="380" w:hanging="328"/>
        <w:spacing w:after="0" w:line="283"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Scale: </w:t>
      </w:r>
      <w:r>
        <w:rPr>
          <w:rFonts w:ascii="Times New Roman" w:cs="Times New Roman" w:eastAsia="Times New Roman" w:hAnsi="Times New Roman"/>
          <w:sz w:val="16"/>
          <w:szCs w:val="16"/>
          <w:color w:val="auto"/>
        </w:rPr>
        <w:t>This allows us to deliver lower unit costs, offer competitive pricing, and reinvest to continually improve how customers interact with our products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services.</w:t>
      </w:r>
    </w:p>
    <w:p>
      <w:pPr>
        <w:spacing w:after="0" w:line="12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Together, these strengths underpin a customer experience advantage defined by speed, simplicity, and delight—delivering a platform of products and services that work reliably and with consistent and dependable performance. Our combination of a trusted brand, a high-quality global network, and proven scale positions Remitly to continue transforming lives while expanding access to trusted financial services around the world.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Key Performance Metrics</w:t>
      </w:r>
    </w:p>
    <w:p>
      <w:pPr>
        <w:spacing w:after="0" w:line="16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substantial majority of our revenue is currently generated from our global money movement product, where we earn revenue from transaction fees charged to customers and foreign exchange spreads applied to the amount the customer is sending.</w:t>
      </w:r>
    </w:p>
    <w:p>
      <w:pPr>
        <w:spacing w:after="0" w:line="9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In addition to our financial results, we regularly review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spacing w:after="0" w:line="137" w:lineRule="exact"/>
        <w:rPr>
          <w:sz w:val="20"/>
          <w:szCs w:val="20"/>
          <w:color w:val="auto"/>
        </w:rPr>
      </w:pPr>
    </w:p>
    <w:p>
      <w:pPr>
        <w:ind w:left="660" w:right="160" w:hanging="328"/>
        <w:spacing w:after="0" w:line="283"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“Active customers” </w:t>
      </w:r>
      <w:r>
        <w:rPr>
          <w:rFonts w:ascii="Times New Roman" w:cs="Times New Roman" w:eastAsia="Times New Roman" w:hAnsi="Times New Roman"/>
          <w:sz w:val="16"/>
          <w:szCs w:val="16"/>
          <w:color w:val="auto"/>
        </w:rPr>
        <w:t>is defined as the number of distinct customers that have successfully completed at least one transaction using Remitly during a given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identify customers through unique account numbers.</w:t>
      </w:r>
    </w:p>
    <w:p>
      <w:pPr>
        <w:spacing w:after="0" w:line="119" w:lineRule="exact"/>
        <w:rPr>
          <w:rFonts w:ascii="Times New Roman" w:cs="Times New Roman" w:eastAsia="Times New Roman" w:hAnsi="Times New Roman"/>
          <w:sz w:val="16"/>
          <w:szCs w:val="16"/>
          <w:color w:val="auto"/>
        </w:rPr>
      </w:pPr>
    </w:p>
    <w:p>
      <w:pPr>
        <w:ind w:left="660" w:right="100" w:hanging="328"/>
        <w:spacing w:after="0" w:line="265"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“Send volume” </w:t>
      </w:r>
      <w:r>
        <w:rPr>
          <w:rFonts w:ascii="Times New Roman" w:cs="Times New Roman" w:eastAsia="Times New Roman" w:hAnsi="Times New Roman"/>
          <w:sz w:val="16"/>
          <w:szCs w:val="16"/>
          <w:color w:val="auto"/>
        </w:rPr>
        <w:t>is defined as the sum of the amount that customers send, measured in U.S. dollars, related to transactions completed during a given period.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is net of cancellations, does not include transaction fees from customers, and does not include any credits, offers, or bonuses applied to the transaction by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measure active customers on a quarterly basis and as a result, this metric is only presented on a quarterly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2025 key performance metrics included the following results:</w:t>
      </w:r>
    </w:p>
    <w:p>
      <w:pPr>
        <w:spacing w:after="0" w:line="181"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Active customers for the fourth quarter of 2025 increased to 9.3 million, from 7.8 million, up 19% year over year.</w:t>
      </w:r>
    </w:p>
    <w:p>
      <w:pPr>
        <w:spacing w:after="0" w:line="167"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Send volume for the year ended December 31, 2025 increased to $74.9 billion, from $54.6 billion, up 37% year over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charts below present the respective key performance metrics for the past five fiscal years (active customer figures below represent active customers during the fourth quarter of the respective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87630</wp:posOffset>
            </wp:positionV>
            <wp:extent cx="537464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46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Platform</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core product on our platform enables customers to send money digitally across borders. Our customers predominantly engage with us via their mobile phones, either using our mobile app, website, or messaging services, shifting what traditionally required waiting in line to speak with an agent to handheld devices. Our customers are able to set up an account and start sending money to international recipients, generally within minutes. Recipients can receive funds in multiple ways using our diversified, high quality global disbursement network. Our customers can also track the status of their transactions as they are processed. Providing our customers with a convenient, easy, and safe digital-first experience underpins our approach to product development, marketing, and customer success efforts.</w:t>
      </w:r>
    </w:p>
    <w:p>
      <w:pPr>
        <w:spacing w:after="0" w:line="126"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While remaining focused on global money movement, which represents the substantial majority of our revenue today, we continue to evolve and invest in our technology to deepen relationships with our customers and attract new customers by adding relevant services, features, and products on our platform.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Strategy</w:t>
      </w:r>
    </w:p>
    <w:p>
      <w:pPr>
        <w:spacing w:after="0" w:line="16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We operate in a large, diverse, and growing global cross-border payments market. Based on recent estimates from FXC Intelligence, a financial data company, consumers and small to mid-sized businesses move more than $22 trillion across borders annually, a figure expected to reach more than $34 trillion by 2032. The consumer-to-consumer category alone represents approximately $2 trillion, with the additional categories of consumer-to-business and business-to-business expanding our total addressable market potential significantly.</w:t>
      </w:r>
    </w:p>
    <w:p>
      <w:pPr>
        <w:spacing w:after="0" w:line="120"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Our approach to achieving our strategy has been rooted in deeply understanding our customers’ unique and local needs to provide them with a differentiated experience in cross-border payments. Managing our business from this perspective has been key to our success since the very beginning and forms the framework of our strategy, which includes the following focus areas:</w:t>
      </w:r>
    </w:p>
    <w:p>
      <w:pPr>
        <w:spacing w:after="0" w:line="115" w:lineRule="exact"/>
        <w:rPr>
          <w:sz w:val="20"/>
          <w:szCs w:val="20"/>
          <w:color w:val="auto"/>
        </w:rPr>
      </w:pPr>
    </w:p>
    <w:p>
      <w:pPr>
        <w:ind w:left="660" w:right="100" w:hanging="328"/>
        <w:spacing w:after="0" w:line="27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Focus on core global money movement. </w:t>
      </w:r>
      <w:r>
        <w:rPr>
          <w:rFonts w:ascii="Times New Roman" w:cs="Times New Roman" w:eastAsia="Times New Roman" w:hAnsi="Times New Roman"/>
          <w:sz w:val="16"/>
          <w:szCs w:val="16"/>
          <w:color w:val="auto"/>
        </w:rPr>
        <w:t>Global money movement remains the foundation of our business and represents the substantial majority of our revenue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today. We continue to prioritize delivering a reliable, fast, and transparent cross-border payment experience, supported by disciplined execution and ongoing investment in our platform. This focus enables us to strengthen customer trust, increase engagement, and support consistent usage.</w:t>
      </w:r>
    </w:p>
    <w:p>
      <w:pPr>
        <w:spacing w:after="0" w:line="114" w:lineRule="exact"/>
        <w:rPr>
          <w:rFonts w:ascii="Times New Roman" w:cs="Times New Roman" w:eastAsia="Times New Roman" w:hAnsi="Times New Roman"/>
          <w:sz w:val="16"/>
          <w:szCs w:val="16"/>
          <w:color w:val="auto"/>
        </w:rPr>
      </w:pPr>
    </w:p>
    <w:p>
      <w:pPr>
        <w:jc w:val="both"/>
        <w:ind w:left="660" w:right="80" w:hanging="328"/>
        <w:spacing w:after="0" w:line="27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Unlock incremental customer categories. </w:t>
      </w:r>
      <w:r>
        <w:rPr>
          <w:rFonts w:ascii="Times New Roman" w:cs="Times New Roman" w:eastAsia="Times New Roman" w:hAnsi="Times New Roman"/>
          <w:sz w:val="16"/>
          <w:szCs w:val="16"/>
          <w:color w:val="auto"/>
        </w:rPr>
        <w:t>As we have scaled our core offering, we have broadened the set of customers we serve beyond low-amount senders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 high-amount senders, businesses, and receivers. These customer categories reflect a wider range of cross-border financial needs and represent meaningful opportunities to expand our addressable market while leveraging the same underlying platform and network.</w:t>
      </w:r>
    </w:p>
    <w:p>
      <w:pPr>
        <w:spacing w:after="0" w:line="114" w:lineRule="exact"/>
        <w:rPr>
          <w:rFonts w:ascii="Times New Roman" w:cs="Times New Roman" w:eastAsia="Times New Roman" w:hAnsi="Times New Roman"/>
          <w:sz w:val="16"/>
          <w:szCs w:val="16"/>
          <w:color w:val="auto"/>
        </w:rPr>
      </w:pPr>
    </w:p>
    <w:p>
      <w:pPr>
        <w:ind w:left="660" w:hanging="328"/>
        <w:spacing w:after="0" w:line="264"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Deepen our customer relationships through adjacent and novel use cases. </w:t>
      </w:r>
      <w:r>
        <w:rPr>
          <w:rFonts w:ascii="Times New Roman" w:cs="Times New Roman" w:eastAsia="Times New Roman" w:hAnsi="Times New Roman"/>
          <w:sz w:val="16"/>
          <w:szCs w:val="16"/>
          <w:color w:val="auto"/>
        </w:rPr>
        <w:t>Building on the trusted relationships established through money movement,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continue to introduce additional products and features designed to increase customer engagement and lifetime value. These include Remitly Flex, which allows customers to send now and pay later via a no-interest, flexible payment option to fund their cross-border transactions; Remitly Wallet and Card, which respectively enable customers to store and save money in a digital wallet, and spend funds globally with a digital debit card; and membership and loyalty programs, which deliver a unified experience that builds and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40"/>
        <w:spacing w:after="0" w:line="280" w:lineRule="auto"/>
        <w:rPr>
          <w:sz w:val="20"/>
          <w:szCs w:val="20"/>
          <w:color w:val="auto"/>
        </w:rPr>
      </w:pPr>
      <w:r>
        <w:rPr>
          <w:rFonts w:ascii="Times New Roman" w:cs="Times New Roman" w:eastAsia="Times New Roman" w:hAnsi="Times New Roman"/>
          <w:sz w:val="16"/>
          <w:szCs w:val="16"/>
          <w:color w:val="auto"/>
        </w:rPr>
        <w:t>rewards engagement with our products and services through Remitly One. We expect these products to deepen relationships with existing customers and attract new customers seeking broader cross-border financial solutions.</w:t>
      </w:r>
    </w:p>
    <w:p>
      <w:pPr>
        <w:spacing w:after="0" w:line="122" w:lineRule="exact"/>
        <w:rPr>
          <w:sz w:val="20"/>
          <w:szCs w:val="20"/>
          <w:color w:val="auto"/>
        </w:rPr>
      </w:pPr>
    </w:p>
    <w:p>
      <w:pPr>
        <w:ind w:left="660" w:right="60" w:hanging="328"/>
        <w:spacing w:after="0" w:line="27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Scale with discipline and efficiency. </w:t>
      </w:r>
      <w:r>
        <w:rPr>
          <w:rFonts w:ascii="Times New Roman" w:cs="Times New Roman" w:eastAsia="Times New Roman" w:hAnsi="Times New Roman"/>
          <w:sz w:val="16"/>
          <w:szCs w:val="16"/>
          <w:color w:val="auto"/>
        </w:rPr>
        <w:t>Across all stages of expansion, we apply a data-driven approach to customer acquisition, product development, and resource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allocation. Our strategy emphasizes sustainable growth, efficient unit economics, and reinvestment in platform capabilities that support long-term scalability. As we expand into new geographies and customer categories, we remain focused on balancing growth with operational efficiency and attractive unit economics.</w:t>
      </w:r>
    </w:p>
    <w:p>
      <w:pPr>
        <w:spacing w:after="0" w:line="11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Together, these strategic priorities allow us to pursue long-term growth while remaining anchored in our core global money movement business and leveraging our platform to serve a broader set of cross-border financial needs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Sets Us Apart</w:t>
      </w:r>
    </w:p>
    <w:p>
      <w:pPr>
        <w:spacing w:after="0" w:line="16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Our competitive advantage is built on three core strengths—trust, network, and scale—which together enable us to deliver reliability, speed, and a fair and transparent price for cross-border financial services.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Trust</w:t>
      </w:r>
    </w:p>
    <w:p>
      <w:pPr>
        <w:spacing w:after="0" w:line="17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Trust is the foundation of everything we do and is earned through reliability, fairness, and security. Delivering cross-border financial services in a trusted and reliable way across geographies is incredibly complex. We are focused on delivering a reliable and seamless experience to customers that builds trust and drives repeat engagement with our platform. We manage this complexity by localizing services across more than 175 countries, supporting diverse payment methods and currencies, maintaining robust fraud and compliance systems, and operating sophisticated treasury and foreign exchange capabilities to deliver funds reliably through our global disbursement network.</w:t>
      </w:r>
    </w:p>
    <w:p>
      <w:pPr>
        <w:spacing w:after="0" w:line="13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Our digital-first platform provides an easy-to-use, end-to-end process with a simple and reliable user experience that builds trust by delivering 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 quality network, and empathetic customer service.</w:t>
      </w:r>
    </w:p>
    <w:p>
      <w:pPr>
        <w:spacing w:after="0" w:line="125"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We also earn trust through the quality and resilience of our partner ecosystem. We select and manage funding and disbursement partners based on service quality, regulatory compliance, operational performance, and risk standards, and we design our network with redundancy across corridors to support reliability and continuity of service.</w:t>
      </w:r>
    </w:p>
    <w:p>
      <w:pPr>
        <w:spacing w:after="0" w:line="9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This reliable, fair, and secure experience enables us to engage beyond the initial transaction, generating strong repeat usage and high customer loyalty. Our services are highly non-discretionary for many of our customers, which results in high revenue visibility throughout economic cycles. As of December 31, 2025, our Remitly app had a 4.9 iOS App Store rating with approximately 4.0 million reviewers and a 4.8 Android Google Play rating with over 1.3 million reviewers (app ratings are based on all countries or regions and the rating may vary based on user location and device type).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Network</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global network of funding and disbursement partnerships is at the core of our business and enables us to complete transactions efficiently across more than 5,300 corridors without the need to deploy local operations in each country, while complying with global and local licensing and regulatory requirements. A corridor represents the pairing of a send country, from which a customer can send a cross-border payment, with a specific receive country to which such cross-border payment can be sent. As a result of the quality of our network and the foundational investments we have made, adding a new send country typically unlocks a significant number of new corridors, allowing us to scale rapidly.</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network strategy emphasizes direct integrations with funding and disbursement partners wherever possible, reducing reliance on intermediaries and supporting faster, more reliable, and cost-efficient delivery of funds. This approach also helps mitigate operational complexity and concentration risk while enabling consistent service levels across geographies. These direct integrations also allow for a better customer experience and lower costs and are a significant competitive advantage. Our partners, including those that are among the most trusted and recognized brands around the world, create a broad and effective pay-in and disbursement ecosystem for our customers:</w:t>
      </w:r>
    </w:p>
    <w:p>
      <w:pPr>
        <w:spacing w:after="0" w:line="137" w:lineRule="exact"/>
        <w:rPr>
          <w:sz w:val="20"/>
          <w:szCs w:val="20"/>
          <w:color w:val="auto"/>
        </w:rPr>
      </w:pPr>
    </w:p>
    <w:p>
      <w:pPr>
        <w:ind w:left="660" w:right="60" w:hanging="328"/>
        <w:spacing w:after="0" w:line="283"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Pay-in Acceptance. </w:t>
      </w:r>
      <w:r>
        <w:rPr>
          <w:rFonts w:ascii="Times New Roman" w:cs="Times New Roman" w:eastAsia="Times New Roman" w:hAnsi="Times New Roman"/>
          <w:sz w:val="16"/>
          <w:szCs w:val="16"/>
          <w:color w:val="auto"/>
        </w:rPr>
        <w:t>We have relationships with top tier banks and leading global payment processors and networks. These relationships provide our customers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array of payment options to fund cross-border payments with a bank account, card-based payments, or alternative payment methods.</w:t>
      </w:r>
    </w:p>
    <w:p>
      <w:pPr>
        <w:spacing w:after="0" w:line="108" w:lineRule="exact"/>
        <w:rPr>
          <w:rFonts w:ascii="Times New Roman" w:cs="Times New Roman" w:eastAsia="Times New Roman" w:hAnsi="Times New Roman"/>
          <w:sz w:val="16"/>
          <w:szCs w:val="16"/>
          <w:color w:val="auto"/>
        </w:rPr>
      </w:pPr>
    </w:p>
    <w:p>
      <w:pPr>
        <w:ind w:left="660"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can accept and settle transfers from hundreds of millions of consumer bank accounts, payment methods such as Apple Pay and Google Pay, as well as Visa and Mastercard credit and debit cards. As a digital service, we typically do not have sending agents who accept cash. We, in turn, do not incur costs or commissions associated with physical agent-based sending and funding.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hanging="328"/>
        <w:spacing w:after="0" w:line="260"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Payment Disbursement. </w:t>
      </w:r>
      <w:r>
        <w:rPr>
          <w:rFonts w:ascii="Times New Roman" w:cs="Times New Roman" w:eastAsia="Times New Roman" w:hAnsi="Times New Roman"/>
          <w:sz w:val="16"/>
          <w:szCs w:val="16"/>
          <w:color w:val="auto"/>
        </w:rPr>
        <w:t>We provide broad and high quality access to disbursement options for our customers allowing them to choose the method that is most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convenient for their recipients, including bank accounts, cash, and alternative payment methods. Our broad disbursement network supports reliable delivery and choice, allowing customers to select whatever method works best for their family and friends to receive funds. We have access to many disbursement partners across the globe including major banks, aggregators, cash pick-up options, and mobile wallet partners. These relationships provide our customers with choice of disbursement and enable us to send funds within minutes, or even seconds, to over 5.4 billion bank accounts and mobile wallets, and approximately 490,000 cash pick-up options, including retail outlets and banks.</w:t>
      </w:r>
    </w:p>
    <w:p>
      <w:pPr>
        <w:spacing w:after="0" w:line="129" w:lineRule="exact"/>
        <w:rPr>
          <w:rFonts w:ascii="Times New Roman" w:cs="Times New Roman" w:eastAsia="Times New Roman" w:hAnsi="Times New Roman"/>
          <w:sz w:val="16"/>
          <w:szCs w:val="16"/>
          <w:color w:val="auto"/>
        </w:rPr>
      </w:pPr>
    </w:p>
    <w:p>
      <w:pPr>
        <w:ind w:left="660" w:right="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select our disbursement partners based on our recipients’ preferences, quality of service, cost, brand recognition, and co-branding opportunities. Our disbursement partners make us a trusted source of global money movement because our customers are typically already familiar with their chosen disbursement partner and recipients feel comfortable receiving money where they regularly bank or shop. In addition, we only select disbursement partners that meet or exceed:</w:t>
      </w:r>
    </w:p>
    <w:p>
      <w:pPr>
        <w:spacing w:after="0" w:line="1" w:lineRule="exact"/>
        <w:rPr>
          <w:rFonts w:ascii="Times New Roman" w:cs="Times New Roman" w:eastAsia="Times New Roman" w:hAnsi="Times New Roman"/>
          <w:sz w:val="16"/>
          <w:szCs w:val="16"/>
          <w:color w:val="auto"/>
        </w:rPr>
      </w:pPr>
    </w:p>
    <w:p>
      <w:pPr>
        <w:ind w:left="660" w:right="38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our geographic coverage goals in the regions in which they operate; (2) our robust compliance and regulatory requirements; and (3) our specific operating metrics such as credit worthiness and error rates.</w:t>
      </w:r>
    </w:p>
    <w:p>
      <w:pPr>
        <w:spacing w:after="0" w:line="118" w:lineRule="exact"/>
        <w:rPr>
          <w:sz w:val="20"/>
          <w:szCs w:val="20"/>
          <w:color w:val="auto"/>
        </w:rPr>
      </w:pPr>
    </w:p>
    <w:p>
      <w:pPr>
        <w:jc w:val="both"/>
        <w:ind w:left="660" w:right="100"/>
        <w:spacing w:after="0" w:line="272" w:lineRule="auto"/>
        <w:rPr>
          <w:sz w:val="20"/>
          <w:szCs w:val="20"/>
          <w:color w:val="auto"/>
        </w:rPr>
      </w:pPr>
      <w:r>
        <w:rPr>
          <w:rFonts w:ascii="Times New Roman" w:cs="Times New Roman" w:eastAsia="Times New Roman" w:hAnsi="Times New Roman"/>
          <w:sz w:val="16"/>
          <w:szCs w:val="16"/>
          <w:color w:val="auto"/>
        </w:rPr>
        <w:t>As a result of our significant global presence, we are able to establish multi-faceted partnerships. These partnerships enable the ability to source and settle foreign exchange rates locally, accept payments, or deposit customer funds directly to customer accounts. In addition, we have redundancies built into our global network for our various partnerships.</w:t>
      </w:r>
    </w:p>
    <w:p>
      <w:pPr>
        <w:spacing w:after="0" w:line="117"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spacing w:after="0" w:line="97"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Our customers primarily send money from the United States, Canada, the United Kingdom, and other countries in Europe, with recipients located around the world. Our largest receive countries by send volume include India, Mexico, and the Philippines.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Scale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believe scale reinforces both trust and network capabilities by enabling lower unit costs, better pricing, and continuous reinvestment in product performance and quality, including through greater use of direct integrations that improve efficiency as our volumes grow. Our data-driven approach to optimizing customer lifetime value, combined with localized and scalable marketing solutions, allows us to acquire new customers at attractive unit economics. In addition to product enhancements and efficiencies in variable operating costs, we are transforming our marketing engine from a single-product acquisition model into an artificial intelligence-powered system that drives multi-product engagement, and strengthens our ability to reactivate, retain, and increase share of wallet among existing customers.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w:t>
      </w:r>
    </w:p>
    <w:p>
      <w:pPr>
        <w:spacing w:after="0" w:line="1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Our scale also supports our disciplined expansion into new customer categories and use cases across the world. We see significant opportunity to create value by expanding our cross-border financial services to a broader set of customers. Building on our roots of serving primarily low-amount senders who send money to family and friends, we now also serve high-amount senders, businesses, and receivers, across our global network. As we continue to scale, we apply a data-driven approach to optimize customer value, product features, marketing strategies, and economics across new geographies and customer categories. We also leverage our localization expertise and technology to strengthen our global partner network through additional direct integrations and expanded payment methods to enhance our cross-border payment experience across corridors.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w:t>
      </w:r>
    </w:p>
    <w:p>
      <w:pPr>
        <w:spacing w:after="0" w:line="169"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6"/>
          <w:szCs w:val="16"/>
          <w:color w:val="auto"/>
        </w:rPr>
        <w:t>Our purpose-built technology enables the foundation for our multi-product strategy and our ability to deliver trusted, reliable, and localized digital financial services at global scale. We have evolved from a single-product provider to a flexible and scalable platform, powered by shared services, modular components, real-time data platforms, advanced data, and artificial intelligence (“AI”) models, while maintaining security and trust.</w:t>
      </w:r>
    </w:p>
    <w:p>
      <w:pPr>
        <w:spacing w:after="0" w:line="11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believe that our differentiated approach to building and operating our technology infrastructure enables a great customer experience and allows us to meet customer demands in a more flexible way. Our technology has broad and complex capabilities and, together with our proprietary data, gives us a distinct advantage in understanding our customers and being able to meet their needs. Given the scale of our business, the local nuances of the regions we serve, and the complexity of digital cross-border financial services, continued investments in our technology have positioned us for efficiency, innovation velocity, and sustained growth. Our technology approach includes the following:</w:t>
      </w:r>
    </w:p>
    <w:p>
      <w:pPr>
        <w:spacing w:after="0" w:line="124" w:lineRule="exact"/>
        <w:rPr>
          <w:sz w:val="20"/>
          <w:szCs w:val="20"/>
          <w:color w:val="auto"/>
        </w:rPr>
      </w:pPr>
    </w:p>
    <w:p>
      <w:pPr>
        <w:jc w:val="both"/>
        <w:ind w:left="660" w:right="60" w:hanging="328"/>
        <w:spacing w:after="0" w:line="273"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Rapid innovation. </w:t>
      </w:r>
      <w:r>
        <w:rPr>
          <w:rFonts w:ascii="Times New Roman" w:cs="Times New Roman" w:eastAsia="Times New Roman" w:hAnsi="Times New Roman"/>
          <w:sz w:val="16"/>
          <w:szCs w:val="16"/>
          <w:color w:val="auto"/>
        </w:rPr>
        <w:t>Our platform enables faster product development and iteration through shared services, modular architecture, and real-time data infrastructure,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allowing us to launch new products and features efficiently, test and learn in-market, and expand successful offerings across geographies and customer categories with lower incremental cost;</w:t>
      </w:r>
    </w:p>
    <w:p>
      <w:pPr>
        <w:spacing w:after="0" w:line="114" w:lineRule="exact"/>
        <w:rPr>
          <w:rFonts w:ascii="Times New Roman" w:cs="Times New Roman" w:eastAsia="Times New Roman" w:hAnsi="Times New Roman"/>
          <w:sz w:val="16"/>
          <w:szCs w:val="16"/>
          <w:color w:val="auto"/>
        </w:rPr>
      </w:pPr>
    </w:p>
    <w:p>
      <w:pPr>
        <w:ind w:left="660" w:right="120" w:hanging="328"/>
        <w:spacing w:after="0" w:line="273"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Trust and compliance. </w:t>
      </w:r>
      <w:r>
        <w:rPr>
          <w:rFonts w:ascii="Times New Roman" w:cs="Times New Roman" w:eastAsia="Times New Roman" w:hAnsi="Times New Roman"/>
          <w:sz w:val="16"/>
          <w:szCs w:val="16"/>
          <w:color w:val="auto"/>
        </w:rPr>
        <w:t>Our unified risk systems, including electronic Know Your Customer (“KYC”), machine learning-based fraud scoring, and real-time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 authentication, are deployed across our products and provide customers immediate feedback, while adhering to highly complex and evolving global and local regulatory requirements;</w:t>
      </w:r>
    </w:p>
    <w:p>
      <w:pPr>
        <w:spacing w:after="0" w:line="114" w:lineRule="exact"/>
        <w:rPr>
          <w:rFonts w:ascii="Times New Roman" w:cs="Times New Roman" w:eastAsia="Times New Roman" w:hAnsi="Times New Roman"/>
          <w:sz w:val="16"/>
          <w:szCs w:val="16"/>
          <w:color w:val="auto"/>
        </w:rPr>
      </w:pPr>
    </w:p>
    <w:p>
      <w:pPr>
        <w:ind w:left="660" w:right="580" w:hanging="328"/>
        <w:spacing w:after="0" w:line="301"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Data advantage. </w:t>
      </w:r>
      <w:r>
        <w:rPr>
          <w:rFonts w:ascii="Times New Roman" w:cs="Times New Roman" w:eastAsia="Times New Roman" w:hAnsi="Times New Roman"/>
          <w:sz w:val="16"/>
          <w:szCs w:val="16"/>
          <w:color w:val="auto"/>
        </w:rPr>
        <w:t>We leverage proprietary data generated from customer transactions across our platform to power intelligent pricing, personalization,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security, all of which support continuous optimization as we scale; and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hanging="328"/>
        <w:spacing w:after="0" w:line="283"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AI-powered efficiency. </w:t>
      </w:r>
      <w:r>
        <w:rPr>
          <w:rFonts w:ascii="Times New Roman" w:cs="Times New Roman" w:eastAsia="Times New Roman" w:hAnsi="Times New Roman"/>
          <w:sz w:val="16"/>
          <w:szCs w:val="16"/>
          <w:color w:val="auto"/>
        </w:rPr>
        <w:t>We embed AI across customer-facing experiences and internal workflows to improve speed, accuracy, and cost efficiency. Machine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learning further enhances trust, risk management, and forecasting, enabling more intelligent, personalized, and secure interactions across our platform.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Experience</w:t>
      </w:r>
    </w:p>
    <w:p>
      <w:pPr>
        <w:spacing w:after="0" w:line="169"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With a focus on simplicity and delight for our customers, we strive to make each customer interaction on our platform fast, intuitive, and effortless. We focus on reducing friction throughout the end-to-end journey while providing clarity, predictability, and confidence that funds will arrive as expected. New customers can typically initiate a transaction with only a few taps after setting up their account and adding their recipient’s information. We have further streamlined the experience for existing customers completing repeat transactions. In addition, we recognize that customers’ needs and preferences vary across corridors and payout method. As a result, we continue to localize the customer journey by tailoring language, payment methods, product selection, and user flow to local preferences.</w:t>
      </w:r>
    </w:p>
    <w:p>
      <w:pPr>
        <w:spacing w:after="0" w:line="12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When issues or delays do occur, we prioritize fast resolution and self-service, whenever possible. Customers can access tools and support content designed to address common questions and issues directly. For customers who prefer live assistance, we provide access through the Remitly Help Center and an AI-powered virtual assistant that reflects our broader use of AI to deliver faster, consistent, and conversational support while maintaining access to associates when needed.</w:t>
      </w:r>
    </w:p>
    <w:p>
      <w:pPr>
        <w:spacing w:after="0" w:line="11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continuously leverage data-driven insights to improve reliability, reduce friction, and enhance the performance of our products and services. Dedicated teams across product, engineering, design, analytics, compliance, marketing, and customer service are responsible for the envisioning, design, development, and testing of our products and services. The majority of our investment is focused on developing new functionality, expanding global accessibility, improving the customer experience, reducing fraud loss rates, and further enhancing the usability, reliability, and performance of our platform.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6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We operate in a highly competitive global cross-border payments and financial services landscape. We compete with a range of providers that vary in scale, geographic reach, regulatory coverage, technology capabilities, and the extent to which their products are designed specifically for cross-border use cases. Competitive dynamics are influenced by factors including trust and reliability, network depth and payout optionality, customer experience, pricing, regulatory compliance, and the ability to operate efficiently at scale. Our competitors generally fall into the following categories:</w:t>
      </w:r>
    </w:p>
    <w:p>
      <w:pPr>
        <w:spacing w:after="0" w:line="137" w:lineRule="exact"/>
        <w:rPr>
          <w:sz w:val="20"/>
          <w:szCs w:val="20"/>
          <w:color w:val="auto"/>
        </w:rPr>
      </w:pPr>
    </w:p>
    <w:p>
      <w:pPr>
        <w:ind w:left="660" w:right="220" w:hanging="328"/>
        <w:spacing w:after="0" w:line="273"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Incumbent providers with a scaled legacy footprint. </w:t>
      </w:r>
      <w:r>
        <w:rPr>
          <w:rFonts w:ascii="Times New Roman" w:cs="Times New Roman" w:eastAsia="Times New Roman" w:hAnsi="Times New Roman"/>
          <w:sz w:val="16"/>
          <w:szCs w:val="16"/>
          <w:color w:val="auto"/>
        </w:rPr>
        <w:t>These legacy providers operate extensive networks of brick-and-mortar locations with agents around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world, and have broad brand recognition in certain corridors. While they often offer wide geographic coverage, they typically have been slow to adopt digital solutions, which can result in higher costs, slower settlement times, and more limited customer experiences.</w:t>
      </w:r>
    </w:p>
    <w:p>
      <w:pPr>
        <w:spacing w:after="0" w:line="114" w:lineRule="exact"/>
        <w:rPr>
          <w:rFonts w:ascii="Times New Roman" w:cs="Times New Roman" w:eastAsia="Times New Roman" w:hAnsi="Times New Roman"/>
          <w:sz w:val="16"/>
          <w:szCs w:val="16"/>
          <w:color w:val="auto"/>
        </w:rPr>
      </w:pPr>
    </w:p>
    <w:p>
      <w:pPr>
        <w:ind w:left="660" w:right="120" w:hanging="328"/>
        <w:spacing w:after="0" w:line="273"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Traditional banks and global financial institutions. </w:t>
      </w:r>
      <w:r>
        <w:rPr>
          <w:rFonts w:ascii="Times New Roman" w:cs="Times New Roman" w:eastAsia="Times New Roman" w:hAnsi="Times New Roman"/>
          <w:sz w:val="16"/>
          <w:szCs w:val="16"/>
          <w:color w:val="auto"/>
        </w:rPr>
        <w:t>Traditional bank networks offer a wide variety of financial services, including global money movement.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While they may benefit from scale and regulatory reputation, they have limited disbursement options and may have burdensome KYC processes that do not cater to global citizens.</w:t>
      </w:r>
    </w:p>
    <w:p>
      <w:pPr>
        <w:spacing w:after="0" w:line="114" w:lineRule="exact"/>
        <w:rPr>
          <w:rFonts w:ascii="Times New Roman" w:cs="Times New Roman" w:eastAsia="Times New Roman" w:hAnsi="Times New Roman"/>
          <w:sz w:val="16"/>
          <w:szCs w:val="16"/>
          <w:color w:val="auto"/>
        </w:rPr>
      </w:pPr>
    </w:p>
    <w:p>
      <w:pPr>
        <w:ind w:left="660" w:right="260" w:hanging="328"/>
        <w:spacing w:after="0" w:line="264"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Digital-first cross-border payment providers. </w:t>
      </w:r>
      <w:r>
        <w:rPr>
          <w:rFonts w:ascii="Times New Roman" w:cs="Times New Roman" w:eastAsia="Times New Roman" w:hAnsi="Times New Roman"/>
          <w:sz w:val="16"/>
          <w:szCs w:val="16"/>
          <w:color w:val="auto"/>
        </w:rPr>
        <w:t>These providers aim to provide payments, money transfer, and other financial products with convenience,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transparency, and affordability. Some operate at regional or sub-scale levels, with limited corridor coverage, payout options, or licenses, while others may offer global digital services without cash payout capabilities. As a result, many digital-first providers face trade-offs between customer experience and the depth, resilience, or breadth of their underlying payment infrastructure.</w:t>
      </w:r>
    </w:p>
    <w:p>
      <w:pPr>
        <w:spacing w:after="0" w:line="135" w:lineRule="exact"/>
        <w:rPr>
          <w:rFonts w:ascii="Times New Roman" w:cs="Times New Roman" w:eastAsia="Times New Roman" w:hAnsi="Times New Roman"/>
          <w:sz w:val="16"/>
          <w:szCs w:val="16"/>
          <w:color w:val="auto"/>
        </w:rPr>
      </w:pPr>
    </w:p>
    <w:p>
      <w:pPr>
        <w:ind w:left="660" w:right="120" w:hanging="328"/>
        <w:spacing w:after="0" w:line="26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Emerging players focused on complementary financial products and services, and alternative payment solutions. </w:t>
      </w:r>
      <w:r>
        <w:rPr>
          <w:rFonts w:ascii="Times New Roman" w:cs="Times New Roman" w:eastAsia="Times New Roman" w:hAnsi="Times New Roman"/>
          <w:sz w:val="16"/>
          <w:szCs w:val="16"/>
          <w:color w:val="auto"/>
        </w:rPr>
        <w:t>These include digital-only banks, digital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wallets, neobanks, and other emerging fintech platforms that typically offer a subset of the financial services offered by traditional banks with a greater emphasis on convenience and user experience. Emerging players also include providers leveraging stablecoins to facilitate cross-border payments, which may offer faster settlement and lower transaction costs than traditional rails, but remain subject to evolving legal, regulatory, and operational considerations. Remitly views stablecoins as an emerging payment rail that may complement the traditional infrastructure where appropriate, by giving customers the option to receive, hold, or spend funds using stablecoin-based payment methods.</w:t>
      </w:r>
    </w:p>
    <w:p>
      <w:pPr>
        <w:spacing w:after="0" w:line="127" w:lineRule="exact"/>
        <w:rPr>
          <w:rFonts w:ascii="Times New Roman" w:cs="Times New Roman" w:eastAsia="Times New Roman" w:hAnsi="Times New Roman"/>
          <w:sz w:val="16"/>
          <w:szCs w:val="16"/>
          <w:color w:val="auto"/>
        </w:rPr>
      </w:pPr>
    </w:p>
    <w:p>
      <w:pPr>
        <w:ind w:left="660" w:right="200" w:hanging="328"/>
        <w:spacing w:after="0" w:line="264"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Informal person-to-person channels. </w:t>
      </w:r>
      <w:r>
        <w:rPr>
          <w:rFonts w:ascii="Times New Roman" w:cs="Times New Roman" w:eastAsia="Times New Roman" w:hAnsi="Times New Roman"/>
          <w:sz w:val="16"/>
          <w:szCs w:val="16"/>
          <w:color w:val="auto"/>
        </w:rPr>
        <w:t>Informal methods, such as bringing cash home when global citizens travel and trusting others to deliver cash back home,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continue to be used in certain corridors. Established networks of “IOUs” based on documentation or passwords, and other systems of trust-based cash transfers typically lack transparency, regulatory oversight, and consumer protections. As digital alternatives expand in reach, reliability, and accessibility, we believe the share of informal person-to-person channels will likely diminish over time, expanding the addressable market for the formal competitor categories described above.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Digital-first companies, like Remitly, are increasingly gaining market share from legacy providers and traditional banks. We believe that the principal competitive factors across experience, product, network, and technology include:</w:t>
      </w:r>
    </w:p>
    <w:p>
      <w:pPr>
        <w:spacing w:after="0" w:line="122" w:lineRule="exact"/>
        <w:rPr>
          <w:sz w:val="20"/>
          <w:szCs w:val="20"/>
          <w:color w:val="auto"/>
        </w:rPr>
      </w:pPr>
    </w:p>
    <w:p>
      <w:pPr>
        <w:ind w:left="660" w:hanging="328"/>
        <w:spacing w:after="0" w:line="273" w:lineRule="auto"/>
        <w:tabs>
          <w:tab w:leader="none" w:pos="649"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Experience. </w:t>
      </w:r>
      <w:r>
        <w:rPr>
          <w:rFonts w:ascii="Times New Roman" w:cs="Times New Roman" w:eastAsia="Times New Roman" w:hAnsi="Times New Roman"/>
          <w:sz w:val="16"/>
          <w:szCs w:val="16"/>
          <w:color w:val="auto"/>
        </w:rPr>
        <w:t>Digital-first companies are focusing on the customer experience, by providing a trusted relationship with customers and their families, especially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during challenging times, such as family emergencies or natural disasters. Digital-first companies provide simple and convenient customer experiences, tailored by region and corridor, which appeals to customers and their families on a hyper-local level.</w:t>
      </w:r>
    </w:p>
    <w:p>
      <w:pPr>
        <w:spacing w:after="0" w:line="6" w:lineRule="exact"/>
        <w:rPr>
          <w:rFonts w:ascii="Times New Roman" w:cs="Times New Roman" w:eastAsia="Times New Roman" w:hAnsi="Times New Roman"/>
          <w:sz w:val="16"/>
          <w:szCs w:val="16"/>
          <w:b w:val="1"/>
          <w:bCs w:val="1"/>
          <w:color w:val="auto"/>
        </w:rPr>
      </w:pPr>
    </w:p>
    <w:p>
      <w:pPr>
        <w:ind w:left="660" w:right="80" w:hanging="328"/>
        <w:spacing w:after="0" w:line="264"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Product. </w:t>
      </w:r>
      <w:r>
        <w:rPr>
          <w:rFonts w:ascii="Times New Roman" w:cs="Times New Roman" w:eastAsia="Times New Roman" w:hAnsi="Times New Roman"/>
          <w:sz w:val="16"/>
          <w:szCs w:val="16"/>
          <w:color w:val="auto"/>
        </w:rPr>
        <w:t>Digital-first companies have the ability to focus on the product. With the various pay-in and pay-out options, the speed and certainty of transactions is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competitive advantage. Remitly’s diversified product suite supports multiple payment rails, which includes traditional methods and emerging alternative payment options, offering customers flexibility and choice. Digital-first companies are able to provide an adjacent suite of digital-first financial services with fair and transparent product pricing, while providing global and local customer service.</w:t>
      </w:r>
    </w:p>
    <w:p>
      <w:pPr>
        <w:spacing w:after="0" w:line="27" w:lineRule="exact"/>
        <w:rPr>
          <w:rFonts w:ascii="Times New Roman" w:cs="Times New Roman" w:eastAsia="Times New Roman" w:hAnsi="Times New Roman"/>
          <w:sz w:val="16"/>
          <w:szCs w:val="16"/>
          <w:color w:val="auto"/>
        </w:rPr>
      </w:pPr>
    </w:p>
    <w:p>
      <w:pPr>
        <w:ind w:left="660" w:right="120" w:hanging="328"/>
        <w:spacing w:after="0" w:line="281"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Network. </w:t>
      </w:r>
      <w:r>
        <w:rPr>
          <w:rFonts w:ascii="Times New Roman" w:cs="Times New Roman" w:eastAsia="Times New Roman" w:hAnsi="Times New Roman"/>
          <w:sz w:val="16"/>
          <w:szCs w:val="16"/>
          <w:color w:val="auto"/>
        </w:rPr>
        <w:t>Digital-first companies leverage their expansive global network to provide a vast array of easy-to-access disbursement options and the ability to accept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alternative payment methods.</w:t>
      </w:r>
    </w:p>
    <w:p>
      <w:pPr>
        <w:spacing w:after="0" w:line="1" w:lineRule="exact"/>
        <w:rPr>
          <w:rFonts w:ascii="Times New Roman" w:cs="Times New Roman" w:eastAsia="Times New Roman" w:hAnsi="Times New Roman"/>
          <w:sz w:val="16"/>
          <w:szCs w:val="16"/>
          <w:color w:val="auto"/>
        </w:rPr>
      </w:pPr>
    </w:p>
    <w:p>
      <w:pPr>
        <w:jc w:val="both"/>
        <w:ind w:left="660" w:right="300" w:hanging="328"/>
        <w:spacing w:after="0" w:line="273"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Technology. </w:t>
      </w:r>
      <w:r>
        <w:rPr>
          <w:rFonts w:ascii="Times New Roman" w:cs="Times New Roman" w:eastAsia="Times New Roman" w:hAnsi="Times New Roman"/>
          <w:sz w:val="16"/>
          <w:szCs w:val="16"/>
          <w:color w:val="auto"/>
        </w:rPr>
        <w:t>Digital-first companies focus on technological differentiation, through service availability, performance, scalability, and reliability. The ability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innovate continues to be a competitive advantage. Technology also enables continuous customer experience improvements within a complex, highly regulated industry.</w:t>
      </w:r>
    </w:p>
    <w:p>
      <w:pPr>
        <w:spacing w:after="0" w:line="117"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By focusing on the unique needs of our customers, we believe that we have built a differentiated and compelling value proposition, and that we compete favorably on the basis of these factors. Specifically, we believe that our digital-first suite of products, our vast global network, our localization expertise at scale, and our data-driven approach create sustainable differentiation in relation to our competitors.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Environment</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business is subject to a wide range of federal, state, and foreign laws, regulations, and supervisory guidance across the globe. The majority of these are applicable to us on the basis of the jurisdictions in which we operate and conduct our activities. These include, without limitation, the United States, Canada, the United Kingdom, and the European Economic Area (the “EEA”). We may also be subject to laws, regulations, and guidance on the basis of the jurisdictions in which recipients receive disbursements. These include India, Mexico, and the Philippines, as well as other receive countries. These laws and regulations include strict requirements intended to help detect and prevent money laundering, terrorist financing, sanctioned persons and activity, fraud, data misuse, theft and misappropriation, and other illicit activity. In addition, the applicable regulatory framework includes laws, regulations, and guidance regarding money transmission and financial services licensing, operational risk frameworks including outsourcing oversight, consumer protections including disclosures, foreign exchange, safeguarding of customer funds, currency controls, unclaimed property, privacy, data sharing, and cybersecurity. The regulatory requirements applicable to our business in any given jurisdiction are typically extensive, complex, frequently evolving, and increasing in scope, and may impose overlapping and/or conflicting requirements or obligations. For more information, see the section titled “Risk Factors— Legal and Compliance Risks.”</w:t>
      </w:r>
    </w:p>
    <w:p>
      <w:pPr>
        <w:spacing w:after="0" w:line="1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have developed and implemented a compliance program, including our anti-money laundering (“AML”) and consumer protection programs, composed of policies and procedures designed to comply with applicable regulatory frameworks. We also monitor these areas closely to continue to adapt our business practices and strategies to help us comply with the current and evolving regulatory environment.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Anti-Money Laundering</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the United States, our business is subject to federal AML laws, regulations, and supervisory guidance, which includes the Bank Secrecy Act (as amended, the “BSA”), as well as similar state laws, regulations, and supervisory guidance. The BSA, among other things, requires companies engaged in money transmission to register with the Financial Crimes Enforcement Network (“FinCEN”) of the U.S. Department of the Treasury as money services businesses and to develop and maintain risk-based AML programs, report suspicious activity, and collect and maintain information about their customers and certain transaction records. These requirements may also apply to our disbursement partners and, if our partners have relationships with their own disbursement providers, those partners’ disbursement providers (“disbursement sub-partners”). Furthermore, FinCEN has interpreted the BSA to require money services businesses to conduct risk-based monitoring of their counterparties.</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Similar AML laws, regulations, and supervisory guidance in the countries where we operate and those where we are licensed apply to our business internationally. These include laws, regulations, and supervisory guidance to detect and prevent money laundering and terrorist financing, including obligations to collect and maintain information about our users, recordkeeping, reporting, and due diligence and supervision of our counterparties similar to, and in some cases exceeding, those required under the BSA. We may also be impacted by AML laws, regulations, and supervisory guidance in the other countries in which our disbursement partners and disbursement sub-partners operate.</w:t>
      </w:r>
    </w:p>
    <w:p>
      <w:pPr>
        <w:spacing w:after="0" w:line="33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a money services business, we maintain a robust AML compliance program that includes internal policies and controls, designation of AML compliance officers for each of our regulated entities, ongoing employee training and monitoring programs, and annual independent reviews.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Sanctions</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Our business must also comply with U.S. economic and trade sanctions programs administered by the U.S. Department of the Treasury’s Office of Foreign Assets Control (“OFAC”) and with similar sanctions administered by sanctions authorities in other jurisdictions in which we operate or where we are licensed. These laws, regulations, and supervisory guidance prohibit or restrict transactions in, to, or from certain countries, regions, or governments, as well as with certain individuals and entities such as traffickers in illegal goods or services, terrorists, and terrorist organizations.</w:t>
      </w:r>
    </w:p>
    <w:p>
      <w:pPr>
        <w:sectPr>
          <w:pgSz w:w="11900" w:h="16838" w:orient="portrait"/>
          <w:cols w:equalWidth="0" w:num="1">
            <w:col w:w="11220"/>
          </w:cols>
          <w:pgMar w:left="32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Sanctions are imposed to address acute foreign policy and national security threats and may change rapidly and unpredictably in response to world events, or domestic or international political developments.</w:t>
      </w:r>
    </w:p>
    <w:p>
      <w:pPr>
        <w:spacing w:after="0" w:line="1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have implemented policies, procedures, and internal controls that are designed to comply with these economic and trade sanctions programs. These measures include, without limitation, controls designed to prevent transactions to or from countries or territories that are subject to comprehensive sanctions, screening certain transactions and customer information against OFAC and other international government watchlists, blocking funds of persons named on OFAC’s list of Specially Designated Nationals and Blocked Persons and other persons and entities designated as prohibited persons by U.S. and non-U.S. sanctions authorities, and preparing and submitting blocking and other reports as required by relevant authorities.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Anti-Bribery</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are subject to regulations imposed by the Foreign Corrupt Practices Act (the “FCPA”) in the United States, the Corruption of Foreign Public Officials Act in Canada (the “CFPOA”), the U.K. Bribery Act in the United Kingdom, and similar laws in the other jurisdictions in which we or our disbursement partners or disbursement sub-partners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comply with applicable anti-bribery laws, regulations, and supervisory guidance.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Money Transmission and Stored Value Licensing or Registration</w:t>
      </w:r>
    </w:p>
    <w:p>
      <w:pPr>
        <w:spacing w:after="0" w:line="17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are subject to licensing and registration requirements in relation to our money transmission and stored value issuance activities on a state-by-state and federal basis in the United States and in almost every other jurisdiction from which our customers initiate transactions, including, but not limited to, Canada, the United Kingdom, and the EEA.</w:t>
      </w:r>
    </w:p>
    <w:p>
      <w:pPr>
        <w:spacing w:after="0" w:line="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In the United States, we are registered as a Money Services Business with FinCEN, and we hold licenses to operate as a money transmitter (or its equivalent) in the 49 states where such licenses are required, as well as in the District of Columbia and various U.S. Territories.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AML and sanctions compliance, third-party risk management requirements, privacy and cybersecurity program requirements, requirements related to unclaimed property and escheatment, and examination by state regulatory agencies. In connection with certain licenses we hold in the United States, there are also different equity holding thresholds that may require a stockholder to obtain regulatory approval prior to exceeding such thresholds.</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Outside the United States, we provide services to our customers in a variety of ways. In several jurisdictions, we have obtained licenses or are registered to operate as a money services business, payment service provider, or payment institution, as applicable. In Canada, we are registered with the Financial Transactions and Reports Analysis Centre of Canada as a money services business and are pending registration with the Bank of Canada as a payment service provider. In the United Kingdom, we hold a payment institution license from the Financial Conduct Authority (the “FCA”) and are pending licensure to operate as an electronic money institution, allowing for provision of wallet services. In Ireland, we hold a payment institution license from the Central Bank of Ireland, which permits us to provide certain payment services across the EEA. We are pending approval of an extension of our payment institution license, which would allow for provision of wallet services. We also hold licenses in several other jurisdictions and plan to apply for money transmitter or payment service licenses or their equivalents in additional jurisdictions. Under these licensing regimes and associated regulations and supervision, we are subject to requirements such as capital and safeguarding rules, consumer protection requirements, privacy and cybersecurity requirements (including those under the EU Digital Operational Resilience Act), outsourcing oversight requirements, requirements related to unclaimed property and escheatment, and periodic regulatory examinations. Additionally, in several foreign jurisdictions, we work with disbursement partners to make funds available to recipients, and such partners may be locally licensed businesses or regulated banks subject to compliance requirements with local laws.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Consumer Disclosure and Consumer Protection</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are subject to laws, regulations, and disclosure requirements relating to consumer protection in the United States and other jurisdictions in which we have operations, where such laws, regulations, and supervisory guidance are enforced by numerous government agencies. In the United States, the Consumer Financial Protection Bureau (the “CFPB”) implements, examines compliance with, and enforces federal consumer financial laws governing financial products and services, including the Electronic Fund Transfer Act and its implementing regulation, Regulation E, which includes the Remittance Transfer Rule. The Remittance Transfer Rule requirements include: (1) a disclosure requirement to provide consumers sending funds internationally from the United States with pre-transaction written disclosures and receipts; (2) an obligation to investigate and resolve certain errors, including errors that may be outside our control; and (3) an obligation, upon a customer’s request, and within the statutory time frames, to cancel certain transactions that have not been completed. In the past, the CFPB has issued guidance regarding consumer fees and disclosures. While this is not currently an area of focus for the CFPB, future administrations may examine, and select states are expected to continue examining, companies subject to their jurisdiction for transparency of fees, delivery speed, and exchange rates.</w:t>
      </w:r>
    </w:p>
    <w:p>
      <w:pPr>
        <w:spacing w:after="0" w:line="13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addition, under the Dodd-Frank Act, it is unlawful for any provider of consumer financial products or services to engage in unfair, deceptive, or abusive acts or practice (“UDAAP violations”). The CFPB has rule-making and enforcement authority to prevent UDAAP violations in connection with any transaction involving a consumer financial product or service. As a larger participant in the industry for international money transfers, we are subject to direct CFPB supervisory authority over our business. This includes the authority to fine and provide consumer restitution for violations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and request information and data about our compliance activities. In addition, the CFPB requires that we track and respond to consumer complaints. Select states may further focus on this issue in the absence of oversight by the CFPB.</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Similar laws, regulations, and supervisory guidance in the countries where we operate and those where we are licensed apply to our business outside the United States. These include laws, regulations, and supervisory guidance to provide disclosures, an obligation to investigate and resolve certain errors and complaints, and obligations to cancel certain transactions. In addition, there has been an increase in the level and regulatory scrutiny of consumer protection laws, regulations, and supervisory guidance relating to “treating customers fairly.” These laws apply to our international business (including in the United Kingdom and the EEA). In the United Kingdom, the FCA has issued, supervises, and enforces the Consumer Duty that places an obligation on firms to act to deliver good outcomes for retail customers. Similarly, in Ireland, the Central Bank of Ireland has issued a comprehensive revised Consumer Protection Code that sets governance, conduct, and consumer protection requirements with a focus on securing customers’ interests.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Indirect Regulatory Requirements</w:t>
      </w:r>
    </w:p>
    <w:p>
      <w:pPr>
        <w:spacing w:after="0" w:line="17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addition to the licenses discussed above, we also seek, obtain, and maintain additional licenses to support new products and use cases, and we also are subject to indirect regulatory requirements based on the requirements of our product partners and sponsoring financial institutions. At the current time, none of the businesses supported by these indirect or new licenses is material to our business.</w:t>
      </w:r>
    </w:p>
    <w:p>
      <w:pPr>
        <w:spacing w:after="0" w:line="117"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For an additional discussion on governmental regulations affecting our business, please see “Item 1A. Risk Factors—Financial Risks” and “Item 3. Legal Proceedings” 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6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Intellectual property and proprietary rights (“IP Rights”) are important to the success of our business. We rely on a combination of copyright, trademark, patents, and trade secret rights in the United States and other jurisdictions, as well as license agreements, confidentiality procedures, non-disclosure agreements, and other contractual protections to obtain, maintain, protect, defend, and enforce our IP Rights, including our proprietary technology, software, know-how, and brand.</w:t>
      </w:r>
    </w:p>
    <w:p>
      <w:pPr>
        <w:spacing w:after="0" w:line="117" w:lineRule="exact"/>
        <w:rPr>
          <w:sz w:val="20"/>
          <w:szCs w:val="20"/>
          <w:color w:val="auto"/>
        </w:rPr>
      </w:pPr>
    </w:p>
    <w:p>
      <w:pPr>
        <w:spacing w:after="0" w:line="198" w:lineRule="exact"/>
        <w:rPr>
          <w:sz w:val="20"/>
          <w:szCs w:val="20"/>
          <w:color w:val="auto"/>
        </w:rPr>
      </w:pPr>
      <w:r>
        <w:rPr>
          <w:rFonts w:ascii="Times New Roman" w:cs="Times New Roman" w:eastAsia="Times New Roman" w:hAnsi="Times New Roman"/>
          <w:sz w:val="16"/>
          <w:szCs w:val="16"/>
          <w:color w:val="auto"/>
        </w:rPr>
        <w:t xml:space="preserve">As of December 31, 2025, we owned six U.S. registered trademarks, one pending U.S. trademark application, 135 foreign registered trademarks, and 14 pending foreign trademark applications covering the mark REMITLY, our collapsed Clasped Hand logo, REMITLY (+ Clasped Hand logo), PASSBOOK BY REMITLY, </w:t>
      </w:r>
      <w:r>
        <w:rPr>
          <w:rFonts w:ascii="SimSun" w:cs="SimSun" w:eastAsia="SimSun" w:hAnsi="SimSun"/>
          <w:sz w:val="16"/>
          <w:szCs w:val="16"/>
          <w:color w:val="auto"/>
        </w:rPr>
        <w:t>汇美易</w:t>
      </w:r>
      <w:r>
        <w:rPr>
          <w:rFonts w:ascii="Times New Roman" w:cs="Times New Roman" w:eastAsia="Times New Roman" w:hAnsi="Times New Roman"/>
          <w:sz w:val="16"/>
          <w:szCs w:val="16"/>
          <w:color w:val="auto"/>
        </w:rPr>
        <w:t xml:space="preserve"> (Hui Mei Yi in Chinese characters), </w:t>
      </w:r>
      <w:r>
        <w:rPr>
          <w:rFonts w:ascii="SimSun" w:cs="SimSun" w:eastAsia="SimSun" w:hAnsi="SimSun"/>
          <w:sz w:val="16"/>
          <w:szCs w:val="16"/>
          <w:color w:val="auto"/>
        </w:rPr>
        <w:t>睿每易</w:t>
      </w:r>
      <w:r>
        <w:rPr>
          <w:rFonts w:ascii="Times New Roman" w:cs="Times New Roman" w:eastAsia="Times New Roman" w:hAnsi="Times New Roman"/>
          <w:sz w:val="16"/>
          <w:szCs w:val="16"/>
          <w:color w:val="auto"/>
        </w:rPr>
        <w:t xml:space="preserve"> (Rui Mei Yi in Chinese characters), and </w:t>
      </w:r>
      <w:r>
        <w:rPr>
          <w:rFonts w:ascii="SimSun" w:cs="SimSun" w:eastAsia="SimSun" w:hAnsi="SimSun"/>
          <w:sz w:val="16"/>
          <w:szCs w:val="16"/>
          <w:color w:val="auto"/>
        </w:rPr>
        <w:t>レミットリ</w:t>
      </w:r>
      <w:r>
        <w:rPr>
          <w:rFonts w:ascii="Times New Roman" w:cs="Times New Roman" w:eastAsia="Times New Roman" w:hAnsi="Times New Roman"/>
          <w:sz w:val="16"/>
          <w:szCs w:val="16"/>
          <w:color w:val="auto"/>
        </w:rPr>
        <w:t>(Remitly in Katakana). These trademarks include six foreign registered trademarks for the REWIRE mark and REWIRE logo resulting from the purchase of Rewire (O.S.G.) Research and Development Ltd. (“Rewire”). We are pursuing additional trademark registrations to the extent we believe it would be beneficial and cost effective. Additionally, we own various common law trademark rights, including in the above referenced marks as well as the REMITLY PROMISES DELIVERED (+ Clasped Hand logo) and the REMITLY ONE mark in the United States and certain other jurisdictions where common law rights are recognized. We also own several domain names, including www.remitly.com.</w:t>
      </w:r>
    </w:p>
    <w:p>
      <w:pPr>
        <w:spacing w:after="0" w:line="145"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service marks, trade names, and domain names when we deem it appropriate by sending cease and desist letters, filing complaints, and commencing administrative and other legal proceedings in the United States and various other jurisdictions.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license IP from third parties, including under certain open source licenses.</w:t>
      </w:r>
    </w:p>
    <w:p>
      <w:pPr>
        <w:spacing w:after="0" w:line="16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also seek to preserve the integrity and confidentiality of our IP Rights through contractual protections and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IP Rights on our behalf. We seek to enter into confidentiality agreements with other third parties to limit access to, and disclosure and use of, our confidential information and proprietary information. We further seek to control the use of our proprietary technology and other IP Rights through provisions in our terms of service.</w:t>
      </w:r>
    </w:p>
    <w:p>
      <w:pPr>
        <w:spacing w:after="0" w:line="12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See the section titled “Risk Factors—Cybersecurity, Privacy, Intellectual Property, and Technology Risks” for a more comprehensive description of risks related to our IP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and Cybersecurity</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collect, use, receive, store, transmit, disclose, and otherwise process a wide variety of data and information (including personal information and sensitive personal information) for various purposes in our business. This aspect of our business is subject to numerous laws, rules, regulations, industry standards, and other obligations in the United States and globally. Laws, rules, regulations, industry standards, and proposals in this area have increased significantly in recent years and are expected to continue to do so. Our practices with respect to such data and information are also subject to contractual obligations.</w:t>
      </w:r>
    </w:p>
    <w:p>
      <w:pPr>
        <w:spacing w:after="0" w:line="13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the United States, various federal, state, and local laws, and industry standards apply to the collection, use, receipt, storage, transmission, disclosure, deletion, and other processing of personal information, including the Electronic Communications Privacy Act, the Computer Fraud and Abuse Act, the Federal Trade Commission Act, and the Gramm-Leach-Bliley Act (“GLBA”), which continues to be expanded through updated Safeguards Rule requirements. Financial institutions are now subject to enhanced governance, incident response, and service-provider oversight</w:t>
      </w:r>
    </w:p>
    <w:p>
      <w:pPr>
        <w:sectPr>
          <w:pgSz w:w="11900" w:h="16838" w:orient="portrait"/>
          <w:cols w:equalWidth="0" w:num="1">
            <w:col w:w="11220"/>
          </w:cols>
          <w:pgMar w:left="32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obligations. Updated regulatory standards—including the amended New York Department of Financial Services (“NYDFS”) Cybersecurity Regulation (23 NYCRR Part 500)—impose more prescriptive requirements on risk assessments, cybersecurity programs, encryption, and reporting, all of which apply to us as a licensed money transmitter and regulated entity.</w:t>
      </w:r>
    </w:p>
    <w:p>
      <w:pPr>
        <w:spacing w:after="0" w:line="1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U.S. states have continued to adopt comprehensive privacy and cybersecurity laws in jurisdictions such as California, Virginia, Colorado, Connecticut, Maryland, Texas, and Indiana, with additional states expected to do so in the future. These frameworks impose obligations relating to data minimization, sensitive data opt-outs, restrictions based on improper profiling criteria, security safeguards, and consumer data rights that may exceed federal requirements. Enforcement agency guidance—including from the U.S. Federal Trade Commission, state attorneys general, and financial regulators—continues to evolve, expanding expectations for reasonable data security and disclosures. Such guidance from these entities effectively impose standards for the online collection, use, receipt, storage, transmission, disclosure, deletion, and other processing of personal information. Discussions in Congress regarding a federal privacy law continue, but the timing and scope of any such legislation remain uncertain.</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Outside the United States, many countries have established their own privacy and cybersecurity legal frameworks with which we, our customers, and/or partners may need to comply. For example, we are subject to the EU General Data Protection Regulation (the “GDPR”), which imposes stringent privacy and cybersecurity requirements. The GDPR includes numerous requirements and changes from previously existing European laws, including more robust obligations on data controllers and processors, and more fulsome documentation requirements for data protection compliance programs by covered companies. Failure to comply with the GDPR can result in fines up to the greater of €20 million or 4% of annual global revenues of the violator. The GDPR also imposes strict rules on the transfer of personal data to countries outside of the EEA in respect of which the European Commission or other relevant regulatory body has not issued a so called “adequacy decision,” unless the parties to the transfer have implemented specific safeguards to protect the transferred personal data.</w:t>
      </w:r>
    </w:p>
    <w:p>
      <w:pPr>
        <w:spacing w:after="0" w:line="1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Moreover, following the exit of the United Kingdom from the European Union, the GDPR was transposed into U.K. law as supplemented by the U.K. Data Protection Act 2018 (collectively, the “U.K. GDPR”), which continues to impose obligations that are broadly aligned with the GDPR in most material respects. While this alignment supports the continued EU-U.K. adequacy framework, the U.K. now determines its own data protection and enforcement framework, including enforcement capacity and penalty thresholds. For example, under the Data (Use and Access) Act 2025, fines under the Privacy and Electronic Communications Regulations (“PECR”) for electronic communications breaches were increased from £500,000 to align with the U.K. GDPR maximum (the greater of £17.5 million or 4% of global annual turnover). Over time, this independent rule-setting may lead to differences in scope, enforcement, or regulatory approach between the two regimes.</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Ongoing legal developments in Europe have created complexity and uncertainty regarding data transfers from the EEA to countries outside of the EEA in respect of which the European Commission or other relevant regulatory body has not issued an adequacy decision. The United Kingdom maintains similar restrictions on transfers of personal data to non-adequate countries, including the United States. While we continue to rely on the standard contractual clauses promulgated and recently substantially revised by the European Commission and the United Kingdom’s International Data Transfer Agreement (or the United Kingdom’s approved international data transfer addendum to the European Union’s standard contractual clauses) for such transfers, in late 2025, we self-certified our participation in the EU-U.S. Data Privacy Framework (and the U.K. Extension). These mechanisms provide a more stable and simplified legal basis for our transatlantic data transfers, while we continue to monitor ongoing regulatory and judicial developments.</w:t>
      </w:r>
    </w:p>
    <w:p>
      <w:pPr>
        <w:spacing w:after="0" w:line="1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Statutory breach-notification requirements continue to increase globally. All U.S. states require notification to individuals affected by data breaches, and many states have increased penalties, broadened application of the law, and/or shortened notification timelines in recent years. Some states have put in place additional obligations applicable to financial institutions or money transmitters specifically. The SEC’s 2023 cybersecurity disclosure rules require disclosure of material cybersecurity incidents within four business days of determining materiality and mandate detailed annual reporting on cybersecurity governance. The Cyber Incident Reporting for Critical Infrastructure Act (“CIRCIA”)—once its final rule is issued, as early as May 2026—will require reporting of covered cyber incidents to the Cybersecurity and Infrastructure Security Agency (“CISA”) within 72 hours and ransomware payments within 24 hours. The April 4, 2024 proposed CIRCIA rule would expressly bring financial services companies such as us within the definition of covered critical infrastructure entities. Contractual obligations with partners and vendors may also require parallel notifications.</w:t>
      </w:r>
    </w:p>
    <w:p>
      <w:pPr>
        <w:spacing w:after="0" w:line="12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There are a number of pending legislative and regulatory proposals in the European Union, the United Kingdom, and the United States, at both the federal and state level, as well as other jurisdictions that could impose new obligations in areas affecting our business. We expect that our efforts to comply with the GDPR, U.K. GDPR, GLBA, NYDFS rules, and other legislative and regulatory requirements will continue to require substantial investments, including investments in compliance processes and technical infrastructure. In addition, some countries are considering or have passed legislation implementing additional privacy and cybersecurity requirements, including requiring local storage and processing of data or similar requirements that could increase the cost and complexity of delivering our services.</w:t>
      </w:r>
    </w:p>
    <w:p>
      <w:pPr>
        <w:spacing w:after="0" w:line="12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Furthermore, the use of AI has attracted regulatory scrutiny in a variety of jurisdictions. Noteworthy efforts include the European Union Artificial Intelligence Act and the Colorado Act Concerning Consumer Protections for Artificial Intelligence. Other jurisdictions have legislation pending. We continue to assess both existing and developing laws in order to ensure timely compliance. Future AI regulation is likely to increase the cost and complexity of delivering our services.</w:t>
      </w:r>
    </w:p>
    <w:p>
      <w:pPr>
        <w:spacing w:after="0" w:line="11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We are engaged in ongoing privacy, cybersecurity, and AI compliance and oversight efforts, including in connection with the requirements of privacy, cybersecurity, and AI laws, rules, regulations, industry standards, and other obligations. Many of these obligations are subject to change, have uncertain and inconsistent interpretation and enforcement, and may conflict with one another, other requirements or obligations, or our practices or the features of our services.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For additional information about privacy, cybersecurity, and associated risks, see the section titled “Risk Factors—Cybersecurity, Privacy, Intellectual Property, and Technology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69" w:lineRule="exact"/>
        <w:rPr>
          <w:sz w:val="20"/>
          <w:szCs w:val="20"/>
          <w:color w:val="auto"/>
        </w:rPr>
      </w:pPr>
    </w:p>
    <w:p>
      <w:pPr>
        <w:ind w:right="760"/>
        <w:spacing w:after="0" w:line="298" w:lineRule="auto"/>
        <w:rPr>
          <w:sz w:val="20"/>
          <w:szCs w:val="20"/>
          <w:color w:val="auto"/>
        </w:rPr>
      </w:pPr>
      <w:r>
        <w:rPr>
          <w:rFonts w:ascii="Times New Roman" w:cs="Times New Roman" w:eastAsia="Times New Roman" w:hAnsi="Times New Roman"/>
          <w:sz w:val="16"/>
          <w:szCs w:val="16"/>
          <w:color w:val="auto"/>
        </w:rPr>
        <w:t>As we continue to grow and serve customers around the world, we strive to build a global team that is open, curious, and values individuals’ unique experiences, backgrounds, strengths, and perspectives. This allows for every Remitly employee around the world to do their best work in service to our customers.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Global Team</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As of December 31, 2025, we had over 3,200 full-time equivalent employees working out of our global offices or remotely. None of our team members is represented by a labor union or is covered by a collective bargaining agreement. We believe the positive relationship between our customers, our team members, and our mission-oriented culture differentiates us and is a key driver of our business success. Attracting, recruiting, growing, and retaining global talent enables us to deliver on our brand promise to customers and serve our broad set of stakeholders. We are focused on supporting our employees from recruitment and onboarding, to ongoing development, and have implemented programs designed to encourage engagement and personal wellness.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Culture and Values</w:t>
      </w:r>
    </w:p>
    <w:p>
      <w:pPr>
        <w:spacing w:after="0" w:line="18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Remitly's cultural values are used as a common language to guide our work, behavior, and decision making every day. We regularly refresh these values to best support our vision, mission, strategic priorities, and company performance. Our values are listed on our corporate website in the Careers section.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Benefits and Compensation</w:t>
      </w:r>
    </w:p>
    <w:p>
      <w:pPr>
        <w:spacing w:after="0" w:line="18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We offer competitive compensation that includes equity to reward high performers and align our employee incentives with the long-term and customer-oriented success of Remitly.</w:t>
      </w:r>
    </w:p>
    <w:p>
      <w:pPr>
        <w:spacing w:after="0" w:line="1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provide benefits and services that help meet the unique needs of our employees, including medical, dental, and vision insurance, a health savings account with company contribution, family and medical leave, flexible work schedules, paid holidays and vacation time, and mental wellness access, which provides coaching and counseling services for employees and dependents in their household. To support parents and families, we offer benefits so all employees on any path to parenthood have 24/7 access to virtual care, ranging from prenatal support and family planning, to delivery, postpartum, and pediatrics. In the United States, we sponsor a 401(k) plan that includes a matching contribution and offer financial coaching through a third-party provider. We also offer an employee stock purchase plan to enable eligible employees to purchase shares of common stock at a discount via accumulated payroll deductions.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Philanthropy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Pledge 1%</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Pledge 1% commitment publicly acknowledges our intent to give back and expand our social impact in order to sustainably further our vision. As such, in July 2021, our board of directors approved the reservation of up to 1,819,609 shares of our common stock (which was approximately 1.0% of our fully diluted capitalization as of June 30, 2021) that we may issue to or for the benefit of a 501(c)(3) nonprofit foundation or a similar charitable organization pursuant to our Pledge 1% commitment in equal installments over ten years. From 2021 to 2025, we have donated 181,961 shares of our common stock each year to the Remitly Foundation, a donor advised fund at Rockefeller Philanthropy Advisors. We also have a multifaceted social good program that aligns with our Pledge 1% philanthropic commitment.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and Employee Giving</w:t>
      </w:r>
    </w:p>
    <w:p>
      <w:pPr>
        <w:spacing w:after="0" w:line="17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We are committed to corporate and employee-giving programs that align with our long-term impact priorities, as detailed in our most recent Impact Report available on our investor relations website.</w:t>
      </w:r>
    </w:p>
    <w:p>
      <w:pPr>
        <w:spacing w:after="0" w:line="9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initiatives include a multi-year partnership with a global micro-lending nonprofit to advance financial security and resilience around the world. Additionally, we support communities affected by disasters through our disaster response program, prioritizing direct support to our customers and their loved ones. This includes philanthropic donations to aid in recovery efforts and strengthen community resilience for the future. These programs reflect our ongoing commitment to making a positive impact on our customers, their families, and the global communities we serve.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83"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Copies of our Annual Reports on Form 10-K, Quarterly Reports on Form 10-Q, Current Reports on Form 8-K, and amendments to these reports filed or furnished pursuant to Section 13(a) or 15(d) of the Securities Exchange Act of 1934, as amended (the “Exchange Act”), are available, free of charge, on our investor relations website as soon as reasonably practicable after we file or furnish such material electronically with the Securities and Exchange Commission (the “SEC”). The SEC also maintains a website that contains our SEC filings. The address of the site is www.sec.gov.</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webcast our earnings calls and certain events we participate in or host with members of the investment community on our investor relations website. Additionally, we offer notifications of news or announcements regarding our financial performance, including SEC filings, investor events, and press and earnings releases through our investor relations website. We have used, and intend to continue to use, the Investor Relations section of our website at https://ir.remitly.com as a means of disclosing material nonpublic information and for complying with our disclosure obligations under Regulation FD. Further corporate governance information, including our board committee composition and charters, global code of conduct, and corporate governance guidelines,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6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our consolidated financial statements, and the accompanying notes included elsewhere in this Annual Report on Form 10-K,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reputation, and future prospects could be materially and adversely affected. In that event, the market price of our common stock could decline, and you could lose part or all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Some of the material risks that we face include:</w:t>
      </w:r>
    </w:p>
    <w:p>
      <w:pPr>
        <w:spacing w:after="0" w:line="181" w:lineRule="exact"/>
        <w:rPr>
          <w:sz w:val="20"/>
          <w:szCs w:val="20"/>
          <w:color w:val="auto"/>
        </w:rPr>
      </w:pPr>
    </w:p>
    <w:p>
      <w:pPr>
        <w:ind w:left="660" w:right="4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and evolving industry and may be unable to compete successfully against existing and future competitors that employ a variety of existing business models and technologies or new innovations;</w:t>
      </w:r>
    </w:p>
    <w:p>
      <w:pPr>
        <w:spacing w:after="0" w:line="11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innovate, improve existing products, or develop new products that achieve acceptance;</w:t>
      </w:r>
    </w:p>
    <w:p>
      <w:pPr>
        <w:spacing w:after="0" w:line="180" w:lineRule="exact"/>
        <w:rPr>
          <w:rFonts w:ascii="Times New Roman" w:cs="Times New Roman" w:eastAsia="Times New Roman" w:hAnsi="Times New Roman"/>
          <w:sz w:val="16"/>
          <w:szCs w:val="16"/>
          <w:color w:val="auto"/>
        </w:rPr>
      </w:pPr>
    </w:p>
    <w:p>
      <w:pPr>
        <w:ind w:left="660" w:right="60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partner with third parties to support fulfillment of our services, including risk management, payment processing, customer support, cloud hosting, and disbursement, which exposes us to risks outside of our control;</w:t>
      </w:r>
    </w:p>
    <w:p>
      <w:pPr>
        <w:spacing w:after="0" w:line="110" w:lineRule="exact"/>
        <w:rPr>
          <w:rFonts w:ascii="Times New Roman" w:cs="Times New Roman" w:eastAsia="Times New Roman" w:hAnsi="Times New Roman"/>
          <w:sz w:val="16"/>
          <w:szCs w:val="16"/>
          <w:color w:val="auto"/>
        </w:rPr>
      </w:pPr>
    </w:p>
    <w:p>
      <w:pPr>
        <w:ind w:left="660" w:right="4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cybersecurity breaches, service outages, or other similar incidents could result in serious harm to our business, financial condition, operating results, reputation, and future prospects;</w:t>
      </w:r>
    </w:p>
    <w:p>
      <w:pPr>
        <w:spacing w:after="0" w:line="96"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numerous privacy, cybersecurity, and AI laws, rules, regulations, industry standards, and other obligations across multiple jurisdictions which are highly complex, overlapping, frequently changing, and which create compliance challenges;</w:t>
      </w:r>
    </w:p>
    <w:p>
      <w:pPr>
        <w:spacing w:after="0" w:line="9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our service for illegal, improper, or fraudulent activities could harm our business, financial condition, operating results, reputation, and future prospects;</w:t>
      </w:r>
    </w:p>
    <w:p>
      <w:pPr>
        <w:spacing w:after="0" w:line="167" w:lineRule="exact"/>
        <w:rPr>
          <w:rFonts w:ascii="Times New Roman" w:cs="Times New Roman" w:eastAsia="Times New Roman" w:hAnsi="Times New Roman"/>
          <w:sz w:val="16"/>
          <w:szCs w:val="16"/>
          <w:color w:val="auto"/>
        </w:rPr>
      </w:pPr>
    </w:p>
    <w:p>
      <w:pPr>
        <w:ind w:left="660" w:right="32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anti-corruption laws and sanctions laws, anti-terrorist financing laws, anti-money laundering laws, and similar laws could subject us to penalties and other adverse consequences;</w:t>
      </w:r>
    </w:p>
    <w:p>
      <w:pPr>
        <w:spacing w:after="0" w:line="96" w:lineRule="exact"/>
        <w:rPr>
          <w:rFonts w:ascii="Times New Roman" w:cs="Times New Roman" w:eastAsia="Times New Roman" w:hAnsi="Times New Roman"/>
          <w:sz w:val="16"/>
          <w:szCs w:val="16"/>
          <w:color w:val="auto"/>
        </w:rPr>
      </w:pPr>
    </w:p>
    <w:p>
      <w:pPr>
        <w:ind w:left="660" w:right="10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the risk of loss or insolvency if our disbursement partners fail to disburse funds according to our instructions or become insolvent, or funds are disbursed before customer funds are guaranteed to be sufficient;</w:t>
      </w:r>
    </w:p>
    <w:p>
      <w:pPr>
        <w:spacing w:after="0" w:line="9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any material change of service terms or loss of coverage in our payment processors and disbursement network, our business could be harmed;</w:t>
      </w:r>
    </w:p>
    <w:p>
      <w:pPr>
        <w:spacing w:after="0" w:line="167" w:lineRule="exact"/>
        <w:rPr>
          <w:rFonts w:ascii="Times New Roman" w:cs="Times New Roman" w:eastAsia="Times New Roman" w:hAnsi="Times New Roman"/>
          <w:sz w:val="16"/>
          <w:szCs w:val="16"/>
          <w:color w:val="auto"/>
        </w:rPr>
      </w:pPr>
    </w:p>
    <w:p>
      <w:pPr>
        <w:ind w:left="660" w:right="42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disbursement partners do not provide a positive recipient experience, our business, financial condition, operating results, and future prospects could be harmed;</w:t>
      </w:r>
    </w:p>
    <w:p>
      <w:pPr>
        <w:spacing w:after="0" w:line="96" w:lineRule="exact"/>
        <w:rPr>
          <w:rFonts w:ascii="Times New Roman" w:cs="Times New Roman" w:eastAsia="Times New Roman" w:hAnsi="Times New Roman"/>
          <w:sz w:val="16"/>
          <w:szCs w:val="16"/>
          <w:color w:val="auto"/>
        </w:rPr>
      </w:pPr>
    </w:p>
    <w:p>
      <w:pPr>
        <w:ind w:left="660" w:right="24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operations outside the United States and foreign currencies could adversely affect our business, financial condition, operating results, and future prospects;</w:t>
      </w:r>
    </w:p>
    <w:p>
      <w:pPr>
        <w:spacing w:after="0" w:line="9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effective internal control over financial reporting, the accuracy and timing of our financial reporting may be adversely affected;</w:t>
      </w:r>
    </w:p>
    <w:p>
      <w:pPr>
        <w:spacing w:after="0" w:line="167"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material losses; and</w:t>
      </w:r>
    </w:p>
    <w:p>
      <w:pPr>
        <w:spacing w:after="0" w:line="96" w:lineRule="exact"/>
        <w:rPr>
          <w:rFonts w:ascii="Times New Roman" w:cs="Times New Roman" w:eastAsia="Times New Roman" w:hAnsi="Times New Roman"/>
          <w:sz w:val="16"/>
          <w:szCs w:val="16"/>
          <w:color w:val="auto"/>
        </w:rPr>
      </w:pPr>
    </w:p>
    <w:p>
      <w:pPr>
        <w:ind w:left="660" w:right="40" w:hanging="328"/>
        <w:spacing w:after="0" w:line="272"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and business operations in countries and regions that account for a significant amount of our send volume and our operations are exposed to rapid changes in laws and the enforcement of laws, macroeconomic conditions, and geopolitical developments that expose us to a risk of loss and could adversely affect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and Industry Risks</w:t>
      </w:r>
    </w:p>
    <w:p>
      <w:pPr>
        <w:spacing w:after="0" w:line="165" w:lineRule="exact"/>
        <w:rPr>
          <w:sz w:val="20"/>
          <w:szCs w:val="20"/>
          <w:color w:val="auto"/>
        </w:rPr>
      </w:pPr>
    </w:p>
    <w:p>
      <w:pPr>
        <w:ind w:right="3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and evolving industry and may be unable to compete successfully against existing and future competitors that employ a variety of existing business models and technologies or new innovations.</w:t>
      </w:r>
    </w:p>
    <w:p>
      <w:pPr>
        <w:spacing w:after="0" w:line="9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The industry for cross-border payments is global, highly competitive, and fragmented and includes a mix of traditional and digital players. This includes monoline remittance companies as well as competitors that offer multiple financial services, including cross-border payments. These competitors include traditional banks and global financial institutions, digital-first cross-border payment providers, digital-only banks, digital wallets, neobanks, and other emerging fintech platforms. Some competitors are significantly larger than we are and have longer operating histories, more scale and name recognition, and more resources to deploy. We also compete against smaller, country-specific companies, banks, and informal person-to-person money transfer service providers that may be better positioned to effectively tailor products and services, marketing, and regulatory compliance to local preferences and requirements.</w:t>
      </w:r>
    </w:p>
    <w:p>
      <w:pPr>
        <w:spacing w:after="0" w:line="14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Some of these competitors may introduce new products or services that render us unable to retain our existing customers or attract new customers at prices that are consistent with our pricing model and operating budget. In addition, these competitors use a variety of funding, money measurement, and pricing methodologies that may be more attractive to customers in some geographies or demographics. If our pricing strategy were to prove unappealing to our customers for any reason, it is possible that we would have to change our pricing strategies or reduce our prices, which could harm our business, financial condition, operating results, and future prospects.</w:t>
      </w:r>
    </w:p>
    <w:p>
      <w:pPr>
        <w:spacing w:after="0" w:line="12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addition, the broader financial services sector is experiencing rapid evolution in technologies, and there has recently been significant advancement in the development of neobanking, as well as other real-time payment technologies, including cryptocurrency and stablecoins. Any failure to timely anticipate changes in customer behavior related to new payment technologies, or to successfully integrate such technologies into our services, could harm our ability to compete and result in a loss of customers and corresponding loss of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innovate, improve existing products, or develop new products that achieve acceptance.</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products and services rely on technology-driven systems that require innovation to remain competitive. Our process for innovation is complex and relies upon both internally developed and third-party technologies and services, including automation, AI, machine learning, and cloud-based and other emerging technologies. We may not be able to make product or technological improvements as quickly as our competitors or as demanded by our customers, or to market them effectively, which could harm our ability to attract or retain customers. This includes the incorporation of AI technologies. In addition, we continue to develop new products and services, including products and services complementary to our current offerings, which requires ongoing investment. New products and services are inherently risky, due to, among other things, risks associated with the product or technology underlying the service not performing at all, or not performing as expected, customer acceptance, technological outages or failures, applicable legal and regulatory requirements, or failure to meet customer or industry expectations. As a result, we could experience increased claims, reputational damage, or other adverse effects, any of which could be material. The profile of potential customers using our new products and services also may not be as attractive as the profile of the customers that we currently serve, which may lead to higher customer acquisition costs or losses than we have historically experienced. Additionally, we can provide no assurance that we will be able to develop, commercially market, and achieve acceptance of any new products and services, and we may also fail to accurately predict the demand for, or growth of, such offerings in the future. Finally, our investment of resources, including management attention and talent allocation, to develop new products and services, or make related changes or updates to our services, may either be insufficient or result in expenses or losses of alternative growth opportunities that exceed the revenue actually generated from these new offerings.</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It is also possible that these new products may not return our investment or be profitable, or may experience disruptions in development or availability as a result of a variety of factors outside our control, which may have an adverse effect on our business, financial condition, operating results, and future prospects. See the section titled “Risk Factors—General Risks.” Additionally, the majority of our customers access our products through our website, our mobile app, or messaging services, and we must ensure that our offerings are optimized for such devices or messaging services, and that our mobile apps are interoperable with popular third-party mobile operating systems such as Google Android and Apple iOS. If we are unable to successfully and in a timely fashion innovate and improve our existing products and achieve acceptance, and continue to deliver a superior customer experience, our growth, business, financial condition, operating results, and future prospects could be impacted.</w:t>
      </w:r>
    </w:p>
    <w:p>
      <w:pPr>
        <w:spacing w:after="0" w:line="123"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grown rapidly in recent years and have limited operating experience at our current scale. If we are unable to manage our growth effectively, our business and operating results may be impacted. We also may not be able to sustain our growth rate in the future.</w:t>
      </w:r>
    </w:p>
    <w:p>
      <w:pPr>
        <w:spacing w:after="0" w:line="9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experienced rapid growth in recent periods, which places substantial demands on our management and operational resources. We expect we will need to continue to enhance our operational, financial, and management controls and our reporting systems and procedures to manage this growth.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Further, as we continue to grow, our business becomes increasingly complex and requires more resources. We have expended and anticipate continuing to expend, significant resources on expanding our infrastructure, streamlining our business and management processes, and strengthening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13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limited operating history and experience may also lead to deficiencies in our governance and operational structures, including with respect to our internal controls, resulting in inefficient decision-making, internal oversight, or other operational inefficiencies, as well as regulatory risks, failures to identify and capitalize on growth opportunities, and reputational damage. If our controls, policies, and procedures are not fully effective or we are not successful in identifying and mitigating significant risks to which we are or may be exposed, we may suffer uninsured liability, harm to our reputation, or be subject to litigation or regulatory actions that could affect our business, financial condition, operating results, and future prospects.</w:t>
      </w:r>
    </w:p>
    <w:p>
      <w:pPr>
        <w:spacing w:after="0" w:line="14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Further, as a public company listed in the United States, we have and will continue to incur significant legal, accounting, and other expenses. In addition, changing laws, regulations, and standards relating to corporate governance and public disclosure, including regulations implemented by the SEC and Nasdaq, or as a result of stockholder activism, may increase legal and financial compliance costs and make some activities more time-consuming.</w:t>
      </w:r>
    </w:p>
    <w:p>
      <w:pPr>
        <w:spacing w:after="0" w:line="134"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partner with third parties to support fulfillment of our services, including risk management, payment processing, customer support, cloud hosting, and disbursement, which exposes us to risks outside of our control.</w:t>
      </w:r>
    </w:p>
    <w:p>
      <w:pPr>
        <w:spacing w:after="0" w:line="10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partner with a variety of third parties to fulfill our services. For example, we integrate third-party technologies into our proprietary customer due diligence and risk management systems and information security program, and we also partner with an extensive network of third parties to deliver payment processing for customers and disbursement of funds to recipients. In addition, in certain regions there is a limited number of third-party service providers capable of processing payments on our behalf. Any failure or disruption to the services provided by these third parties could cause disruption or delay the delivery of our services and negatively impact our customer experience.</w:t>
      </w:r>
    </w:p>
    <w:p>
      <w:pPr>
        <w:spacing w:after="0" w:line="126"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16"/>
          <w:szCs w:val="16"/>
          <w:color w:val="auto"/>
        </w:rPr>
        <w:t>Our third-party partners also support our business operations and processes, including customer support services, from their various locations around the world. If such third-party partners choose to cease operations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12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In addition, some of these third parties process personal information and customer payments subject to our security requirements. Any failure of these parties to implement and operate adequate privacy, cybersecurity,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spacing w:after="0" w:line="123"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our partners, or our industry generally are unable to provide a high-quality and secure customer experience in the various locales in which we operate, our brand could suffer reputational damage and our business results could be harmed.</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business is largely driven by and reliant on customer trust in our delivery of cross-border financial services. The pricing and reliability of our service, the security of personal information (including sensitive personal information) of our customers, and a responsive and effective customer support function are each critical elements for the maintenance of this trust. Any significant interruption in either our internal or our partners’ risk management, payment processing, or disbursement systems could reduce customer confidence in our services. In addition, any actual, reported, or perceived cyberattack, cybersecurity breach, service outage, or other similar incident with respect to our systems or networks, or violation of our privacy or cybersecurity policies, or applicable legal, regulatory, or contractual obligations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business, financial condition, operating results, reputation, and future prospects could be harmed. In addition, any erosion in confidence in digital financial service providers as a means to transfer money generally could have a similar negative effect on 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business is subject to the risk of financial losses as a result of operational errors, fraudulent activity, employee misconduct, or other similar actions or errors on our or our partners’ solutions. Such behavior, either by our employees, vendors, counterparties, or other third parties, may include fraudulent actions; breaches of applicable laws, rules, or regulations; breaches of contractual obligations, including confidentiality or non-disclosure agreements; or failure to adhere to our policies and procedures or those of our partners and other counterparties. We have been, in the past, and will continue to be, subject to losses due to software errors in our systems and operational errors by our employees and third-party service providers. In addition, we also are regularly targeted by parties who seek to commit acts of financial fraud, using a variety of techniques, including stolen bank accounts, compromised business email accounts, employee fraud, account takeover, and false account creation. We are also routinely targeted for illegitimate transactions, including transactions to facilitate money laundering, and transactions in which customers authorize transfers requested by third parties under false or misleading pretenses (“scams”). These risks are inherently greater for us because many of our corridors for global money movement transactions are from developed to developing economies, which have traditionally been highly targeted by bad actors perpetrating fraud or other unwanted activity. We also in certain instances have a business practice of transferring money to recipients before funds are actually received from our customers, which also increases these risks.</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methods used to perpetrate these illegal activities are continually evolving, and we expend considerable resources to detect,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$84.2 million, or 0.11%, $57.9 million, or 0.11%, and $39.0 million, or 0.10%, of total send volume in connection with such errors, fraud, and misconduct in the years ended December 31, 2025, 2024, and 2023, respectively. We expect that losses of similar or greater magnitude may occur again in the future. If any of these errors or illegitimate or fraudulent activities are significant, we may be subject to regulatory enforcement actions and termination of services provided by third parties. We may also suffer significant losses or reputational harm, and our business, financial condition, operating results, and future prospects could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manage our customer funds properly could materially harm our business.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hold a substantial amount of funds belonging to our customers, including funds in process of being transferred, at third-party financial institutions. We hold, and in certain jurisdictions are required to hold and segregate, eligible assets equal to at least 100% of the aggregate amount of all customer funds held by our licensed entities. Our ability to manage and accurately account for the assets underlying our customer funds and comply with applicable asset requirements and applicable regulations requires a high level of internal controls. As our business continues to grow and we expand our product offerings, we must continue to strengthen our associated internal controls. Our success requires our customers’ confidence in our ability to properly manage customer balances and handle large and growing transaction volumes and amounts of customer funds. Any failure to maintain the necessary controls or to appropriately manage our customer funds in compliance with applicable regulatory requirements could result in reputational harm, lead customers to discontinue or reduce their use of our services and products, and result in significant penalties and fines and additional restrictions, which could materially harm our business, financial condition, operating results, and future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prior periods, we have experienced operating losses, and there is no assurance that our business will remain profitable.</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were incorporated in 2011 and have, in the recent past, experienced annual net losses. Although we generated net income of $67.9 million in the year ended December 31, 2025, we incurred losses of $37.0 million and $117.8 million in the years ended December 31, 2024, and 2023, respectively. While we have experienced significant revenue increases and achieved profitability on an Adjusted EBITDA basis, and on a generally accepted accounting principles (“GAAP”) basis in fiscal year 2025, if the assumptions we use to plan our business are incorrect or change, or if we are unable to maintain consistent revenue, it may be difficult to maintain profitability. Our revenue from any prior quarterly or annual periods should not be relied upon as an indication of our future revenue or revenue growth. Further, we have historically spent, and intend to continue to spend, significant funds to further develop and secure our services, develop new products and functionalities, invest in marketing programs to drive new customer acquisition, expand strategic partner integrations, and support international expansion. These efforts may prove more expensive than we currently anticipate, and we may not succeed in increasing our revenue sufficiently to offset these higher expenses. We may also face increased compliance and security costs associated with our continued growth and the expansion of our customer base and corridors. Our financial performance each quarter is also impacted by circumstances beyond our control, such as corridor mix, revenue mix, and seasonality. We may incur significant losses in the future for several reasons, including the risks described herein, and unforeseen expenses, difficulties, complications and delays, and other unknown events. If we are unable to sustain profitability, our business, financial condition, operating results, and future prospects may be adversely affected. For more information, see the section titled “Risk Factors—Financial Risks.”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1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Our revenue was $1.6 billion, $1.3 billion, and $944.3 million, and our send volume was $74.9 billion, $54.6 billion, and $39.5 billion, for the years ended December 31, 2025, 2024, and 2023, respectively. Although a large market segment for cross-border financial services remains untapped by us, our growth rate may decline in the future as a result of a variety of factors, including the increasing scale of our business. Overall growth of our revenue depends on a number of factors, including our ability to:</w:t>
      </w:r>
    </w:p>
    <w:p>
      <w:pPr>
        <w:spacing w:after="0" w:line="11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rates at which customers transact on our service;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new customers;</w:t>
      </w:r>
    </w:p>
    <w:p>
      <w:pPr>
        <w:spacing w:after="0" w:line="72" w:lineRule="exact"/>
        <w:rPr>
          <w:rFonts w:ascii="Times New Roman" w:cs="Times New Roman" w:eastAsia="Times New Roman" w:hAnsi="Times New Roman"/>
          <w:sz w:val="16"/>
          <w:szCs w:val="16"/>
          <w:color w:val="auto"/>
        </w:rPr>
      </w:pPr>
    </w:p>
    <w:p>
      <w:pPr>
        <w:ind w:left="660" w:right="18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expand the functionality and scope of the products we offer</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auto"/>
        </w:rPr>
        <w:t xml:space="preserve"> including by successfully developing and commercializing products and services complementary to our current offerings;</w:t>
      </w:r>
    </w:p>
    <w:p>
      <w:pPr>
        <w:spacing w:after="0" w:line="2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our services competitively;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and retain strategic partners;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high-quality, highly available products;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trust with our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our brand recognition and reputation;</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send volume;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our customers with high-quality customer support that meets their needs;</w:t>
      </w:r>
    </w:p>
    <w:p>
      <w:pPr>
        <w:spacing w:after="0" w:line="72" w:lineRule="exact"/>
        <w:rPr>
          <w:rFonts w:ascii="Times New Roman" w:cs="Times New Roman" w:eastAsia="Times New Roman" w:hAnsi="Times New Roman"/>
          <w:sz w:val="16"/>
          <w:szCs w:val="16"/>
          <w:color w:val="auto"/>
        </w:rPr>
      </w:pPr>
    </w:p>
    <w:p>
      <w:pPr>
        <w:ind w:left="660" w:right="380" w:hanging="328"/>
        <w:spacing w:after="0" w:line="280"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introduce our services in new payment corridors and jurisdictions, including maintaining existing and obtaining new money transmitter and payment services licenses;</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localize our services;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identify and acquire or invest in businesses, products, or technologies that we believe could complement or expand our product suite;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compete with other companies.</w:t>
      </w:r>
    </w:p>
    <w:p>
      <w:pPr>
        <w:spacing w:after="0" w:line="16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We may not successfully accomplish any of these objectives, which makes it difficult for us to forecast our future operating results. If the assumptions that we use to plan our business are incorrect or change in reaction to changes in our industry, or if we are unable to maintain consistent revenue or revenue growth, our stock price could be volatile, and it may be difficult to sustain profitability. Additionally, if we fail to address the risks and difficulties that we face, including those associated with the factors listed above as well as those described elsewhere in this “Risk Factors” section, our growth rate may be adversely affected. You should not rely on our growth rate in the number of customers, revenue, or send volume for any prior quarterly or annual periods as any indication of our future revenue, revenue growth, or other metrics of our financial performance.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Privacy, Intellectual Property, and Technology Risks</w:t>
      </w:r>
    </w:p>
    <w:p>
      <w:pPr>
        <w:spacing w:after="0" w:line="16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Cyberattacks, cybersecurity breaches, service outages, or other similar incidents could result in serious harm to our business, financial condition, operating results, reputation, and future prospects, including by triggering regulatory action or a breach of our agreements with significant partners that we rely on to deliver our services.</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Cyberattacks, cybersecurity breaches, service outages, and other similar incidents continue to increase in frequency and severity, evolve in nature, and become more sophisticated (including through the increased use of AI) and may evade detection for substantial periods of time. Moreover, we regularly encounter attempts to create false or undesirable accounts or take other actions on our systems for purposes such as spamming, spreading misinformation, or other objectionable ends. Threats to our computer systems and networks and those of third parties with whom we partner may come from a variety of sources, including organized criminal threat actors, terrorists, hacktivists, nation states, state-sponsored organizations, and other external threat actors with significant financial and technological resources, any of which may see the effectiveness of their efforts enhanced by the use of AI. In addition, working remotely and using private networks to access the internet may further exacerbate risks associated with cyberattacks, cybersecurity breaches, service outages, and other similar incidents as private environments and electronic connections to our work environment may not have the same security measures as those deployed in our offices.</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like other financial technology organizations, have experienced from time to time, or may experience in the future, cybersecurity incidents, including, among other things, advanced and persisting cyberattacks, ransomware, cyber extortion, phishing, and social engineering schemes, the introduction of computer viruses or other malware, computer hacking, fraudulent use attempts (including attempts to create false or undesirable accounts or take other actions on our service for purposes such as spamming, spreading misinformation, or other objectionable ends), denial-of-service attacks, credential stuffing, and the physical destruction of all or portions of our IT infrastructure and those of third parties with whom we partner, due to, among other things, human error, fraud, malice, malfeasance, insider threats, system errors or vulnerabilities, accidental technological failure, or other irregularities on the part of employees, contractors, vendors, or other third parties.</w:t>
      </w:r>
    </w:p>
    <w:p>
      <w:pPr>
        <w:spacing w:after="0" w:line="1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Because we rely on third parties in our business, we rely on the cybersecurity practices and policies adopted by such third parties, including our disbursement partners and downstream service providers. Our ability to monitor the cybersecurity practices of third parties with whom we partner is limited, and there can be no assurance that we can prevent, mitigate, or remediate the risk of any compromise or failure in the systems or networks owned or controlled by such third parties. Additionally, any contractual protections with such third parties, including our right to indemnification, if any at all, may be limited or insufficient to prevent a negative impact on our business from such compromise or failure. Any such compromises or failures with respect to our systems or networks, including the systems or networks owned or controlled by third parties with whom we partner, could, among other things: cause interruptions to our service; compromise the privacy, confidentiality, availability, and integrity of the data, including personal information, in such systems and networks; degrade the user experience; cause users to lose confidence and trust in our service; impair our internal systems and networks; harm our reputation and our ability to retain existing customers and attract new customers; and otherwise result in financial harm to us.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cyberattack, cybersecurity breach, service outage, or other similar incident could lead to, among other things, any of the following:</w:t>
      </w:r>
    </w:p>
    <w:p>
      <w:pPr>
        <w:spacing w:after="0" w:line="167"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and other losses for us or our customers;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identity theft for our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expand our business;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oversight, assessments, audits, scrutiny, restrictions, fines, or penalties from regulatory or governmental authorities;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customers and customer confidence in our services;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in user growth or engagement;</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civil litigation (including civil claims, such as representative actions and other class action-type litigation);</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to cease or change our processing of our data;</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breach of our contracts with lenders or other third parties;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services provided to us; or</w:t>
      </w:r>
    </w:p>
    <w:p>
      <w:pPr>
        <w:spacing w:after="0" w:line="59" w:lineRule="exact"/>
        <w:rPr>
          <w:rFonts w:ascii="Times New Roman" w:cs="Times New Roman" w:eastAsia="Times New Roman" w:hAnsi="Times New Roman"/>
          <w:sz w:val="16"/>
          <w:szCs w:val="16"/>
          <w:color w:val="auto"/>
        </w:rPr>
      </w:pPr>
    </w:p>
    <w:p>
      <w:pPr>
        <w:ind w:left="660" w:right="34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risks or a negative impact on our relationships with our financial services providers, including payment processors or relevant network organizations, disbursement partners, and other third parties.</w:t>
      </w:r>
    </w:p>
    <w:p>
      <w:pPr>
        <w:spacing w:after="0" w:line="9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Further, we could be forced to expend significant financial and operational resources in response to such incidents, including repairing system damage, increasing security costs, investigating and remediating any cybersecurity vulnerabilities, complying with data breach notification obligations and applicable laws and regulations, and defending against and resolving legal and regulatory claims, all of which could divert resources and the attention of our management and key personnel away from our business operations. Our efforts to remediate or mitigate any such incident may also be unsuccessful due to, among other things: software bugs or other technical malfunctions; employee, contractor, or third-party error or malfeasance; government surveillance; or other threats that evolve. As a result, any cyberattack, cybersecurity breach, service outage, or other similar incident could harm our business, financial condition, operating results, reputation, and future prospects.</w:t>
      </w:r>
    </w:p>
    <w:p>
      <w:pPr>
        <w:spacing w:after="0" w:line="20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While we maintain insurance policies, our coverage may be insufficient to compensate us for all losses caused by cyberattacks, cybersecurity breaches, service outages, or other similar incidents, and any such incidents may result in increased costs for such insurance. We also cannot ensure that our existing cybersecurity insurance coverage will be sufficient to cover the assertion of one or more large claims against us, continue to be available on acceptable terms, or at all, or that the insurer will not deny coverage as to any future claim.</w:t>
      </w:r>
    </w:p>
    <w:p>
      <w:pPr>
        <w:spacing w:after="0" w:line="12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For additional information, see “—Our business is subject to the risks of earthquakes, fires, floods, public health crises (including epidemics or pandemics such as the COVID-19 pandemic), and other natural catastrophic events, and to interruption by man-made problems such as cyberattacks, cybersecurity breaches, service outages, or other similar incidents, internal or third-party system failures, political unrest, market or currency disruptions, and terrorism, which could result in system and process failures and interruptions which could harm our business.”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numerous privacy, cybersecurity, and AI laws, rules, regulations, industry standards, and other obligations across multiple jurisdictions which are highly complex, overlapping, frequently changing, and which create compliance challenges that may expose us to substantial costs, liabilities, or loss of customer trust. Our actual or perceived failure to comply with these obligations could harm our business.</w:t>
      </w:r>
    </w:p>
    <w:p>
      <w:pPr>
        <w:spacing w:after="0" w:line="1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various privacy and cybersecurity laws, rules, regulations, industry standards, and other obligations with which we must comply, including with respect to technologies, such as cloud computing, AI, and machine learning, are complex and evolving. In addition, state, federal, and foreign lawmakers and regulatory authorities have increased their attention on the collection, use, receipt, storage, transmission, disclosure, and other processing of personal information, and increasing fraudulent activity and cyberattacks have encouraged further legislative and regulatory intervention in the financial technology industry. Moreover, many jurisdictions in which we operate have or are developing laws and regulations that protect the privacy and security of sensitive and personal information. Further, we have internal and publicly posted privacy policies regarding our collection, use, receipt, storage, transmission, disclosure, and other processing of personal information, and the publication of such privacy policies and other documentation that provide commitments about privacy and cybersecurity can subject us to potential enforcement actions and litigation if they are found to be deceptive, unfair, or otherwise misrepresentative of our actual practices. Our agreements with third parties, including significant agreements with payment processors, credit card and debit card issuers, and bank partners also contain contractual commitments related to privacy and cybersecurity with which we are required to adhere.</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Compliance with such laws, rules, regulations, industry standards, and other obligations requires that we expend significant resources, and we cannot guarantee that we will be able to successfully comply with all such privacy and cybersecurity obligations, especially where they do or may in the future conflict with one another, nor can we predict the extent to which such new and evolving regulatory and legal requirements will impact our business strategies and the cost or availability of previously useful personal information, increase our potential liability and compliance costs, require changes in business practices and policies, or otherwise adversely affect our business. Our failure to adequately address privacy and cybersecurity-related concerns, even if unfounded, or to comply with applicable laws, rules, regulations, industry standards, and other obligations could result in regulatory or government investigations, monetary penalties, fines, sanctions, claims, litigation (including civil claims, such as representative actions and other class action-type litigation), orders to cease or change our processing of personal information, enforcement notices, assessment notices (for a compulsory audit), compensation or damages liabilities, increased cost of operations, changes to our business practices (including changes to the manner in which we transfer personal information between and among countries and regions in which we operate or the manner in which we provide our services and the geographical location or segregation of our relevant systems and operations), declines in user growth or engagement, or</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diversion of internal resources, all of which could have a material adverse effect on our business, financial condition, operating results, reputation, and future prospects.</w:t>
      </w:r>
    </w:p>
    <w:p>
      <w:pPr>
        <w:spacing w:after="0" w:line="16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For additional discussion about privacy and cybersecurity and the legal and regulatory environment that we operate in, please see the section titled “Business—Privacy and Cybersecurity.”</w:t>
      </w:r>
    </w:p>
    <w:p>
      <w:pPr>
        <w:spacing w:after="0" w:line="93"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Any significant interruption or failure of our system availability, including failure to successfully implement upgrades or new technologies to our mobile app or website, could adversely affect our business, financial condition, operating results, reputation, and future prospects.</w:t>
      </w:r>
    </w:p>
    <w:p>
      <w:pPr>
        <w:spacing w:after="0" w:line="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The efficient and uninterrupted operation of technologies that we use to deliver our services is essential for the customer experience. This includes maintaining ready customer access and acceptable load times for our services at all times. Our systems and operations and those of third-party partners have experienced, or may experience in the future, interruptions or degradation of service availability due to a variety of events including cyberattacks, cybersecurity breaches, service outages, and other similar incidents; insider threats; hardware and software defects or malfunctions; development delays; installation difficulties; human error; earthquakes, hurricanes, floods, fires, and other natural disasters; public health crises (including epidemics or pandemics such as the COVID-19 pandemic); power losses; disruptions in telecommunications services; fraud; military or political conflicts; terrorist attacks; or other events. In addition, our service is currently vulnerable to downtime should a major physical disaster or other event affect the west coast of the United States, where our cloud services provider is based and our physical system architecture resides. While we have backups for these systems, our service would be unavailable for some time were our normal systems to go down. We also have disaster recovery programs in place, but they have not been tested under actual disaster conditions and the aforementioned risks may be further increased if our disaster recovery plans prove to be inadequate. To the extent we cannot effectively address capacity constraints, upgrade our systems, or implement redundant systems as needed, and continually develop our technology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new customers and could decrease the frequency with which existing customers use our website and mobile solutions. As a result, our business, financial condition, operating results, reputation, and future prospects could be harmed.</w:t>
      </w:r>
    </w:p>
    <w:p>
      <w:pPr>
        <w:spacing w:after="0" w:line="135"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adequately obtain, maintain, protect, defend, or enforce our IP Rights, our business, financial condition, operating results, reputation, and future prospects could be harmed.</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Our brand and proprietary technology, trademarks, service marks, trade names, copyrights, domain names, trade dress, patents, trade secrets, and other IP Rights that support our brand are important to our business. We rely on, and expect to continue to rely on, a combination of intellectual property laws, technological restrictions, provisions in our terms of service, and contractual provisions including confidentiality, invention assignment, and license agreements with our employees, contractors, consultants, and other third parties with whom we partner, to establish and protect our brand, proprietary technology, and other IP Rights. Such contractual provisions may not be self-executing and may not otherwise adequately protect our IP Rights, particularly with respect to conflicts of ownership relating to work product generated by employees, contractors, consultants, or other third parties with whom we partner, and we cannot be certain that such contractual provisions will not be breached or that third parties will not gain access to our trade secrets or other confidential information.</w:t>
      </w:r>
    </w:p>
    <w:p>
      <w:pPr>
        <w:spacing w:after="0" w:line="1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Effective obtainment and protection of our IP Rights may not be available in every jurisdiction in which we offer our services and, where such laws are available, our efforts to obtain and protect such rights may not be sufficient or effective and such rights may be found invalid or unenforceable or narrowed in scope. In particular, the laws of some foreign countries, particularly certain developing countries, do not favor the enforcement of IP Rights to the same extent as U.S. laws. This could make it difficult for us to stop the infringement, misappropriation, or other violation of our IP Rights, and potentially interfere with our ability to market and promote our brands, products, and services. Any failure to adequately obtain, maintain, protect, defend, or enforce our IP Rights, or significant costs incurred in doing so, could materially harm our business, financial condition, operating results, reputation, and future prospects.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and provision of AI-powered solutions could lead to operational or reputational damage, legal and regulatory risk, and additional costs.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use AI in certain aspects of our business and operations, including in our Help Center’s virtual assistant. There are evolving risks involved in utilizing AI, and no assurance can be provided that the usage of such AI-powered solutions will enhance our business, help our operations become more effective, efficient, or profitable, or otherwise result in our intended outcomes.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customers or partners; or otherwise interfere with the performance of our business. Further, our competitors or other third parties may incorporate AI into their business or operations more quickly or more successfully than us, which could reduce customer demand for our products and services and impair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We may not have adequate rights to use the data on which our AI-powered solutions rely. To the extent that we do not have sufficient rights to use the data used in, or produced by, the AI-powered solutions employed in our business and operations, we may be subject to litigation by the owners of the content or other materials that comprise such data. Further, any content or other output created by us using AI-powered solutions may not be subject to copyright protection, which may adversely affect our ability to commercialize or use, or the validity or enforceability of any IP Rights in, such content or other output. In addition, the use of AI by other companies has resulted in, and our use of AI may in the future result in, cyberattacks, cybersecurity breaches, service outages, or other similar incidents, including those that implicate the confidential and personal information of users of AI-powered solutions. If any of our employees, contractors, third-party providers,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 Any of the foregoing could adversely affect our reputation and expose us to legal liability or regulatory risks, including with respect to third-party IP Rights or privacy, publicity, contractual, or other rights.</w:t>
      </w:r>
    </w:p>
    <w:p>
      <w:pPr>
        <w:spacing w:after="0" w:line="1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Regulation of AI is rapidly evolving worldwide as legislatures and regulators are increasingly focusing on these emerging technologies. For example, the European Union’s Artificial Intelligence Act (the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limited or low risk. There is a risk that our current or future AI-powered solutions may obligate us to comply with the applicable requirements of the AI Act, which may impose additional costs on us, increase our risk of liability and fines, or otherwise adversely affect our business, financial condition, operating results, and future prospects.</w:t>
      </w:r>
    </w:p>
    <w:p>
      <w:pPr>
        <w:spacing w:after="0" w:line="14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Further, public and regulatory focus on ethical use and privacy and cybersecurity concerns regarding AI could lead to reputational damage if we fail, or are perceived to fail, to align with societal expectations or regulatory standards relating to the use of AI. Such scrutiny may result in financial or other penalties and may also erode customer trust. Although we take steps designed to mitigate the risks associated with the use of AI in our business and operations, our use of AI may present ethical, reputational, technical, operational, legal, competitive, or regulatory risks, any of which could adversely affect our business, financial condition, operating results, and future prospects.</w:t>
      </w:r>
    </w:p>
    <w:p>
      <w:pPr>
        <w:spacing w:after="0" w:line="121"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under license or technology agreements with third parties, or if we cannot license rights to use technologies on reasonable terms, we could be required to pay damages, lose license rights that are critical to our business, or be unable to commercialize new products and services in the future.</w:t>
      </w:r>
    </w:p>
    <w:p>
      <w:pPr>
        <w:spacing w:after="0" w:line="9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color w:val="auto"/>
        </w:rPr>
        <w:t>We license certain third-party IP Rights that are important to our business, including technologies, data, content, and software from third parties, and in the future, we may license additional valuable third-party IP Rights. If we fail to comply with any of the obligations under our license agreements, we may be required to pay damages and the licensor may have the right to terminate the license, which would cause us to lose valuable rights and could prevent us from selling our products and services or inhibit our ability to commercialize current or future products and services. Our business may suffer if any current or future licenses or other grants of rights to us terminate; if the licensors (or other applicable counterparties) fail to abide by the terms of the license or other applicable agreement; if the licensors fail to maintain, protect, defend, or enforce the licensed IP Rights against infringing third parties; or if the licensed IP Rights are found to be invalid or unenforceable. Third parties from whom we currently license IP Rights could refuse to renew our agreements upon their expiration or could impose additional terms and fees that we otherwise would not deem acceptable requiring us to obtain IP Rights from another third party, if any are available, or to pay increased licensing fees or be subject to additional restrictions on our use of such third-party IP Rights.</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the future, we may also identify additional third-party IP Rights that we may need to license or otherwise obtain rights to in order to conduct our business, including to develop or commercialize new products and services. However, such licenses or other grants of rights may not be available on acceptable terms, or at all. The licensing or acquisition of third-party IP Rights is a competitive area, and several more established companies may pursue strategies to license or acquire third-party IP Rights that we may consider attractive or necessary. These established companies may have a competitive advantage over us due to their size, brand recognition, capital resources, and greater development or commercialization capabilities. In addition, companies that perceive us to be a competitor may be unwilling to assign, license, or otherwise grant rights to us. Even if such licenses or other grants of rights are available, we may be required to pay the licensor (or other applicable counterparty) substantial royalties, which may affect the margins on our products and services. In addition, such licenses or other grants of rights may be non-exclusive, which could give our competitors access to the same IP Rights licensed to us. Failure to obtain the necessary licenses or otherwise obtain adequate grants of rights on favorable terms, or at all, could prevent us from commercializing products and services or otherwise inhibit our ability to commercialize current or future products and services, which could impact our competitive position, business, financial condition, operating results, reputation, and future prospects.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Assertions by third parties of infringement, misappropriation, or other violations by us of their IP Rights could result in significant costs and substantially harm our business and operating results.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Intellectual property disputes are common in our industry. We have, and may in the future become, involved in lawsuits to obtain, protect, defend, or enforce our IP Rights, and we may be subject to claims by third parties that we have infringed, misappropriated, or otherwise violated their IP Rights. Some companies in our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IP Rights against us, just as we have and may in the future do so against them. As the number of services and competitors in our industry increases and overlaps occur, claims of infringement, misappropriation, and other violations of IP Rights may increase. Claims of infringement, misappropriation, or other violation of IP Rights by a third party, even those without merit, have caused us to incur costs defending against the claims, and could in the future cause us to incur costs defending against the claims and could distract our management. In addition, an adverse outcome of a dispute may require us to: pay substantial damages; cease making, licensing, or using products, services, or intellectual property that are alleged to infringe, misappropriate, or otherwise violate the IP Rights of others; change or cease using elements of our IP portfolio; expend additional development resources to attempt to redesign our products and services or otherwise develop non-infringing assets or technology, which may not be successful; enter into potentially unfavorable royalty or license agreements to obtain the right to use necessary technologies or IP Rights; and indemnify our disbursement partners and other third parties with whom we partner. Royalty or license agreements, if required or desirable, may be unavailable on terms acceptable to us, or at all, and may require significant royalty payments and other expenditures. Any of these events could harm our business, financial condition, operating results, and future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open source and third-party technology could impose limitations on our ability to offer our products and services to customers.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use open source software in connection with our products and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products and services to conditions we do not intend to accept,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products and services, to make our proprietary code generally available in source code form, to re-engineer our products and services, or to discontinue our products and services if re-engineering could not be accomplished on a timely basis, any of which could harm our business, financial condition, operating results, and future prospects.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terms of certain open source licenses to which we are subject have not been interpreted by U.S. or foreign courts, and there is a risk that these licenses could be construed in a way that could impose unanticipated conditions or restrictions on our ability to provide our products and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adversely affect our business, financial condition, operating results, reputation, and future prospects.</w:t>
      </w:r>
    </w:p>
    <w:p>
      <w:pPr>
        <w:spacing w:after="0" w:line="121"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do not or cannot maintain the compatibility of our product offerings with the most popular mobile, desktop, and tablet device and browser platforms, our revenue and growth prospects may decline.</w:t>
      </w:r>
    </w:p>
    <w:p>
      <w:pPr>
        <w:spacing w:after="0" w:line="9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Our customers access our product offerings increasingly through mobile phones and also through the use of various hardware devices, browsers, messaging services, and software platforms. If any of the devices, browsers, messaging services, or software platforms that our product offerings depend upon change features of their application programming interfaces (“APIs”), discontinue their support of such APIs, restrict our access to their APIs, or alter the terms governing their use in a manner that is adverse to our business, we will not be able to provide compatible product offerings, which could significantly diminish the value of our product offerings and harm our business, financial condition, operating results, and future prospects.</w:t>
      </w:r>
    </w:p>
    <w:p>
      <w:pPr>
        <w:spacing w:after="0" w:line="14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functionality and popularity of our product offerings depend, in part, on our ability to integrate our systems with the systems of our strategic partners. These strategic partners periodically update and change their systems, and although we have been able to adapt our systems to their evolving needs in the past, there can be no guarantee that we will be able to do so in the future. While we have multiple API integrations and certain partner redundancies built into our systems, if we are unable to adapt to the needs of our strategic partners’ systems, our global money movement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and Compliance Risks</w:t>
      </w:r>
    </w:p>
    <w:p>
      <w:pPr>
        <w:spacing w:after="0" w:line="165" w:lineRule="exact"/>
        <w:rPr>
          <w:sz w:val="20"/>
          <w:szCs w:val="20"/>
          <w:color w:val="auto"/>
        </w:rPr>
      </w:pPr>
    </w:p>
    <w:p>
      <w:pPr>
        <w:ind w:right="5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Any failure to obtain or maintain necessary licenses, permissions, approvals, or registrations (“Licenses”) across our global footprint could adversely affect our operations.</w:t>
      </w:r>
    </w:p>
    <w:p>
      <w:pPr>
        <w:spacing w:after="0" w:line="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provision of money transfer, payment, and stored value/e-money services is highly regulated, and the requirements vary from jurisdiction to jurisdiction. As an entity Licensed by various governmental authorities to provide certain of these services, we are subject to extensive financial, operational, and other regulatory requirements to maintain our Licenses and conduct business. These may include: net worth requirements; restrictions or obligations with respect to customer funds, including requirements to maintain insurance or reserves in an amount equivalent to outstanding payment obligations and restrictions on our investment of customer funds; bonding requirements; liquidity requirements; limitations on the amount and type of receivables we may be owed by our affiliates or third parties; requirements for regulatory approval of controlling stockholders; reporting requirements; anti-money laundering and countering the finance of terrorism compliance requirements; privacy and cybersecurity requirements; customer disclosure requirements; and monitoring, examination, and oversight by local, state, federal, and foreign regulatory agencies. Failure by us or our service providers to comply with any of these or related requirements or interpretation of them by governmental authorities could result in the suspension or revocation of a License required to provide money transfer, payment, stored value/e-money, or foreign exchange services; the limitation, suspension, or termination of services; changes to our business model; loss of consumer confidence; exposure to civil litigation (including civil claims, such as representative actions and other class action-type litigation); the seizure of our assets; and/or the imposition of civil and criminal penalties, including fines and restrictions on our ability to offer services.</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If our Licenses are not renewed or we are denied Licenses in additional jurisdictions where we choose to apply for a License, we could be forced to change our business practices or be required to bear substantial cost to comply with the requirements of the additional jurisdictions. Further, if we were found by these governmental authorities to be in violation of any applicable laws or regulations required to provide money transfer, payment, stored value/e-money or foreign exchange services, we could be subject to: fines, penalties, lawsuits, and enforcement actions; additional compliance requirements; increased regulatory scrutiny of our business; restriction or suspension of our operations; or damage to our reputation or brand. In addition, our regulators could further restrict the type of instruments that qualify as permissible investments or require our regulated subsidiaries to maintain higher levels of eligible assets, which could have a financial and operational impact on our business. Regulatory requirements are constantly evolving, and we cannot predict whether we will be able to meet changes to existing regulations or the introduction of new regulations without harming our business, financial condition, operating results, and future prospects.</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Certain jurisdictions have enacted rules that require entities Licensed to provide money transfer, payment, and stored value/e-money services to establish and maintain transaction monitoring and filtering programs and privacy and cybersecurity programs. Wherever we are subject to these rules, we are required to adopt additional business practices that could also require additional capital expenditures or impact our operating results. If any governmental authority were to take actions that interfered with our ability to transfer money or provide our services reliably—including if they attempted to seize transaction funds or to limit or prohibit us, our payment processors, or our disbursement partners from transferring money in certain countries, whether by imposing sanctions or otherwise—such actions could harm our business. Governmental authorities could also impose other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124" w:lineRule="exact"/>
        <w:rPr>
          <w:sz w:val="20"/>
          <w:szCs w:val="20"/>
          <w:color w:val="auto"/>
        </w:rPr>
      </w:pPr>
    </w:p>
    <w:p>
      <w:pPr>
        <w:ind w:right="4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fees, profit margins, and/or our ability to offer foreign exchange spreads may be reduced or limited because of regulatory initiatives and changes in laws and regulations or their interpretation and industry practices and standards that are either industry-wide or specifically targeted at our Company.</w:t>
      </w:r>
    </w:p>
    <w:p>
      <w:pPr>
        <w:spacing w:after="0" w:line="9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The evolving policy and regulatory environment—including increased fees or taxes, regulatory initiatives, and changes in laws and regulations or their interpretation, industry practices and standards imposed by state, federal, or foreign governments, and expectations regarding our compliance efforts—impacts the manner in which we operate our business, may change the competitive landscape, and may adversely affect our financial results. Existing, new, and proposed legislation relating to financial services providers and consumer protection in various jurisdictions around the world has affected and may continue to affect the manner in which we provide our services. Recently proposed and enacted legislation related to financial services providers and consumer protection in various jurisdictions around the world and at the federal and state level in the United States has subjected and may continue to subject us to additional regulatory oversight, mandate additional consumer disclosures and remedies, including refunds to consumers, or otherwise impact the manner in which we provide our services.</w:t>
      </w:r>
    </w:p>
    <w:p>
      <w:pPr>
        <w:spacing w:after="0" w:line="14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 particular, the U.S. Consumer Financial Protection Bureau (“CFPB”) is largely responsible for administering regulations and adopting new regulations governing consumer financial services, including regulations defining unfair, deceptive, or abusive acts or practices, and new model disclosures. Given the uncertainty with respect to the CFPB’s operations, it may be that select states will seek to fill this consumer protection void, potentially issuing a patchwork of regulations that may increase our compliance costs and litigation exposure. Such regulations could harm our business, financial condition, operating results, and future prospects, and force us to change the way we operate our business.</w:t>
      </w:r>
    </w:p>
    <w:p>
      <w:pPr>
        <w:spacing w:after="0" w:line="14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There has also been an increase in the level and regulatory scrutiny of consumer protection laws, regulation, and supervisory guidance relating to “treating customers fairly.” These laws apply to our international business (including in the United Kingdom and the EEA). In the United Kingdom, the Financial Conduct Authority (the “FCA”) has issued, supervises, and enforces the Consumer Duty that places an obligation on firms to act to deliver good outcomes for retail customers. To achieve better customer outcomes, the FCA has issued a set of rules and guidance, among others, providing more detailed expectations for firms’ conduct that form part of an optimal firm-customer relationship that includes the price and value offered. Any changes by the FCA’s and other regulatory authorities to such laws, regulations, and supervisory guidance could have an adverse impact on our business, financial condition, operating results, and future prospects, and/or change our business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Governmental authorities could also regulate foreign exchange rates or tax foreign exchange purchases in countries in which we do business, and this could harm our business. Similarly, if governments implement new laws or regulations that limit our right to set fees and/or foreign exchange spreads, then our business, financial condition, operating results, and future prospects could be adversely affected.</w:t>
      </w:r>
    </w:p>
    <w:p>
      <w:pPr>
        <w:spacing w:after="0" w:line="117"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Furthermore, governmental agencies both in the United States and worldwide have imposed, and may impose new or additional rules on money transfers affecting us; our third-party providers, including our payment processors and disbursement partners; partner banks; or commercial counterparties, including regulations that:</w:t>
      </w:r>
    </w:p>
    <w:p>
      <w:pPr>
        <w:spacing w:after="0" w:line="97"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restrict, and/or impose taxes or fees on remittance transactions in, to, or from certain countries or with certain governments, individuals, and entities;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new requirements, change requirements, or re-interpret existing requirements regarding the acquisition of local currency for disbursement to recipients;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customer identification or due diligence requirements, including requirements to verify the immigration or other status of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third-party provider due diligence and vendor management requirements;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foreign exchange disclosures, reporting or recordkeeping requirements, or require enhanced transaction monitoring;</w:t>
      </w:r>
    </w:p>
    <w:p>
      <w:pPr>
        <w:spacing w:after="0" w:line="59" w:lineRule="exact"/>
        <w:rPr>
          <w:rFonts w:ascii="Times New Roman" w:cs="Times New Roman" w:eastAsia="Times New Roman" w:hAnsi="Times New Roman"/>
          <w:sz w:val="16"/>
          <w:szCs w:val="16"/>
          <w:color w:val="auto"/>
        </w:rPr>
      </w:pPr>
    </w:p>
    <w:p>
      <w:pPr>
        <w:ind w:left="660" w:right="160" w:hanging="328"/>
        <w:spacing w:after="0" w:line="28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types of entities capable of providing remittance services, impose additional licensing or registration requirements on us, or our third-party providers, or impose additional requirements on us with regard to selection or oversight of our third-party providers;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minimum capital or other financial requirements on us or our third-party providers;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or restrict the revenue which may be generated from money transfers, including transaction fees and revenue derived from foreign exchange;</w:t>
      </w:r>
    </w:p>
    <w:p>
      <w:pPr>
        <w:spacing w:after="0" w:line="59" w:lineRule="exact"/>
        <w:rPr>
          <w:rFonts w:ascii="Times New Roman" w:cs="Times New Roman" w:eastAsia="Times New Roman" w:hAnsi="Times New Roman"/>
          <w:sz w:val="16"/>
          <w:szCs w:val="16"/>
          <w:color w:val="auto"/>
        </w:rPr>
      </w:pPr>
    </w:p>
    <w:p>
      <w:pPr>
        <w:ind w:left="660" w:right="80" w:hanging="328"/>
        <w:spacing w:after="0" w:line="29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we provide additional consumer protection rights to our customers (including enhanced disclosures, “treating customers fairly” rules and consumer duties, and rights to refund in the event our customers authorize transactions under fraudulent or false pretenses);</w:t>
      </w: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principal amount of money originated in a country to be invested in that country or held in a trust until they are paid;</w:t>
      </w:r>
    </w:p>
    <w:p>
      <w:pPr>
        <w:spacing w:after="0" w:line="72" w:lineRule="exact"/>
        <w:rPr>
          <w:rFonts w:ascii="Times New Roman" w:cs="Times New Roman" w:eastAsia="Times New Roman" w:hAnsi="Times New Roman"/>
          <w:sz w:val="16"/>
          <w:szCs w:val="16"/>
          <w:color w:val="auto"/>
        </w:rPr>
      </w:pPr>
    </w:p>
    <w:p>
      <w:pPr>
        <w:ind w:left="660" w:right="100" w:hanging="328"/>
        <w:spacing w:after="0" w:line="28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number or principal amount of remittances, which may be sent to or from a jurisdiction, whether by an individual, through one third-party provider, or in aggregate;</w:t>
      </w:r>
    </w:p>
    <w:p>
      <w:pPr>
        <w:spacing w:after="0" w:line="2" w:lineRule="exact"/>
        <w:rPr>
          <w:rFonts w:ascii="Times New Roman" w:cs="Times New Roman" w:eastAsia="Times New Roman" w:hAnsi="Times New Roman"/>
          <w:sz w:val="16"/>
          <w:szCs w:val="16"/>
          <w:color w:val="auto"/>
        </w:rPr>
      </w:pPr>
    </w:p>
    <w:p>
      <w:pPr>
        <w:ind w:left="660" w:right="260" w:hanging="328"/>
        <w:spacing w:after="0" w:line="29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more stringent information technology, cybersecurity, privacy, and operational security requirements on us or our third-party providers and their service providers, including relating to data transfers and the use of cloud infrastructure;</w:t>
      </w:r>
    </w:p>
    <w:p>
      <w:pPr>
        <w:ind w:left="660" w:right="140" w:hanging="328"/>
        <w:spacing w:after="0" w:line="29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risk management and related governance and oversight requirements, including relating to the outsources of services to other group companies or to third parties; and</w:t>
      </w: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or limit exclusive arrangements with our third-party providers.</w:t>
      </w:r>
    </w:p>
    <w:p>
      <w:pPr>
        <w:spacing w:after="0" w:line="167"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In addition, changes in regulatory expectations, interpretations, or practices could increase the risk of regulatory enforcement actions, fines, and penalties. If the CFPB or other similar regulatory bodies adopt, or customer advocacy groups are able to generate widespread support for, positions that are detrimental to our business, then our business, financial condition, operating results, and future prospects could be harmed.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enhanced supervisory and compliance environment in the financial sector increases the risk of regulatory action against us, whether formal or informal.</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service is subject to a variety of laws and regulations worldwide, and a large number of regulatory and enforcement authorities in each of the jurisdictions in which we operate. Regulators across the globe subject financial sector institutions, including us, to intense review, supervision, and scrutiny. This heightened level of review and scrutiny or any changes in the existing regulatory supervision framework increases the possibility that we will face adverse legal or regulatory actions. Regulators regularly review our operations, and there can be no guarantee that all regulators will agree with our internal assessments of the applicability of certain laws, regulations, or regulatory policies to our products, or our compliance with applicable laws, regulations, or regulatory policies.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have been examined, and may continue to be subject to examination by the CFPB, which has defined participants of the international money transfer market that make at least one million aggregate annual international money transfers, such as Remitly, to be “larger participants” subject to such supervisory examination. At this time, the CFPB has the authority to examine and supervise us and our larger competitors. While this activity has largely paused at the federal level, state regulators may seek to fill this void. In the past, the CFPB has used information gained in these examinations as the basis for enforcement actions resulting in settlements involving monetary penalties and other remedies. State regulators may adopt a similar posture.</w:t>
      </w:r>
    </w:p>
    <w:p>
      <w:pPr>
        <w:spacing w:after="0" w:line="14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Regulators may take formal or informal actions against us. Such formal or informal actions might subject us to additional compliance obligations or litigation or force us to adopt new compliance programs or policies, remove personnel including senior executives, provide remediation or refunds to customers, or undertake other changes to our business operations.</w:t>
      </w:r>
    </w:p>
    <w:p>
      <w:pPr>
        <w:spacing w:after="0" w:line="11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Any failure or perceived failure to manage our legal and regulatory risk in the many jurisdictions in which we operate could cause our business to suffer, harm our reputation, and subject us to additional legal and regulatory risks. This could, in turn, increase the size and number of claims and damages asserted against us and/or subject us to regulatory investigations, enforcement actions, or other proceedings, or lead to increased regulatory concerns. We may also be required to spend additional time and resources on remedial measures and conducting inquiries, beyond those already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initiated and ongoing, which could have an adverse effect on our business. Similarly, a failure to comply with the applicable regulations in various jurisdictions by our employees, representatives, and third-party service providers either in or outside the course of their services, or suspected or perceived failures by them, may result in further inquiries or investigations by regulatory and enforcement authorities and in additional regulatory or enforcement action against either us, or such employees, representatives, and third-party service providers.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While we have implemented policies and procedures designed to help ensure compliance with applicable laws and regulations, there are a number of risks that cannot be completely controlled. Our international presence, especially in higher-risk jurisdictions such as the United Arab Emirates, the Philippines, and India, has led to increased legal and regulatory risks. Regulators in every jurisdiction in which we operate have the power to restrict our operations or bring administrative or judicial proceedings against us (or our employees, representatives, and third-party service providers), which could result, among other things, in suspension or revocation of one or more of our Licenses, cease and desist orders, fines, civil penalties, criminal penalties, or other disciplinary action which could materially harm our business, financial condition, operating results, reputation, and future prospects. Expansion into additional jurisdictions also increases the complexity of our risks in a number of areas including currency risks, interest rate risks, compliance risk, regulatory risk, reputational risk, and operational risk. We, or our employees, may from time to time, and as is common in the financial services industry, be the subject of inquiries, examinations, or investigations that could lead to proceedings against us or our employees.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our service for illegal, improper, or fraudulent activities could harm our business, financial condition, operating results, reputation, and future prospects.</w:t>
      </w:r>
    </w:p>
    <w:p>
      <w:pPr>
        <w:spacing w:after="0" w:line="171"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Our service is susceptible to illegal, improper, or fraudulent uses, including money laundering, terrorist financing, sanctions evasion, bank fraud, payments involving child pornography or human trafficking, consumer “scams,” and the facilitation of other illegal, improper, or fraudulent activity. The digital financial services industry is under increasing scrutiny from federal, state, and foreign regulators in connection with the potential for such illegal, improper, or fraudulent activities.</w:t>
      </w:r>
    </w:p>
    <w:p>
      <w:pPr>
        <w:spacing w:after="0" w:line="1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We offer our customers the ability to fund transactions utilizing their credit card or debit card. We also offer bank funding and alternative payment methods. Because these are card-not-present/online/non face-to-face transactions, they involve a greater risk of fraud. We also release some funded transactions for disbursement prior to our receiving funds from our customers, which exposes us to repayment risk in the event that these customers have insufficient funds in their bank account or their transactions are otherwise invalidated. Additionally, we carry chargeback liability for a large portion of disputed card payment transactions. In addition, our global money movement product facilitates payments to jurisdictions which may in some cases have higher levels of illegal or improper payments. For example, the United States to Colombia and United States to Nigeria payment corridors have historically been characterized by a high volume of fraudulent payments and are thus particularly high-risk.</w:t>
      </w:r>
    </w:p>
    <w:p>
      <w:pPr>
        <w:spacing w:after="0" w:line="14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Our payment system may have been, and may in the future be, utilized for illegal, improper, and fraudulent uses in the past, and we cannot guarantee that our policies, procedures, and internal controls, or insurance, would adequately protect our business, maintain our continued ability to operate in the jurisdictions that we serve, or protect our reputation, especially if such illegal, improper, or fraudulent activities were discovered to have taken place on our service in the future.</w:t>
      </w:r>
    </w:p>
    <w:p>
      <w:pPr>
        <w:spacing w:after="0" w:line="13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Our transaction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improper, or fraudulent activity levels involving our services were to rise, it could lead to changes in liability regimes, regulatory intervention, and reputational and financial damage to us. This, in turn, could lead to government enforcement actions and investigations, a suspension or termination of our Licenses, a reduction in the use and acceptance of our services, or an increase in our compliance costs, any of which may harm our business, financial condition, operating results, and future prospects.</w:t>
      </w:r>
    </w:p>
    <w:p>
      <w:pPr>
        <w:spacing w:after="0" w:line="208"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 financial condition, operating results, and future prospects.</w:t>
      </w:r>
    </w:p>
    <w:p>
      <w:pPr>
        <w:spacing w:after="0" w:line="113"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Governments may decide to impose restrictions or levy new taxes on money transfers or other digital financial services provided by us, which would harm our business, financial condition, operating results, and future prospects.</w:t>
      </w:r>
    </w:p>
    <w:p>
      <w:pPr>
        <w:spacing w:after="0" w:line="9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6"/>
          <w:szCs w:val="16"/>
          <w:color w:val="auto"/>
        </w:rPr>
        <w:t>Our business could be harmed if a local, state, federal, or foreign government were to levy taxes on money transfers. Taxes on some money transfers have been enacted at the federal level and in one state, and proposed periodically in other states in the United States. Budget shortfalls and sentiment towards immigration in the United States and many jurisdictions could lead other states and jurisdictions to impose similar fees and taxes, as well as expand the existing excise tax beyond cash-based transactions and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For example, the Central Bank of Nigeria previously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changing, and subsequent legislation, regulation, litigation, court rulings, or other events could expose us to increased liability, increased operating and compliance costs to implement new measures to reduce our exposure to this liability, and reputational damage.</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risk of non-compliance is exacerbated when we introduce new products or services that subject us to new laws and regulations. In addition, as we expand and localize our international activities, we may become increasingly obligated to comply with the laws of the countries in which we operate, and the applicability of certain laws, regulations, or regulatory policies to our products may be uncertain. In addition, because our services are accessible worldwide and we facilitate global money movement transactions and the provision of other services to customers who are citizens of, or who are residing in, a growing number of countries, one or more jurisdictions may claim that we are required to comply with their laws. Local regulators may use their power to slow or halt payments to our customers in those jurisdictions or may take other actions to enforce their laws. Such regulatory actions or the need to obtain Licenses could impose substantial costs and involve considerable delay in the provision or development of our services in a given jurisdiction, or could require significant and costly operational changes or prevent us from providing any services in a given jurisdiction.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operating results, and future prospects. In addition, the quality and reliability of telecommunications and infrastructure in some developing countries, including countries where we have a large number of transactions, creates operational risks for us and our disbursement partners.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Policy-makers have also discussed expanding the existing excise tax in the United States beyond 1% and the current limitation to cash-based or cash-like instruments. Further, one state and an unincorporated U.S. territory have passed laws imposing a fee on certain money transfer transactions, and certain other states have proposed or are considering similar legislation. Several foreign countries have enacted or proposed rules imposing taxes or fees on certain money transfer transactions as well. The approach of policy-makers and the ongoing budget shortfalls in many jurisdictions, combined with current and future federal action or inaction on immigration reform, may lead other states or localities to impose similar taxes or fees or other requirements or restrictions. Foreign countries in similar circumstances have invoked and could continue to invoke the imposition of sales, service, or similar taxes, or other requirements or restrictions, on money transfer services. A tax, fee, or other requirement or restriction exclusively on money transfer services by us could put us at a competitive disadvantage to other means of cross-border payments that are not subject to the same taxes, fees, requirements, or restrictions. Other examples of changes to our financial environment include the possibility of regulatory initiatives that focus on lowering international remittance costs, such as efforts by various central banks to connect their real-time payment rails, as well as federal legislation in the United States creating an optional payments charter. Such initiatives may have a material adverse impact on our business, financial condition, operating results, and future prospects.</w:t>
      </w:r>
    </w:p>
    <w:p>
      <w:pPr>
        <w:spacing w:after="0" w:line="12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addition, tax authorities at the international, federal, state, and local levels are currently reviewing the appropriate treatment of companies engaged in internet commerce in general and cross-border payments in particular. New or revised international, federal, state, or local tax regulations may subject us or our customers to additional sales, income, and other taxes and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11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sanctions laws, anti-terrorist financing laws, anti-money laundering laws, and similar laws associated with our activities outside of the United States, and anti-corruption laws could subject us to penalties and other adverse consequences.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We have implemented policies and procedures designed to allow us to comply with anti-money laundering laws and economic sanctions laws and prevent our service from being used to facilitate business in countries or with persons or entities designated on lists promulgated by OFAC and equivalent international authorities or that are otherwise the target of sanctions.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3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Law enforcement and regulators continue to scrutinize compliance with these obligations, which may require us to further revise or expand our compliance program, including the procedures that we use to verify the identity of our customers or monitor our service for potential illegal activity. In addition, any policies and procedures that we implement to comply with sanctions laws may not be effective, including in preventing customers from using our services for transactions with sanctioned persons or jurisdictions subject to comprehensive sanctions, including Cuba, North Korea, Syria, Iran, and the Crimea, Donetsk People’s Republic, and Luhansk People’s Republic regions of Ukraine. Given the technical limitations in developing controls to prevent, among other things, the ability of customers to publish on our service false or deliberately misleading information or to develop sanctions-evasion methods, it is possible that we may inadvertently and without our knowledge provide services to individuals or entities that have been designated by OFAC or other relevant sanctions authorities or are located in a jurisdiction subject to comprehensive sanctions or an embargo by the United States or another country in which we operate or are licensed to do business, and such services may not be in compliance with applicable economic sanctions regulations.</w:t>
      </w:r>
    </w:p>
    <w:p>
      <w:pPr>
        <w:spacing w:after="0" w:line="13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Sanctions are imposed to address acute foreign policy and national security threats and may change rapidly and unpredictably in response to world events or domestic or international political developments. Additionally, as we expand our services into additional jurisdictions, we may become subject to additional sanctions requirements imposed by those jurisdictions or face increased risk of processing transactions in violation of sanctions requirements to which we are currently subject. We may be unable to update policies, procedures, or controls to timely and effectively address changes in applicable legal requirements or in our sanctions risk environment.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 addition, U.S. policy-makers have sought and may continue to seek heightened customer due diligence requirements on, or restrict, remittances from the United States to certain jurisdictions. For example, government sanctions imposed in February 2022 with respect to Russia and Ukraine are impacting our ability to offer services in the region, and additional sanctions could be imposed in the future.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12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operating companies in a number of jurisdictions, including Canada, the United Kingdom, and the EEA, are increasingly becoming or will become directly subject to reporting, recordkeeping, and anti-money laundering regulations, partner oversight and monitoring requirements, as well as broader supervision by a variety of governmental authorities. Additionally, the financial penalties associated with the failure to comply with anti-money laundering laws have increased recently in a number of jurisdictions. Legislation that has been enacted or proposed in other jurisdictions could have similar effects.</w:t>
      </w:r>
    </w:p>
    <w:p>
      <w:pPr>
        <w:spacing w:after="0" w:line="139"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6"/>
          <w:szCs w:val="16"/>
          <w:color w:val="auto"/>
        </w:rPr>
        <w:t>We also face significant risks if we cannot comply with the FCPA and other anti-corruption laws that prohibit companies and their third-party providers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third-party providers, as well as those contractors to which we outsource certain of our business operations, will not take actions in violation of our policies or agreements and applicable law, for which we may be ultimately held responsible.</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Consequences for failing to comply with applicable rules and regulations could include fines, criminal and civil lawsuits, forfeiture of significant assets, including Licenses, or other enforcement actions. We could also be required to make changes to our business practices or compliance programs as a result of regulatory scrutiny. In addition, any perceived or actual breach of compliance by us, our customers, vendors, or third-party providers (including our payment or disbursement partners) with respect to applicable laws, rules, and regulations could have a significant impact on our reputation and could cause us to lose existing customers, prevent us from obtaining new customers, cause other third-party providers (including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financial condition, operating results, and future prospects.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disbursement partners fail to comply with applicable laws, it could harm our business.</w:t>
      </w:r>
    </w:p>
    <w:p>
      <w:pPr>
        <w:spacing w:after="0" w:line="18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work with disbursement partners in various receive jurisdictions whom we believe are complying with local laws and regulations and whom we require via contract to comply with applicable local laws and regulations. We rely on such disbursement partners to facilitate transactions with recipients in their local jurisdictions, and such disbursement partners could fail or be unable to satisfy their obligations to us. This could lead to our inability to access funds and/or credit losses for us and could adversely impact our ability to conduct our business.</w:t>
      </w:r>
    </w:p>
    <w:p>
      <w:pPr>
        <w:spacing w:after="0" w:line="1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Our services are regulated by state, federal, and foreign governments, regulators, and agencies. Many of our disbursement partners are banks that are heavily regulated in their home jurisdictions. Our non-bank disbursement partners are also subject to various regulations, including money transfer regulations. We contractually require regulatory compliance as a condition to our continued relationship with our disbursement partners, perform due diligence on them, and monitor them periodically with the goal of meeting regulatory expectations. However, there are limits to the extent to which we can monitor and confirm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exercise sufficient oversight over their vendors and agents, which also could harm our business, financial condition, operating results, and future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global and evolving marketing laws could subject us to claims or otherwise harm our business.</w:t>
      </w:r>
    </w:p>
    <w:p>
      <w:pPr>
        <w:spacing w:after="0" w:line="18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Our marketing practices rely upon a wide range of referral programs, exchange rate and fee-based promotions, e-mail campaigns, digital and social media marketing and direct marketing practices, among other tactics. These marketing practices are subject to a variety of advertising and consumer protection laws and regulatory oversight in the United States, Canada, the United Kingdom, and the EEA, and the other jurisdictions in which we do business. In the United States, some examples of applicable legislation include, among others, the CAN-SPAM Act of 2003; the U.S. Federal Trade Commission guidelines with respect to misleading or deceptive advertising or marketing practices; the Telephone Consumer Protection Act of 1991; state banking laws that prohibit non-banks, including licensed money transmitters, from holding themselves out as banks or providing banking services; and the CCPA and other comprehensive state privacy and cybersecurity laws.</w:t>
      </w:r>
    </w:p>
    <w:p>
      <w:pPr>
        <w:spacing w:after="0" w:line="1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These laws are continuously evolving and developing in light of technological change and regulatory objectives. These laws are overseen by regulators at the national, provincial,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are not presently a party to any legal or regulatory proceedings that in the opinion of our management, if determined adversely to us, would individually or taken together have a material adverse effect on our business, financial condition, operating results, and future prospects. We believe that our policies and practices comply with applicable marketing and consumer protection laws and regulations. However, if our belief proves incorrect, if there are changes to the guidelines, laws, regulations, or their interpretation by regulatory authorities, or if new regulations are enacted that are inconsistent with our current marketing practices or customer experience, our business could be harmed or our relationship with our partners and other commercial counterparties,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operating results, and future prospects.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have been and may in the future be involved in various legal proceedings, claims, investigations, or similar matters from time to time. Such matters can be time-consuming,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operating results, and future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Risks</w:t>
      </w:r>
    </w:p>
    <w:p>
      <w:pPr>
        <w:spacing w:after="0" w:line="165" w:lineRule="exact"/>
        <w:rPr>
          <w:sz w:val="20"/>
          <w:szCs w:val="20"/>
          <w:color w:val="auto"/>
        </w:rPr>
      </w:pPr>
    </w:p>
    <w:p>
      <w:pPr>
        <w:ind w:right="4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exposed to the risk of loss or insolvency if our disbursement partners fail to disburse funds according to our instructions or become insolvent, or funds are disbursed before customer funds are guaranteed to be sufficient.</w:t>
      </w:r>
    </w:p>
    <w:p>
      <w:pPr>
        <w:spacing w:after="0" w:line="9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financial condition, operating results, and future prospects could be harmed. We are also subject to risk of loss if funds are disbursed before customer funds are guaranteed to be sufficient, which could also harm our business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there is any material change of service terms or loss of coverage in our payment processors and disbursement network, our business could be harmed.</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various means, including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1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disbursement partners do not provide a positive recipient experience, our business, financial condition, operating results, and future prospects could be harmed.</w:t>
      </w:r>
    </w:p>
    <w:p>
      <w:pPr>
        <w:spacing w:after="0" w:line="1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they deliver poor customer service, our disbursement partners’ compliance processes and approvals take longer than expected, the wait times at our disbursement partners’ pick-up locations are too long, or cash pick-up locations are not located in convenient and safe locations and open for business at convenient times, customers may choose to not use our services in the future and our business, financial condition, operating results, and future prospects could be harmed.</w:t>
      </w:r>
    </w:p>
    <w:p>
      <w:pPr>
        <w:spacing w:after="0" w:line="124"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9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local or foreign governments could also mandate a payment processing or remittance tax, require additional taxes or fees to be imposed upon our customers, or otherwise impact the manner in which we provide our services. If our transaction processing fees increase, it may require us 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change our disbursement options, modify payment methods, or take other measures that would impact our costs and profitability or cause us to lose customers or otherwise limit our operations.</w:t>
      </w:r>
    </w:p>
    <w:p>
      <w:pPr>
        <w:spacing w:after="0" w:line="12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believe our success has depended, and continues to depend, on the efforts and talents of our employees and senior management team, including our CEO and co-founder Matthew Oppenheimer. Our future success depends on our continuing ability to attract, develop, motivate, and retain highly qualified and skilled employees. Qualified individuals are in high demand, and we may be unable to find the number of technically talented employees we need to continue our growth, or we may incur significant costs—costs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could be difficult to replace. We cannot ensure that we will be able to retain the services of any of our senior management or other senior employees. Furthermore, our performance and competitiveness as an employer are influenced by our ability to effectively manage our talent pool, address employee complaints, tensions, and disagreements, as well as comply with, anticipate, and adapt to changes in employment and tax laws and regulations, including those related to labor relations, health and safety standards, immigration policies, and taxation of equity-based compensation. Changes in such regulations could impose additional burdens on our operations and limit our flexibility in effectively recruiting, maintaining, and managing our workforce across different geographies and during different business and economic cycles. If we do not succeed in attracting well-qualified employees or retaining and motivating existing employees, our business could be harmed.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cannot maintain our company culture as we grow, our success and our business may be harmed.</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We believe our culture has been a key contributor to our success to date and that our Company’s vision promotes a sense of greater purpose and fulfillment in our employees. Inorganic growth through mergers and acquisitions may pose significant challenges to integrating the company cultures of acquired companies.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13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Interruptions or delays in the services provided by data centers or internet service providers could impair the delivery of our services and our business could be impacted.</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host our service offerings using third-party cloud infrastructure services that we do not control. We depend on their ability to protect their data centers against damage or interruption from natural disasters, power or telecommunications failures, cyberattacks, cybersecurity breaches, service outages and other similar incidents, criminal acts, and similar events. We also depend on their ability to meet our capacity requirements as increasing numbers of customers access our offerings. In addition, our operations depend on protecting the cloud infrastructure hosted by such providers by maintaining their respective configuration, architecture, and interconnection specifications, as well as the information stored in these data centers and which third-party internet service providers transmit. In the event that any third-party provider’s systems or service abilities are hindered by any of the events discussed above, our ability to operate may be impaired and data may be compromised. All of the aforementioned risks may be augmented if our or our partners’ business continuity and disaster recovery plans prove to be inadequate. Any prolonged service disruption affecting our offerings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 We have from time to time in the past experienced service disruptions due to such issues, and we cannot assure you that we will not experience interruptions or delays in our service in the future.</w:t>
      </w:r>
    </w:p>
    <w:p>
      <w:pPr>
        <w:spacing w:after="0" w:line="1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Moreover, we are heavily reliant on the cloud services provided by a single provider. We may not be able to easily switch our reliance on that provider’s operations to another cloud or other data center provider if there are disruptions or interference with our use of or relationship with our existing provider, and, even if we do switch our operations, other cloud and data center providers are subject to the same risks. If our provider unexpectedly terminates our cloud services agreement, we would be forced to incur additional expenses to locate an alternative provider and may experience outages or disruptions to our service. Any service disruption affecting our offerings during such migration or while operating on our provider’s cloud infrastructure could damage our reputation with current and potential customers, expose us to liability, cause us to lose customers, or otherwise harm our business.</w:t>
      </w:r>
    </w:p>
    <w:p>
      <w:pPr>
        <w:spacing w:after="0" w:line="13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Sustained financial market illiquidity, or illiquidity at our partner financial institutions, could harm our business, financial condition, operating results, and future prospects.</w:t>
      </w:r>
    </w:p>
    <w:p>
      <w:pPr>
        <w:spacing w:after="0" w:line="106"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We face risks in the event of a sustained deterioration of financial market liquidity, as well as in the event of sustained deterioration in the liquidity or failure of financial institutions where we deposit money. This includes financial institutions that hold prefunding accounts for our disbursement partners. In particular:</w:t>
      </w:r>
    </w:p>
    <w:p>
      <w:pPr>
        <w:spacing w:after="0" w:line="97" w:lineRule="exact"/>
        <w:rPr>
          <w:sz w:val="20"/>
          <w:szCs w:val="20"/>
          <w:color w:val="auto"/>
        </w:rPr>
      </w:pPr>
    </w:p>
    <w:p>
      <w:pPr>
        <w:ind w:left="660" w:right="40" w:hanging="328"/>
        <w:spacing w:after="0" w:line="272"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access funds in our accounts on a timely basis to pay transactions and receive settlement funds. Any resulting need to access other sources of liquidity or short-term borrowing could increase our costs. Any delay or inability to pay transactions could harm our business, financial condition, operating results, and future prospects;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58"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funds are held by us and our disbursement partners, which includes banks, non-bank financial institutions, and aggregators, both in the United States and abroad. For instance, historically a substantial portion of our send volume has been derived from cross-border payments being sent to India, Mexico, and the Philippines.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timely basis as required to pay transactions and receive settlement funds; loss of prefunded balances; or a breach in our capital or other regulatory requirements if we are unable to recover our funds.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financial liquidity deteriorates, our ability to access capital may be harmed and we could become insolvent.</w:t>
      </w:r>
    </w:p>
    <w:p>
      <w:pPr>
        <w:spacing w:after="0" w:line="163"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Acquisitions, strategic investments, partnerships, collaborations, or alliances could be difficult to identify and integrate, divert the attention of management, disrupt our business, dilute stockholder value, and adversely affect our business, financial condition, operating results, and future prospects.</w:t>
      </w:r>
    </w:p>
    <w:p>
      <w:pPr>
        <w:spacing w:after="0" w:line="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have in the past, and we may in the future, seek to acquire or invest in businesses, products, or technologies that we believe could complement or expand our offerings, address additional customer needs, enhance our technical capabilities, or otherwise offer growth opportunities. The pursuit of potentially material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identify key risks during the due diligence phase, or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financial condition, operating results, and future prospects may suffer.</w:t>
      </w:r>
    </w:p>
    <w:p>
      <w:pPr>
        <w:spacing w:after="0" w:line="12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may also make significant investments in new products, marketing campaigns, technologies, or services developed solely by us or in conjunction with strategic partners we identify. It is possible that our strategic investments may not become profitable and fail to return our initial investment, and this may have a harmful effect on our business, financial condition, operating results, and future prospects.</w:t>
      </w:r>
    </w:p>
    <w:p>
      <w:pPr>
        <w:spacing w:after="0" w:line="113" w:lineRule="exact"/>
        <w:rPr>
          <w:sz w:val="20"/>
          <w:szCs w:val="20"/>
          <w:color w:val="auto"/>
        </w:rPr>
      </w:pPr>
    </w:p>
    <w:p>
      <w:pPr>
        <w:ind w:right="7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Remitly Global is a holding company with no operations of its own and is the ultimate parent of a network of subsidiaries, each of which is subject to different regulations. In the future, we may depend on our subsidiaries to fund our operations and expenses.</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Remitly Global is a holding company and relies on our operating subsidiaries for cash flow. Therefore, our ability to fund and conduct our business, service our debt, and pay dividends, if any, in the future may depend on the ability of our subsidiaries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as regulated entities in the jurisdictions where they do business. Such requirements may limit the ability of these regulated subsidiaries to dividend or distribute funds to Remitly Global. Our subsidiaries are separate legal entities, and although they are directly or indirectly wholly owned and controlled by our ultimate parent,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128"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Expansion into new international jurisdictions and payment corridors exposes us to risks associated with handling of additional currencies and compliance with local regulations and law.</w:t>
      </w:r>
    </w:p>
    <w:p>
      <w:pPr>
        <w:spacing w:after="0" w:line="93"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significant costs and risks inherent in conducting business in international jurisdictions, including:</w:t>
      </w:r>
    </w:p>
    <w:p>
      <w:pPr>
        <w:spacing w:after="0" w:line="167"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effective controls at international locations and the associated costs;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from local providers;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foreign laws and regulations, including privacy and cybersecurity frameworks similar to the GDPR;</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any required Licenses;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adapting to doing business in other languages or cultures;</w:t>
      </w:r>
    </w:p>
    <w:p>
      <w:pPr>
        <w:spacing w:after="0" w:line="59" w:lineRule="exact"/>
        <w:rPr>
          <w:rFonts w:ascii="Times New Roman" w:cs="Times New Roman" w:eastAsia="Times New Roman" w:hAnsi="Times New Roman"/>
          <w:sz w:val="16"/>
          <w:szCs w:val="16"/>
          <w:color w:val="auto"/>
        </w:rPr>
      </w:pPr>
    </w:p>
    <w:p>
      <w:pPr>
        <w:ind w:left="660" w:right="34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local tax regimes, including potential double taxation of our international earnings, and potentially adverse tax consequences due to U.S. and foreign tax laws as they relate to our international operations;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anti-bribery laws, such as the FCPA, the CFPOA, and the U.K. Bribery Act;</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rate fluctuations and related effects on our operating results;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and political instability in some countries;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30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of protection for IP Rights in some countries and practical difficulties of obtaining, maintaining, protecting, defending, and enforcing IP Rights abroad; and</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costs of doing business internationally.</w:t>
      </w:r>
    </w:p>
    <w:p>
      <w:pPr>
        <w:spacing w:after="0" w:line="16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As we expand into more international jurisdictions,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to deal with such unfavorable laws and policies.</w:t>
      </w:r>
    </w:p>
    <w:p>
      <w:pPr>
        <w:spacing w:after="0" w:line="117" w:lineRule="exact"/>
        <w:rPr>
          <w:sz w:val="20"/>
          <w:szCs w:val="20"/>
          <w:color w:val="auto"/>
        </w:rPr>
      </w:pPr>
    </w:p>
    <w:p>
      <w:pPr>
        <w:ind w:right="640"/>
        <w:spacing w:after="0" w:line="298" w:lineRule="auto"/>
        <w:rPr>
          <w:sz w:val="20"/>
          <w:szCs w:val="20"/>
          <w:color w:val="auto"/>
        </w:rPr>
      </w:pPr>
      <w:r>
        <w:rPr>
          <w:rFonts w:ascii="Times New Roman" w:cs="Times New Roman" w:eastAsia="Times New Roman" w:hAnsi="Times New Roman"/>
          <w:sz w:val="16"/>
          <w:szCs w:val="16"/>
          <w:color w:val="auto"/>
        </w:rPr>
        <w:t>These and other factors could harm our international operations and, consequently, materially impact our business, financial condition, operating results, and future prospects.</w:t>
      </w:r>
    </w:p>
    <w:p>
      <w:pPr>
        <w:spacing w:after="0" w:line="9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Further, we may incur significant operating expenses as a result of our international expansion, and such expansion may not be successful. We have limited experience with certain international regulatory environments and practices, and we may not be able to penetrate or successfully operate in those regions. We also have more limited brand recognition in certain parts of the world, leading to delayed acceptance of our services by international customers. If we cannot continue to expand internationally and manage the complexity of our global operations successfully, our business, financial condition, operating results, and future prospects could be adversely affected.</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Risks associated with operations outside the United States and foreign currencies could adversely affect our business, financial condition, operating results, and future prospects.</w:t>
      </w:r>
    </w:p>
    <w:p>
      <w:pPr>
        <w:spacing w:after="0" w:line="10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Since a substantial portion of our send volume is exposed to the U.S. dollar, deterioration in the value of the U.S. dollar, including as a result of macroeconomic factors, including inflation, could have a material impact on our business. In addition, a substantial portion of our revenue is generated in currencies other than the U.S. dollar, a significant portion of which occurs in Canada, the United Kingdom, and Europe. As a result, we are subject to risks associated with changes in the value of our revenues and net monetary assets denominated in foreign currencies. For example, a considerable portion of our revenue is generated in Euros. In an environment of a rising U.S. dollar relative to the Euro, the value of our Euro-denominated revenue, operating income, and net monetary assets would be reduced when translated into U.S. dollars for inclusion in our financial statements. Some of these adverse financial effects may be partially mitigated by our efforts to offset these financial impacts through the use of foreign exchange contracts, as well as natural hedging of our assets and liabilities held in foreign currencies. In an environment of a declining U.S. dollar relative to the Euro, some of the translation benefits on our reported financial results could be limited by the impact of foreign currency hedging activities.</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are also subject to risks related to changes in the value of other foreign currencies. For instance, we have seen increased money transfer volume if the U.S. dollar strengthens against certain currencies, especially the Indian rupee, the Mexican peso, or the Philippine peso. Conversely, we have seen decreased money transfer volume if the U.S. dollar weakens against those currencies. We are also exposed to risks relating to fluctuations in currency exchange rates between the date on which we purchase foreign currencies, the date a customer initiates a payment, and the date that the payment recipient receives the funds through our disbursement partners. In addition, most of our international subsidiary financial statements are denominated in, and operated in, currencies other than the U.S. dollar. Our financial results are also subject to changes in exchange rates that impact the settlement of transactions in non-local currencies. As a result, it could be more difficult to detect underlying trends in our business and operating results.</w:t>
      </w:r>
    </w:p>
    <w:p>
      <w:pPr>
        <w:spacing w:after="0" w:line="12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 substantial portion of our revenue is generated outside the United States. We utilize a variety of planning and financial strategies to help ensure that our worldwide cash is available where needed, including decisions related to the amounts, timing, and manner by which cash is repatriated or otherwise made available from our international subsidiaries. Changes in the amounts, timing, and manner by which cash is repatriated (or deemed repatriated) or otherwise made available from our international subsidiaries, including changes arising from new legal or tax rules, disagreements with legal or tax authorities concerning existing rules that are ultimately resolved in their favor, or changes in our operations or business, could result in material adverse effects on our business, financial condition, operating results, and future prospects.</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Our use of financial derivative instruments to hedge exposure to fluctuations in foreign currency exchange rates may not be effective to mitigate related risks, and the use of such hedging activities may not offset the adverse financial effects of unfavorable movements in foreign exchange rates over the time the hedges are in place. Furthermore, the use of derivative instruments may introduce additional risks and costs if we are unable to structure effective hedges with such instruments. Such additional risks, associated with both operating outside the United States with foreign currencies and the use of derivative instruments, include counterparty credit risk, including settlement risk, liquidity risk, operational risk, litigation risk relating to the enforcement of our contractual rights, and risk of changes in regulatory requirements.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Money transfers and payments to, from, within, or between countries may be limited or prohibited by law. Additionally, economic or political instability or natural disasters may make money transfers to, from, within, or between particular countries difficult or impossible, such as when banks are closed, when currency devaluation makes exchange rates difficult to manage, or when natural disasters or civil unrest makes access to agent locations unsafe. These risks could negatively impact our ability to offer our services, to make payments to or receive payments from international agents or our subsidiaries, or to recoup funds that have been advanced to international agents or are held by our subsidiaries, and as a result could adversely affect our business, financial condition, operating results, and future prospects. In addition, the general state of telecommunications and infrastructure in some lesser developed countries, including countries where we have a large number of transactions, creates operational risks for us and our third-party providers that generally are not present in our operations in the United States and other more developed countries.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Historically, a substantial amount of our revenue has been derived from cross-border payments to India, Mexico, and the Philippines, and our business could be significantly affected by any adverse changes in these regions.</w:t>
      </w:r>
    </w:p>
    <w:p>
      <w:pPr>
        <w:spacing w:after="0" w:line="11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Historically, our revenue has been substantially derived from cross-border payments to India, Mexico, and the Philippines. Cross-border payments sent to these three countries represented approximately 46%, 49%, and 55% of our revenue for the years ended December 31, 2025, 2024, and 2023, respectively. Because cross-border payments to these countries have accounted for a substantial portion of our revenue, our business is exposed to adverse regulatory and competitive changes, economic conditions, and changes in political conditions in each of these countries. Moreover, due to the concentration of our revenue related to these geographies, our business may be less diversified and, accordingly, subject to greater regional risks as compared to some of our competitors.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Risks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maintain effective internal control over financial reporting, the accuracy and timing of our financial reporting may be adversely affected.</w:t>
      </w:r>
    </w:p>
    <w:p>
      <w:pPr>
        <w:spacing w:after="0" w:line="18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a public company, we are required, among other things, to maintain effective internal controls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We expend significant resources to maintain and improve a system of internal controls that is adequate to satisfy our reporting obligations as a public company.</w:t>
      </w:r>
    </w:p>
    <w:p>
      <w:pPr>
        <w:spacing w:after="0" w:line="12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cannot assure you that the measures that we have taken, and that we continue to take, will be sufficient to prevent material weaknesses from occurring. If we fail to establish and maintain effective internal controls, our ability to accurately and timely report our financial results could be adversely affected and may result in a restatement of our annual or interim financial statements, which could cause us to fail to meet our reporting obligations, any of which could diminish investor confidence in us and cause a decline in the price of our common stock.</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10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have significant amounts of cash, cash equivalents, and receivables outstanding on deposit or in accounts with banks or other counterparties in the United States and foreign jurisdictions. We additionally enter into derivative financial instrument transactions to reduce foreign currency exchange risk, and we may increase the level and frequency of such transactions with various financial institutions in the future. Certain banks and financial institutions also act as our lenders.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particular, we maintain cash at commercial banks in the United States in amounts in excess of the Federal Deposit Insurance Corporation limit of $250,000, and in the event of a failure at a commercial bank where we maintain our deposits, we may incur a loss to the extent such loss exceeds the insurance limitation. In the event of default or failure of one or more of our counterparties, we could incur significant losses, which could negatively impact our business, financial condition, operating results, and future prospects.</w:t>
      </w:r>
    </w:p>
    <w:p>
      <w:pPr>
        <w:spacing w:after="0" w:line="12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built proprietary, and leverage third-party, financial systems as part of our technology stack. Such financial systems could become unstable, include defects, experience outages, and include undetected errors, each of which could adversely affect our business, financial condition, operating results, and future prospects.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Our financial systems, which consist of proprietary and third-party financial systems, are an integral part of our technology stack, which is a complex system composed of many interoperating components. In the past, we have found defects or errors in our financial systems and may discover additional defects in the future that could result in financial information unavailability or system disruption. In addition, we have experienced outages on our financial systems due to circumstances within our control, such as outages due to software bugs or human error. If sustained or repeated, any of these outages could impact the accuracy and completeness of our financial information over several reporting periods. In addition, our release of new software functionality, including through the integration of component systems, may result in future interruptions in the availability of, or errors in, our financial information. Our financial systems may now, or in the future, contain undetected errors, defects, and vulnerabilities. Errors, defects, outages, vulnerabilities, and other unintended systems issues could result in an interruption in the availability of our financial information, failure to accurately or timely comply with domestic and international regulatory financial reporting obligations, or inaccurate and incomplete financial information, any of which could adversely affect our business, financial condition, operating results, and future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development and use of quantitative models in our business may present risks and challenges that could adversely impact us.</w:t>
      </w:r>
    </w:p>
    <w:p>
      <w:pPr>
        <w:spacing w:after="0" w:line="18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6"/>
          <w:szCs w:val="16"/>
          <w:color w:val="auto"/>
        </w:rPr>
        <w:t>We rely on quantitative models across our business in areas such as liquidity management, monitoring and managing of risk, and forecasting. The accuracy of our calculations depends on the reliability of the underlying models and assumptions. These models are constructed based on historical data, which, by its nature, may not be fully indicative of future results, especially in the face of unprecedented conditions. An overreliance on historical data without adequate consideration for potential future changes can lead to miscalculations, potentially impacting our ability to manage risks effectively. Moreover, the quantitative models we employ are subject to the risk of oversimplification. In an effort to make complex assumptions comprehensible, we may inadvertently omit crucial variables or interactions, leading to an incomplete understanding of relevant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dynamics. This simplification, while necessary for computational feasibility, increases the risk of discrepancies between model predictions and actual outcomes.</w:t>
      </w:r>
    </w:p>
    <w:p>
      <w:pPr>
        <w:spacing w:after="0" w:line="16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Further, the assumptions underlying our models are inherently speculative. These assumptions are influenced by a myriad of factors, all of which are fluid and can evolve in unpredictable ways. A failure to accurately anticipate or quickly adapt to these changes could render our models less effective, which could adversely affect our business, financial condition, operating results, and future prospects.</w:t>
      </w:r>
    </w:p>
    <w:p>
      <w:pPr>
        <w:spacing w:after="0" w:line="130"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Finally, the potential for model failure or significant prediction errors poses a risk to our financial stability. Any discrepancies between model forecasts and actual outcomes may lead to unexpected losses. Such situations could strain our financial resources, require us to obtain additional funding, which may not be available on terms attractive to us, if at all, and negatively impact our ability to capitalize on growth opportunities.</w:t>
      </w:r>
    </w:p>
    <w:p>
      <w:pPr>
        <w:spacing w:after="0" w:line="13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1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operating results have fluctuated in the past and are expected to fluctuate in the future due to a variety of factors, many of which are outside of our control. In particular, we expect our revenue mix to vary from period to period, especially if newly-introduced products grow to represent a larger portion of our revenue. Shifts in our business mix from quarter to quarter could produce substantial variation in revenue recognized and the underlying drivers. Further, our results of operations could be affected by changes in revenue mix and costs, together with numerous other factors, including:</w:t>
      </w:r>
    </w:p>
    <w:p>
      <w:pPr>
        <w:spacing w:after="0" w:line="125"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demand for our services or pricing of our fees associated with our services;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customers;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grow trust and engagement with our existing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relationships with our marketing, payment processing, disbursement, and banking partners, or identify and attract new strategic partners;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growth rates and the revenue derived from and quantity of existing customers retained;</w:t>
      </w:r>
    </w:p>
    <w:p>
      <w:pPr>
        <w:spacing w:after="0" w:line="59"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preference for digital-first services as a result of cyberattacks, cybersecurity breaches, service outages, or other similar incidents in the industry or privacy concerns, or other security or reliability concerns regarding our services;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customers’ budgets and in the timing of their budget cycles and money transfer decisions;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and existing strategic partners choosing our competitors’ products or developing their own solutions in-house;</w:t>
      </w:r>
    </w:p>
    <w:p>
      <w:pPr>
        <w:spacing w:after="0" w:line="72" w:lineRule="exact"/>
        <w:rPr>
          <w:rFonts w:ascii="Times New Roman" w:cs="Times New Roman" w:eastAsia="Times New Roman" w:hAnsi="Times New Roman"/>
          <w:sz w:val="16"/>
          <w:szCs w:val="16"/>
          <w:color w:val="auto"/>
        </w:rPr>
      </w:pPr>
    </w:p>
    <w:p>
      <w:pPr>
        <w:ind w:left="660" w:right="60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or introduction of new platforms or services by our competitors that are easier to use or more advanced than our current suite of services, including in respect of the application of AI-based services;</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adapt to new forms of payment that become widely accepted, including cryptocurrency and stablecoins;</w:t>
      </w:r>
    </w:p>
    <w:p>
      <w:pPr>
        <w:spacing w:after="0" w:line="72" w:lineRule="exact"/>
        <w:rPr>
          <w:rFonts w:ascii="Times New Roman" w:cs="Times New Roman" w:eastAsia="Times New Roman" w:hAnsi="Times New Roman"/>
          <w:sz w:val="16"/>
          <w:szCs w:val="16"/>
          <w:color w:val="auto"/>
        </w:rPr>
      </w:pPr>
    </w:p>
    <w:p>
      <w:pPr>
        <w:ind w:left="660" w:right="8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cybersecurity breaches, service outages, or other similar incidents with respect to the delivery and use of our offerings which may result in data theft and/or misappropriation;</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or retention of more entrenched or rival services in the international regions where we compete;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costs, including our operating expenses;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payment for operating expenses, particularly technology and development and marketing expenses;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noncash expenses, including stock-based compensation expense, depreciation and amortization, and other noncash charges;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costs associated with recruiting, training, and integrating new employees and retaining and motivating existing employees;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market interest rates, which impacts interest earned on funds held for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currency exchange rates;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acquisitions and their integration;</w:t>
      </w:r>
    </w:p>
    <w:p>
      <w:pPr>
        <w:spacing w:after="0" w:line="72" w:lineRule="exact"/>
        <w:rPr>
          <w:rFonts w:ascii="Times New Roman" w:cs="Times New Roman" w:eastAsia="Times New Roman" w:hAnsi="Times New Roman"/>
          <w:sz w:val="16"/>
          <w:szCs w:val="16"/>
          <w:color w:val="auto"/>
        </w:rPr>
      </w:pPr>
    </w:p>
    <w:p>
      <w:pPr>
        <w:ind w:left="660" w:right="20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geopolitical forces, both domestically and abroad, as well as economic conditions specifically affecting industries in which our customers participate;</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epidemics, pandemics, or other public health crises, such as the COVID-19 pandemic;</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new accounting pronouncements;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competitive dynamics of our industry;</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awareness of our brand and our reputation;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introduce our services in new corridors and jurisdictions, including maintaining existing and obtaining new Licenses.</w:t>
      </w:r>
    </w:p>
    <w:p>
      <w:pPr>
        <w:spacing w:after="0" w:line="16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Any of these and other factors, or the cumulative effect of some of these factors, may cause our operating results to vary significantly. As a result, our past results may not be indicative of our future performance. In addition, if our quarterly operating results fall below the expectations of investors and securities analysts who follow our stock, the price of our common stock could decline,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Our operating results and metrics are also subject to seasonality.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w:t>
      </w:r>
    </w:p>
    <w:p>
      <w:pPr>
        <w:spacing w:after="0" w:line="13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w:t>
      </w:r>
    </w:p>
    <w:p>
      <w:pPr>
        <w:spacing w:after="0" w:line="13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Furthermore, 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statements of cash flow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regions. As a result, period-to-period comparisons of our statements of cash flows may not be meaningful, and you should not rely on them as an indication of our liquidity or 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Inaccurate forecasts of our customer growth and retention could result in higher operating expenses relative to actual revenue and ultimately harm our business.</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customer growth forecast is a key driver in our business plan which affects our ability to accurately forecast revenue and expenses. In addition, we plan a portion of our operating expenses, specifically related to our marketing expenses and customer service and operations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transaction volume, our revenue will not grow as we forecast, our operating expenses may be too high relative to actual revenue levels of our business, and our business, financial condition, operating results, and future prospects may be harmed.</w:t>
      </w:r>
    </w:p>
    <w:p>
      <w:pPr>
        <w:spacing w:after="0" w:line="12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 revenue generated by new customers differs significantly from our expectations, or if our customer acquisition costs or costs associated with servicing our customers increase, we may not be able to recover our customer acquisition costs or generate profits from this investment.</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invest significant resources in marketing to acquire new customers and expect to continue to spend significant amounts to acquire additional customers, primarily through online advertising and marketing promotions. When making decisions regarding investments in customer acquisition, we analyze the revenue and transaction expenses we have historically generated per customer over the expected lifetime value of the customer, and, where relevant, look to the estimated future revenue and transaction expenses on a long-term basis. Our analysis of the revenue and transaction expenses that we expect a new customer to generate over their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revenue and transaction expenses may be subject to greater variance in new or recently added corridors, as compared to our more established corridors, and with respect to new customer categories and new products. For additional information, see “—We may not be able to innovate, improve existing products, or develop new products that achieve market acceptance.”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our tax attributes may be subject to certain limitations which could harm our business, financial condition, operating results, and future prospects.</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have certain tax attributes, including net operating loss carryforwards (“NOLs”) and research and development credit carryforwards (“R&amp;D tax credits”), that can be used to offset future income tax liabilities. Certain of our NOLs and R&amp;D tax credits will expire if they are not used within applicable time periods. Furthermore, our ability to use our tax attributes may be subject to certain limitations, including as a result of any future changes in tax laws. If we are not able to utilize a material portion of the tax attributes reflected on our balance sheets, our future tax liability may increase and our business, financial condition, operating results, and future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and evolving requirements in tax laws or their interpretation, including as applied to us and our customers, could adversely affect our business.</w:t>
      </w:r>
    </w:p>
    <w:p>
      <w:pPr>
        <w:spacing w:after="0" w:line="17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effects may include the value of any tax loss carryforwards, tax credits recorded on our balance sheet, indirect tax accrual estimates, the amount of our cash flow, our liquidity, business, financial condition, operating results, and future prospects.</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The Organization for Economic Cooperation and Development (the “OECD”) introduced the Pillar Two guidelines, a framework outlining a coordinated set of rules that implements a 15% global minimum tax. Many countries in which we operate have enacted Pillar Two rules, which apply to us beginning in our fiscal year 2025. In June 2025, the Group of Seven countries agreed that U.S. Multi-National Entities (“MNEs”) should be excluded from certain aspects of the Pillar Two tax rules in exchange for the U.S. not imposing retaliatory taxes. In January 2026, the OECD released comprehensive guidance for a “U.S. side-by-side arrangement” with respect to Pillar Two, under which, if adopted in relevant jurisdictions, U.S. MNEs would be exempt from two of the three Pillar Two top up taxes. The potential effects of Pillar Two may vary depending on the specific provisions and rules enacted by each country that adopts Pillar Two and may include tax rate changes, higher effective tax rates, potential tax disputes, and adverse impacts to our cash flows, tax liabilities, results of operations, and financial position.</w:t>
      </w:r>
    </w:p>
    <w:p>
      <w:pPr>
        <w:spacing w:after="0" w:line="12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Many of the jurisdictions in which we conduct business have detailed transfer pricing rules or may comply with the OECD guidelines, which require contemporaneous documentation establishing that all transactions with non-resident related parties be priced using arm’s-length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business, financial condition, operating results, and future prospects.</w:t>
      </w:r>
    </w:p>
    <w:p>
      <w:pPr>
        <w:spacing w:after="0" w:line="12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are subject to regular review and audit by the relevant tax authorities in the jurisdictions we operate in and, as a result, the authorities in these jurisdictions could review our tax returns and impose additional significant taxes, interest, and penalties, challenge the transfer pricing policies adopted by us, claim that our operations constitute a taxable presence in different jurisdictions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126"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12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determination of our worldwide provision for income taxes and other tax liabilities requires estimation and significant judgment, and there are many transactions and calculations for which the ultimate tax determination is uncertain. Any adverse outcome of potential future audits, reviews, or investigations by tax authorities in U.S. or foreign tax jurisdictions could result in unforeseen tax-related liabilities that differ from the amounts recorded in our financial statements, which may, individually or in the aggregate, materially affect our financial results in the periods for which such determination is made. While we have established reserves based on assumptions and estimates that we believe are reasonable to cover such eventualities, these reserves may prove to be insufficient.</w:t>
      </w:r>
    </w:p>
    <w:p>
      <w:pPr>
        <w:spacing w:after="0" w:line="14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 number of U.S. states, the U.S. federal government, and foreign jurisdictions have implemented and may impose reporting or recordkeeping obligations on companies that engage in or facilitate e-commerce. A number of jurisdictions are also reviewing whether payment service providers and other intermediaries could be deemed to be the legal agent of merchants for certain tax purposes.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12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In addition, the failure by our customers to comply with reporting obligations in connection with transactions on our service could result in regulatory inquiry, reputational damage, and potential enforcement actions and additional reporting and withholding requirements.</w:t>
      </w:r>
    </w:p>
    <w:p>
      <w:pPr>
        <w:spacing w:after="0" w:line="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We believe that, combined with our cash and cash equivalents, we will be able to maintain sufficient access to financing, including debt financing, to meet our operating and capital requirements for at least the next twelve months. From inception through December 31, 2024, we incurred losses from operations and negative cash flows from operations. During the year ended December 31, 2025, while we generated income from operations and positive cash flows from operations, we had an accumulated deficit of $460.3 million. We have in the past been dependent on equity and debt financing to support operations. As such, we may require additional capital to respond to business opportunities (including increasing the number of customers acquired or acquisitions), capital needed during high volume sending periods, new capital or liquidity requirements introduced or required by our regulators and payment processors, challenges, or unforeseen circumstances and may determine to engage in equity or debt financings for other reasons.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We have a revolving credit facility with certain lenders and JPMorgan Chase Bank, N.A., acting as administrative agent and collateral agent (the “2025 Revolving Credit Facility,” as defined in Note 10.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in the notes to the Company’s consolidated financial statements included in Part II, Item 8 of this Annual Report on Form 10-K) under that certain Credit Agreement dated as of June 24, 2025. The 2025 Revolving Credit Facility replaced the Company’s prior revolving credit facility, originally entered into on September 13, 2021. The 2025 Revolving Credit Facility has a revolving commitment of $550.0 million (including a $200.0 million letter of credit sub-facility). We may incur additional indebtedness in the future. We expect to rely on the 2025 Revolving Credit Facility or other financing (including debt financing) to finance a portion of the capital and liquidity requirements and obligations we are subject to in connection with our global money movement business. Additionally, certain borrowings under the 2025 Revolving Credit Facility are subject to variable interest rates. If the interest rate on the 2025 Revolving Credit Facility or any alternative financing were to increase, our operating results could be harmed. The credit agreement governing our 2025 Revolving Credit Facility contains conditions to borrowing and significant restrictive covenants; any failure to satisfy these conditions to borrowing or covenants could result in us being unable to borrow additional amounts under the 2025 Revolving Credit Facility or having to repay outstanding amounts, and could limit our ability to execute on our business or growth strategies. If we were unable to refinance the 2025 Revolving Credit Facility or enter into an alternative facility on similar terms, our business may be adversely impacted. Additionally, the restrictive covenants impose certain operating and financial restrictions that may impact our ability to engage in certain transactions or make investments that could be in our long-term best interests. The restrictive covenants also require us to comply with financial maintenance covenants in certain circumstances; our ability to satisfy these covenants can be affected by events beyond our control, and we cannot assure you that we will be able to comply. Any debt financing secured by us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maintain sufficient capital could harm our business, financial condition, operating results, and future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significant working capital requirements driven by:</w:t>
      </w:r>
    </w:p>
    <w:p>
      <w:pPr>
        <w:spacing w:after="0" w:line="167" w:lineRule="exact"/>
        <w:rPr>
          <w:sz w:val="20"/>
          <w:szCs w:val="20"/>
          <w:color w:val="auto"/>
        </w:rPr>
      </w:pPr>
    </w:p>
    <w:p>
      <w:pPr>
        <w:ind w:left="660" w:right="280" w:hanging="328"/>
        <w:spacing w:after="0" w:line="290" w:lineRule="auto"/>
        <w:tabs>
          <w:tab w:leader="none" w:pos="6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delay between when we release funds for disbursement and when we receive customer funds from our payment processors or from our customers related to consumer receivables, which can be exacerbated by time zone differences, bank holidays, national or governmental holidays, and weekends;</w:t>
      </w: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capital requirements pertaining to net worth;</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requirements pertaining to permissible investments and safeguarding of customer funds;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contained in the credit agreement governing our 2025 Revolving Credit Facility;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requirements imposed on us by our payment processors; and</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requirements imposed on us by our disbursement partners.</w:t>
      </w:r>
    </w:p>
    <w:p>
      <w:pPr>
        <w:spacing w:after="0" w:line="16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 volume increases.</w:t>
      </w:r>
    </w:p>
    <w:p>
      <w:pPr>
        <w:spacing w:after="0" w:line="9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transaction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139"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6"/>
          <w:szCs w:val="16"/>
          <w:color w:val="auto"/>
        </w:rPr>
        <w:t>In addition, we may not be able to meet new capital or liquidity requirements introduced or required by our regulators and payment processors. We currently have the 2025 Revolving Credit Facility to mitigate capital fluctuations, but there can be no assurance that the 2025 Revolving Credit Facility will be sufficient or renewed or replaced at favorable rates or that we will have access to additional capital as needed, or at all.</w:t>
      </w:r>
    </w:p>
    <w:p>
      <w:pPr>
        <w:spacing w:after="0" w:line="134"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liquidity product we offer exposes us to financial losses and if a substantial number of our customers do not repay the cross-border payment advances provided, or if our performance forecasts for the product are not accurate, our business, financial condition, operating results, and future prospects may be impacted.</w:t>
      </w:r>
    </w:p>
    <w:p>
      <w:pPr>
        <w:spacing w:after="0" w:line="10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The performance of the product is dependent on our ability to develop and deploy effective models to evaluate the collectability of consumer receivables recorded in customer funds receivables based on a variety of factors. There can be no assurance that our performance forecasts will be accurate. In particular, during periods with changing economic conditions, elevated interest rates, and continued or renewed inflationary pressures, accurately forecasting repayment of consumer receivables is more difficult. For more information, see “ —The development and use of quantitative models in our business may present risks and challenges that could adversely impact us.”</w:t>
      </w:r>
    </w:p>
    <w:p>
      <w:pPr>
        <w:spacing w:after="0" w:line="12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Our allowance for credit losses is an estimate, and if actual losses are materially greater than the allowance for credit losses, or more generally, if our forecasts are not accurate, our business, financial condition, operating results, and future prospects could be adversely affected. Furthermore, as we scale and expand the liquidity products offered through our platform, our losses relating to consumer receivables may increase.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our effective tax rate or tax liability may adversely affect our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could increase due to several factors, including:</w:t>
      </w:r>
    </w:p>
    <w:p>
      <w:pPr>
        <w:spacing w:after="0" w:line="181" w:lineRule="exact"/>
        <w:rPr>
          <w:sz w:val="20"/>
          <w:szCs w:val="20"/>
          <w:color w:val="auto"/>
        </w:rPr>
      </w:pPr>
    </w:p>
    <w:p>
      <w:pPr>
        <w:ind w:left="660" w:right="60" w:hanging="328"/>
        <w:spacing w:after="0" w:line="28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relative amounts of income before taxes in the various U.S. and international jurisdictions in which we operate due to differing statutory tax rates in various jurisdictions;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tax treaties, and regulations or the interpretations of them, including the Tax Act as modified by applicable tax reform legislation;</w:t>
      </w:r>
    </w:p>
    <w:p>
      <w:pPr>
        <w:spacing w:after="0" w:line="59" w:lineRule="exact"/>
        <w:rPr>
          <w:rFonts w:ascii="Times New Roman" w:cs="Times New Roman" w:eastAsia="Times New Roman" w:hAnsi="Times New Roman"/>
          <w:sz w:val="16"/>
          <w:szCs w:val="16"/>
          <w:color w:val="auto"/>
        </w:rPr>
      </w:pPr>
    </w:p>
    <w:p>
      <w:pPr>
        <w:ind w:left="660" w:right="140" w:hanging="328"/>
        <w:spacing w:after="0" w:line="28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assessment of our ability to realize our deferred tax assets that are based on estimates of our future results, the prudence and feasibility of possible tax planning strategies, and the economic and political environment in which we do business; and</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current and future tax audits, examinations, or administrative appeals.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these developments could adversely affect our business, financial condition, operating results, and future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estimates or judgments relating to our critical accounting estimates prove to be incorrect, our operating results could be adversely affected.</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Operating Results, in the section titled “Critical Accounting Estimates.” The results of these estimates form the basis for making judgments about the carrying values of assets, liabilities, and equity, and the amount of revenue and expenses that are not readily apparent from other sources. Significant estimates and judgments include revenue recognition and impairment assessments.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13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1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 count or over 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performance or customer base,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7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customers and business operations in countries and regions that account for a significant amount of our send volume and our operations are exposed to rapid changes in laws and the enforcement of laws, macroeconomic conditions, and geopolitical developments that expose us to a risk of loss and could adversely affect our business, financial condition, operating results, and future prospects.</w:t>
      </w:r>
    </w:p>
    <w:p>
      <w:pPr>
        <w:spacing w:after="0" w:line="11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The majority of our total revenue is currently derived from cross-border payments being sent from the United States and Canada to India, Mexico, and the Philippines. Further, we maintain business operations in a number of foreign jurisdictions, such as Nicaragua and the Philippines. As a result, any macroeconomic trends and conditions (including a rise in inflation) or geopolitical trends (including changes in U.S. or Canadian social, political, regulatory, and economic conditions or in laws and policies governing immigration, fiscal policy, foreign trade, and foreign investment following recent or future administration changes in those jurisdictions) that disrupt these regions or alter their immigration patterns, economic conditions, or cultural norms could have an impact on the demand for our services or our ability to provide such services. Any economic or political instability, regional and global conflicts, natural disasters, public health crises, or other similar circumstances affecting these regions also could have a disproportionately harmful impact on our business, financial condition, operating results, and future prospects. For example, the COVID-19 pandemic and stay at home protocols imposed operational challenges on our business, and future pandemics or other public health crises could result in similar challenges that may negatively impact our business. In addition, although our operations in Ukraine and the Middle East do not currently represent a significant portion of our business, the continuation or further escalation of the conflicts in these regions could negatively impact our broader European operations, affect the ability of our development teams to operate effectively, or otherwise disrupt the development or availability of our products on a timely basis.</w:t>
      </w:r>
    </w:p>
    <w:p>
      <w:pPr>
        <w:spacing w:after="0" w:line="12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Global trade policy or international relations between larger developed countries could also impact our services or our ability to serve those regions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effect on our operations. In addition, the Chinese government could take action that would create significant competitive advantage for Chinese companies and create obstacles for us.</w:t>
      </w:r>
    </w:p>
    <w:p>
      <w:pPr>
        <w:spacing w:after="0" w:line="1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Changes in U.S. or other immigration laws that discourage or limit immigration or international migration, or that prohibit, limit, or discourage use of remittances, as well as other events that impact global migration to the United States or other key remittance jurisdictions, could adversely affect our gross send volume or growth rate in the future.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12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the risks of earthquakes, fires, floods, public health crises (including epidemics or pandemics such as the COVID-19 pandemic), and other natural catastrophic events, and to interruption by man-made problems such as cyberattacks, cybersecurity breaches, service outages, or other similar incidents, internal or third-party system failures, political unrest, market or currency disruptions, and terrorism, which could result in system and process failures and interruptions which could harm our business.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Our corporate headquarters is located in Seattle, Washington, and our cloud services providers and data centers are also largely located in the western United States. The west coast of the United States contains active earthquake zones. Further,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cybersecurity breaches, service outages, or other similar incidents, human error, hardware or software defects or malfunctions (including defects or malfunctions of components of our systems and networks that are supplied by third-party vendors and service providers), and similar events or disruptions. As we rely heavily on our servers, computer and communications systems, and the internet to conduct our business and provide high-quality customer service, disruptions in these systems and networks could harm our ability to operate our business, impede our employees’ ability to conduct business activities whether at our facilities or from a remote location, and cause lengthy delays, which could harm our business, financial condition, operating results, and future prospects.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14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Additionally, some of the countries in which we operate, as well as to which our disbursement partners deliver the funds we transfer, regularly experience serious political unrest or upheaval. Such political unrest may lead to temporary or long-term disruptions to our business operations or disbursement network in the affected countries. If such disruption were ongoing, our customers may look to other methods of transferring funds, or we may be unable to resume our services or operations in such countries, and our business and financial results may be harmed.</w:t>
      </w:r>
    </w:p>
    <w:p>
      <w:pPr>
        <w:spacing w:after="0" w:line="125"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insurance we maintain may be insufficient to cover our losses resulting from any such incidents or events, and any such incidents or events may result in loss of, or increased costs of, such insurance.</w:t>
      </w:r>
    </w:p>
    <w:p>
      <w:pPr>
        <w:spacing w:after="0" w:line="9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For additional information regarding risks associated with cyberattacks, cybersecurity breaches, service outages, and other similar incidents, see “—Cyberattacks, cybersecurity breaches, service outages, or other similar incidents could result in serious harm to our business, financial condition, operating results, reputation, and future prospects, including by triggering regulatory action or a breach of our agreements with significant partners that we rely on to deliver our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price of our common stock has been, and may continue to be, volatile or may decline regardless of our operating performance, and you may lose part or all of your investment.</w:t>
      </w:r>
    </w:p>
    <w:p>
      <w:pPr>
        <w:spacing w:after="0" w:line="11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market price of our common stock has been, and may continue to be, volatile. In addition to the factors discussed in this Annual Report on Form 10-K, the market price of our common stock may fluctuate significantly in response to numerous factors, many of which are beyond our control, including:</w:t>
      </w:r>
    </w:p>
    <w:p>
      <w:pPr>
        <w:spacing w:after="0" w:line="111"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performance of the equity markets;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revenue and other operating results;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financial projections we may provide to the public or our failure to meet these projections;</w:t>
      </w:r>
    </w:p>
    <w:p>
      <w:pPr>
        <w:spacing w:after="0" w:line="59" w:lineRule="exact"/>
        <w:rPr>
          <w:rFonts w:ascii="Times New Roman" w:cs="Times New Roman" w:eastAsia="Times New Roman" w:hAnsi="Times New Roman"/>
          <w:sz w:val="16"/>
          <w:szCs w:val="16"/>
          <w:color w:val="auto"/>
        </w:rPr>
      </w:pPr>
    </w:p>
    <w:p>
      <w:pPr>
        <w:ind w:left="660" w:right="220" w:hanging="328"/>
        <w:spacing w:after="0" w:line="29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securities analysts to initiate or maintain coverage of us, changes in financial estimates by any securities analysts who follow us, or our failure to meet these estimates or the expectations of investors;</w:t>
      </w: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recruitment or departure of key personnel;</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economy as a whole and conditions in our industry;</w:t>
      </w:r>
    </w:p>
    <w:p>
      <w:pPr>
        <w:spacing w:after="0" w:line="59" w:lineRule="exact"/>
        <w:rPr>
          <w:rFonts w:ascii="Times New Roman" w:cs="Times New Roman" w:eastAsia="Times New Roman" w:hAnsi="Times New Roman"/>
          <w:sz w:val="16"/>
          <w:szCs w:val="16"/>
          <w:color w:val="auto"/>
        </w:rPr>
      </w:pPr>
    </w:p>
    <w:p>
      <w:pPr>
        <w:ind w:left="660" w:right="500" w:hanging="328"/>
        <w:spacing w:after="0" w:line="28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publicity related to the real or perceived quality of our service or those of our competitors, as well as the failure to timely launch new products and services that achieve acceptance;</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rumors and speculation involving us or other companies in our industry;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by short sellers to spread negative or misrepresentative information about us in order to gain a market advantage;</w:t>
      </w:r>
    </w:p>
    <w:p>
      <w:pPr>
        <w:spacing w:after="0" w:line="72" w:lineRule="exact"/>
        <w:rPr>
          <w:rFonts w:ascii="Times New Roman" w:cs="Times New Roman" w:eastAsia="Times New Roman" w:hAnsi="Times New Roman"/>
          <w:sz w:val="16"/>
          <w:szCs w:val="16"/>
          <w:color w:val="auto"/>
        </w:rPr>
      </w:pPr>
    </w:p>
    <w:p>
      <w:pPr>
        <w:ind w:left="660" w:right="800" w:hanging="328"/>
        <w:spacing w:after="0" w:line="28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products or services (including with respect to cryptocurrency, stablecoins, or blockchain technology), commercial relationships, or significant technical innovations;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strategic partnerships, joint ventures, or capital commitments;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laws or regulations or new interpretations of existing laws or regulations applicable to our business;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lawsuits threatened or filed against us, litigation involving our industry, or both;</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our or other parties’ products, services, or IP Rights;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policies, guidelines, interpretations, or principles;</w:t>
      </w:r>
    </w:p>
    <w:p>
      <w:pPr>
        <w:spacing w:after="0" w:line="59" w:lineRule="exact"/>
        <w:rPr>
          <w:rFonts w:ascii="Times New Roman" w:cs="Times New Roman" w:eastAsia="Times New Roman" w:hAnsi="Times New Roman"/>
          <w:sz w:val="16"/>
          <w:szCs w:val="16"/>
          <w:color w:val="auto"/>
        </w:rPr>
      </w:pPr>
    </w:p>
    <w:p>
      <w:pPr>
        <w:ind w:left="660" w:right="60" w:hanging="328"/>
        <w:spacing w:after="0" w:line="280"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interpretations of any of the above or other factors by trading algorithms, including those that employ natural language processing and related methods to evaluate our public disclosures;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those resulting from war, incidents of terrorism, natural disasters, pandemics, or responses to those events;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shares of our common stock by us, our directors and executive officers, or our stockholders.</w:t>
      </w:r>
    </w:p>
    <w:p>
      <w:pPr>
        <w:spacing w:after="0" w:line="18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operating results, and future prospects.</w:t>
      </w:r>
    </w:p>
    <w:p>
      <w:pPr>
        <w:spacing w:after="0" w:line="124"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our share repurchase program will be fully consummated or that it will enhance long-term stockholder value. Share repurchases could also affect the trading price of our stock and may reduce working capital.</w:t>
      </w:r>
    </w:p>
    <w:p>
      <w:pPr>
        <w:spacing w:after="0" w:line="9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August 2025, we announced that our board of directors had approved a share repurchase program that provides for the repurchase of up to an aggregate of $200 million of our outstanding common stock. The timing, method, and total amount of share repurchases will be determined by us at our discretion and will depend on a variety of factors, including business, economic, and market conditions, corporate and regulatory requirements, prevailing stock prices, alternative investment opportunities, and other considerations. The share repurchase program does not expire and may be suspended, discontinued, or modified at any time without notice at our discretion, and the program does not obligate us to acquire any amount of common stock.</w:t>
      </w:r>
    </w:p>
    <w:p>
      <w:pPr>
        <w:spacing w:after="0" w:line="12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Repurchase activity under the program could affect the trading price of our common stock and increase the volatility thereof. We cannot guarantee that the share repurchase program will be fully consummated, and any future announcement of a suspension or discontinuation of the program, or our decision not to utilize the full authorized repurchase amount under the program, may reduce investor confidence and could negatively impact the trading price of our common stock.</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There can be no assurance that the share repurchase program will enhance long-term stockholder value, in particular if the trading price of our common stock declines below the levels at which we repurchased such shares. Additionally, short-term share price fluctuations could reduce the number or amount of shares we may ultimately repurchase pursuant to the program and reduce the program’s effectiveness. Furthermore, repurchases under this program will diminish our working capital, which could impact our ability to execute on our business plan.</w:t>
      </w:r>
    </w:p>
    <w:p>
      <w:pPr>
        <w:spacing w:after="0" w:line="11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1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Based upon the information available to us about our shares outstanding as of December 31, 2025, our executive officers, directors, and current beneficial owners of 5% or more of our common stock, in the aggregate, beneficially own a substantial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sales of our common stock in the public market could cause the market price of our common stock to decline.</w:t>
      </w:r>
    </w:p>
    <w:p>
      <w:pPr>
        <w:spacing w:after="0" w:line="1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3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11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24" w:lineRule="exact"/>
        <w:rPr>
          <w:sz w:val="20"/>
          <w:szCs w:val="20"/>
          <w:color w:val="auto"/>
        </w:rPr>
      </w:pPr>
    </w:p>
    <w:p>
      <w:pPr>
        <w:ind w:left="660" w:right="34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any action to be taken by our stockholders be effected at a duly called annual or special meeting and not by written consent;</w:t>
      </w:r>
    </w:p>
    <w:p>
      <w:pPr>
        <w:spacing w:after="0" w:line="72"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that special meetings of our stockholders can be called only by our board of directors, the chairperson of our board of directors, or our Chief Executive Officer;</w:t>
      </w:r>
    </w:p>
    <w:p>
      <w:pPr>
        <w:spacing w:after="0" w:line="16"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 advance notice procedure for stockholder proposals to be brought before an annual meeting, including proposed nominations of persons for election to our board of directors;</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with each class serving three-year staggered terms;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cumulative voting in the election of directors;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for cause only upon the vote of sixty-six and two-thirds percent (66 2/3%) of our outstanding shares of common stock;</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vote of directors then in office, even though less than a quorum; and</w:t>
      </w:r>
    </w:p>
    <w:p>
      <w:pPr>
        <w:spacing w:after="0" w:line="72" w:lineRule="exact"/>
        <w:rPr>
          <w:rFonts w:ascii="Times New Roman" w:cs="Times New Roman" w:eastAsia="Times New Roman" w:hAnsi="Times New Roman"/>
          <w:sz w:val="16"/>
          <w:szCs w:val="16"/>
          <w:color w:val="auto"/>
        </w:rPr>
      </w:pPr>
    </w:p>
    <w:p>
      <w:pPr>
        <w:ind w:left="660" w:right="24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Licenses vary, most require investors to receive the approval of, or provide notice to, the relevant licensing authority before exceeding a certain ownership threshold, including indirect ownership, in a Licensed entity. Accordingly, current or prospective investors seeking to acquire ownership of securities above certain thresholds in the aggregate may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2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Increased scrutiny from regulators, investors, and other stakeholders regarding our environmental, social, governance or sustainability responsibilities, strategy, and related disclosures could result in additional costs or risks and adversely impact our reputation, employee retention, and willingness of consumers and merchants to do business with us.</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Regulators, investor advocacy groups, certain institutional investors, investment funds, stockholders, consumers and other industry participants have focused increasingly on the environmental, social, and governance (“ESG”) or “sustainability” practices of companies. These parties have placed increased importance on the implications of the social cost of their investments. We may incur additional costs and require additional resources as we evolve our ESG or global impact strategy, practices, and related disclosures. If our ESG or global impact strategy, practices, and related disclosures, including the impact of our business on climate change, do not meet (or are viewed as not meeting) regulator, investor, or other industry stakeholder expectations and standards, which continue to evolve and may emphasize different priorities than the ones we choose to focus on, our brand, reputation, and employee retention may be negatively impacted. We could also incur additional costs and require additional resources to monitor, report, and comply with various ESG practices and regulations. Also, our failure, or perceived failure, to manage reputational threats and meet expectations with respect to socially responsible activities and sustainability commitments could negatively impact our brand, reputation, employee retention, and the willingness of our customers to do business with us.</w:t>
      </w:r>
    </w:p>
    <w:p>
      <w:pPr>
        <w:spacing w:after="0" w:line="14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1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do not intend to pay any cash dividends in the foreseeable future. In addition, our 2025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publish unfavorable or inaccurate research about our business, our stock price and trading volume could decline.</w:t>
      </w:r>
    </w:p>
    <w:p>
      <w:pPr>
        <w:spacing w:after="0" w:line="17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Our stock price and trading volume is heavily influenced by the way analysts and investors interpret our financial information and other disclosures. If securities or industry analysts do not publish research or reports about our business, downgrade our common stock, or publish negative reports about our business, our stock price would likely decline.</w:t>
      </w:r>
    </w:p>
    <w:p>
      <w:pPr>
        <w:spacing w:after="0" w:line="12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0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1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w:t>
      </w:r>
    </w:p>
    <w:p>
      <w:pPr>
        <w:spacing w:after="0" w:line="18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Our cybersecurity risk management program is designed to follow our industry’s best practices and provides a framework for identifying, monitoring, assessing, and responding to cybersecurity threats and incidents, including threats and incidents associated with the use of third-party vendors and service providers, and also for facilitating coordination across the Company.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strategies, evaluating any related disclosure obligations, and informing management, our audit and risk committee, and our board of directors of potentially material cybersecurity threats and incidents or other significant changes in the evolving cybersecurity threat landscape.</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information security team is responsible for assessing and maintaining our cybersecurity risk management program. In addition, our information security team engages third-party security experts on an as-needed basis for risk assessment and system enhancements. Our information security team also facilitates training to all employees during the onboarding process and annually, with additional training as we deem appropriate. We review or update our cybersecurity policies annually, or more frequently on an as-needed basis, to account for changes in the evolving cybersecurity threat landscape, as well as for legal and regulatory developments. We have continued to invest in our due diligence, onboarding, and monitoring capabilities over critical third parties with whom we do business, including our third-party vendors and service providers. If we become aware that a third-party vendor or service provider has experienced compromise or failure in the cybersecurity infrastructure owned or controlled by such third parties, we attempt to mitigate our risk, including by terminating such third party’s connection to our information systems and networks where appropriate.</w:t>
      </w:r>
    </w:p>
    <w:p>
      <w:pPr>
        <w:spacing w:after="0" w:line="14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 2025,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Factors–Cybersecurity, Privacy, Intellectual Property, and Technology Risks” in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management, Chief Information Security Officer (“CISO”), information security team, and legal team are responsible for identifying and assessing cybersecurity risks on an ongoing basis, establishing processes designed to ensure that such potential cybersecurity risk exposures are monitored, putting in place appropriate mitigation and remediation measures, and maintaining cybersecurity programs. Our cybersecurity programs are managed under the direction of our CISO, who receives reports from our information security team and monitors the prevention, detection, mitigation, and remediation of cybersecurity risks. Our CISO and dedicated information security personnel maintain certain cybersecurity-related certifications and are experienced information systems security professionals and information security managers with many years of experience. In particular, our CISO maintains the following certifications: Certified Information Systems Auditor from the Information System Audit and Control Association and Certified Information Systems Security Professional from ISC2. Our management, CISO, and information security team provide updates on at least a quarterly basis to our audit and risk committee on the Company’s cybersecurity programs and material cybersecurity risks and mitigation strategies, and provide cybersecurity reports on at least a quarterly basis that cover, among other topics, third-party assessments of the Company’s cybersecurity programs, updates to the Company’s cybersecurity programs and mitigation strategies, and other cybersecurity developments. In addition to such regular updates, and as part of our incident response processes, our CISO also provides updates on certain cybersecurity threats and incidents to the audit and risk committee and, as necessary, to the full board of directors, based on the assessment of risk by our management, CISO, information security team, and legal team.</w:t>
      </w:r>
    </w:p>
    <w:p>
      <w:pPr>
        <w:spacing w:after="0" w:line="1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board of directors has oversight responsibility for our overall enterprise risk management, and delegates cybersecurity risk management oversight to our audit and risk committee. As part of its enterprise risk management efforts, our board of directors also meets with management to assess and respond to critical business risks, including those that may arise from cybersecurity threats and incidents. Our audit and risk committee is responsible for ensuring that management has policies and processes in place designed to identify, monitor, assess, and respond to cybersecurity, data privacy, and other information technology risks to which the Company is exposed. Further, our audit and risk committee reports material cybersecurity risks to our full board of directors, based on the assessment of risk by our management, CISO, information security team, internal audit team, and legal team.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As of December 31, 2025, we leased and occupied facilities in various countries. Our corporate headquarters is located in Seattle, Washington, where we currently occupy facilities totaling approximately 118,000 square feet under a lease that expires in June 2032. Other significant leased properties include facilities in Poland, Israel, Nicaragua, the United Kingdom, the Philippines, and Ireland. We use these facilities for administration, finance, legal, human resources, IT, marketing, software engineering, and customer service.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520"/>
        <w:spacing w:after="0" w:line="272" w:lineRule="auto"/>
        <w:rPr>
          <w:sz w:val="20"/>
          <w:szCs w:val="20"/>
          <w:color w:val="auto"/>
        </w:rPr>
      </w:pPr>
      <w:r>
        <w:rPr>
          <w:rFonts w:ascii="Times New Roman" w:cs="Times New Roman" w:eastAsia="Times New Roman" w:hAnsi="Times New Roman"/>
          <w:sz w:val="16"/>
          <w:szCs w:val="16"/>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From time to time, we may be subject to legal or regulatory proceedings and claims in the ordinary course of business, including intellectual property,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6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Our common stock began trading on the Nasdaq Global Select Market (the “NASDAQ”) under the symbol “RELY” on September 23, 2021. Prior to that date, there was no public trading market for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69"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As of February 16, 2026, there were 17 stockholders of record of our common stock. The actual number of stockholders is significantly greater than this number of record holders, and includes stockholders who are beneficial owners but whose shares are held in street name by brokers and other nominees.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The information in this “Stock Performance” section shall not be deemed to be “soliciting material” or to be “filed” with the SEC for purposes of Section 18 of the Exchange Act, or otherwise subject to liabilities under that Section, and shall not be deemed to be incorporated by reference into any of our filings under the Securities Act of 1933, as amended.</w:t>
      </w:r>
    </w:p>
    <w:p>
      <w:pPr>
        <w:spacing w:after="0" w:line="13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following data and graph show a comparison of the cumulative total stockholder return for our common stock, the Russell 2000 Growth Index, and the KBW NASDAQ Financial Technology Index from September 23, 2021 through December 31, 2025. This data assumes simultaneous investments of $100 on September 23, 2021, and reinvestment of any dividends. The stockholder returns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88265</wp:posOffset>
            </wp:positionV>
            <wp:extent cx="6660515" cy="3086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051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69" w:lineRule="exact"/>
        <w:rPr>
          <w:sz w:val="20"/>
          <w:szCs w:val="20"/>
          <w:color w:val="auto"/>
        </w:rPr>
      </w:pPr>
    </w:p>
    <w:p>
      <w:pPr>
        <w:ind w:right="880"/>
        <w:spacing w:after="0" w:line="298" w:lineRule="auto"/>
        <w:rPr>
          <w:sz w:val="20"/>
          <w:szCs w:val="20"/>
          <w:color w:val="auto"/>
        </w:rPr>
      </w:pPr>
      <w:r>
        <w:rPr>
          <w:rFonts w:ascii="Times New Roman" w:cs="Times New Roman" w:eastAsia="Times New Roman" w:hAnsi="Times New Roman"/>
          <w:sz w:val="16"/>
          <w:szCs w:val="16"/>
          <w:color w:val="auto"/>
        </w:rPr>
        <w:t>For information on securities authorized for issuance under our equity compensation plans, see “Item 12. Security Ownership of Certain Beneficial Owners and Management and Related Stockholders Matters” of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 repurchase activity during the three months ended December 31, 2025 was as follows (in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245"/>
        </w:trPr>
        <w:tc>
          <w:tcPr>
            <w:tcW w:w="31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 Share</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Announced Plans or Programs</w:t>
            </w:r>
            <w:r>
              <w:rPr>
                <w:rFonts w:ascii="Times New Roman" w:cs="Times New Roman" w:eastAsia="Times New Roman" w:hAnsi="Times New Roman"/>
                <w:sz w:val="21"/>
                <w:szCs w:val="21"/>
                <w:b w:val="1"/>
                <w:bCs w:val="1"/>
                <w:color w:val="auto"/>
                <w:w w:val="98"/>
                <w:vertAlign w:val="superscript"/>
              </w:rPr>
              <w:t>(2)</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Programs</w:t>
            </w:r>
            <w:r>
              <w:rPr>
                <w:rFonts w:ascii="Times New Roman" w:cs="Times New Roman" w:eastAsia="Times New Roman" w:hAnsi="Times New Roman"/>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3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 October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317,816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80" w:type="dxa"/>
            <w:vAlign w:val="bottom"/>
            <w:shd w:val="clear" w:color="auto" w:fill="CCEEFF"/>
          </w:tcPr>
          <w:p>
            <w:pPr>
              <w:spacing w:after="0"/>
              <w:rPr>
                <w:sz w:val="20"/>
                <w:szCs w:val="20"/>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317,816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183,117</w:t>
            </w:r>
          </w:p>
        </w:tc>
        <w:tc>
          <w:tcPr>
            <w:tcW w:w="0" w:type="dxa"/>
            <w:vAlign w:val="bottom"/>
          </w:tcPr>
          <w:p>
            <w:pPr>
              <w:spacing w:after="0"/>
              <w:rPr>
                <w:sz w:val="1"/>
                <w:szCs w:val="1"/>
                <w:color w:val="auto"/>
              </w:rPr>
            </w:pPr>
          </w:p>
        </w:tc>
      </w:tr>
      <w:tr>
        <w:trPr>
          <w:trHeight w:val="23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2025 - November 30,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176,106</w:t>
            </w:r>
          </w:p>
        </w:tc>
        <w:tc>
          <w:tcPr>
            <w:tcW w:w="0" w:type="dxa"/>
            <w:vAlign w:val="bottom"/>
          </w:tcPr>
          <w:p>
            <w:pPr>
              <w:spacing w:after="0"/>
              <w:rPr>
                <w:sz w:val="1"/>
                <w:szCs w:val="1"/>
                <w:color w:val="auto"/>
              </w:rPr>
            </w:pPr>
          </w:p>
        </w:tc>
      </w:tr>
      <w:tr>
        <w:trPr>
          <w:trHeight w:val="24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2025 - December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176,106</w:t>
            </w:r>
          </w:p>
        </w:tc>
        <w:tc>
          <w:tcPr>
            <w:tcW w:w="0" w:type="dxa"/>
            <w:vAlign w:val="bottom"/>
          </w:tcPr>
          <w:p>
            <w:pPr>
              <w:spacing w:after="0"/>
              <w:rPr>
                <w:sz w:val="1"/>
                <w:szCs w:val="1"/>
                <w:color w:val="auto"/>
              </w:rPr>
            </w:pPr>
          </w:p>
        </w:tc>
      </w:tr>
      <w:tr>
        <w:trPr>
          <w:trHeight w:val="243"/>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870,506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870,506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60" w:hanging="152"/>
        <w:spacing w:after="0"/>
        <w:tabs>
          <w:tab w:leader="none" w:pos="16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price paid per share includes related commissions paid by us.</w:t>
      </w:r>
    </w:p>
    <w:p>
      <w:pPr>
        <w:spacing w:after="0" w:line="55" w:lineRule="exact"/>
        <w:rPr>
          <w:rFonts w:ascii="Times New Roman" w:cs="Times New Roman" w:eastAsia="Times New Roman" w:hAnsi="Times New Roman"/>
          <w:sz w:val="9"/>
          <w:szCs w:val="9"/>
          <w:color w:val="auto"/>
        </w:rPr>
      </w:pPr>
    </w:p>
    <w:p>
      <w:pPr>
        <w:ind w:right="40" w:firstLine="8"/>
        <w:spacing w:after="0" w:line="263" w:lineRule="auto"/>
        <w:tabs>
          <w:tab w:leader="none" w:pos="145"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On August 6, 2025, we announced that our board of directors had authorized a share repurchase program to repurchase up to $200 million of our outstanding common stock, with no expiration date. Refer to Note 12. </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xml:space="preserve"> within the notes to the consolidated financial statements included in Part II, Item 8 of this Annual Report on Form 10-K for further discussion of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our consolidated financial statements and the related notes appearing elsewhere in this Annual Report on Form 10-K and our audited consolidated financial statements and the related notes.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10-K represent our views as of the date of this Form 10-K.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10-K.</w:t>
      </w:r>
    </w:p>
    <w:p>
      <w:pPr>
        <w:spacing w:after="0" w:line="125"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6"/>
          <w:szCs w:val="16"/>
          <w:i w:val="1"/>
          <w:iCs w:val="1"/>
          <w:color w:val="auto"/>
        </w:rPr>
        <w:t>This section generally discusses the results of our operations for the year ended December 31, 2025, compared to the year ended December 31, 2024. For a discussion of the year ended December 31, 2024, compared to the year ended December 31, 2023, please refer to Part I, Item 7, “Management’s Discussion and Analysis of Financial Condition and Results of Operations” in our Annual Report on Form 10-K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3"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Remitly is a trusted provider of financial services that transcend borders. With a footprint spanning more than 175 countries, we have built one of the world’s leading global money movement platforms, trusted by millions of customers who rely on us everyday. Leveraging our strengths in global money movement, we continue to evolve beyond a remittance company into a diversified, cross-border financial services provider, serving both consumers and businesses across a growing set of use cases.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Model</w:t>
      </w:r>
    </w:p>
    <w:p>
      <w:pPr>
        <w:spacing w:after="0" w:line="16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For our global money movement product, which currently represents the substantial majority of our revenue, we earn revenue from transaction fees charged to customers and foreign exchange spreads applied to the amount the customer is sending.</w:t>
      </w:r>
    </w:p>
    <w:p>
      <w:pPr>
        <w:spacing w:after="0" w:line="9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24"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w:t>
      </w:r>
    </w:p>
    <w:p>
      <w:pPr>
        <w:spacing w:after="0" w:line="11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Revenue from transaction fees and foreign exchange spreads is reduced by sales incentives, including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Performance Metrics</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Active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 customers, measured as of the quarterly periods ended December 31, 2025, 2024, and 2023,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Active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number of our active customers is an important indicator of customer engagement, customer retention, and the overall growth of our business.</w:t>
      </w:r>
    </w:p>
    <w:p>
      <w:pPr>
        <w:spacing w:after="0" w:line="16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Active customers increased to approximately 9.3 million, or 19% growth, for the three months ended December 31, 2025, compared to the three months ended December 31, 2024. This increase was primarily due to an increase in the number of new customers, driven by continued marketing efficiency and strong retention, as well as product and geographic expansion. The increase was also a result of growth in new customer categories, including high-amount senders and small- to mid-sized businesses. Ongoing improvements in customer experience and localized innovation in key corridors supported customer acquisition and engagement.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Send Volume</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Send volume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74,912</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39,459</w:t>
            </w:r>
          </w:p>
        </w:tc>
      </w:tr>
    </w:tbl>
    <w:p>
      <w:pPr>
        <w:spacing w:after="0" w:line="24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measure send volume to assess the scale of cross-border payments sent using our global money movement product. Our customers mostly send from the United States, Canada, the United Kingdom, and other countries in Europe. Our customers and their recipients are located in over 175 countries and territories across the globe. Our largest receive countries by send volume include India, Mexico, and the Philippines.</w:t>
      </w:r>
    </w:p>
    <w:p>
      <w:pPr>
        <w:spacing w:after="0" w:line="117" w:lineRule="exact"/>
        <w:rPr>
          <w:sz w:val="20"/>
          <w:szCs w:val="20"/>
          <w:color w:val="auto"/>
        </w:rPr>
      </w:pPr>
    </w:p>
    <w:p>
      <w:pPr>
        <w:jc w:val="both"/>
        <w:ind w:right="140"/>
        <w:spacing w:after="0" w:line="298" w:lineRule="auto"/>
        <w:rPr>
          <w:sz w:val="20"/>
          <w:szCs w:val="20"/>
          <w:color w:val="auto"/>
        </w:rPr>
      </w:pPr>
      <w:r>
        <w:rPr>
          <w:rFonts w:ascii="Times New Roman" w:cs="Times New Roman" w:eastAsia="Times New Roman" w:hAnsi="Times New Roman"/>
          <w:sz w:val="16"/>
          <w:szCs w:val="16"/>
          <w:color w:val="auto"/>
        </w:rPr>
        <w:t>Send volume increased 37%, to $74.9 billion for the year ended December 31, 2025, compared to $54.6 billion for the year ended December 31, 2024, driven primarily by the increase in active customers.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Retention and High Customer Engagement</w:t>
      </w:r>
    </w:p>
    <w:p>
      <w:pPr>
        <w:spacing w:after="0" w:line="185"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Our send volume is primarily driven by existing customers, who regularly use our global money movement product to send money across borders to family and friends, as well as an increasing number of high-amount senders and businesses. We believe our digital-first products and superior customer experience encourage high retention and repeat usage, which remain significant drivers of our performance.</w:t>
      </w:r>
    </w:p>
    <w:p>
      <w:pPr>
        <w:spacing w:after="0" w:line="11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 Additionally, new customer categories, such as small- to mid-sized businesses, contribute often higher-value transactions as they send money to pay contractors, vendors, and employees.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Attracting New Customers</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Our continued ability to attract new customers is a key driver for our long-term growth. We continue to expand our customer base by launching new send and receive corridors, innovating existing and new products, and providing the most trusted financial services for customers with cross-border financial needs. Growth in new customer categories, as well as product and geographic expansion, are contributing to broader acquisition. We continue to acquire new customers through digital marketing channels and word-of-mouth referrals from existing customers. Given the nature of our business, new customer acquisition marketing investments may negatively impact net income (loss) and Adjusted EBITDA in the quarter they are acquired, but are expected to favorably impact net income (loss) and Adjusted EBITDA in subsequent periods as many customers continue to send transactions in the periods after they are acquired.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Acquisition Costs</w:t>
      </w:r>
    </w:p>
    <w:p>
      <w:pPr>
        <w:spacing w:after="0" w:line="17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Efficiently acquiring customers is critical to our growth and maintaining attractive customer economics, which are impacted by online marketing competition, our ability to effectively target the right demographic, and a competitive environment. We have a history of successfully monitoring customer acquisition costs through disciplined, data-driven investment decisions, and will continue to be strategic and disciplined toward customer acquisition. Our marketing engine increasingly leverages automation and AI to optimize channel mix, targeting, and lifetime value.</w:t>
      </w:r>
    </w:p>
    <w:p>
      <w:pPr>
        <w:spacing w:after="0" w:line="13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 xml:space="preserve">For performance marketing, we set rigorous customer acquisition targets that we continuously monitor to drive a high long-term return on investment, adjusting spend dynamically based on performance and opportunity. This disciplined approach allows us to balance growth with profitability and to redeploy investment efficiently across customer categories and products. Customer acquisition costs, which are deployed to acquire new customers or retain existing customers in certain circumstances, are a component of advertising expenses as defined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Corridor Mix</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Our operating results and key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spend and transaction losses. It also results in higher transactions and transaction expenses, along with higher working capital needs. Other periods of favorable seasonality include Ramadan/Eid, Lunar New Year/Tết, and Mother’s Day, although these effects are generally smaller than the seasonality we see in the fourth quarter and the timing of some of these holidays varies from year to year. Conversely, we typically observe lower customer acquisition and transaction activity through most of the first quarter, especially in regions that experience favorable seasonality in the fourth quarter. Additionally, the number of business days in a quarter and the day of the week that the last day of the quarter falls on may also introduce variability in our results, working capital balances, or cash flows period over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Technology</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continue to invest significant resources in our technology to support the development of new and innovative products, add features to existing offerings, and enhance the customer and recipient experience. The investments also grow our payment and disbursement network, strengthen our risk and security infrastructure, and maintain data protection in accordance with evolving best practices and legal requirements. We are also embedding data analytics and AI across our platform to improve automation, enhance scalability, and drive long-term operating efficiency. We believe these investments in technology and development capabilities will ultimately contribute to our long-term growth.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Risk and Fraud</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manage fraud (e.g., through identity theft) and other illegitimate activity (e.g., money laundering) by utilizing our proprietary risk models, which include machine learning, early warning signals, bespoke rules, and manual investigation processes. These capabilities are enhanced by AI to improve detection accuracy and automation.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continuously refine our risk models to address new risks.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Macroeconomic and Geopolitical Changes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cross-border payment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We continue to assess the impact of developments in foreign trade policy, including taxes and tariffs, and global market conditions. While the imposition of tariffs has not had a significant impact on our business historically, we recognize there is a potential for indirect effects, particularly from foreign exchange volatility to which we are exposed due to the global nature of our cross-border payment operations.</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 xml:space="preserve">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maintain a diversified cash balance portfolio and manage foreign exchange risk through various operational measures, including use of foreign exchange contracts. Our proactive risk management is designed to help mitigate potential impacts. For a more comprehensive description of our foreign currency exchange rate risk, current business concentrations, and details on our foreign exchange contracts, refer to Part II, Item 7A of this Annual Report on Form 10-K, as well as Note 2. </w:t>
      </w:r>
      <w:r>
        <w:rPr>
          <w:rFonts w:ascii="Times New Roman" w:cs="Times New Roman" w:eastAsia="Times New Roman" w:hAnsi="Times New Roman"/>
          <w:sz w:val="16"/>
          <w:szCs w:val="16"/>
          <w:i w:val="1"/>
          <w:iCs w:val="1"/>
          <w:color w:val="auto"/>
        </w:rPr>
        <w:t>Basis of Presentation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Summary of Significant Accounting Policies </w:t>
      </w:r>
      <w:r>
        <w:rPr>
          <w:rFonts w:ascii="Times New Roman" w:cs="Times New Roman" w:eastAsia="Times New Roman" w:hAnsi="Times New Roman"/>
          <w:sz w:val="16"/>
          <w:szCs w:val="16"/>
          <w:color w:val="auto"/>
        </w:rPr>
        <w:t>in the notes to the consolidated financial statements included in Part II, Item 8 of this Annual Report on Form 10-K.</w:t>
      </w:r>
    </w:p>
    <w:p>
      <w:pPr>
        <w:spacing w:after="0" w:line="14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Evolving regulatory developments may influence customer behavior and transaction volumes. For example, recent U.S. policy changes have increased the costs associated with the H-1B visa program and increased deportation activity more broadly, and the One Big Beautiful Bill Act (the “OBBBA”), which passed on July 4, 2025, imposes a tax on outbound, non-digital remittances from the United States to recipients abroad. While these regulatory developments may impact certain areas of our business, our business has remained resilient through various macroeconomic, political, and regulatory cycles over the past decade. We will continue to evaluate the impact the new legislation will have on our consolidated financial statements, but at this time, we do not expect that the remittance tax included in the OBBBA will have a material impact on our business.</w:t>
      </w:r>
    </w:p>
    <w:p>
      <w:pPr>
        <w:spacing w:after="0" w:line="127"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The OBBBA also enacts U.S. corporate income tax reform, certain aspects of which apply to our business beginning in 2025. We continue to evaluate the impact the new legislation will have on our consolidated financial statements, but we do not expect a significant impact, inclusive of the effect of the valuation allowance on our U.S. deferred tax assets.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primary source of revenue is currently earned from our global money movement product, which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Costs and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Expenses</w:t>
      </w:r>
    </w:p>
    <w:p>
      <w:pPr>
        <w:spacing w:after="0" w:line="16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 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liabilities’ </w:t>
      </w:r>
      <w:r>
        <w:rPr>
          <w:rFonts w:ascii="Times New Roman" w:cs="Times New Roman" w:eastAsia="Times New Roman" w:hAnsi="Times New Roman"/>
          <w:sz w:val="16"/>
          <w:szCs w:val="16"/>
          <w:color w:val="auto"/>
        </w:rPr>
        <w:t>on the Consolidated Balance Sheets included in Part II, Item 8 of this Annual Report on Form 10-K. Over the long term, we expect to continue to benefit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improvements in our proprietary fraud models, although we expect some variability in transaction expense from quarter to quarter.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Customer Support and Operations</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Marketing</w:t>
      </w:r>
    </w:p>
    <w:p>
      <w:pPr>
        <w:spacing w:after="0" w:line="183"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Technology and Development</w:t>
      </w:r>
    </w:p>
    <w:p>
      <w:pPr>
        <w:spacing w:after="0" w:line="1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Accounting Standards Codification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is included in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Consolidated Statements of Operations.</w:t>
      </w:r>
    </w:p>
    <w:p>
      <w:pPr>
        <w:spacing w:after="0" w:line="14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 and Amortization</w:t>
      </w:r>
    </w:p>
    <w:p>
      <w:pPr>
        <w:spacing w:after="0" w:line="16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includes depreciation on property and equipment, and leasehold improvements, as well as the amortization of internal-use software costs and intangible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primarily of the interest expense on our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Other income (expense), net, primarily includes foreign currency exchange gains and losses due to remeasurement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together with the dollar and percentage change for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00" w:type="dxa"/>
            <w:vAlign w:val="bottom"/>
          </w:tcPr>
          <w:p>
            <w:pPr>
              <w:spacing w:after="0"/>
              <w:rPr>
                <w:sz w:val="19"/>
                <w:szCs w:val="19"/>
                <w:color w:val="auto"/>
              </w:rPr>
            </w:pPr>
          </w:p>
        </w:tc>
        <w:tc>
          <w:tcPr>
            <w:tcW w:w="138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4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1,635,147</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371,184</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549,480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342,903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7"/>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3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1,557,679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1,303,049</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254,630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3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4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3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4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discussion and analysis is for the year ended December 31, 2025 compared to the same period in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Revenue increased $371.2 million, or 29%, for the year ended December 31, 2025, compared to the year ended December 31, 2024. The increase was primarily driven by a 19% increase in active customers period over period, continued strength in the retention of existing customers, favorable customer behavior based on foreign currency movement, send volume for high-amount senders,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country to which the funds are transferred.</w:t>
      </w:r>
    </w:p>
    <w:p>
      <w:pPr>
        <w:spacing w:after="0" w:line="14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 a reflection of this growth, send volume increased 37% to $74.9 billion for the year ended December 31, 2025, as compared to $54.6 billion for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7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Transaction expenses increased $117.9 million, or 27%, to $549.5 million for the year ended December 31, 2025, compared to $431.6 million for the year ended December 31, 2024. The increase was primarily due to an $85.4 million, or 25%, increase in direct costs associated with processing a higher volume of our customers’ global money movement transactions and the disbursement of our customers’ funds to their recipients, and a $27.9 million increase in our provision for transaction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percentage of revenue, transaction expenses remained flat at 34% for the years ended December 31, 2025 and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 Expenses</w:t>
      </w:r>
    </w:p>
    <w:p>
      <w:pPr>
        <w:spacing w:after="0" w:line="185"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Customer support and operations expenses increased $17.3 million, or 21%, for the year ended December 31, 2025, compared to the year ended December 31, 2024, primarily driven by a $13.0 million increase in personnel-related costs.</w:t>
      </w:r>
    </w:p>
    <w:p>
      <w:pPr>
        <w:spacing w:after="0" w:line="124"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As a percentage of revenue, customer support and operations expenses decreased to 6% for the year ended December 31, 2025, from 7% for the year ended December 31, 2024. The decrease was primarily due to process improvements, including leveraging AI and automation, across customer support headcount at internal and third-party customer support sites.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Expenses</w:t>
      </w:r>
    </w:p>
    <w:p>
      <w:pPr>
        <w:spacing w:after="0" w:line="17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Marketing expenses increased $39.1 million, or 13%, for the year ended December 31, 2025, compared to the year ended December 31, 2024, primarily due to an increase of $26.2 million in advertising expense and other targeted marketing expense, including online and offline marketing spend and promotion costs to acquire new customers. In addition, the increase was driven by a $7.0 million increase in personnel-related costs compared to the year ended December 31, 2024.</w:t>
      </w:r>
    </w:p>
    <w:p>
      <w:pPr>
        <w:spacing w:after="0" w:line="11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a percentage of revenue, marketing expenses decreased to 21% for the year ended December 31, 2025, from 24% for the year ended December 31, 2024, primarily due to efficiencies in digital and brand marketing.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 Expenses</w:t>
      </w:r>
    </w:p>
    <w:p>
      <w:pPr>
        <w:spacing w:after="0" w:line="18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Technology and development expenses increased $44.1 million, or 16%, for the year ended December 31, 2025, compared to the year ended December 31, 2024. The increase was driven by a $34.5 million increase in personnel-related costs, net of personnel-related costs capitalized as internal-use software. The increase in technology and development expense was also driven by a $5.6 million increase in software costs for cloud services to support incremental transaction volume.</w:t>
      </w:r>
    </w:p>
    <w:p>
      <w:pPr>
        <w:spacing w:after="0" w:line="13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As a percentage of revenue, technology and development expenses decreased to 19% for the year ended December 31, 2025, from 21% for the year ended December 31, 2024, as we benefited from increasing efficiencies, including the usage of AI.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7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increased $29.3 million, or 15%, for the year ended December 31, 2025, compared to the year ended December 31, 2024, primarily due to a $21.5 million increase in provisions related to the collectibility of amounts due from certain receivables and processing partners, as well as an aggregate $5.7 million increase in facilities costs, professional fees, and personnel-related costs.</w:t>
      </w:r>
    </w:p>
    <w:p>
      <w:pPr>
        <w:spacing w:after="0" w:line="11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As a percentage of revenue, general and administrative expenses decreased to 14% for the year ended December 31, 2025, from 15% for the year ended December 31, 2024, as we continue to leverage efficiencies in our general and administrative functions.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Depreciation and amortization increased $7.0 million, or 39%, for the year ended December 31, 2025, compared to the year ended December 31, 2024, primarily driven by an increase in amortization of internal-use software.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 decreased by an immaterial amount for the year ended December 31, 2025, as compared to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Interest expense increased by $4.4 million for the year ended December 31, 2025, as compared to the year ended December 31, 2024, primarily due to draws on the 2021 Revolving Credit Facility and the 2025 Revolving Credit Facility.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Other income (expense), net is primarily driven by unrealized losses and gains on foreign exchange remeasurements of certain foreign currency denominated monetary assets and liabilities.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8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provision for income taxes decreased $3.0 million for the year ended December 31, 2025, as compared to the year ended December 31, 2024. The decrease is primarily due to lower taxable income in certain foreign jurisdictions and changes in uncertain tax positions.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25"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We use Adjusted EBITDA, a non-GAAP financial measure to supplement net income (loss). Adjusted EBITDA is calculated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acquisition, integration, restructuring, and other costs.</w:t>
      </w:r>
    </w:p>
    <w:p>
      <w:pPr>
        <w:spacing w:after="0" w:line="13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24"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11" w:lineRule="exact"/>
        <w:rPr>
          <w:sz w:val="20"/>
          <w:szCs w:val="20"/>
          <w:color w:val="auto"/>
        </w:rPr>
      </w:pPr>
    </w:p>
    <w:p>
      <w:pPr>
        <w:ind w:left="660" w:right="460" w:hanging="328"/>
        <w:spacing w:after="0" w:line="29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changes in, or cash requirements for, our working capital needs;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income taxes that may represent a reduction in cash available to us;</w:t>
      </w:r>
    </w:p>
    <w:p>
      <w:pPr>
        <w:spacing w:after="0" w:line="59" w:lineRule="exact"/>
        <w:rPr>
          <w:rFonts w:ascii="Times New Roman" w:cs="Times New Roman" w:eastAsia="Times New Roman" w:hAnsi="Times New Roman"/>
          <w:sz w:val="16"/>
          <w:szCs w:val="16"/>
          <w:color w:val="auto"/>
        </w:rPr>
      </w:pPr>
    </w:p>
    <w:p>
      <w:pPr>
        <w:ind w:left="660" w:right="460" w:hanging="328"/>
        <w:spacing w:after="0" w:line="28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changes in other (income) expense, net, primarily driven by the effect of gains and losses from the remeasurement of foreign currency assets and liabilities into their functional currency;</w:t>
      </w:r>
    </w:p>
    <w:p>
      <w:pPr>
        <w:spacing w:after="0" w:line="16"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noncash charges associated with the donation of our common stock in connection with our Pledge 1% commitment, which is recorded in general and administrative expenses;</w:t>
      </w:r>
    </w:p>
    <w:p>
      <w:pPr>
        <w:spacing w:after="0" w:line="16" w:lineRule="exact"/>
        <w:rPr>
          <w:rFonts w:ascii="Times New Roman" w:cs="Times New Roman" w:eastAsia="Times New Roman" w:hAnsi="Times New Roman"/>
          <w:sz w:val="16"/>
          <w:szCs w:val="16"/>
          <w:color w:val="auto"/>
        </w:rPr>
      </w:pPr>
    </w:p>
    <w:p>
      <w:pPr>
        <w:ind w:left="660" w:right="100" w:hanging="328"/>
        <w:spacing w:after="0" w:line="263"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the current period’s operational performance. Additionally, payroll taxes related to stock-based compensation expense, net are outside of our direct control;</w:t>
      </w:r>
    </w:p>
    <w:p>
      <w:pPr>
        <w:spacing w:after="0" w:line="17" w:lineRule="exact"/>
        <w:rPr>
          <w:rFonts w:ascii="Times New Roman" w:cs="Times New Roman" w:eastAsia="Times New Roman" w:hAnsi="Times New Roman"/>
          <w:sz w:val="16"/>
          <w:szCs w:val="16"/>
          <w:color w:val="auto"/>
        </w:rPr>
      </w:pPr>
    </w:p>
    <w:p>
      <w:pPr>
        <w:ind w:left="660" w:right="20" w:hanging="328"/>
        <w:spacing w:after="0" w:line="263"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certain transaction costs, related to acquisition, integration, restructuring, and other costs. The acquisition and integration costs are primarily related to the acquisition of Rewire (O.S.G.) Research and Development Ltd. (“Rewire”)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w:t>
      </w:r>
    </w:p>
    <w:p>
      <w:pPr>
        <w:spacing w:after="0" w:line="30" w:lineRule="exact"/>
        <w:rPr>
          <w:rFonts w:ascii="Times New Roman" w:cs="Times New Roman" w:eastAsia="Times New Roman" w:hAnsi="Times New Roman"/>
          <w:sz w:val="16"/>
          <w:szCs w:val="16"/>
          <w:color w:val="auto"/>
        </w:rPr>
      </w:pPr>
    </w:p>
    <w:p>
      <w:pPr>
        <w:ind w:left="660" w:right="480" w:hanging="328"/>
        <w:spacing w:after="0" w:line="28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The following table sets forth a reconciliation of net income (loss), the most directly comparable financial measure prepared in accordance with GAAP, to Adjusted EBITDA,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40" w:type="dxa"/>
            <w:vAlign w:val="bottom"/>
            <w:tcBorders>
              <w:bottom w:val="single" w:sz="8" w:color="auto"/>
            </w:tcBorders>
          </w:tcPr>
          <w:p>
            <w:pPr>
              <w:spacing w:after="0"/>
              <w:rPr>
                <w:sz w:val="19"/>
                <w:szCs w:val="19"/>
                <w:color w:val="auto"/>
              </w:rPr>
            </w:pPr>
          </w:p>
        </w:tc>
      </w:tr>
      <w:tr>
        <w:trPr>
          <w:trHeight w:val="24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1"/>
                <w:szCs w:val="21"/>
                <w:b w:val="1"/>
                <w:bCs w:val="1"/>
                <w:color w:val="auto"/>
                <w:vertAlign w:val="superscript"/>
              </w:rPr>
              <w:t>(2)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1"/>
                <w:szCs w:val="21"/>
                <w:b w:val="1"/>
                <w:bCs w:val="1"/>
                <w:color w:val="auto"/>
                <w:vertAlign w:val="superscript"/>
              </w:rPr>
              <w:t>(2)</w:t>
            </w:r>
          </w:p>
        </w:tc>
      </w:tr>
      <w:tr>
        <w:trPr>
          <w:trHeight w:val="23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(117,840)</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Donation of common stock</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136,967</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Payroll taxes related to stock-based compensation expense, net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r>
      <w:tr>
        <w:trPr>
          <w:trHeight w:val="24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 integration, restructuring, and other costs</w:t>
            </w:r>
            <w:r>
              <w:rPr>
                <w:rFonts w:ascii="Times New Roman" w:cs="Times New Roman" w:eastAsia="Times New Roman" w:hAnsi="Times New Roman"/>
                <w:sz w:val="21"/>
                <w:szCs w:val="21"/>
                <w:color w:val="auto"/>
                <w:vertAlign w:val="superscript"/>
              </w:rPr>
              <w:t>(3)</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4,197</w:t>
            </w:r>
          </w:p>
        </w:tc>
      </w:tr>
      <w:tr>
        <w:trPr>
          <w:trHeight w:val="25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272,190</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right="80" w:firstLine="8"/>
        <w:spacing w:after="0" w:line="261" w:lineRule="auto"/>
        <w:tabs>
          <w:tab w:leader="none" w:pos="132"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xml:space="preserve"> within the notes to the consolidated financial statements included in Part II, Item 8 of this Annual Report on Form 10-K for further discussion on the donation of common stock.</w:t>
      </w:r>
    </w:p>
    <w:p>
      <w:pPr>
        <w:ind w:right="40" w:firstLine="8"/>
        <w:spacing w:after="0" w:line="237" w:lineRule="auto"/>
        <w:tabs>
          <w:tab w:leader="none" w:pos="145"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previously announced on February 19, 2025, our presentation of Adjusted EBITDA now excludes the impact of payroll taxes related to stock-based compensation expense, net. Prior period Adjusted EBITDA has been recast to reflect this change.</w:t>
      </w:r>
    </w:p>
    <w:p>
      <w:pPr>
        <w:ind w:right="20" w:firstLine="8"/>
        <w:spacing w:after="0" w:line="260" w:lineRule="auto"/>
        <w:tabs>
          <w:tab w:leader="none" w:pos="132"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Acquisition, integration, restructuring, and other costs for the year ended December 31, 2025 consisted primarily of non-recurring termination benefits. Acquisition, integration, restructuring, and other costs for the year ended December 31, 2024 consisted primarily of $0.8 million in restructuring charges incurred, $0.5 million of non-recurring legal charges, and $0.2 million related to the change in the fair value of the holdback liability associated with the acquisition of Rewire. Acquisition, integration, restructuring, and other costs for the year ended December 31, 2023 consisted primarily of $1.7 million of expenses incurred in connection with the acquisition and integration of Rewire, $1.4 million in restructuring charges incurred, and $1.1 million related to the change in the fair value of the holdback liability associated with the acquisition of Rewire. Refer to Note 7.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in the notes to the consolidated financial statements included in Part II, Item 8 of this Annual Report on Form 10-K for additional information on these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 and Material Future Cash Requirements</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As of December 31, 2025 and December 31, 2024, our principal sources of liquidity were cash and cash equivalents of $542.4 million and $368.1 million, respectively, as well as funds available under the 2021 Revolving Credit Facility and 2025 Revolving Credit Facility, which we entered into in September 2021 and June 2025, respectively. The 2021 Revolving Credit Facility was amended in December 2023 to increase the revolving commitments from $250.0 million (including a $60.0 million letter of credit sub-facility) to $325.0 million, and was replaced in June 2025 with the 2025 Revolving Credit Facility, which increased the revolving commitments to $550.0 million (including a $200.0 million letter of credit sub-facility). We have historically financed our operations and capital expenditures primarily through cash generated from operations including transaction fees charged to customers and foreign exchange spreads earned. In recent periods, we have supplemented those cash flows with borrowings on our 2021 Revolving Credit Facility and 2025 Revolving Credit Facility, primarily to support customer transaction volumes during peak periods and weekends, which we expect to continue to do in the future. During the years ended December 31, 2025 and 2024, the average term of outstanding borrowings under our 2021 Revolving Credit Facility and 2025 Revolving Credit Facility was approximately four days. Operations continue to be substantially funded by the existing cash we have on hand and ongoing utilization of the 2025 Revolving Credit Facility (including the letter of credit sub-facility). During the year ended December 31, 2025, we cumulatively borrowed</w:t>
      </w:r>
    </w:p>
    <w:p>
      <w:pPr>
        <w:spacing w:after="0" w:line="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$6.8 billion and repaid $6.7 billion against these credit facilities. As of December 31, 2025, we had $155.0 million outstanding borrowings under the 2025 Revolving Credit Facility, and had $323.2 million in unused borrowing capacity.</w:t>
      </w:r>
    </w:p>
    <w:p>
      <w:pPr>
        <w:spacing w:after="0" w:line="14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In July 2025, our board of directors approved a share repurchase program that provides for the repurchase of up to an aggregate of $200 million of our outstanding common stock. The program allows for share repurchases through open market transactions, in privately negotiated transactions, or by other means, in accordance with applicable securities laws and other restrictions, but does not obligate us to acquire any amount of common stock. The timing and total amount of share repurchases will be determined by us in our discretion and will depend on a variety of factors, including business, economic and market conditions, corporate and regulatory requirements, prevailing stock prices, alternative investment opportunities, and other considerations. During the year ended December 31, 2025, we repurchased $23.9 million of our common stock in open market transactions.</w:t>
      </w:r>
    </w:p>
    <w:p>
      <w:pPr>
        <w:spacing w:after="0" w:line="127"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We believe that our cash, cash equivalents, and funds available under the 2025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w:t>
      </w:r>
    </w:p>
    <w:p>
      <w:pPr>
        <w:spacing w:after="0" w:line="11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share repurchases,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Annual Report on Form 10-K, we expect that our operating expenses may continue to increase to support the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and compliance-application related arrangements, which are generally entered into in the ordinary course of business, and that can include minimum service quantities, requiring us to utilize cash on hand to fulfill these amounts. Refer to “Contractual Obligations and Commitments” discussed further below.</w:t>
      </w:r>
    </w:p>
    <w:p>
      <w:pPr>
        <w:spacing w:after="0" w:line="1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Consolidated Statements of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40" w:type="dxa"/>
            <w:vAlign w:val="bottom"/>
            <w:tcBorders>
              <w:bottom w:val="single" w:sz="8" w:color="auto"/>
            </w:tcBorders>
          </w:tcPr>
          <w:p>
            <w:pPr>
              <w:spacing w:after="0"/>
              <w:rPr>
                <w:sz w:val="19"/>
                <w:szCs w:val="19"/>
                <w:color w:val="auto"/>
              </w:rPr>
            </w:pPr>
          </w:p>
        </w:tc>
      </w:tr>
      <w:tr>
        <w:trPr>
          <w:trHeight w:val="24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1"/>
                <w:szCs w:val="21"/>
                <w:b w:val="1"/>
                <w:bCs w:val="1"/>
                <w:color w:val="auto"/>
                <w:vertAlign w:val="superscript"/>
              </w:rPr>
              <w:t>(1)</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325,082</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111,596</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66,806</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(50,037)</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w:t>
            </w:r>
          </w:p>
        </w:tc>
      </w:tr>
      <w:tr>
        <w:trPr>
          <w:trHeight w:val="24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174,482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44,788</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24,295</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60" w:firstLine="8"/>
        <w:spacing w:after="0" w:line="423" w:lineRule="auto"/>
        <w:tabs>
          <w:tab w:leader="none" w:pos="132"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Beginning in the fourth quarter of 2025, the Company changed the presentation of certain cash activity related to disbursement prefunding, customer funds receivable, customer liabilities, and trade settlement liability, from cash flows from operating activities to cash flows from financing activities within the line item ‘</w:t>
      </w:r>
      <w:r>
        <w:rPr>
          <w:rFonts w:ascii="Times New Roman" w:cs="Times New Roman" w:eastAsia="Times New Roman" w:hAnsi="Times New Roman"/>
          <w:sz w:val="11"/>
          <w:szCs w:val="11"/>
          <w:i w:val="1"/>
          <w:iCs w:val="1"/>
          <w:color w:val="auto"/>
        </w:rPr>
        <w:t>Net change in customer funds assets and liabilities</w:t>
      </w:r>
      <w:r>
        <w:rPr>
          <w:rFonts w:ascii="Times New Roman" w:cs="Times New Roman" w:eastAsia="Times New Roman" w:hAnsi="Times New Roman"/>
          <w:sz w:val="11"/>
          <w:szCs w:val="11"/>
          <w:color w:val="auto"/>
        </w:rPr>
        <w:t xml:space="preserve">.’ Prior period statements of cash flows and any commentary below have been conformed to the current period presentation to enhance transparency and provide comparability. For additional information, refer to Note 2. </w:t>
      </w:r>
      <w:r>
        <w:rPr>
          <w:rFonts w:ascii="Times New Roman" w:cs="Times New Roman" w:eastAsia="Times New Roman" w:hAnsi="Times New Roman"/>
          <w:sz w:val="11"/>
          <w:szCs w:val="11"/>
          <w:i w:val="1"/>
          <w:iCs w:val="1"/>
          <w:color w:val="auto"/>
        </w:rPr>
        <w:t>Basis of Presentation and Summary of Significant Accounting Policies</w:t>
      </w:r>
      <w:r>
        <w:rPr>
          <w:rFonts w:ascii="Times New Roman" w:cs="Times New Roman" w:eastAsia="Times New Roman" w:hAnsi="Times New Roman"/>
          <w:sz w:val="11"/>
          <w:szCs w:val="11"/>
          <w:color w:val="auto"/>
        </w:rPr>
        <w:t xml:space="preserve"> of the notes to our consolidated financial statements included in Part II, Item 8 of this Annual Report on Form 10-K.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69"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Our main sources of operating cash are transaction fees charged to customers and foreign exchange spreads on transactions. Our primary uses of cash from operating activities have been for transaction expenses that include fees paid to payment processors and disbursement partners, advertising expenses used to attract new customers, personnel-related costs, technology expenses, and other general corporate expenditures.</w:t>
      </w:r>
    </w:p>
    <w:p>
      <w:pPr>
        <w:spacing w:after="0" w:line="13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2025 was $325.1 million, an increase of $213.5 million compared to net cash provided by operating activities for the year ended December 31, 2024, primarily driven by a $104.9 million increase in net income, a $30.9 million change in accounts payable due to timing of payments, and a $21.2 million increase in operating lease liabilities, primarily related to our corporate headquarters.</w:t>
      </w:r>
    </w:p>
    <w:p>
      <w:pPr>
        <w:spacing w:after="0" w:line="138"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2024 was $111.6 million, an increase of $44.8 million compared to net cash provided by operating activities for the year ended December 31, 2023, primarily driven by an $80.9 million improvement in net loss, partially offset by a $48.4 million change in accounts payable due to timing of payments.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69"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Cash used in investing activities consists primarily of purchases of property and equipment, net originations from consumer receivables, and the capitalization of internal-use software.</w:t>
      </w:r>
    </w:p>
    <w:p>
      <w:pPr>
        <w:spacing w:after="0" w:line="97"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2025 was $69.9 million, as compared to net cash used in investing activities for the year ended December 31, 2024 of $19.9 million. This change was primarily driven by a $25.9 million increase in originations from consumer receivables, net of collections, and a $23.4 million increase in purchases of property and equipment, primarily related to leasehold improvements for our corporate headquarters.</w:t>
      </w:r>
    </w:p>
    <w:p>
      <w:pPr>
        <w:spacing w:after="0" w:line="11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2024 was $19.9 million, as compared to net cash used in investing activities for the year ended December 31, 2023 of $50.0 million. This change was primarily driven by the cash paid in the first quarter of 2023 for the acquisition of Rewire of $40.9 million, partially offset by an increase in capitalized internal-use software costs of $5.5 million for the year ended December 31, 2024, as compared to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Cash flows from financing activities consists primarily of borrowings on our revolving credit facilities, proceeds from the exercise of stock options, the net change in customer funds assets and liabilities (exclusive of the operating activity portion of such accounts), and proceeds from the issuance of common stock in connection with the Employee Stock Purchase Plan (“ESPP”), offset by repayments of our revolving credit facility borrowings, cash paid for repurchase of common stock, and cash paid for taxes related to net share settlement of equity awards. Activity in the customer funds assets and liabilities is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w:t>
      </w:r>
    </w:p>
    <w:p>
      <w:pPr>
        <w:spacing w:after="0" w:line="1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2025 was $89.8 million, as compared to net cash used in financing activities for the year ended December 31, 2024 of $42.4 million. This change was primarily driven by a net cash outflow in customer funds assets and liabilities of $208.7 million for the year ended December 31, 2025, as compared to a net cash inflow of $85.1 million in the prior period. Specifically, as a result of timing, cash outflows were impacted by increases in both disbursement prefunding and customer funds receivable, partially offset by increases in customer liabilities and trade settlement liabilities. Net cash used in financing activities was also impacted by a $21.7 million increase in cash paid for taxes related to net share settlement of equity awards and $23.9 million in cash paid for the repurchase of common stock in the year ended December 31, 2025. Financing activities for the year ended December 31, 2025 were partially offset by net borrowings on our revolving credit facilities of $155.0 million, as compared to net repayments of $130.0 million for the year ended December 31, 2024.</w:t>
      </w:r>
    </w:p>
    <w:p>
      <w:pPr>
        <w:spacing w:after="0" w:line="14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2024 was $42.4 million, as compared to net cash provided by financing activities for the year ended December 31, 2023 of $6.3 million. This change was primarily driven by net repayments on our 2021 Revolving Credit Facility of $130.0 million and the settlement of amounts previously held back for the Rewire acquisition of $10.3 million in the year ended December 31, 2024. This was partially offset by a net cash inflow of</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$85.1 million in customer funds assets and liabilities during the period, as compared to a $120.4 million net cash outflow in customer funds assets and liabilities in the year ended December 31, 2023, which was a result of both growth and timing. The change was also impacted by the repayment of assumed indebtedness of $17.1 million that occurred in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As of December 31, 2025, we had approximately $133.9 million in total purchase commitments under these arrangements, of which $30.4 million are expected to be paid within the next year.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26"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6"/>
          <w:szCs w:val="16"/>
          <w:color w:val="auto"/>
        </w:rPr>
        <w:t xml:space="preserve">For further discussion of commitments and contingencies, also refer to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 xml:space="preserve">As of December 31, 2025, we had no material off-balance sheet arrangements that have, or are reasonably likely to have, a current or future material effect on our consolidated financial condition, results of operations, liquidity, capital expenditures, or capital resources. From time to time we do enter into short-term leases that have lease terms of less than twelve months, and are typically month-to-month in nature. As described in the notes to the consolidated financial statements, we elected not to record leases on our Consolidated Balance Sheets if the lease term is twelve months or less. For further information on our lease arrangements, refer to Note 18.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8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and accompanying notes included in this Annual Report on Form 10-K are prepared in accordance with GAAP. The preparation of these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41"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While our significant accounting policies are described in the notes to the consolidated financial statements included in Part II, Item 8 of this Annual Report on Form 10-K, we believe that the following critical accounting estimates involve a greater degree of judgment and complexity. Accordingly, these are the policies we believe are the most important to aid in fully understanding and evaluating our reported financial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7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6"/>
          <w:szCs w:val="16"/>
          <w:color w:val="auto"/>
        </w:rPr>
        <w:t>For our global money movement product, which currently represents the substantial majority of our revenue, we earn revenue from transaction fees charged to customers and the foreign exchange spreads earned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For our global money movement product, customers engage us to perform one integrated service—collect the customer’s money and deliver funds to the intended recipient in the currency requested. Payment is generally due from the customer upfront upon initiation of a transaction, when the customer simultaneously agrees to our terms and conditions. This service comprises of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 at which time a receivable is recorded, along with a corresponding customer liability. None of our contracts contain a significant financing component.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Assessments</w:t>
      </w:r>
    </w:p>
    <w:p>
      <w:pPr>
        <w:spacing w:after="0" w:line="171"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We monitor conditions related to long-lived assets and test for impairment whenever events or circumstances indicate that their carrying amount may not be recoverable, such as historical operating and/or cash flow losses of an asset group.</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We perform a goodwill impairment test annually on October 31 or whenever events or changes in circumstances indicate that the carrying amount may not be fully recoverable. We have determined that our business comprises one reporting unit. The assessment of impairment involves the use of accounting estimates and assumptions, changes in which could materially impact our financial condition or operating performance if actual results differ from such estimates and assumptions. In performing the impairment assessment of goodwill, we have an option to first assess qualitative factors to determine whether events or circumstances indicate it is more likely than not that the fair value is greater than its carrying amount. We consider factors in performing a qualitative assessment, including, but not limited to, general macroeconomic conditions, industry and market conditions, company financial performance, changes in strategy, and other relevant entity-specific events. If we elect to bypass the qualitative assessment or do not pass the qualitative assessment, a quantitative assessment is then performed. The quantitative assessment compares the carrying value to the fair value of goodwill, with the difference representing an impairment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6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 xml:space="preserve">Refer to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 for a discussion of recent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83"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our disbursement partners when we prefund or remit funds in advance of having collected funds from our customers through our pay-in payment processors, if our disbursement partners fail to disburse funds according to our instructions (for example, due to their insufficient capital), and our consumer receivables. We mitigate these credit exposures by engaging with reputable disbursement partners and performing a credit review before onboarding each disbursement partner, by negotiating for postfunding arrangements where circumstances permit, and by managing eligibility related to our consumer receivables. We also periodically review credit ratings, or, if unavailable, other financial documentation, of both our pay-in payment providers and disbursement partners. We have not experienced significant losses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nature of our business, we are exposed to foreign exchange rate risk in a number of ways. Our principal exposure to foreign exchange rate risk includes:</w:t>
      </w:r>
    </w:p>
    <w:p>
      <w:pPr>
        <w:spacing w:after="0" w:line="181" w:lineRule="exact"/>
        <w:rPr>
          <w:sz w:val="20"/>
          <w:szCs w:val="20"/>
          <w:color w:val="auto"/>
        </w:rPr>
      </w:pPr>
    </w:p>
    <w:p>
      <w:pPr>
        <w:ind w:left="660" w:right="20" w:hanging="328"/>
        <w:spacing w:after="0" w:line="260"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27" w:lineRule="exact"/>
        <w:rPr>
          <w:rFonts w:ascii="Times New Roman" w:cs="Times New Roman" w:eastAsia="Times New Roman" w:hAnsi="Times New Roman"/>
          <w:sz w:val="16"/>
          <w:szCs w:val="16"/>
          <w:color w:val="auto"/>
        </w:rPr>
      </w:pPr>
    </w:p>
    <w:p>
      <w:pPr>
        <w:ind w:left="660" w:hanging="328"/>
        <w:spacing w:after="0" w:line="260"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12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 hypothetical uniform 10% strengthening or weakening in the value of the U.S. dollar relative to other currencies in which our net income (loss) was generated, would have resulted in a decrease or increase to the fair value of our customer transaction-related assets and liabilities denominated in currencies other than the subsidiaries’ functional currencies of approximately $37.9 million as of December 31, 2025, and $17.4 million as of December 31, 2024,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global money movement transactions. For example, an increase in the value of a send currency against a receive currency may accelerate the timing or amount of global money movement transactions.</w:t>
      </w:r>
    </w:p>
    <w:p>
      <w:pPr>
        <w:spacing w:after="0" w:line="13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To the extent practicable, we minimize our foreign currency exposures by maintaining natural hedges between our current assets and current liabilities in similarly denominated foreign currencies. We also deploy derivatives and other financial instruments to reduce foreign currency exchange risk due to the timing difference between purchase of foreign currency and remittance initiation. These foreign exchange contracts have not had a material impact on our operations in the period. We do not use derivative financial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Page</w:t>
            </w:r>
          </w:p>
        </w:tc>
      </w:tr>
      <w:tr>
        <w:trPr>
          <w:trHeight w:val="189"/>
        </w:trPr>
        <w:tc>
          <w:tcPr>
            <w:tcW w:w="20" w:type="dxa"/>
            <w:vAlign w:val="bottom"/>
            <w:tcBorders>
              <w:top w:val="single" w:sz="8" w:color="auto"/>
            </w:tcBorders>
          </w:tcPr>
          <w:p>
            <w:pPr>
              <w:spacing w:after="0"/>
              <w:rPr>
                <w:sz w:val="16"/>
                <w:szCs w:val="16"/>
                <w:color w:val="auto"/>
              </w:rPr>
            </w:pPr>
          </w:p>
        </w:tc>
        <w:tc>
          <w:tcPr>
            <w:tcW w:w="50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Accounting Firm </w:t>
            </w:r>
            <w:r>
              <w:rPr>
                <w:rFonts w:ascii="Times New Roman" w:cs="Times New Roman" w:eastAsia="Times New Roman" w:hAnsi="Times New Roman"/>
                <w:sz w:val="16"/>
                <w:szCs w:val="16"/>
                <w:color w:val="000000"/>
              </w:rPr>
              <w:t>(PCAOB ID 238)</w:t>
            </w:r>
          </w:p>
        </w:tc>
        <w:tc>
          <w:tcPr>
            <w:tcW w:w="6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58</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680" w:type="dxa"/>
            <w:vAlign w:val="bottom"/>
            <w:gridSpan w:val="2"/>
          </w:tcPr>
          <w:p>
            <w:pPr>
              <w:spacing w:after="0"/>
              <w:rPr>
                <w:sz w:val="19"/>
                <w:szCs w:val="19"/>
                <w:color w:val="auto"/>
              </w:rPr>
            </w:pP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2480" w:type="dxa"/>
            <w:vAlign w:val="bottom"/>
            <w:gridSpan w:val="6"/>
          </w:tcPr>
          <w:p>
            <w:pPr>
              <w:spacing w:after="0"/>
              <w:rPr>
                <w:sz w:val="19"/>
                <w:szCs w:val="19"/>
                <w:color w:val="auto"/>
              </w:rPr>
            </w:pP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r>
              <w:rPr>
                <w:rFonts w:ascii="Times New Roman" w:cs="Times New Roman" w:eastAsia="Times New Roman" w:hAnsi="Times New Roman"/>
                <w:sz w:val="16"/>
                <w:szCs w:val="16"/>
                <w:color w:val="000000"/>
              </w:rPr>
              <w:t>)</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1240" w:type="dxa"/>
            <w:vAlign w:val="bottom"/>
          </w:tcPr>
          <w:p>
            <w:pPr>
              <w:spacing w:after="0"/>
              <w:rPr>
                <w:sz w:val="19"/>
                <w:szCs w:val="19"/>
                <w:color w:val="auto"/>
              </w:rPr>
            </w:pP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20" w:type="dxa"/>
            <w:vAlign w:val="bottom"/>
            <w:gridSpan w:val="3"/>
          </w:tcPr>
          <w:p>
            <w:pPr>
              <w:spacing w:after="0"/>
              <w:rPr>
                <w:sz w:val="19"/>
                <w:szCs w:val="19"/>
                <w:color w:val="auto"/>
              </w:rPr>
            </w:pP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8"/>
        </w:trPr>
        <w:tc>
          <w:tcPr>
            <w:tcW w:w="20" w:type="dxa"/>
            <w:vAlign w:val="bottom"/>
          </w:tcPr>
          <w:p>
            <w:pPr>
              <w:spacing w:after="0"/>
              <w:rPr>
                <w:sz w:val="24"/>
                <w:szCs w:val="24"/>
                <w:color w:val="auto"/>
              </w:rPr>
            </w:pPr>
          </w:p>
        </w:tc>
        <w:tc>
          <w:tcPr>
            <w:tcW w:w="18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0" w:type="dxa"/>
            <w:vAlign w:val="bottom"/>
          </w:tcPr>
          <w:p>
            <w:pPr>
              <w:jc w:val="right"/>
              <w:ind w:right="5259"/>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20" w:type="dxa"/>
            <w:vAlign w:val="bottom"/>
            <w:tcBorders>
              <w:bottom w:val="single" w:sz="8" w:color="9A9A9A"/>
            </w:tcBorders>
          </w:tcPr>
          <w:p>
            <w:pPr>
              <w:spacing w:after="0"/>
              <w:rPr>
                <w:sz w:val="23"/>
                <w:szCs w:val="23"/>
                <w:color w:val="auto"/>
              </w:rPr>
            </w:pPr>
          </w:p>
        </w:tc>
        <w:tc>
          <w:tcPr>
            <w:tcW w:w="18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60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Remitly Global,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Remitly Global, Inc. and its subsidiaries (the “Company”) as of December 31, 2025 and 2024, and the related consolidated statements of operations, of comprehensive income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7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described in Note 3 to the consolidated financial statements, the Company’s consolidated revenue was $1.64 billion for the year ended December 31, 2025. The Company’s primary source of revenue is generated from its global money movement product.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Company’s global money movement product comprises of a single performance obligation to complete transactions for the Company's customers. The principal considerations for our determination that performing procedures relating to revenue recognition is a critical audit matter are a high degree of auditor effort in performing procedures and evaluating audit evidence related to the Company’s revenue recognition. Addressing the matter involved performing procedures and evaluating audit evidence in connection with forming our overall opinion on the consolidated financial statements. These procedures included testing the effectiveness of controls related to the revenue recognition process, including controls over the completeness, accuracy and occurrence of revenue recognized. These procedures also included, among others, testing the completeness, accuracy and occurrence of revenue recognized for a sample of revenue transactions by (i) obtaining and inspecting source documents, which included customer transaction records, incoming cash receipts, and cash disbursement statements, and (ii) evaluating the appropriateness of revenue recognized based on the terms of the related customer transaction record.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Seattle, Washington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18,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2"/>
        </w:trPr>
        <w:tc>
          <w:tcPr>
            <w:tcW w:w="1160" w:type="dxa"/>
            <w:vAlign w:val="bottom"/>
            <w:tcBorders>
              <w:top w:val="single" w:sz="8" w:color="0000FF"/>
            </w:tcBorders>
          </w:tcPr>
          <w:p>
            <w:pPr>
              <w:spacing w:after="0"/>
              <w:rPr>
                <w:sz w:val="24"/>
                <w:szCs w:val="24"/>
                <w:color w:val="auto"/>
              </w:rPr>
            </w:pPr>
          </w:p>
        </w:tc>
        <w:tc>
          <w:tcPr>
            <w:tcW w:w="7080" w:type="dxa"/>
            <w:vAlign w:val="bottom"/>
          </w:tcPr>
          <w:p>
            <w:pPr>
              <w:jc w:val="center"/>
              <w:ind w:left="175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08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7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 except share and per share data</w:t>
            </w: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11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542,426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368,097</w:t>
            </w:r>
          </w:p>
        </w:tc>
        <w:tc>
          <w:tcPr>
            <w:tcW w:w="0" w:type="dxa"/>
            <w:vAlign w:val="bottom"/>
          </w:tcPr>
          <w:p>
            <w:pPr>
              <w:spacing w:after="0"/>
              <w:rPr>
                <w:sz w:val="1"/>
                <w:szCs w:val="1"/>
                <w:color w:val="auto"/>
              </w:rPr>
            </w:pPr>
          </w:p>
        </w:tc>
      </w:tr>
      <w:tr>
        <w:trPr>
          <w:trHeight w:val="233"/>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Disbursement prefunding</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441,335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288,934</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286,455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193,965</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45,735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46,518</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1,315,951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897,514</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31,566</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0" w:type="dxa"/>
            <w:vAlign w:val="bottom"/>
          </w:tcPr>
          <w:p>
            <w:pPr>
              <w:spacing w:after="0"/>
              <w:rPr>
                <w:sz w:val="1"/>
                <w:szCs w:val="1"/>
                <w:color w:val="auto"/>
              </w:rPr>
            </w:pPr>
          </w:p>
        </w:tc>
      </w:tr>
      <w:tr>
        <w:trPr>
          <w:trHeight w:val="268"/>
        </w:trPr>
        <w:tc>
          <w:tcPr>
            <w:tcW w:w="82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1,458,713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28,450</w:t>
            </w:r>
          </w:p>
        </w:tc>
        <w:tc>
          <w:tcPr>
            <w:tcW w:w="8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16,159</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219,667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188,984</w:t>
            </w:r>
          </w:p>
        </w:tc>
        <w:tc>
          <w:tcPr>
            <w:tcW w:w="0" w:type="dxa"/>
            <w:vAlign w:val="bottom"/>
          </w:tcPr>
          <w:p>
            <w:pPr>
              <w:spacing w:after="0"/>
              <w:rPr>
                <w:sz w:val="1"/>
                <w:szCs w:val="1"/>
                <w:color w:val="auto"/>
              </w:rPr>
            </w:pPr>
          </w:p>
        </w:tc>
      </w:tr>
      <w:tr>
        <w:trPr>
          <w:trHeight w:val="233"/>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Short-term debt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141,948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116,652</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329,008</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589,924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347,400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2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725,000,000 shares authorized as of both December 31, 2025 and 2024; 210,625,519</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and 200,534,626 shares issued and outstanding as of December 31, 2025 and 2024, respectively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1,325,520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0" w:type="dxa"/>
            <w:vAlign w:val="bottom"/>
          </w:tcPr>
          <w:p>
            <w:pPr>
              <w:spacing w:after="0"/>
              <w:rPr>
                <w:sz w:val="1"/>
                <w:szCs w:val="1"/>
                <w:color w:val="auto"/>
              </w:rPr>
            </w:pPr>
          </w:p>
        </w:tc>
      </w:tr>
      <w:tr>
        <w:trPr>
          <w:trHeight w:val="233"/>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46"/>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(460,348)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868,789</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0" w:type="dxa"/>
            <w:vAlign w:val="bottom"/>
          </w:tcPr>
          <w:p>
            <w:pPr>
              <w:spacing w:after="0"/>
              <w:rPr>
                <w:sz w:val="1"/>
                <w:szCs w:val="1"/>
                <w:color w:val="auto"/>
              </w:rPr>
            </w:pPr>
          </w:p>
        </w:tc>
      </w:tr>
      <w:tr>
        <w:trPr>
          <w:trHeight w:val="268"/>
        </w:trPr>
        <w:tc>
          <w:tcPr>
            <w:tcW w:w="82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1,458,713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1,012,871</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82"/>
        </w:trPr>
        <w:tc>
          <w:tcPr>
            <w:tcW w:w="116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320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4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 except share and per share data</w:t>
            </w: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661"/>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r>
      <w:tr>
        <w:trPr>
          <w:trHeight w:val="237"/>
        </w:trPr>
        <w:tc>
          <w:tcPr>
            <w:tcW w:w="116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1,635,147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944,285</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329,113</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82,521</w:t>
            </w: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234,417</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219,939</w:t>
            </w: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179,372</w:t>
            </w:r>
          </w:p>
        </w:tc>
      </w:tr>
      <w:tr>
        <w:trPr>
          <w:trHeight w:val="237"/>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13,118</w:t>
            </w:r>
          </w:p>
        </w:tc>
      </w:tr>
      <w:tr>
        <w:trPr>
          <w:trHeight w:val="237"/>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1,557,679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1,303,049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1,058,480</w:t>
            </w:r>
          </w:p>
        </w:tc>
      </w:tr>
      <w:tr>
        <w:trPr>
          <w:trHeight w:val="233"/>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(114,195)</w:t>
            </w:r>
          </w:p>
        </w:tc>
      </w:tr>
      <w:tr>
        <w:trPr>
          <w:trHeight w:val="25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w:t>
            </w:r>
          </w:p>
        </w:tc>
      </w:tr>
      <w:tr>
        <w:trPr>
          <w:trHeight w:val="23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r>
      <w:tr>
        <w:trPr>
          <w:trHeight w:val="24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r>
      <w:tr>
        <w:trPr>
          <w:trHeight w:val="233"/>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(111,938)</w:t>
            </w:r>
          </w:p>
        </w:tc>
      </w:tr>
      <w:tr>
        <w:trPr>
          <w:trHeight w:val="24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43"/>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3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53"/>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16"/>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 attributable to common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205,833,196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194,646,436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180,818,399</w:t>
            </w:r>
          </w:p>
        </w:tc>
      </w:tr>
      <w:tr>
        <w:trPr>
          <w:trHeight w:val="223"/>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217,569,896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194,646,436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180,818,399</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ind w:left="160" w:hanging="152"/>
        <w:spacing w:after="0" w:line="222" w:lineRule="auto"/>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Exclusive of depreciation and amortization, shown separately.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30480</wp:posOffset>
            </wp:positionV>
            <wp:extent cx="30861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3" w:lineRule="exact"/>
        <w:rPr>
          <w:sz w:val="20"/>
          <w:szCs w:val="20"/>
          <w:color w:val="auto"/>
        </w:rPr>
      </w:pPr>
    </w:p>
    <w:tbl>
      <w:tblPr>
        <w:tblLayout w:type="fixed"/>
        <w:tblInd w:w="2760" w:type="dxa"/>
        <w:tblCellMar>
          <w:top w:w="0" w:type="dxa"/>
          <w:left w:w="0" w:type="dxa"/>
          <w:bottom w:w="0" w:type="dxa"/>
          <w:right w:w="0" w:type="dxa"/>
        </w:tblCellMar>
      </w:tblPr>
      <w:tr>
        <w:trPr>
          <w:trHeight w:val="225"/>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(117,840)</w:t>
            </w:r>
          </w:p>
        </w:tc>
      </w:tr>
      <w:tr>
        <w:trPr>
          <w:trHeight w:val="466"/>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37"/>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73,187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(116,762)</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-668020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-350520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20"/>
          </w:cols>
          <w:pgMar w:left="320" w:top="369" w:right="339" w:bottom="1440" w:gutter="0" w:footer="0" w:header="0"/>
        </w:sectPr>
      </w:pP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2"/>
        </w:trPr>
        <w:tc>
          <w:tcPr>
            <w:tcW w:w="1160" w:type="dxa"/>
            <w:vAlign w:val="bottom"/>
            <w:tcBorders>
              <w:top w:val="single" w:sz="8" w:color="0000FF"/>
            </w:tcBorders>
          </w:tcPr>
          <w:p>
            <w:pPr>
              <w:spacing w:after="0"/>
              <w:rPr>
                <w:sz w:val="24"/>
                <w:szCs w:val="24"/>
                <w:color w:val="auto"/>
              </w:rPr>
            </w:pPr>
          </w:p>
        </w:tc>
        <w:tc>
          <w:tcPr>
            <w:tcW w:w="3180" w:type="dxa"/>
            <w:vAlign w:val="bottom"/>
          </w:tcPr>
          <w:p>
            <w:pPr>
              <w:spacing w:after="0"/>
              <w:rPr>
                <w:sz w:val="24"/>
                <w:szCs w:val="24"/>
                <w:color w:val="auto"/>
              </w:rPr>
            </w:pP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40" w:type="dxa"/>
            <w:vAlign w:val="bottom"/>
            <w:gridSpan w:val="10"/>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 except share data</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200,534,626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929,118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0" w:type="dxa"/>
            <w:vAlign w:val="bottom"/>
          </w:tcPr>
          <w:p>
            <w:pPr>
              <w:spacing w:after="0"/>
              <w:rPr>
                <w:sz w:val="1"/>
                <w:szCs w:val="1"/>
                <w:color w:val="auto"/>
              </w:rPr>
            </w:pPr>
          </w:p>
        </w:tc>
      </w:tr>
      <w:tr>
        <w:trPr>
          <w:trHeight w:val="225"/>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and</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11,801,711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0" w:type="dxa"/>
            <w:vAlign w:val="bottom"/>
          </w:tcPr>
          <w:p>
            <w:pPr>
              <w:spacing w:after="0"/>
              <w:rPr>
                <w:sz w:val="1"/>
                <w:szCs w:val="1"/>
                <w:color w:val="auto"/>
              </w:rPr>
            </w:pPr>
          </w:p>
        </w:tc>
      </w:tr>
      <w:tr>
        <w:trPr>
          <w:trHeight w:val="25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(1,337,831)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159,788</w:t>
            </w:r>
          </w:p>
        </w:tc>
        <w:tc>
          <w:tcPr>
            <w:tcW w:w="0" w:type="dxa"/>
            <w:vAlign w:val="bottom"/>
          </w:tcPr>
          <w:p>
            <w:pPr>
              <w:spacing w:after="0"/>
              <w:rPr>
                <w:sz w:val="1"/>
                <w:szCs w:val="1"/>
                <w:color w:val="auto"/>
              </w:rPr>
            </w:pPr>
          </w:p>
        </w:tc>
      </w:tr>
      <w:tr>
        <w:trPr>
          <w:trHeight w:val="25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(1,484,066)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(23,894)</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0" w:type="dxa"/>
            <w:vAlign w:val="bottom"/>
          </w:tcPr>
          <w:p>
            <w:pPr>
              <w:spacing w:after="0"/>
              <w:rPr>
                <w:sz w:val="1"/>
                <w:szCs w:val="1"/>
                <w:color w:val="auto"/>
              </w:rPr>
            </w:pPr>
          </w:p>
        </w:tc>
      </w:tr>
      <w:tr>
        <w:trPr>
          <w:trHeight w:val="24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0" w:type="dxa"/>
            <w:vAlign w:val="bottom"/>
          </w:tcPr>
          <w:p>
            <w:pPr>
              <w:spacing w:after="0"/>
              <w:rPr>
                <w:sz w:val="1"/>
                <w:szCs w:val="1"/>
                <w:color w:val="auto"/>
              </w:rPr>
            </w:pPr>
          </w:p>
        </w:tc>
      </w:tr>
      <w:tr>
        <w:trPr>
          <w:trHeight w:val="24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66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210,625,519</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1,325,520</w:t>
            </w:r>
          </w:p>
        </w:tc>
        <w:tc>
          <w:tcPr>
            <w:tcW w:w="8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8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(460,348)</w:t>
            </w:r>
          </w:p>
        </w:tc>
        <w:tc>
          <w:tcPr>
            <w:tcW w:w="8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868,789</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826,305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0" w:type="dxa"/>
            <w:vAlign w:val="bottom"/>
          </w:tcPr>
          <w:p>
            <w:pPr>
              <w:spacing w:after="0"/>
              <w:rPr>
                <w:sz w:val="1"/>
                <w:szCs w:val="1"/>
                <w:color w:val="auto"/>
              </w:rPr>
            </w:pPr>
          </w:p>
        </w:tc>
      </w:tr>
      <w:tr>
        <w:trPr>
          <w:trHeight w:val="225"/>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11,267,883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25"/>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previously held back for acquisition</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consideration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(308,982)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0" w:type="dxa"/>
            <w:vAlign w:val="bottom"/>
          </w:tcPr>
          <w:p>
            <w:pPr>
              <w:spacing w:after="0"/>
              <w:rPr>
                <w:sz w:val="1"/>
                <w:szCs w:val="1"/>
                <w:color w:val="auto"/>
              </w:rPr>
            </w:pPr>
          </w:p>
        </w:tc>
      </w:tr>
      <w:tr>
        <w:trPr>
          <w:trHeight w:val="25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156,865</w:t>
            </w:r>
          </w:p>
        </w:tc>
        <w:tc>
          <w:tcPr>
            <w:tcW w:w="0" w:type="dxa"/>
            <w:vAlign w:val="bottom"/>
          </w:tcPr>
          <w:p>
            <w:pPr>
              <w:spacing w:after="0"/>
              <w:rPr>
                <w:sz w:val="1"/>
                <w:szCs w:val="1"/>
                <w:color w:val="auto"/>
              </w:rPr>
            </w:pPr>
          </w:p>
        </w:tc>
      </w:tr>
      <w:tr>
        <w:trPr>
          <w:trHeight w:val="23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4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0" w:type="dxa"/>
            <w:vAlign w:val="bottom"/>
          </w:tcPr>
          <w:p>
            <w:pPr>
              <w:spacing w:after="0"/>
              <w:rPr>
                <w:sz w:val="1"/>
                <w:szCs w:val="1"/>
                <w:color w:val="auto"/>
              </w:rPr>
            </w:pPr>
          </w:p>
        </w:tc>
      </w:tr>
      <w:tr>
        <w:trPr>
          <w:trHeight w:val="24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200,534,626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2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20" w:type="dxa"/>
            <w:vAlign w:val="bottom"/>
            <w:gridSpan w:val="3"/>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jc w:val="right"/>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173,250,865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854,276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(373,463)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480,087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14,009,751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r>
        <w:trPr>
          <w:trHeight w:val="202"/>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conditions, in connection with acquisition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140,099</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0" w:type="dxa"/>
            <w:vAlign w:val="bottom"/>
          </w:tcPr>
          <w:p>
            <w:pPr>
              <w:spacing w:after="0"/>
              <w:rPr>
                <w:sz w:val="1"/>
                <w:szCs w:val="1"/>
                <w:color w:val="auto"/>
              </w:rPr>
            </w:pPr>
          </w:p>
        </w:tc>
      </w:tr>
      <w:tr>
        <w:trPr>
          <w:trHeight w:val="26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2"/>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5540" w:type="dxa"/>
            <w:vAlign w:val="bottom"/>
          </w:tcPr>
          <w:p>
            <w:pPr>
              <w:jc w:val="center"/>
              <w:ind w:left="329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960" w:type="dxa"/>
            <w:vAlign w:val="bottom"/>
            <w:gridSpan w:val="2"/>
          </w:tcPr>
          <w:p>
            <w:pPr>
              <w:jc w:val="center"/>
              <w:ind w:left="287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40" w:type="dxa"/>
            <w:vAlign w:val="bottom"/>
          </w:tcPr>
          <w:p>
            <w:pPr>
              <w:jc w:val="center"/>
              <w:ind w:left="33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80" w:type="dxa"/>
            <w:vAlign w:val="bottom"/>
            <w:gridSpan w:val="2"/>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Depreciation, amortization, and other</w:t>
            </w:r>
          </w:p>
        </w:tc>
        <w:tc>
          <w:tcPr>
            <w:tcW w:w="42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Donation of common stock</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27,559</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325,082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111,596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collections (originations) from consumer receivables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acquisition, net of acquired cash, cash equivalents, and restricted cash</w:t>
            </w:r>
          </w:p>
        </w:tc>
        <w:tc>
          <w:tcPr>
            <w:tcW w:w="4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(69,934)</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(19,886)</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ESPP</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repurchase of common stock</w:t>
            </w:r>
          </w:p>
        </w:tc>
        <w:tc>
          <w:tcPr>
            <w:tcW w:w="4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764,000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(6,656,000)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(1,583,000)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customer funds assets and liabilities</w:t>
            </w:r>
          </w:p>
        </w:tc>
        <w:tc>
          <w:tcPr>
            <w:tcW w:w="4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settlement of amounts previously held back for acquisition consideration</w:t>
            </w:r>
          </w:p>
        </w:tc>
        <w:tc>
          <w:tcPr>
            <w:tcW w:w="4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of assumed indebtedness</w:t>
            </w:r>
          </w:p>
        </w:tc>
        <w:tc>
          <w:tcPr>
            <w:tcW w:w="4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(89,780)</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(42,367)</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369,817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300,734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542,426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323,710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 net</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544,299</w:t>
            </w:r>
          </w:p>
        </w:tc>
        <w:tc>
          <w:tcPr>
            <w:tcW w:w="80" w:type="dxa"/>
            <w:vAlign w:val="bottom"/>
          </w:tcPr>
          <w:p>
            <w:pPr>
              <w:spacing w:after="0"/>
              <w:rPr>
                <w:sz w:val="17"/>
                <w:szCs w:val="17"/>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369,817</w:t>
            </w:r>
          </w:p>
        </w:tc>
        <w:tc>
          <w:tcPr>
            <w:tcW w:w="80" w:type="dxa"/>
            <w:vAlign w:val="bottom"/>
          </w:tcPr>
          <w:p>
            <w:pPr>
              <w:spacing w:after="0"/>
              <w:rPr>
                <w:sz w:val="17"/>
                <w:szCs w:val="17"/>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361" w:right="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42" w:lineRule="exact"/>
        <w:rPr>
          <w:sz w:val="20"/>
          <w:szCs w:val="20"/>
          <w:color w:val="auto"/>
        </w:rPr>
      </w:pPr>
    </w:p>
    <w:p>
      <w:pPr>
        <w:ind w:right="8060" w:firstLine="8"/>
        <w:spacing w:after="0" w:line="467" w:lineRule="auto"/>
        <w:tabs>
          <w:tab w:leader="none" w:pos="283"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Description of Business</w:t>
      </w:r>
    </w:p>
    <w:p>
      <w:pPr>
        <w:spacing w:after="0" w:line="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spacing w:after="0" w:line="138"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Remitly is a trusted provider of financial services that transcend borders. With a footprint spanning more than 175 countries, Remitly has built one of the world’s leading global money movement platforms, trusted by millions of customers. Remitly continues to evolve beyond a remittance company into a diversified, cross-border financial services provider, serving both consumers and businesses across a growing set of use cases.</w:t>
      </w:r>
    </w:p>
    <w:p>
      <w:pPr>
        <w:spacing w:after="0" w:line="1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Unless otherwise expressly stated or the context otherwise requires, the terms “Remitly” and the “Company” within these notes to the consolidated financial statements refer to Remitly Global, Inc. and its wholly-owned subsidiaries.</w:t>
      </w:r>
    </w:p>
    <w:p>
      <w:pPr>
        <w:spacing w:after="0" w:line="122" w:lineRule="exact"/>
        <w:rPr>
          <w:sz w:val="20"/>
          <w:szCs w:val="20"/>
          <w:color w:val="auto"/>
        </w:rPr>
      </w:pPr>
    </w:p>
    <w:p>
      <w:pPr>
        <w:ind w:right="6100" w:firstLine="8"/>
        <w:spacing w:after="0" w:line="459" w:lineRule="auto"/>
        <w:tabs>
          <w:tab w:leader="none" w:pos="283"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Basis of Presentation</w:t>
      </w:r>
    </w:p>
    <w:p>
      <w:pPr>
        <w:ind w:right="460"/>
        <w:spacing w:after="0" w:line="298"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of America (“GAAP”) and applicable rules and regulations of the U.S. Securities and Exchange Commission (the “SEC”) regarding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Remitly Global, Inc. and its wholly-owned subsidiaries. All intercompany transactions and balances have been eliminated in consolidation.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 in Statements of Cash Flows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These consolidated financial statements and notes have been prepared consistently, with the exception of the reclassification of certain prior year amounts within the Company’s Consolidated Statements of Cash Flows. Beginning in the fourth quarter of 2025, the Company changed the presentation of certain cash activity related to customer funds assets and liabilities, which is comprised of disbursement prefunding, customer funds receivable, customer liabilities, and trade settlement liability included within the line item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on the Consolidated Balance Sheets. Certain components of this activity were reclassified from cash flows from operating activities to cash flows from financing activities, reflected within the line item ‘</w:t>
      </w:r>
      <w:r>
        <w:rPr>
          <w:rFonts w:ascii="Times New Roman" w:cs="Times New Roman" w:eastAsia="Times New Roman" w:hAnsi="Times New Roman"/>
          <w:sz w:val="16"/>
          <w:szCs w:val="16"/>
          <w:i w:val="1"/>
          <w:iCs w:val="1"/>
          <w:color w:val="auto"/>
        </w:rPr>
        <w:t>Net change in customer funds assets and liabilities</w:t>
      </w:r>
      <w:r>
        <w:rPr>
          <w:rFonts w:ascii="Times New Roman" w:cs="Times New Roman" w:eastAsia="Times New Roman" w:hAnsi="Times New Roman"/>
          <w:sz w:val="16"/>
          <w:szCs w:val="16"/>
          <w:color w:val="auto"/>
        </w:rPr>
        <w:t>’ on the Consolidated Statements of Cash Flows. This change resulted in a decrease in cash flows from operating activities of $85.1 million for the year ended December 31, 2024 and an increase of $120.4 million for the year ended December 31, 2023, offset by a corresponding change in cash flows from financing activities for both years presented. The Company has conformed the prior period Consolidated Statements of Cash Flows to the current period presentation to enhance transparency and provide comparability. This reclassification did not affect the Company’s Consolidated Statements of Operations, Consolidated Statements of Comprehensive Income (Loss), Consolidated Balance Sheets, or Consolidated Statements of Shareholders’ Equity.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6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6"/>
          <w:szCs w:val="16"/>
          <w:color w:val="auto"/>
        </w:rPr>
        <w:t>The preparation of the accompanying consolidated financial statements requires management to make estimates and assumptions that affect the amounts reported and disclosed within the consolidated financial statements and accompanying notes. These estimates and assumptions include, but are not limited to, revenue recognition including the treatment of sales incentive programs, reserves for transaction losses, allowance for credit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years ended December 31, 2025, 2024, and 2023.</w:t>
      </w:r>
    </w:p>
    <w:p>
      <w:pPr>
        <w:spacing w:after="0" w:line="141" w:lineRule="exact"/>
        <w:rPr>
          <w:sz w:val="20"/>
          <w:szCs w:val="20"/>
          <w:color w:val="auto"/>
        </w:rPr>
      </w:pPr>
    </w:p>
    <w:p>
      <w:pPr>
        <w:ind w:right="1240"/>
        <w:spacing w:after="0" w:line="466" w:lineRule="auto"/>
        <w:rPr>
          <w:sz w:val="20"/>
          <w:szCs w:val="20"/>
          <w:color w:val="auto"/>
        </w:rPr>
      </w:pPr>
      <w:r>
        <w:rPr>
          <w:rFonts w:ascii="Times New Roman" w:cs="Times New Roman" w:eastAsia="Times New Roman" w:hAnsi="Times New Roman"/>
          <w:sz w:val="16"/>
          <w:szCs w:val="16"/>
          <w:color w:val="auto"/>
        </w:rPr>
        <w:t xml:space="preserve">For the years ended December 31, 2025, 2024, and 2023, no individual customer represented 10% or more of total revenues or customer funds receivable. </w:t>
      </w:r>
      <w:r>
        <w:rPr>
          <w:rFonts w:ascii="Times New Roman" w:cs="Times New Roman" w:eastAsia="Times New Roman" w:hAnsi="Times New Roman"/>
          <w:sz w:val="16"/>
          <w:szCs w:val="16"/>
          <w:b w:val="1"/>
          <w:bCs w:val="1"/>
          <w:color w:val="auto"/>
        </w:rPr>
        <w:t>Foreign Currency Translation</w:t>
      </w:r>
    </w:p>
    <w:p>
      <w:pPr>
        <w:spacing w:after="0" w:line="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functional currencies of the Company’s international subsidiaries include, but are not limited to, the Canadian dollar, Euro, and British pound. The functional currency of the Company’s international subsidiaries including, but not limited to, Poland, Nicaragua, and Israel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8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on the Consolidated Balance Sheets, typically as disbursement prefunding balances. Cash and cash equivalents primarily consist of cash on hand and various deposit accounts, including accounts held in the Company’s name for the benefit of the Company’s customers for which the Company has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6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In addition, the Company may be required to maintain restricted cash as a result of other contractual arrangements with vendors and partners. Restricted cash is classified within ‘</w:t>
      </w:r>
      <w:r>
        <w:rPr>
          <w:rFonts w:ascii="Times New Roman" w:cs="Times New Roman" w:eastAsia="Times New Roman" w:hAnsi="Times New Roman"/>
          <w:sz w:val="16"/>
          <w:szCs w:val="16"/>
          <w:i w:val="1"/>
          <w:iCs w:val="1"/>
          <w:color w:val="auto"/>
        </w:rPr>
        <w:t>Prepaid expenses and other 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Other noncurrent assets, net</w:t>
      </w:r>
      <w:r>
        <w:rPr>
          <w:rFonts w:ascii="Times New Roman" w:cs="Times New Roman" w:eastAsia="Times New Roman" w:hAnsi="Times New Roman"/>
          <w:sz w:val="16"/>
          <w:szCs w:val="16"/>
          <w:color w:val="auto"/>
        </w:rPr>
        <w:t>’ on the Consolidated Balance Sheets, based on the contractual terms.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Disbursement Prefunding</w:t>
      </w:r>
    </w:p>
    <w:p>
      <w:pPr>
        <w:spacing w:after="0" w:line="16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Company maintains relationships with disbursement partners in various countries. These partners are responsible for disbursing funds to recipients. The Company may maintain prefunding balances with these disbursement partners so that they are able to fulfill customer requests. The Company is exposed to the risk of loss in the event the Company’s disbursement partners fail, for any reason, to disburse funds to recipients according to the Company’s instructions. However, historical losses for the disbursement funding accounts have not been material.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earn interest on these balances. The balances are not compensating balances and are not legally restricted.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Funds Receivable, Net</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 cash usually in one to three business days. These card and electronic funds are treated as a receivable from the bank until the cash is received by the Company. The Company’s Reserve for Transaction Losses, which includes fraud losses, is further discussed in Note 16. </w:t>
      </w:r>
      <w:r>
        <w:rPr>
          <w:rFonts w:ascii="Times New Roman" w:cs="Times New Roman" w:eastAsia="Times New Roman" w:hAnsi="Times New Roman"/>
          <w:sz w:val="16"/>
          <w:szCs w:val="16"/>
          <w:i w:val="1"/>
          <w:iCs w:val="1"/>
          <w:color w:val="auto"/>
        </w:rPr>
        <w:t>Commitments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Consumer Receivables</w:t>
      </w:r>
    </w:p>
    <w:p>
      <w:pPr>
        <w:spacing w:after="0" w:line="18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Through Remitly Flex, the Company allows customers to fund and send cross-border transactions now and pay later via a no-interest, flexible payment option. When customers use Remitly Flex, the Company advances the cross-border amount on behalf of the customer and establishes a receivable for the customer’s outstanding amount for repayment of the advance by the customer to retain eligibility for future advances. Customers are required to repay Remitly Flex receivables in full within 30 days of the transaction in order to retain eligibility for future advances, or up to 90 days if the customers enroll in a monthly subscription fee program. Remitly Flex receivables are recorded in ‘</w:t>
      </w:r>
      <w:r>
        <w:rPr>
          <w:rFonts w:ascii="Times New Roman" w:cs="Times New Roman" w:eastAsia="Times New Roman" w:hAnsi="Times New Roman"/>
          <w:sz w:val="16"/>
          <w:szCs w:val="16"/>
          <w:i w:val="1"/>
          <w:iCs w:val="1"/>
          <w:color w:val="auto"/>
        </w:rPr>
        <w:t>Customer funds receivable, net</w:t>
      </w:r>
      <w:r>
        <w:rPr>
          <w:rFonts w:ascii="Times New Roman" w:cs="Times New Roman" w:eastAsia="Times New Roman" w:hAnsi="Times New Roman"/>
          <w:sz w:val="16"/>
          <w:szCs w:val="16"/>
          <w:color w:val="auto"/>
        </w:rPr>
        <w:t xml:space="preserve">’ until collected and classified as held for investment as the Company has the intent and ability to hold the investment for the foreseeable future, or until maturity or payment is received. Consumer receivables, net are further discussed in Note 4. </w:t>
      </w:r>
      <w:r>
        <w:rPr>
          <w:rFonts w:ascii="Times New Roman" w:cs="Times New Roman" w:eastAsia="Times New Roman" w:hAnsi="Times New Roman"/>
          <w:sz w:val="16"/>
          <w:szCs w:val="16"/>
          <w:i w:val="1"/>
          <w:iCs w:val="1"/>
          <w:color w:val="auto"/>
        </w:rPr>
        <w:t>Consumer Receivables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Collectability of Customer Funds Receivable</w:t>
      </w:r>
    </w:p>
    <w:p>
      <w:pPr>
        <w:spacing w:after="0" w:line="17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Under the current expected credit loss (“CECL”) model, the Company evaluates the collectability of its customer funds receivable on a number of factors, including historical losses, aging, payment processor risks, specific customer repayment trends, and forecasted losses. Consumer receivables are short-term, low-dollar balances, and originate from a homogenous pool of customers, and the Company applies a pooled aging-based method to estimate expected losses. The allowance for credit losses related to customer funds receivable, inclusive of consumer receivables, was not material as of both December 31, 2025 and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Combinations and Asset Acquisitions</w:t>
      </w:r>
    </w:p>
    <w:p>
      <w:pPr>
        <w:spacing w:after="0" w:line="16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The Company evaluates acquisitions to determine if they meet the definition of a business. If the acquisition does meet the definition of a business, it is accounted for as a business combination. For a business combination, assets acquired and liabilities assumed are generally recorded at their fair value at the date of acquisition. Any excess of the fair value of consideration transferred for the business, over the fair values of the identifiable assets acquired and liabilities assumed, is recognized as goodwill.</w:t>
      </w:r>
    </w:p>
    <w:p>
      <w:pPr>
        <w:spacing w:after="0" w:line="130" w:lineRule="exact"/>
        <w:rPr>
          <w:sz w:val="20"/>
          <w:szCs w:val="20"/>
          <w:color w:val="auto"/>
        </w:rPr>
      </w:pPr>
    </w:p>
    <w:p>
      <w:pPr>
        <w:jc w:val="both"/>
        <w:ind w:right="420"/>
        <w:spacing w:after="0" w:line="263" w:lineRule="auto"/>
        <w:rPr>
          <w:sz w:val="20"/>
          <w:szCs w:val="20"/>
          <w:color w:val="auto"/>
        </w:rPr>
      </w:pPr>
      <w:r>
        <w:rPr>
          <w:rFonts w:ascii="Times New Roman" w:cs="Times New Roman" w:eastAsia="Times New Roman" w:hAnsi="Times New Roman"/>
          <w:sz w:val="16"/>
          <w:szCs w:val="16"/>
          <w:color w:val="auto"/>
        </w:rPr>
        <w:t>Acquisitions that do not meet the criteria to be accounted for as a business combination are accounted for as an asset acquisition. In an asset acquisition, the cost of the acquisition, including transaction costs, is allocated to the acquired assets and assumed liabilities based upon their relative fair values as of the acquisition date, and no goodwill is recognized.</w:t>
      </w:r>
    </w:p>
    <w:p>
      <w:pPr>
        <w:spacing w:after="0" w:line="13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color w:val="auto"/>
        </w:rPr>
        <w:t>Transaction costs related to business combinations are expensed as incurred and included in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within the Consolidated Statements of Operations. Transaction costs primarily include external legal, accounting, valuation, and due diligence costs, as well as advisory and other professional services fees necessary to integrate acquired businesses.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acquisition-date fair value of net assets, including the amount assigned to identifiable intangible assets, acquired in a business combination. The Company evaluates goodwill for impairment annually on October 31 or whenever events or changes in circumstances make it more likely than not that impairment may have occurred. The Company has the option to first assess qualitative factors to determine whether events or circumstances indicate it is more likely than not that the fair value of a reporting unit is greater than its carrying amount. The Company considers factors in performing a qualitative assessment, including, but not limited to, general macroeconomic conditions, industry and market conditions, company financial performance, changes in strategy, and other relevant entity-specific events. If the Company elects to bypass the qualitative assessment or does not pass the qualitative assessment, a quantitative assessment is performed. The quantitative assessment compares the carrying value to the fair value of goodwill, with the difference representing an impairment loss. Based on the results of qualitative assessment performed, the Company did not recognize any impairment losses on its goodwill during the periods presented herein.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8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Intangible assets with finite lives primarily consist of developed technology, customer relationships, and trade names acquired through business combinations or asset acquisitions. Intangible assets acquired through business combinations are recorded at their respective estimated acquisition-date fair value and amortized over their estimated useful lives. Other intangible assets acquired through asset acquisitions are recorded at their respective cost. Intangible assets are amortized using a method that reflects the pattern in which the economic benefits of the intangible asset are expected to be realized over their estimated useful lives, or straight lined if not materially different. Intangible asset lives are periodically reviewed, assessed, and adjusted as necessary based on changes in facts and circumstances that could impact estimated remaining useful lives.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Long-Lived Assets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The Company assesses potential impairments to its long-lived assets when events or changes in circumstances indicate the carrying amount of the asset may not be recoverable. If any indicators of impairment are present, the Company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 During the years ended December 31, 2025, 2024, and 2023, impairments of long-lived assets were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within the consolidated financial statements on a recurring basis. The carrying values of certain financial instruments, including cash equivalents, disbursement prefunding, customer funds receivable including consumer receivables, accounts payable, accrued expenses and other current liabilities, customer liabilities, short-term debt, and long-term debt approximate their respective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124"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6"/>
          <w:szCs w:val="16"/>
          <w:color w:val="auto"/>
        </w:rPr>
        <w:t>Level 1</w:t>
        <w:tab/>
        <w:t>Inputs are unadjusted quoted prices in active markets for identical assets or liabilities.</w:t>
      </w:r>
    </w:p>
    <w:p>
      <w:pPr>
        <w:spacing w:after="0" w:line="167" w:lineRule="exact"/>
        <w:rPr>
          <w:sz w:val="20"/>
          <w:szCs w:val="20"/>
          <w:color w:val="auto"/>
        </w:rPr>
      </w:pPr>
    </w:p>
    <w:p>
      <w:pPr>
        <w:ind w:left="980" w:right="100" w:hanging="647"/>
        <w:spacing w:after="0" w:line="298" w:lineRule="auto"/>
        <w:tabs>
          <w:tab w:leader="none" w:pos="960" w:val="left"/>
        </w:tabs>
        <w:rPr>
          <w:sz w:val="20"/>
          <w:szCs w:val="20"/>
          <w:color w:val="auto"/>
        </w:rPr>
      </w:pPr>
      <w:r>
        <w:rPr>
          <w:rFonts w:ascii="Times New Roman" w:cs="Times New Roman" w:eastAsia="Times New Roman" w:hAnsi="Times New Roman"/>
          <w:sz w:val="16"/>
          <w:szCs w:val="16"/>
          <w:color w:val="auto"/>
        </w:rPr>
        <w:t>Level 2</w:t>
        <w:tab/>
        <w:t>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97" w:lineRule="exact"/>
        <w:rPr>
          <w:sz w:val="20"/>
          <w:szCs w:val="20"/>
          <w:color w:val="auto"/>
        </w:rPr>
      </w:pPr>
    </w:p>
    <w:p>
      <w:pPr>
        <w:ind w:left="980" w:right="260" w:hanging="647"/>
        <w:spacing w:after="0" w:line="280" w:lineRule="auto"/>
        <w:tabs>
          <w:tab w:leader="none" w:pos="960" w:val="left"/>
        </w:tabs>
        <w:rPr>
          <w:sz w:val="20"/>
          <w:szCs w:val="20"/>
          <w:color w:val="auto"/>
        </w:rPr>
      </w:pPr>
      <w:r>
        <w:rPr>
          <w:rFonts w:ascii="Times New Roman" w:cs="Times New Roman" w:eastAsia="Times New Roman" w:hAnsi="Times New Roman"/>
          <w:sz w:val="16"/>
          <w:szCs w:val="16"/>
          <w:color w:val="auto"/>
        </w:rPr>
        <w:t>Level 3</w:t>
        <w:tab/>
        <w:t>Inputs are unobservable inputs based on the Company’s own assumptions used to measure assets and liabilities at fair value. The inputs require significant management judgment or estimation.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16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Company manages certain exposure to foreign currency exchange risk using foreign exchange contracts such as short duration foreign exchange swap contracts. The foreign exchange contracts are not designated as hedging instruments and the Company does not enter into derivative instruments for speculative purposes.</w:t>
      </w:r>
    </w:p>
    <w:p>
      <w:pPr>
        <w:spacing w:after="0" w:line="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 xml:space="preserve">The Company accounts for foreign exchange contracts under Accounting Standards Codification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which requires that they are initially and subsequently measured at fair value. The Company records its foreign exchange contracts within </w:t>
      </w:r>
      <w:r>
        <w:rPr>
          <w:rFonts w:ascii="Times New Roman" w:cs="Times New Roman" w:eastAsia="Times New Roman" w:hAnsi="Times New Roman"/>
          <w:sz w:val="16"/>
          <w:szCs w:val="16"/>
          <w:i w:val="1"/>
          <w:iCs w:val="1"/>
          <w:color w:val="auto"/>
        </w:rPr>
        <w:t>‘Prepaid expenses and other current assets’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‘Accrued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expenses and other current liabilities’ </w:t>
      </w:r>
      <w:r>
        <w:rPr>
          <w:rFonts w:ascii="Times New Roman" w:cs="Times New Roman" w:eastAsia="Times New Roman" w:hAnsi="Times New Roman"/>
          <w:sz w:val="16"/>
          <w:szCs w:val="16"/>
          <w:color w:val="auto"/>
        </w:rPr>
        <w:t>on the Consolidated Balance Sheets. Changes in the fair value of foreign exchange contracts—both realized and unrealized—are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recognized in earnings as a component of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within the Consolidated Statements of Operations. Cash flows related to foreign exchange contracts are classified as operating activities on the Consolidated Statements of Cash Flows, consistent with their role in managing foreign currency exchange risk associated with revenue-producing activities.</w:t>
      </w:r>
    </w:p>
    <w:p>
      <w:pPr>
        <w:spacing w:after="0" w:line="32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As of December 31, 2025, the notional value of the Company’s outstanding foreign exchange contracts classified as derivative instruments was $25.0 million. The fair values of the related derivative assets and liabilities were not material. No material gains or losses on derivative instruments were recorded during the year ended December 31, 2025. No derivative instruments were outstanding as of December 31, 2024 or 2023, and no gains or losses on derivative instruments were recorded during the years ended December 31, 2024 or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is stated at cost, less accumulated depreciation and amortization.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are calculated using the straight-line method over the estimated useful lives of the assets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Borders>
              <w:bottom w:val="single" w:sz="8" w:color="CCEEFF"/>
            </w:tcBorders>
          </w:tcPr>
          <w:p>
            <w:pPr>
              <w:spacing w:after="0"/>
              <w:rPr>
                <w:sz w:val="19"/>
                <w:szCs w:val="19"/>
                <w:color w:val="auto"/>
              </w:rPr>
            </w:pPr>
          </w:p>
        </w:tc>
        <w:tc>
          <w:tcPr>
            <w:tcW w:w="38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5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Lesser of useful life or remaining lease term</w:t>
            </w:r>
          </w:p>
        </w:tc>
      </w:tr>
    </w:tbl>
    <w:p>
      <w:pPr>
        <w:spacing w:after="0" w:line="262"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When assets are retired or disposed of, the cost and accumulated depreciation are removed from the accounts, and any resulting gains or losses are included within the Consolidated Statements of Operations in the period of disposition. Maintenance and repairs that do not improve or extend the lives of the respective assets are charged to expense in the period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Capitalized Internal-Use Software Costs</w:t>
      </w:r>
    </w:p>
    <w:p>
      <w:pPr>
        <w:spacing w:after="0" w:line="171"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6"/>
          <w:szCs w:val="16"/>
          <w:color w:val="auto"/>
        </w:rPr>
        <w:t>The Company capitalizes internal and external direct costs incurred related to obtaining or developing internal-use software. Costs incurred during the application development stage are capitalized and are amortized using the straight-line method over the estimated useful life of the software. Costs related to planning and other preliminary project activities and post-implementation activities are expensed as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 lease is defined as a contract, or part of a contract, that conveys the right to control the use of identified property, plant, or equipment for a period of time in exchange for consideration. The Company’s lease commitments consist primarily of real estate property, used for office space, under various noncancellable operating leases that expire between 2026 and 2032. The majority of the leases contain renewal options and provisions for increases in rental rates based on a predetermined schedule or an agreed upon index. If, at lease inception, the Company considers the exercise of a renewal option to be reasonably certain, the Company will include the extended term in the calculation of the right-of-use (“ROU”) asset and lease liability.</w:t>
      </w:r>
    </w:p>
    <w:p>
      <w:pPr>
        <w:spacing w:after="0" w:line="141" w:lineRule="exact"/>
        <w:rPr>
          <w:sz w:val="20"/>
          <w:szCs w:val="20"/>
          <w:color w:val="auto"/>
        </w:rPr>
      </w:pPr>
    </w:p>
    <w:p>
      <w:pPr>
        <w:jc w:val="both"/>
        <w:ind w:right="120"/>
        <w:spacing w:after="0" w:line="280" w:lineRule="auto"/>
        <w:rPr>
          <w:sz w:val="20"/>
          <w:szCs w:val="20"/>
          <w:color w:val="auto"/>
        </w:rPr>
      </w:pPr>
      <w:r>
        <w:rPr>
          <w:rFonts w:ascii="Times New Roman" w:cs="Times New Roman" w:eastAsia="Times New Roman" w:hAnsi="Times New Roman"/>
          <w:sz w:val="16"/>
          <w:szCs w:val="16"/>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ROU assets represent the Company’s right to use an underlying asset for the lease term, and lease liabilities represent the Company’s obligation to make lease payments arising from the lease. The lease liability is recognized at the commencement date based on the present value of lease payments over the lease term. The ROU asset is initially measured at cost, which is based on the lease liability adjusted for lease prepayments, plus any initial direct costs incurred less any lease incentives received or expected to be received. As presented on the Consolidated Balance Sheets, the ROU asset and lease liability amounts are reduced by tenant improvement allowances which are deemed to be reasonably certain of collection. As the rate implicit in most of its leases is not readily determinable, the Company generally uses its incremental borrowing rate based on the estimated rate of interest for collateralized borrowing over a similar term of the lease payments at the commencement date. When the Company’s lease terms include options to extend or terminate the lease and it is reasonably certain that the Company will exercise that option, the Company considers the option in determining the classification and measurement of the lease. 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twelve months or less. The Company recognizes lease payments associated with its short-term leases as an expense on a straight-line basis over the lease term.</w:t>
      </w:r>
    </w:p>
    <w:p>
      <w:pPr>
        <w:spacing w:after="0" w:line="128"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6"/>
          <w:szCs w:val="16"/>
          <w:color w:val="auto"/>
        </w:rPr>
        <w:t>Lease expense for operating leases is recognized on a straight-line basis over the lease term, which is the noncancellable term adjusted for any renewal and termination options that are considered reasonably certain. Operating leases are included in ‘</w:t>
      </w:r>
      <w:r>
        <w:rPr>
          <w:rFonts w:ascii="Times New Roman" w:cs="Times New Roman" w:eastAsia="Times New Roman" w:hAnsi="Times New Roman"/>
          <w:sz w:val="16"/>
          <w:szCs w:val="16"/>
          <w:i w:val="1"/>
          <w:iCs w:val="1"/>
          <w:color w:val="auto"/>
        </w:rPr>
        <w:t>Operating lease right-of-use assets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Operating lease liabilities,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Operating 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liabilities, noncurrent</w:t>
      </w:r>
      <w:r>
        <w:rPr>
          <w:rFonts w:ascii="Times New Roman" w:cs="Times New Roman" w:eastAsia="Times New Roman" w:hAnsi="Times New Roman"/>
          <w:sz w:val="16"/>
          <w:szCs w:val="16"/>
          <w:color w:val="auto"/>
        </w:rPr>
        <w:t>’ on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December 31, 2025, 2024, and 2023, the Company did not have any material finance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Liabilities</w:t>
      </w:r>
    </w:p>
    <w:p>
      <w:pPr>
        <w:spacing w:after="0" w:line="167"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6"/>
          <w:szCs w:val="16"/>
          <w:color w:val="auto"/>
        </w:rPr>
        <w:t>The Company recognizes transactions processed from customers but not yet disbursed to recipients as ‘</w:t>
      </w:r>
      <w:r>
        <w:rPr>
          <w:rFonts w:ascii="Times New Roman" w:cs="Times New Roman" w:eastAsia="Times New Roman" w:hAnsi="Times New Roman"/>
          <w:sz w:val="16"/>
          <w:szCs w:val="16"/>
          <w:i w:val="1"/>
          <w:iCs w:val="1"/>
          <w:color w:val="auto"/>
        </w:rPr>
        <w:t>Customer liabilities</w:t>
      </w:r>
      <w:r>
        <w:rPr>
          <w:rFonts w:ascii="Times New Roman" w:cs="Times New Roman" w:eastAsia="Times New Roman" w:hAnsi="Times New Roman"/>
          <w:sz w:val="16"/>
          <w:szCs w:val="16"/>
          <w:color w:val="auto"/>
        </w:rPr>
        <w:t xml:space="preserve">’ on the accompanying Consolidated Balance Sheets. Customer liabilities are typically funds in-transit and the duration is typically one to two days. The Reserve for Transaction Losses, which includes disbursement losses, is further discussed in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 Settlement Liabilities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The Company’s trade settlement liability represents the total of disbursement postfunding liabilities and book overdrafts owed to its disbursement partners. Disbursement postfunding liabilities are created when the sum of customer transactions related to a specific account held with a disbursement partner are in excess of funds on deposit for the respective account. Book overdrafts are created when the sum of outstanding disbursements related to a bank account or series of accounts to which the Company has legal title are in excess of funds on deposit. Trade settlement liabilities are included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xml:space="preserve">’ on the Consolidated Balance Sheets. Refer to Note 17. </w:t>
      </w:r>
      <w:r>
        <w:rPr>
          <w:rFonts w:ascii="Times New Roman" w:cs="Times New Roman" w:eastAsia="Times New Roman" w:hAnsi="Times New Roman"/>
          <w:sz w:val="16"/>
          <w:szCs w:val="16"/>
          <w:i w:val="1"/>
          <w:iCs w:val="1"/>
          <w:color w:val="auto"/>
        </w:rPr>
        <w:t>Accrued Expenses &amp; Other Current Liabilities</w:t>
      </w:r>
      <w:r>
        <w:rPr>
          <w:rFonts w:ascii="Times New Roman" w:cs="Times New Roman" w:eastAsia="Times New Roman" w:hAnsi="Times New Roman"/>
          <w:sz w:val="16"/>
          <w:szCs w:val="16"/>
          <w:color w:val="auto"/>
        </w:rPr>
        <w:t xml:space="preserve"> for the trade settlement liabilities balances. The Company’s policy is to report the change in trade settlement liabilities as a financing activity within ‘</w:t>
      </w:r>
      <w:r>
        <w:rPr>
          <w:rFonts w:ascii="Times New Roman" w:cs="Times New Roman" w:eastAsia="Times New Roman" w:hAnsi="Times New Roman"/>
          <w:sz w:val="16"/>
          <w:szCs w:val="16"/>
          <w:i w:val="1"/>
          <w:iCs w:val="1"/>
          <w:color w:val="auto"/>
        </w:rPr>
        <w:t>Net change in customer funds assets and liabilities</w:t>
      </w:r>
      <w:r>
        <w:rPr>
          <w:rFonts w:ascii="Times New Roman" w:cs="Times New Roman" w:eastAsia="Times New Roman" w:hAnsi="Times New Roman"/>
          <w:sz w:val="16"/>
          <w:szCs w:val="16"/>
          <w:color w:val="auto"/>
        </w:rPr>
        <w:t>’ on the Consolidated Statements of Cash Flows based on the underlying nature of the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for information related to the Company’s revenue recognition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Expenses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The Company establishes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current liabilities’ </w:t>
      </w:r>
      <w:r>
        <w:rPr>
          <w:rFonts w:ascii="Times New Roman" w:cs="Times New Roman" w:eastAsia="Times New Roman" w:hAnsi="Times New Roman"/>
          <w:sz w:val="16"/>
          <w:szCs w:val="16"/>
          <w:color w:val="auto"/>
        </w:rPr>
        <w:t>on the Consolidated Balance Sheets. Refer to Note 16.</w:t>
      </w:r>
      <w:r>
        <w:rPr>
          <w:rFonts w:ascii="Times New Roman" w:cs="Times New Roman" w:eastAsia="Times New Roman" w:hAnsi="Times New Roman"/>
          <w:sz w:val="16"/>
          <w:szCs w:val="16"/>
          <w:i w:val="1"/>
          <w:iCs w:val="1"/>
          <w:color w:val="auto"/>
        </w:rPr>
        <w:t xml:space="preserve"> Commitments and Contingencies </w:t>
      </w:r>
      <w:r>
        <w:rPr>
          <w:rFonts w:ascii="Times New Roman" w:cs="Times New Roman" w:eastAsia="Times New Roman" w:hAnsi="Times New Roman"/>
          <w:sz w:val="16"/>
          <w:szCs w:val="16"/>
          <w:color w:val="auto"/>
        </w:rPr>
        <w:t>for a rollforward of the Company’s reserve for transaction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years ended December 31, 2025 and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Support and Operations</w:t>
      </w:r>
    </w:p>
    <w:p>
      <w:pPr>
        <w:spacing w:after="0" w:line="16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customer protection and risk teams, investments in tools to effectively service the Company’s customers, and increased customer self-service capabilities. Customer support and operations expenses also include corporate communication costs and professional services fees.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w:t>
      </w:r>
    </w:p>
    <w:p>
      <w:pPr>
        <w:spacing w:after="0" w:line="18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compensation expense; promotions; costs for software subscription services dedicated for use by the Company’s marketing functions; and outside services contracted for marketing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Advertising expenses are charged to operations as incurred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Consolidated Statements of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Advertising expenses totaled $255.1 million, $225.4 million, and $181.3 million during the years ended December 31, 2025, 2024, and 2023,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and Development</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the Company’s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w:t>
      </w:r>
    </w:p>
    <w:p>
      <w:pPr>
        <w:ind w:right="720"/>
        <w:spacing w:after="0" w:line="270" w:lineRule="auto"/>
        <w:rPr>
          <w:sz w:val="20"/>
          <w:szCs w:val="20"/>
          <w:color w:val="auto"/>
        </w:rPr>
      </w:pPr>
      <w:r>
        <w:rPr>
          <w:rFonts w:ascii="Times New Roman" w:cs="Times New Roman" w:eastAsia="Times New Roman" w:hAnsi="Times New Roman"/>
          <w:sz w:val="16"/>
          <w:szCs w:val="16"/>
          <w:color w:val="auto"/>
        </w:rPr>
        <w:t xml:space="preserve">with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is included in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Consolidated Statements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8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personnel-related expenses for the Company’s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Such expenses primarily include external legal, accounting, valuation, and due diligence costs, and advisory and other professional services fees necessary to integrate acquired businesses.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 and Employee Stock Purchase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grants equity awards under its equity incentive plan, as well as its employee stock purchase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Plans</w:t>
      </w:r>
    </w:p>
    <w:p>
      <w:pPr>
        <w:spacing w:after="0" w:line="16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 2011, the Company adopted the Equity Incentive Plan (as amended, the “2011 Plan”), which provided for the issuance of up to 43,899,677 incentive stock options, nonqualified stock options, restricted common stock, restricted stock units (“RSUs”), and stock appreciation rights to employees, directors, officers, and consultants of the Company.</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In 2021, the Company adopted the Remitly Global, Inc. 2021 Equity Incentive Plan (as amended, the “2021 Plan,” and together with the 2011 Plan, the “Plan”) as a successor to the 2011 Plan. The 2021 Plan authorizes the issuance of incentive stock options, nonqualified stock options, restricted common stock, RSUs, stock appreciation rights,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or its talent and compensation committee, which determines the terms of the grants, including exercise price, number of equity awards granted, and vesting schedule. The 2021 Plan provided for the initial issuance of up to 25,000,000 shares of common stock, plus any reserved shares not issued or forfeited shares that were subject to outstanding grants under the 2011 Plan. A total of 25,552,736 shares were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board of directors.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In addition, in 2021, the Company adopted the Remitly Global, Inc. 2021 Employee Stock Purchase Plan (the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Assumptions</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Company measures stock-based compensation expense for both stock options granted under its equity incentive plans, and purchase rights issued under its ESPP, by calculating the estimated fair value of each employee and nonemployee award at the grant date or modification date by applying the Black-Scholes option pricing model (the “model”). The model utilizes the fair market value of the Company’s common stock at the measurement date, the expected or contractual term of the option, the expected stock price volatility, risk-free interest rate, and expected dividend yield of the common stock. Stock-based compensation for RSUs is measured based on the fair market value of the Company’s common stock on the date of grant. The fair value of the Company’s common stock is determined by the closing price, on the date of grant, of its common stock, which is traded on the NASDAQ.</w:t>
      </w:r>
    </w:p>
    <w:p>
      <w:pPr>
        <w:spacing w:after="0" w:line="139" w:lineRule="exact"/>
        <w:rPr>
          <w:sz w:val="20"/>
          <w:szCs w:val="20"/>
          <w:color w:val="auto"/>
        </w:rPr>
      </w:pPr>
    </w:p>
    <w:p>
      <w:pPr>
        <w:ind w:left="660" w:right="54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The Company calculates the expected term based on the average period the options are expected to remain outstanding using the simplified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 generally calculated as the midpoint of the requisite service period and the contractual term of the award.</w:t>
      </w:r>
    </w:p>
    <w:p>
      <w:pPr>
        <w:spacing w:after="0" w:line="120" w:lineRule="exact"/>
        <w:rPr>
          <w:sz w:val="20"/>
          <w:szCs w:val="20"/>
          <w:color w:val="auto"/>
        </w:rPr>
      </w:pPr>
    </w:p>
    <w:p>
      <w:pPr>
        <w:ind w:left="660" w:right="3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The Company bases its estimate of expected volatility on the historical volatility of the Company’s common stock, as well as the historical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volatility of comparable companies from a representative peer group selected based on industry, financial, and market capitalization data.</w:t>
      </w:r>
    </w:p>
    <w:p>
      <w:pPr>
        <w:spacing w:after="0" w:line="106" w:lineRule="exact"/>
        <w:rPr>
          <w:sz w:val="20"/>
          <w:szCs w:val="20"/>
          <w:color w:val="auto"/>
        </w:rPr>
      </w:pPr>
    </w:p>
    <w:p>
      <w:pPr>
        <w:ind w:left="660" w:right="3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The risk-free interest rate used in the model is based on the implied yield currently available for the U.S. Treasury securities at maturity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 equivalent term.</w:t>
      </w:r>
    </w:p>
    <w:p>
      <w:pPr>
        <w:spacing w:after="0" w:line="92" w:lineRule="exact"/>
        <w:rPr>
          <w:sz w:val="20"/>
          <w:szCs w:val="20"/>
          <w:color w:val="auto"/>
        </w:rPr>
      </w:pPr>
    </w:p>
    <w:p>
      <w:pPr>
        <w:ind w:left="660" w:right="8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Expected dividend yield. </w:t>
      </w:r>
      <w:r>
        <w:rPr>
          <w:rFonts w:ascii="Times New Roman" w:cs="Times New Roman" w:eastAsia="Times New Roman" w:hAnsi="Times New Roman"/>
          <w:sz w:val="16"/>
          <w:szCs w:val="16"/>
          <w:color w:val="auto"/>
        </w:rPr>
        <w:t>The Company’s expected dividend yield is zero as it has not declared nor paid any dividends during the years ended December 31,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or 2023 and does not currently expect to do so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Expense Recognition</w:t>
      </w:r>
    </w:p>
    <w:p>
      <w:pPr>
        <w:spacing w:after="0" w:line="16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Stock-based compensation expense is generally recognized on a straight-line basis over the requisite service period, which is typically the vesting period of the respective award; however, in some instances, the vesting percentages differ throughout the service period. In all instances, the amount of compensation cost recognized at any date is at least equal to the portion of the grant-date value of the award that is legally vested. Forfeitures are recognized in the period in which they occur.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Options</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or its talent and compensation committee.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Units</w:t>
      </w:r>
    </w:p>
    <w:p>
      <w:pPr>
        <w:spacing w:after="0" w:line="18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Company grants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Stock Purchase Plan</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ESPP provides for offering periods during which eligible employees can participate in the ESPP and be granted the right to purchase shares. Prior to September 2025, offering periods commenced on March 1 and September 1, with each offering period consisting of four six-month purchase periods, for a total of a 24-month offering period. In September 2025, the Company implemented a new offering structure under which each new offering period consists of two six-month purchase periods, for a total of a 12-month offering period. The ESPP includes a rollover feature for the purchase price if the Company's stock price at the end of the purchase period is less than the Company's stock price on the first day of the offering period. If this rollover feature is triggered, a new 12-month offering period begins. No offering periods may last longer than 27 months. The grant date for accounting purposes is generally the first date of each offering period and expense is recognized over the requisite service period, which is considered to be the offering period.</w:t>
      </w:r>
    </w:p>
    <w:p>
      <w:pPr>
        <w:spacing w:after="0" w:line="125"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Eligible employees can contribute up to 15% of their eligible compensation, subject to limitations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w:t>
      </w:r>
    </w:p>
    <w:p>
      <w:pPr>
        <w:spacing w:after="0" w:line="18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Share repurchases may be made through a variety of methods, which may include open market transactions, in privately negotiated transactions, or by other means, including through the use of trading plans intended to qualify under 10b5-1 under the Securities Exchange Act of 1934, as amended, in accordance with applicable securities laws and other restrictions. When repurchased shares are retired, the excess of the purchase price over par value is recorded to </w:t>
      </w:r>
      <w:r>
        <w:rPr>
          <w:rFonts w:ascii="Times New Roman" w:cs="Times New Roman" w:eastAsia="Times New Roman" w:hAnsi="Times New Roman"/>
          <w:sz w:val="16"/>
          <w:szCs w:val="16"/>
          <w:i w:val="1"/>
          <w:iCs w:val="1"/>
          <w:color w:val="auto"/>
        </w:rPr>
        <w:t>‘Additional paid-in capital’</w:t>
      </w:r>
      <w:r>
        <w:rPr>
          <w:rFonts w:ascii="Times New Roman" w:cs="Times New Roman" w:eastAsia="Times New Roman" w:hAnsi="Times New Roman"/>
          <w:sz w:val="16"/>
          <w:szCs w:val="16"/>
          <w:color w:val="auto"/>
        </w:rPr>
        <w:t xml:space="preserv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Basic net income (loss) per share is computed by dividing net income (loss) by the weighted-average number of shares of common stock outstanding during the period. Diluted income per share is computed by dividing net income attributable to common shares by the weighted-average number of shares of common stock outstanding including the dilutive effect of all potential shares of common stock as determined under the treasury stock method. Dilutive common shares primarily include outstanding stock options, unvested RSUs, and ESPP related shares. In periods when the Company reports a net loss, diluted net loss per share is the same as basic net loss per share because the effects of potentially dilutive items are anti-dilutive.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which requires the recognition of deferred tax assets and liabilities for the expected future tax consequences of events that have been included within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3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The Company recognizes deferred tax assets to the extent that these assets are believed more likely than not to be realized. In making such a determination, the Company considers all available positive and negative evidence, including future reversals of existing taxable temporary differences, cumulative historic losses, projected future taxable income, tax planning strategies, and results of recent operations.</w:t>
      </w:r>
    </w:p>
    <w:p>
      <w:pPr>
        <w:spacing w:after="0" w:line="1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Due to cumulative losses in the U.S. during the prior three years, and based on all available positive and negative evidence, the Company does not believe it is more likely than not that its U.S. deferred tax assets will be realized as of December 31, 2025. Accordingly, the Company has provided a full valuation allowance for U.S. deferred tax assets, which includes net operating loss carryforwards, capitalized research costs, and tax credits related primarily to research and development. When considering its historical earnings trend and anticipated future earnings, the Company believes there is a reasonable possibility that sufficient positive evidence may become available where the Company will release all or a portion of the valuation allowance in a future period. Release of the valuation allowance would result in the recognition of certain deferred tax assets and a decrease to income tax expense for the period the release is recorded.</w:t>
      </w:r>
    </w:p>
    <w:p>
      <w:pPr>
        <w:spacing w:after="0" w:line="12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Tax benefits for uncertain tax positions are based upon management’s evaluation of the information available at the reporting date. The Company recognizes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Indirect Taxes</w:t>
      </w:r>
    </w:p>
    <w:p>
      <w:pPr>
        <w:spacing w:after="0" w:line="1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Company is subject to indirect taxation in various states and foreign jurisdictions in which it conducts business. The Company continually evaluates those jurisdictions in which indirect tax obligations exist to determine whether a loss is probable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with, or actions taken by, regulators and courts, potential or actual self-disclosure, and applicability of tax rules.</w:t>
      </w:r>
    </w:p>
    <w:p>
      <w:pPr>
        <w:spacing w:after="0" w:line="12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color w:val="auto"/>
        </w:rPr>
        <w:t>As a result of this assessment, management has recorded an estimated liability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xml:space="preserve"> on the Consolidated Balance Sheets. The Company’s estimate is based on the totality of factors including applicability of the tax rules, correspondence with tax authorities including payments made, and tax analysis and documentation supporting the Company’s positions.</w:t>
      </w:r>
    </w:p>
    <w:p>
      <w:pPr>
        <w:spacing w:after="0" w:line="11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Although the Company believes its indirect tax estimates and associated liabilities are reasonable, the final determination of indirect tax audits or settlements could be materially different than the amounts recorded.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Severance and Other Related Expenses</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Company records severance-related expenses based on the applicable accounting guidance and whether the severance relates to an ongoing benefit arrangement or relates to a one-time involuntary benefit arrangement. Ongoing benefit arrangements, including statutorily required notice periods, are recorded when both probable of being paid and estimable. One-time involuntary benefit arrangements and other associated costs are generally recognized when a liability is incurred. The Company also evaluates whether these costs are associated with restructuring activities. Severance costs are expensed within the appropriate costs and expenses component within our Consolidated Statements of Operations and associated accruals are recorded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 xml:space="preserve">In December 2023, the Financial Accounting Standards Board (“FASB”) issued Accounting Standards Update (“ASU”) No. 2023-09, </w:t>
      </w:r>
      <w:r>
        <w:rPr>
          <w:rFonts w:ascii="Times New Roman" w:cs="Times New Roman" w:eastAsia="Times New Roman" w:hAnsi="Times New Roman"/>
          <w:sz w:val="16"/>
          <w:szCs w:val="16"/>
          <w:i w:val="1"/>
          <w:iCs w:val="1"/>
          <w:color w:val="auto"/>
        </w:rPr>
        <w:t>Income Taxes (Topic 740):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Improvements to Income Tax Disclosures </w:t>
      </w:r>
      <w:r>
        <w:rPr>
          <w:rFonts w:ascii="Times New Roman" w:cs="Times New Roman" w:eastAsia="Times New Roman" w:hAnsi="Times New Roman"/>
          <w:sz w:val="16"/>
          <w:szCs w:val="16"/>
          <w:color w:val="auto"/>
        </w:rPr>
        <w:t>(“ASU 2023-09”), which modifies the rules on income tax disclosures to require entities to disclose (1) specific categories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adopted this new guidance on a retrospective basis effective January 1, 2025. Refer to Note 14.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18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 xml:space="preserve">In November 2024, the FASB issued ASU No.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Disaggregation of Income Statement Expenses </w:t>
      </w:r>
      <w:r>
        <w:rPr>
          <w:rFonts w:ascii="Times New Roman" w:cs="Times New Roman" w:eastAsia="Times New Roman" w:hAnsi="Times New Roman"/>
          <w:sz w:val="16"/>
          <w:szCs w:val="16"/>
          <w:color w:val="auto"/>
        </w:rPr>
        <w:t>(“ASU 2024-03”), which requires disclosure of disaggregated income statement expenses based on their natural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classification. The guidance is effective for fiscal years beginning after December 15, 2026. Early adoption is permitted. ASU 2024-03 may be applied on a prospective basis, and retrospective application is permitted. The Company is currently evaluating the potential impact of adopting this new guidance to its consolidated financial statements and related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September 2025, the FASB issued ASU No. 2025-06, </w:t>
      </w:r>
      <w:r>
        <w:rPr>
          <w:rFonts w:ascii="Times New Roman" w:cs="Times New Roman" w:eastAsia="Times New Roman" w:hAnsi="Times New Roman"/>
          <w:sz w:val="16"/>
          <w:szCs w:val="16"/>
          <w:i w:val="1"/>
          <w:iCs w:val="1"/>
          <w:color w:val="auto"/>
        </w:rPr>
        <w:t>Intangibles—Goodwill and Other—Internal-Use Software (Subtopic 350-40): Targeted Improvements to the</w:t>
      </w:r>
    </w:p>
    <w:p>
      <w:pPr>
        <w:spacing w:after="0" w:line="2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Accounting for Internal-Use Software </w:t>
      </w:r>
      <w:r>
        <w:rPr>
          <w:rFonts w:ascii="Times New Roman" w:cs="Times New Roman" w:eastAsia="Times New Roman" w:hAnsi="Times New Roman"/>
          <w:sz w:val="16"/>
          <w:szCs w:val="16"/>
          <w:color w:val="auto"/>
        </w:rPr>
        <w:t>(“ASU 2025-06”), which is intended to modernize the recognition and capitalization framework to reflect current software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practices. The amendments in ASU 2025-06 are effective for annual periods beginning after December 15, 2027, and interim periods within those annual periods. Early adoption is permitted. The Company is currently evaluating the potential impact of adopting this new guidance to its consolidated financial statements and related disclosures.</w:t>
      </w:r>
    </w:p>
    <w:p>
      <w:pPr>
        <w:spacing w:after="0" w:line="12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There are other new accounting pronouncements issued by the FASB that the Company has adopted or will adopt, as applicable. The Company does not believe any of these accounting pronouncements have had, or will have, a material impact on the consolidated financial statements or disclosures.</w:t>
      </w:r>
    </w:p>
    <w:p>
      <w:pPr>
        <w:spacing w:after="0" w:line="95"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The Company’s primary source of revenue is generated from its global money movement product.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includes the following steps:</w:t>
      </w:r>
    </w:p>
    <w:p>
      <w:pPr>
        <w:spacing w:after="0" w:line="14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with a customer;</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18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For the Company’s global money movement product, customers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w:t>
      </w:r>
    </w:p>
    <w:p>
      <w:pPr>
        <w:spacing w:after="0" w:line="138"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2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Company’s global money movement product comprises of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 xml:space="preserve">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xml:space="preserve"> within the Consolidated Statements of Operations. The Company does not have any capitalized contract acquisition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Incentives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Consolidated Statements of Operations. In addition, referral credits given to a referrer are classified as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as these incentives are paid in exchange for a distinct service.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Company’s sales incentives for the years ended December 31, 2025,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to 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46,388</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32,584</w:t>
            </w:r>
          </w:p>
        </w:tc>
      </w:tr>
      <w:tr>
        <w:trPr>
          <w:trHeight w:val="24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expenses</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29,583</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18,974</w:t>
            </w:r>
          </w:p>
        </w:tc>
      </w:tr>
      <w:tr>
        <w:trPr>
          <w:trHeight w:val="25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sales incentives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75,971</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9" w:lineRule="exact"/>
        <w:rPr>
          <w:sz w:val="20"/>
          <w:szCs w:val="20"/>
          <w:color w:val="auto"/>
        </w:rPr>
      </w:pPr>
    </w:p>
    <w:p>
      <w:pPr>
        <w:ind w:left="140" w:hanging="132"/>
        <w:spacing w:after="0"/>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Sales incentives that are charged to marketing expenses are included in ‘</w:t>
      </w:r>
      <w:r>
        <w:rPr>
          <w:rFonts w:ascii="Times New Roman" w:cs="Times New Roman" w:eastAsia="Times New Roman" w:hAnsi="Times New Roman"/>
          <w:sz w:val="12"/>
          <w:szCs w:val="12"/>
          <w:i w:val="1"/>
          <w:iCs w:val="1"/>
          <w:color w:val="auto"/>
        </w:rPr>
        <w:t>Advertising expenses</w:t>
      </w:r>
      <w:r>
        <w:rPr>
          <w:rFonts w:ascii="Times New Roman" w:cs="Times New Roman" w:eastAsia="Times New Roman" w:hAnsi="Times New Roman"/>
          <w:sz w:val="12"/>
          <w:szCs w:val="12"/>
          <w:color w:val="auto"/>
        </w:rPr>
        <w:t xml:space="preserve">’ as disclosed in Note 2. </w:t>
      </w:r>
      <w:r>
        <w:rPr>
          <w:rFonts w:ascii="Times New Roman" w:cs="Times New Roman" w:eastAsia="Times New Roman" w:hAnsi="Times New Roman"/>
          <w:sz w:val="12"/>
          <w:szCs w:val="12"/>
          <w:i w:val="1"/>
          <w:iCs w:val="1"/>
          <w:color w:val="auto"/>
        </w:rPr>
        <w:t>Basis of Presentation and Summary of Significant Accounting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by Geography</w:t>
      </w:r>
    </w:p>
    <w:p>
      <w:pPr>
        <w:spacing w:after="0" w:line="16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revenue disaggregated by primary geographical location for the years ended December 31, 2025, 2024, and 2023, attributed to the country in which the sending customer is located: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1,083,109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631,746</w:t>
            </w:r>
          </w:p>
        </w:tc>
      </w:tr>
      <w:tr>
        <w:trPr>
          <w:trHeight w:val="23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113,310</w:t>
            </w:r>
          </w:p>
        </w:tc>
      </w:tr>
      <w:tr>
        <w:trPr>
          <w:trHeight w:val="24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388,245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297,128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199,229</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1,635,147</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944,285</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Consumer Receivables</w:t>
      </w:r>
    </w:p>
    <w:p>
      <w:pPr>
        <w:spacing w:after="0" w:line="169"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Consumer receivables represent outstanding amounts advanced to customers for cross-border payments processed through Remitly Flex. These receivables are interest free and are generally due in full within 30 days of the transaction in order to retain eligibility for future advances, or up to 90 days if customers enroll in a monthly subscription fee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an aging analysis of the amortized cost of consumer receivables by delinquency status as of December 31, 2025, and 2024:</w:t>
      </w:r>
    </w:p>
    <w:p>
      <w:pPr>
        <w:spacing w:after="0" w:line="21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1 - 30 days past due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31 - 60 days past due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61 - 90 days past due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91+ days past due</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amortized cost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Consumer receivables are charged off when they are over 120 days past due and the Company has no reasonable expectation of recovery. When consumer receivables are charged off, the Company reduces the related allowance for credit losses. While the Company expects collections at that point to be unlikely, the Company may recover amounts from the respective consumers. Any subsequent recoveries following charge-off are credited to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on the Consolidated Statements of Operations in the period they were recovered.</w:t>
      </w:r>
    </w:p>
    <w:p>
      <w:pPr>
        <w:spacing w:after="0" w:line="125"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The allowance for credit losses, charge-offs, and recoveries related to consumer receivables, as well as for other components of customer funds assets, were each not material for the years ended December 31, 2025, 2024, and 2023.</w:t>
      </w:r>
    </w:p>
    <w:p>
      <w:pPr>
        <w:spacing w:after="0" w:line="95"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Prepaid Expenses &amp; Other Current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December 31, 2025 and 2024:</w:t>
      </w:r>
    </w:p>
    <w:p>
      <w:pPr>
        <w:spacing w:after="0" w:line="7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22,529</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card receivable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9,062</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6.</w:t>
        <w:tab/>
        <w:t>Property and Equipment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December 31, 2025 and 2024:</w:t>
      </w:r>
    </w:p>
    <w:p>
      <w:pPr>
        <w:spacing w:after="0" w:line="21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39,627</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8,440</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Projects in process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67,312</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61,521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$16.7 million, $11.9 million, and $8.3 million for the years ended December 31, 2025, 2024, and 2023, respectively. During the year ended December 31, 2025, the Company disposed of fully depreciated property and equipment with an associated accumulated depreciation balance of $7.2 million. The amount of disposals of fully depreciated property and equipment assets during the years ended December 31, 2024 and 2023 were not material.</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Internal-Use Software Costs</w:t>
      </w:r>
    </w:p>
    <w:p>
      <w:pPr>
        <w:spacing w:after="0" w:line="16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following table presents the Company’s capitalized internal-use software, including amortization expense recognized, for the years ended December 31, 2025, 2024, and 2023:</w:t>
      </w: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internal-use software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17,063</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costs capitalized to internal-use software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9"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inclusive of stock-based compensation costs capitalized to internal-use software as denoted within the table.</w:t>
      </w:r>
    </w:p>
    <w:p>
      <w:pPr>
        <w:ind w:left="140" w:hanging="132"/>
        <w:spacing w:after="0"/>
        <w:tabs>
          <w:tab w:leader="none" w:pos="14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are included within ‘</w:t>
      </w:r>
      <w:r>
        <w:rPr>
          <w:rFonts w:ascii="Times New Roman" w:cs="Times New Roman" w:eastAsia="Times New Roman" w:hAnsi="Times New Roman"/>
          <w:sz w:val="14"/>
          <w:szCs w:val="14"/>
          <w:i w:val="1"/>
          <w:iCs w:val="1"/>
          <w:color w:val="auto"/>
        </w:rPr>
        <w:t>Depreciation and amortization</w:t>
      </w:r>
      <w:r>
        <w:rPr>
          <w:rFonts w:ascii="Times New Roman" w:cs="Times New Roman" w:eastAsia="Times New Roman" w:hAnsi="Times New Roman"/>
          <w:sz w:val="14"/>
          <w:szCs w:val="14"/>
          <w:color w:val="auto"/>
        </w:rPr>
        <w:t>’ on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Geographical Information</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Company’s long-lived assets based on geography, which consist of property and equipment, net and operating lease right-of-use assets for the years ended December 31, 2025 and 2024:</w:t>
      </w:r>
    </w:p>
    <w:p>
      <w:pPr>
        <w:spacing w:after="0" w:line="163"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30,141</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Poland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9,675</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long-lived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acquisitions accounted for as business combinations or divestitures completed in the years ended December 31, 2025 or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Completed in 2023</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Company completed its acquisition of Rewire (O.S.G.) Research and Development Ltd. (“Rewire”) on January 5, 2023 by acquiring all outstanding equity interests of Rewire in exchange for cash and equity consideration, described below. The acquisition of Rewire allowed the Company to accelerate its opportunity to differentiate the remittance experience with complementary products, by bringing together its remittance businesses in new geographies, along with a strong team that is culturally aligned with the Company.</w:t>
      </w:r>
    </w:p>
    <w:p>
      <w:pPr>
        <w:spacing w:after="0" w:line="13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color w:val="auto"/>
        </w:rPr>
        <w:t xml:space="preserve">The acquisition met the criteria to be accounted for as a business combination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This method required,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Consideration Transferred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acquisition-date fair value of consideration transferred for the acquisition totaled $77.9 million,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to selling shareholders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56,398</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issued to selling shareholders, including replacement of equity awards attributable to pre-combination services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Holdback liability to be settled in cash and Company equity</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r>
      <w:tr>
        <w:trPr>
          <w:trHeight w:val="23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Effective settlement of pre-existing net receivable owed to the Company</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excluded 133,309 shares and restricted stock units held back and not legally issued at the acquisition date, as further discussed below.</w:t>
      </w:r>
    </w:p>
    <w:p>
      <w:pPr>
        <w:spacing w:after="0" w:line="14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Approximately $11.9 million of the cash and equity proceeds were held back to satisfy any necessary adjustments, including without limitation, indemnification claims related to general representations and warranties, and any net working capital adjustments. As of the acquisition date, the majority of this holdback was expected to be settled in cash, with the remainder in 133,309 shares of Company common stock and restricted stock units. Such amounts were subject to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the Company’s common stock, subject to the aforementioned adjustments. Refer to the discussion below regarding the settlement of the holdback consideration during the year ended December 31, 2024.</w:t>
      </w:r>
    </w:p>
    <w:p>
      <w:pPr>
        <w:spacing w:after="0" w:line="12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 The change in the pre-existing receivable to an intercompany receivable has been considered as a noncash activity reflected within the operating activities of the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Holdback Liability</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The holdback of cash and equity proceeds discussed above was recorded at its acquisition-date fair value and was classified as a liability within ‘</w:t>
      </w:r>
      <w:r>
        <w:rPr>
          <w:rFonts w:ascii="Times New Roman" w:cs="Times New Roman" w:eastAsia="Times New Roman" w:hAnsi="Times New Roman"/>
          <w:sz w:val="16"/>
          <w:szCs w:val="16"/>
          <w:i w:val="1"/>
          <w:iCs w:val="1"/>
          <w:color w:val="auto"/>
        </w:rPr>
        <w:t>Other noncurrent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liabilities</w:t>
      </w:r>
      <w:r>
        <w:rPr>
          <w:rFonts w:ascii="Times New Roman" w:cs="Times New Roman" w:eastAsia="Times New Roman" w:hAnsi="Times New Roman"/>
          <w:sz w:val="16"/>
          <w:szCs w:val="16"/>
          <w:color w:val="auto"/>
        </w:rPr>
        <w:t>’ on the Consolidated Balance Sheets at the acquisition date. The portion of the holdback settled in Company shares was recorded at its fair value through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settlement date, with changes recorded to earnings. The estimated fair value of the portion of the holdback liability settled in equity used both observable and unobservable inputs, specifically considering the price of the Company’s common stock, as well as the probability of payout at the end of the holdback period, and was considered a Level 3 measurement, as defined in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During the years ended December 31, 2024 and 2023, the Company recorded $0.2 million and $1.1 million, respectively, to reflect the change in the fair value of the holdback liability, recorded within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on the Consolidated Statements of Operations.</w:t>
      </w:r>
    </w:p>
    <w:p>
      <w:pPr>
        <w:spacing w:after="0" w:line="12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 April 2024, the holdback liability discussed above was settled with a cash payment of $10.3 million and with $2.8 million of equity consideration, consisting of 131,507 shares of the Company’s common stock and restricted stock units. The holdback settlement was adjusted for immaterial post-closing net purchase price adjustments identified during the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was no remaining holdback liability recorded as of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Assets Acquired and Liabilities Assumed</w:t>
      </w:r>
    </w:p>
    <w:p>
      <w:pPr>
        <w:spacing w:after="0" w:line="18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rates, as well as migration curves for developed technology. The following table summarizes the allocation of the purchase consideration to the assets acquired and liabilities assumed based on their acquisition-date fair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33"/>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15,465</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Disbursement prefunding</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 net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53"/>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r>
      <w:tr>
        <w:trPr>
          <w:trHeight w:val="233"/>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liabilities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for future deposits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assumed indebtedness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net</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43"/>
        </w:trPr>
        <w:tc>
          <w:tcPr>
            <w:tcW w:w="9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the valuation of assets acquired and liabilities assumed of Rewire was complete.</w:t>
      </w:r>
    </w:p>
    <w:p>
      <w:pPr>
        <w:spacing w:after="0" w:line="16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Acquired Receivables</w:t>
      </w:r>
    </w:p>
    <w:p>
      <w:pPr>
        <w:spacing w:after="0" w:line="18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color w:val="auto"/>
        </w:rPr>
        <w:t>The fair value of the financial assets acquired include ‘</w:t>
      </w:r>
      <w:r>
        <w:rPr>
          <w:rFonts w:ascii="Times New Roman" w:cs="Times New Roman" w:eastAsia="Times New Roman" w:hAnsi="Times New Roman"/>
          <w:sz w:val="16"/>
          <w:szCs w:val="16"/>
          <w:i w:val="1"/>
          <w:iCs w:val="1"/>
          <w:color w:val="auto"/>
        </w:rPr>
        <w:t>Disbursement prefunding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Customer funds receivable, net</w:t>
      </w:r>
      <w:r>
        <w:rPr>
          <w:rFonts w:ascii="Times New Roman" w:cs="Times New Roman" w:eastAsia="Times New Roman" w:hAnsi="Times New Roman"/>
          <w:sz w:val="16"/>
          <w:szCs w:val="16"/>
          <w:color w:val="auto"/>
        </w:rPr>
        <w:t>,’ with a fair value of $6.0 million and $3.4 million, respectively, as disclosed above. The Company has collected substantially all of these receivables.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Costs</w:t>
      </w:r>
    </w:p>
    <w:p>
      <w:pPr>
        <w:spacing w:after="0" w:line="185"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Transaction costs incurred during the year ended December 31, 2025 were not material. Transaction costs totaled $0.2 million and $2.1 million, which included $0.2 million and $1.1 million for the change in the fair value of the holdback liability, during the years ended December 31, 2024 and 2023, respectively. Transaction costs are primarily related to the Company’s aforementioned acquisition of Rewire.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Disclosures</w:t>
      </w:r>
    </w:p>
    <w:p>
      <w:pPr>
        <w:spacing w:after="0" w:line="17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results of operations of Rewire are included within the accompanying Consolidated Statements of Operations and Comprehensive Income (Loss) since the date of the acquisition.</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800" w:firstLine="8"/>
        <w:spacing w:after="0" w:line="467" w:lineRule="auto"/>
        <w:tabs>
          <w:tab w:leader="none" w:pos="283"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Intangible Assets Goodwill</w:t>
      </w:r>
    </w:p>
    <w:p>
      <w:pPr>
        <w:spacing w:after="0" w:line="1" w:lineRule="exact"/>
        <w:rPr>
          <w:sz w:val="20"/>
          <w:szCs w:val="20"/>
          <w:color w:val="auto"/>
        </w:rPr>
      </w:pPr>
    </w:p>
    <w:p>
      <w:pPr>
        <w:jc w:val="both"/>
        <w:ind w:right="420"/>
        <w:spacing w:after="0" w:line="272" w:lineRule="auto"/>
        <w:rPr>
          <w:sz w:val="20"/>
          <w:szCs w:val="20"/>
          <w:color w:val="auto"/>
        </w:rPr>
      </w:pPr>
      <w:r>
        <w:rPr>
          <w:rFonts w:ascii="Times New Roman" w:cs="Times New Roman" w:eastAsia="Times New Roman" w:hAnsi="Times New Roman"/>
          <w:sz w:val="16"/>
          <w:szCs w:val="16"/>
          <w:color w:val="auto"/>
        </w:rPr>
        <w:t xml:space="preserve">The goodwill recorded on the Consolidated Balance Sheets as of December 31, 2025 and 2024 was attributable to the acquisition of Rewire, completed within the year ended December 31, 2023, including measurement period adjustments, as described further in Note 7.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There were no adjustments to goodwill during the years ended December 31, 2025 or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identifiable intangible assets as of December 31, 2025 and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9"/>
        </w:trPr>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r>
      <w:tr>
        <w:trPr>
          <w:trHeight w:val="148"/>
        </w:trPr>
        <w:tc>
          <w:tcPr>
            <w:tcW w:w="1820" w:type="dxa"/>
            <w:vAlign w:val="bottom"/>
          </w:tcPr>
          <w:p>
            <w:pPr>
              <w:spacing w:after="0"/>
              <w:rPr>
                <w:sz w:val="12"/>
                <w:szCs w:val="1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r>
      <w:tr>
        <w:trPr>
          <w:trHeight w:val="180"/>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r>
      <w:tr>
        <w:trPr>
          <w:trHeight w:val="29"/>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3"/>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9"/>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95"/>
        </w:trPr>
        <w:tc>
          <w:tcPr>
            <w:tcW w:w="1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The acquired identified intangible assets have estimated useful lives ranging from three to four years. Amortization expense for intangible assets was $8.3 million, $6.2 million, and $4.9 million for the years ended December 31, 2025, 2024, and 2023,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intangible asset amortization as of December 31, 2025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r>
      <w:tr>
        <w:trPr>
          <w:trHeight w:val="243"/>
        </w:trPr>
        <w:tc>
          <w:tcPr>
            <w:tcW w:w="9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r>
      <w:tr>
        <w:trPr>
          <w:trHeight w:val="21"/>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hanging="292"/>
        <w:spacing w:after="0"/>
        <w:tabs>
          <w:tab w:leader="none" w:pos="30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183" w:lineRule="exact"/>
        <w:rPr>
          <w:sz w:val="20"/>
          <w:szCs w:val="20"/>
          <w:color w:val="auto"/>
        </w:rPr>
      </w:pPr>
    </w:p>
    <w:p>
      <w:pPr>
        <w:jc w:val="both"/>
        <w:ind w:right="340"/>
        <w:spacing w:after="0" w:line="263" w:lineRule="auto"/>
        <w:rPr>
          <w:sz w:val="20"/>
          <w:szCs w:val="20"/>
          <w:color w:val="auto"/>
        </w:rPr>
      </w:pPr>
      <w:r>
        <w:rPr>
          <w:rFonts w:ascii="Times New Roman" w:cs="Times New Roman" w:eastAsia="Times New Roman" w:hAnsi="Times New Roman"/>
          <w:sz w:val="16"/>
          <w:szCs w:val="16"/>
          <w:color w:val="auto"/>
        </w:rPr>
        <w:t xml:space="preserve">The Company’s derivative instruments are classified as Level 2 because it uses quoted forward spot rates at the end of the applicable periods, which are corroborated by market-based pricing. Refer to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for additional information. There were no other financial assets and liabilities that were measured at fair value on a recurring basis as of December 31, 2025 or 2024.</w:t>
      </w:r>
    </w:p>
    <w:p>
      <w:pPr>
        <w:spacing w:after="0" w:line="13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carrying values of certain financial instruments, including cash equivalents, disbursement prefunding, customer funds receivable including consumer receivables, accounts payable, accrued expenses and other current liabilities, customer liabilities, short-term debt, and long-term debt, approximate their respective fair values due to their short-term nature. If consumer receivables were measured at fair value in the financial statements, they would be classified as Level 3. All other financial instruments would be classified as Level 2.</w:t>
      </w:r>
    </w:p>
    <w:p>
      <w:pPr>
        <w:spacing w:after="0" w:line="123"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Revolving Credit Facility</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 June 2025, Remitly Global, Inc. and Remitly, Inc., a wholly-owned subsidiary of Remitly Global, Inc., as co-borrowers, entered into a credit agreement (the “2025 Revolving Credit Facility”) with certain lenders and JPMorgan Chase Bank, N.A. acting as administrative agent and collateral agent. The 2025 Revolving Credit Facility has a revolving commitment of $550.0 million (including a $200.0 million letter of credit sub-facility). The 2025 Revolving Credit Facility replaced the existing 2021 Revolving Credit Facility, which is further discussed below. Proceeds under the 2025 Revolving Credit Facility are primarily used to support prefunding of customer flows within the Company’s global money movement product and also for general corporate purposes. As part of the 2025 Revolving Credit Facility, the Company capitalized $3.1 million of new debt issuance costs within ‘</w:t>
      </w:r>
      <w:r>
        <w:rPr>
          <w:rFonts w:ascii="Times New Roman" w:cs="Times New Roman" w:eastAsia="Times New Roman" w:hAnsi="Times New Roman"/>
          <w:sz w:val="16"/>
          <w:szCs w:val="16"/>
          <w:i w:val="1"/>
          <w:iCs w:val="1"/>
          <w:color w:val="auto"/>
        </w:rPr>
        <w:t>Other noncurrent assets, net</w:t>
      </w:r>
      <w:r>
        <w:rPr>
          <w:rFonts w:ascii="Times New Roman" w:cs="Times New Roman" w:eastAsia="Times New Roman" w:hAnsi="Times New Roman"/>
          <w:sz w:val="16"/>
          <w:szCs w:val="16"/>
          <w:color w:val="auto"/>
        </w:rPr>
        <w:t>’ on the Consolidated Balance Sheets, which are amortized to interest expense over the term of the 2025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The 2025 Revolving Credit Facility permits borrowings in the form of (a) alternate base rate loans, (b) term benchmark loans, and (c) swingline loans and has a maturity date of June 24, 2030. Borrowings under the 2025 Revolving Credit Facility accrue interest at a floating rate per annum equal to, at the Company’s option, (1) the Alternate Base Rate (defined in the 2025 Revolving Credit Facility as the rate per annum equal to the highest of (a) the Prime Rate in effect on such day, (b) the New York Federal Reserve Bank Rate in effect on such day plus 0.50% and (c) the Term SOFR Rate for an interest period of one month plus 1.00% (subject to a floor of 1.00%) plus 0.50% per annum) or (2) the Term SOFR Rate (subject to a floor of 0.00%) plus 1.50% per annum. Such interest is payable (a) with respect to loans bearing interest based on the Alternate Base Rate, the last day of each March, June, September, and December, (b) with respect to any term benchmark loan, at the end of each applicable interest period, but in no event less frequently than three months, and (c) with respect to any swingline loan, the day the loan is required to be repaid. In addition, an unused commitment fee, which accrues at a rate per annum equal to 0.25% of the unused portion of the revolving commitments, is payable on the fifteenth business day of each January, April, July, and October. Unused commitment fees were not material during the year ended December 31, 2025.</w:t>
      </w:r>
    </w:p>
    <w:p>
      <w:pPr>
        <w:spacing w:after="0" w:line="14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2025 Revolving Credit Facility contains customary conditions to borrowing, events of default, and covenants, including covenants that restrict the ability to dispose of certain assets, merge with other entities, incur certain indebtedness, grant liens, pay dividends or make other distributions to holders of the Company’s capital stock, make investments, enter into restrictive agreements, or engage in certain transactions with affiliates. Financial covenants in the 2025 Revolving Credit Facility include a requirement to maintain a net leverage ratio of no greater than 4.50:1.00, which is tested quarterly. The Company was in compliance with all financial covenants under the 2025 Revolving Credit Facility as of December 31, 2025.</w:t>
      </w:r>
    </w:p>
    <w:p>
      <w:pPr>
        <w:spacing w:after="0" w:line="12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obligations under the 2025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2025 Revolving Credit Facility may fluctuate depending on transaction volumes and seasonality.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 had $155.0 million outstanding borrowings under the 2025 Revolving Credit Facility with a weighted-average interest rate of</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7.25%. As of December 31, 2025, the Company had unused borrowing capacity of $323.2 million under the 2025 Revolving Credit Facility, and $71.8 million in issued, but undrawn, standby letters of credit.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Revolving Credit Facility</w:t>
      </w:r>
    </w:p>
    <w:p>
      <w:pPr>
        <w:spacing w:after="0" w:line="17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The 2021 Revolving Credit Facility, as amended in and prior to December 2023, had a revolving commitment of $325.0 million (including a $60.0 million letter of credit sub-facility). In connection with the 2025 Revolving Credit Facility, all obligations under the 2021 Revolving Credit Facility were paid in full and the agreement was terminated.</w:t>
      </w:r>
    </w:p>
    <w:p>
      <w:pPr>
        <w:spacing w:after="0" w:line="22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The 2021 Revolving Credit Facility had a maturity date of September 13, 2026. Borrowings under the 2021 Revolving Credit Facility, as amended, accrued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w:t>
      </w:r>
    </w:p>
    <w:p>
      <w:pPr>
        <w:spacing w:after="0" w:line="12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2021 Revolving Credit Facility contained customary conditions to borrowing, events of default, and covenants, including covenants that restricted the ability to dispose of assets, merge with other entities, incur indebtedness, grant liens, pay dividends or make other distributions to holders of its capital stock, make investments, enter into restrictive agreements, or engage in transactions with affiliates. As of December 31, 2024, financial covenants in the 2021 Revolving Credit Facility included (1) a requirement to maintain a minimum Adjusted Quick Ratio of 1.50:1.00, which is tested quarterly and (2) a requirement to maintain a minimum liquidity of $100.0 million, which is tested quarterly. The Company was in compliance with all financial covenants under the 2021 Revolving Credit Facility as of December 31, 2024.</w:t>
      </w:r>
    </w:p>
    <w:p>
      <w:pPr>
        <w:spacing w:after="0" w:line="126"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The obligations under the 2021 Revolving Credit Facility were guaranteed by the material domestic subsidiaries of Remitly Global, Inc., subject to customary exceptions, and were secured by substantially all of the assets of the borrowers and guarantors thereunder, subject to customary exceptions. Amounts of borrowings under the 2021 Revolving Credit Facility fluctuated depending on transaction volumes and seasonality.</w:t>
      </w:r>
    </w:p>
    <w:p>
      <w:pPr>
        <w:spacing w:after="0" w:line="117"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As of December 31, 2024, the Company had no outstanding borrowings under the 2021 Revolving Credit Facility. As of December 31, 2024, the Company had unused borrowing capacity of $277.3 million under the 2021 Revolving Credit Facility, and $48.2 million in issued, but undrawn, standby letters of credit.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Advance for Future Deposits</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Depositor made an advance payment to Rewire with respect to future deposits (the “Advance for Future Deposits”), with an original amount of 9.0 million Israeli shekel, approximately $2.8 million, which was transferred as an advance under the Amendment. As of December 31, 2025, the Advance for Future Deposits has a maturity date of November 2026 and provides for automatic extensions upon maturity. As of December 31, 2025 and 2024, the Company had $2.8 million and $2.5 million outstanding under the Amendment, respectively, which was recorded within ‘</w:t>
      </w:r>
      <w:r>
        <w:rPr>
          <w:rFonts w:ascii="Times New Roman" w:cs="Times New Roman" w:eastAsia="Times New Roman" w:hAnsi="Times New Roman"/>
          <w:sz w:val="16"/>
          <w:szCs w:val="16"/>
          <w:i w:val="1"/>
          <w:iCs w:val="1"/>
          <w:color w:val="auto"/>
        </w:rPr>
        <w:t>Short-term debt</w:t>
      </w:r>
      <w:r>
        <w:rPr>
          <w:rFonts w:ascii="Times New Roman" w:cs="Times New Roman" w:eastAsia="Times New Roman" w:hAnsi="Times New Roman"/>
          <w:sz w:val="16"/>
          <w:szCs w:val="16"/>
          <w:color w:val="auto"/>
        </w:rPr>
        <w:t>’ on the Consolidated Balance Sheets. The change in the outstanding balance is driven by the change in the foreign exchange conversion rate. The Advance for Future Deposits bears a floating interest rate of 1.4% plus Israeli Prime per annum, paid on a monthly basis. The Israeli Prime rate is defined as the Bank of Israel rate plus 1.5%. As of December 31, 2025 and 2024, the weighted-average interest rate was 7.40% and 7.35%,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Assumed Debt of Rewire</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part of the acquisition of Rewire, the Company assumed the amounts due on a revolving credit line that Rewire had entered into in 2021 and the amounts due on a bridge loan that Rewire had entered into in 2022. The total outstanding amounts were repaid during the year ended December 31, 2023, along with certain other acquired indebtedness, subsequent to the Company’s acquisition of Rewire and were included within the Consolidated Statements of Cash Flows as a financing activity.</w:t>
      </w:r>
    </w:p>
    <w:p>
      <w:pPr>
        <w:spacing w:after="0" w:line="1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11.</w:t>
        <w:tab/>
        <w:t>Net Income (Loss) Per Common Share</w:t>
      </w:r>
    </w:p>
    <w:p>
      <w:pPr>
        <w:spacing w:after="0" w:line="16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following table presents the calculation of basic and diluted net income (loss) per share attributable to common stockholders for the periods indicated. Basic net income (loss)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unvested RSUs, and ESPP related shares. In periods when the Company reported a net loss, diluted net loss per share is the same as basic net loss per share because the effects of potentially dilutive items were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tcPr>
          <w:p>
            <w:pPr>
              <w:spacing w:after="0"/>
              <w:rPr>
                <w:sz w:val="15"/>
                <w:szCs w:val="15"/>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15"/>
                <w:szCs w:val="15"/>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0" w:type="dxa"/>
            <w:vAlign w:val="bottom"/>
          </w:tcPr>
          <w:p>
            <w:pPr>
              <w:spacing w:after="0"/>
              <w:rPr>
                <w:sz w:val="1"/>
                <w:szCs w:val="1"/>
                <w:color w:val="auto"/>
              </w:rPr>
            </w:pPr>
          </w:p>
        </w:tc>
      </w:tr>
      <w:tr>
        <w:trPr>
          <w:trHeight w:val="220"/>
        </w:trPr>
        <w:tc>
          <w:tcPr>
            <w:tcW w:w="6820" w:type="dxa"/>
            <w:vAlign w:val="bottom"/>
            <w:gridSpan w:val="2"/>
          </w:tcPr>
          <w:p>
            <w:pPr>
              <w:ind w:left="64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 attributable to common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stockholders: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205,833,196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194,646,436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180,818,399</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11,736,700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6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217,569,896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194,646,436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180,818,399</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gridSpan w:val="2"/>
            <w:shd w:val="clear" w:color="auto" w:fill="CCEEFF"/>
          </w:tcPr>
          <w:p>
            <w:pPr>
              <w:ind w:left="240"/>
              <w:spacing w:after="0" w:line="175" w:lineRule="exact"/>
              <w:rPr>
                <w:sz w:val="20"/>
                <w:szCs w:val="20"/>
                <w:color w:val="auto"/>
              </w:rPr>
            </w:pPr>
            <w:r>
              <w:rPr>
                <w:rFonts w:ascii="Times New Roman" w:cs="Times New Roman" w:eastAsia="Times New Roman" w:hAnsi="Times New Roman"/>
                <w:sz w:val="16"/>
                <w:szCs w:val="16"/>
                <w:color w:val="auto"/>
              </w:rPr>
              <w:t>Basic</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64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20" w:type="dxa"/>
            <w:vAlign w:val="bottom"/>
            <w:gridSpan w:val="2"/>
          </w:tcPr>
          <w:p>
            <w:pPr>
              <w:ind w:left="240"/>
              <w:spacing w:after="0" w:line="175" w:lineRule="exact"/>
              <w:rPr>
                <w:sz w:val="20"/>
                <w:szCs w:val="20"/>
                <w:color w:val="auto"/>
              </w:rPr>
            </w:pPr>
            <w:r>
              <w:rPr>
                <w:rFonts w:ascii="Times New Roman" w:cs="Times New Roman" w:eastAsia="Times New Roman" w:hAnsi="Times New Roman"/>
                <w:sz w:val="16"/>
                <w:szCs w:val="16"/>
                <w:color w:val="auto"/>
              </w:rPr>
              <w:t>Diluted</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Pr>
          <w:p>
            <w:pPr>
              <w:spacing w:after="0"/>
              <w:rPr>
                <w:sz w:val="15"/>
                <w:szCs w:val="15"/>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5"/>
                <w:szCs w:val="15"/>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10"/>
        </w:trPr>
        <w:tc>
          <w:tcPr>
            <w:tcW w:w="6820" w:type="dxa"/>
            <w:vAlign w:val="bottom"/>
            <w:gridSpan w:val="2"/>
          </w:tcPr>
          <w:p>
            <w:pPr>
              <w:ind w:left="64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securities were not included in the computation of diluted shares outstanding because the effect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8,240,251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10,801,396</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9,881,815</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23,886,131</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23,555,665</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568,761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2,005,433</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791,226</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common stock, subject to service-based vesting conditions, issued in connection with</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acquisition</w:t>
            </w:r>
            <w:r>
              <w:rPr>
                <w:rFonts w:ascii="Times New Roman" w:cs="Times New Roman" w:eastAsia="Times New Roman" w:hAnsi="Times New Roman"/>
                <w:sz w:val="21"/>
                <w:szCs w:val="21"/>
                <w:color w:val="auto"/>
                <w:vertAlign w:val="superscript"/>
              </w:rPr>
              <w:t>(1)</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issuable in connection with acquisition</w:t>
            </w:r>
            <w:r>
              <w:rPr>
                <w:rFonts w:ascii="Times New Roman" w:cs="Times New Roman" w:eastAsia="Times New Roman" w:hAnsi="Times New Roman"/>
                <w:sz w:val="21"/>
                <w:szCs w:val="21"/>
                <w:color w:val="auto"/>
                <w:vertAlign w:val="superscript"/>
              </w:rPr>
              <w:t>(1)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133,309</w:t>
            </w:r>
          </w:p>
        </w:tc>
      </w:tr>
      <w:tr>
        <w:trPr>
          <w:trHeight w:val="262"/>
        </w:trPr>
        <w:tc>
          <w:tcPr>
            <w:tcW w:w="63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10,450,576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34,183,855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35,394,333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ind w:left="160" w:hanging="152"/>
        <w:spacing w:after="0" w:line="222" w:lineRule="auto"/>
        <w:tabs>
          <w:tab w:leader="none" w:pos="1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Refer to Note 7.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for further discussion of equity issued or to be issued in connection with the Rewire acquisition.</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12.</w:t>
        <w:tab/>
        <w:t>Common Stock</w:t>
      </w:r>
    </w:p>
    <w:p>
      <w:pPr>
        <w:spacing w:after="0" w:line="16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As of December 31, 2025,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years ended December 31, 2025, 2024, and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Pledge 1% Stock Donation</w:t>
      </w:r>
    </w:p>
    <w:p>
      <w:pPr>
        <w:spacing w:after="0" w:line="16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In July 2021, the Company’s board of directors approved the reservation of up to 1,819,609 shares of common stock that the Company may issue to or for the benefit of a 501(c)(3) nonprofit foundation or a similar charitable organization pursuant to the Company’s Pledge 1% commitment, in installments over ten years.</w:t>
      </w:r>
    </w:p>
    <w:p>
      <w:pPr>
        <w:spacing w:after="0" w:line="12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During each of the years ended December 31, 2025, 2024, and 2023, the Company donated 181,961 shares of its common stock to the Remitly Foundation, a donor advised fund at Rockefeller Philanthropy Advisors. For the years ended December 31, 2025, 2024, and 2023, the Company recorded a charge of $3.3 million, $2.6 million, and $4.6 million, respectively, to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on the Consolidated Statements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In July 2025, the Company’s board of directors approved a share repurchase program that provides for the repurchase of up to an aggregate $200.0 million of the Company’s outstanding common stock. The share repurchase program does not expire and may be suspended, discontinued, or modified at any time without notice, at the Company’s discretion. Any share repurchases under the Company’s share repurchase program may be made through open market transactions, in privately negotiated transactions, or by other means, including through the use of trading plans intended to qualify under 10b5-1 under the Securities Exchange Act of 1934, as amended, in accordance with applicable securities laws and other restrictions.</w:t>
      </w:r>
    </w:p>
    <w:p>
      <w:pPr>
        <w:spacing w:after="0" w:line="1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During the year ended December 31, 2025, in accordance with its share repurchase program, the Company repurchased and retired an aggregate 1,484,066 shares of its common stock for $23.9 million, which was recorded to ‘</w:t>
      </w:r>
      <w:r>
        <w:rPr>
          <w:rFonts w:ascii="Times New Roman" w:cs="Times New Roman" w:eastAsia="Times New Roman" w:hAnsi="Times New Roman"/>
          <w:sz w:val="16"/>
          <w:szCs w:val="16"/>
          <w:i w:val="1"/>
          <w:iCs w:val="1"/>
          <w:color w:val="auto"/>
        </w:rPr>
        <w:t>Additional paid in capital</w:t>
      </w:r>
      <w:r>
        <w:rPr>
          <w:rFonts w:ascii="Times New Roman" w:cs="Times New Roman" w:eastAsia="Times New Roman" w:hAnsi="Times New Roman"/>
          <w:sz w:val="16"/>
          <w:szCs w:val="16"/>
          <w:color w:val="auto"/>
        </w:rPr>
        <w:t>’ on the Consolidated Balance Sheets. As of December 31, 2025, a total of $176.1 million remained available for future repurchases of the Company’s common stock under the share repurchase program. There were no share repurchases during the years ended December 31, 2024 or 2023.</w:t>
      </w:r>
    </w:p>
    <w:p>
      <w:pPr>
        <w:spacing w:after="0" w:line="137" w:lineRule="exact"/>
        <w:rPr>
          <w:sz w:val="20"/>
          <w:szCs w:val="20"/>
          <w:color w:val="auto"/>
        </w:rPr>
      </w:pPr>
    </w:p>
    <w:p>
      <w:pPr>
        <w:ind w:right="8980" w:firstLine="8"/>
        <w:spacing w:after="0" w:line="467" w:lineRule="auto"/>
        <w:tabs>
          <w:tab w:leader="none" w:pos="364"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Shares Available for Issuance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17,226,859 and 7,997,937 awards remained available for issuance under the 2021 Plan and the ESPP,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year ended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00"/>
        </w:trPr>
        <w:tc>
          <w:tcPr>
            <w:tcW w:w="4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9"/>
        </w:trPr>
        <w:tc>
          <w:tcPr>
            <w:tcW w:w="474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 Life (in</w:t>
            </w:r>
          </w:p>
        </w:tc>
        <w:tc>
          <w:tcPr>
            <w:tcW w:w="1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r>
      <w:tr>
        <w:trPr>
          <w:trHeight w:val="245"/>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Value</w:t>
            </w:r>
            <w:r>
              <w:rPr>
                <w:rFonts w:ascii="Times New Roman" w:cs="Times New Roman" w:eastAsia="Times New Roman" w:hAnsi="Times New Roman"/>
                <w:sz w:val="21"/>
                <w:szCs w:val="21"/>
                <w:b w:val="1"/>
                <w:bCs w:val="1"/>
                <w:color w:val="auto"/>
                <w:vertAlign w:val="superscript"/>
              </w:rPr>
              <w:t>(1)</w:t>
            </w: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January 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8,240,251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148,247</w:t>
            </w: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(3,539,841)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60,809</w:t>
            </w:r>
          </w:p>
        </w:tc>
      </w:tr>
      <w:tr>
        <w:trPr>
          <w:trHeight w:val="24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Balances as of December 31, 2025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4,687,970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36,639</w:t>
            </w: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as of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4,687,970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9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December 31,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4,687,970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60" w:hanging="152"/>
        <w:spacing w:after="0"/>
        <w:tabs>
          <w:tab w:leader="none" w:pos="16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aggregate intrinsic value is calculated as the difference between the exercise price of the underlying stock options and the estimated fair value of the Company’s common stock.</w:t>
      </w:r>
    </w:p>
    <w:p>
      <w:pPr>
        <w:spacing w:after="0" w:line="200" w:lineRule="exact"/>
        <w:rPr>
          <w:rFonts w:ascii="Times New Roman" w:cs="Times New Roman" w:eastAsia="Times New Roman" w:hAnsi="Times New Roman"/>
          <w:sz w:val="9"/>
          <w:szCs w:val="9"/>
          <w:color w:val="auto"/>
        </w:rPr>
      </w:pPr>
    </w:p>
    <w:p>
      <w:pPr>
        <w:spacing w:after="0" w:line="200" w:lineRule="exact"/>
        <w:rPr>
          <w:rFonts w:ascii="Times New Roman" w:cs="Times New Roman" w:eastAsia="Times New Roman" w:hAnsi="Times New Roman"/>
          <w:sz w:val="9"/>
          <w:szCs w:val="9"/>
          <w:color w:val="auto"/>
        </w:rPr>
      </w:pPr>
    </w:p>
    <w:p>
      <w:pPr>
        <w:spacing w:after="0" w:line="393" w:lineRule="exact"/>
        <w:rPr>
          <w:rFonts w:ascii="Times New Roman" w:cs="Times New Roman" w:eastAsia="Times New Roman" w:hAnsi="Times New Roman"/>
          <w:sz w:val="9"/>
          <w:szCs w:val="9"/>
          <w:color w:val="auto"/>
        </w:rPr>
      </w:pPr>
    </w:p>
    <w:p>
      <w:pPr>
        <w:ind w:left="554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stock options were granted during the years ended December 31, 2025, 2024, or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years ended December 31, 2025,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4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options vested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9,406</w:t>
            </w: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intrinsic value of options exercised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69,472</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4"/>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RSU activity during the year ended December 31, 2025 was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5"/>
        </w:trPr>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189"/>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25"/>
        </w:trPr>
        <w:tc>
          <w:tcPr>
            <w:tcW w:w="63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Fair Value Per Share</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2025</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23,886,131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8,989,792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(8,415,296)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37"/>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Cancelled/forfeited</w:t>
            </w:r>
          </w:p>
        </w:tc>
        <w:tc>
          <w:tcPr>
            <w:tcW w:w="3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(3,189,487)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6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2025</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21,271,140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RSU activity during the years ended December 31, 2025,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grant-date fair value per share of RSUs granted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RSUs vested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128,502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113,024</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 (“ESPP”)</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A new 24-month ESPP offering period commenced on March 1, 2025. Beginning in September 2025, the Company implemented a new offering structure under which a new 12-month ESPP offering period commences on March 1 and September 1 of each fiscal year with the first 12-month ESPP offering period commencing on September 1, 2025. The ESPP plan includes a rollover feature for the purchase price if the Company's stock price at the end of the purchase period is less than the Company's stock price on the first day of the offering period. If this rollover feature is triggered, a new offering period begins. This feature was triggered on February 29, 2024 and August 30, 2024, resulting in incremental stock-based compensation expense of $1.7 million and $4.5 million, respectively. The rollover feature had an immaterial impact for all other periods presented. The incremental stock-based compensation expense is recognized over each new offering period.</w:t>
      </w:r>
    </w:p>
    <w:p>
      <w:pPr>
        <w:spacing w:after="0" w:line="14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color w:val="auto"/>
        </w:rPr>
        <w:t>The fair value of the ESPP offerings, including those described above, were estimated using the Black-Scholes option-pricing model as of the respective offering dates, using the following assumptions. These assumptions represent the grant-date fair value inputs for new offerings which commenced during the years ended December 31, 2025, 2024, and 2023, as well as updated valuation information as of the modification date for any offerings for which a modification occurred during the periods presented herein: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9"/>
                <w:szCs w:val="19"/>
                <w:color w:val="auto"/>
              </w:rPr>
            </w:pPr>
          </w:p>
        </w:tc>
      </w:tr>
      <w:tr>
        <w:trPr>
          <w:trHeight w:val="237"/>
        </w:trPr>
        <w:tc>
          <w:tcPr>
            <w:tcW w:w="6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 to 4.26%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3.84% to 5.20%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 to 5.40%</w:t>
            </w: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0.5 to 2.0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r>
      <w:tr>
        <w:trPr>
          <w:trHeight w:val="25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 to 49.1%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39.3% to 61.3%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 to 65.2%</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69"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 xml:space="preserve">Stock-based compensation expense for stock options, RSUs, and the ESPP included within the Consolidated Statements of Operations, net of amounts capitalized to internal-use software, as described in Note 6.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was as follows for the years ended December 31, 2025, 2024, and 2023:</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16,165</w:t>
            </w:r>
          </w:p>
        </w:tc>
      </w:tr>
      <w:tr>
        <w:trPr>
          <w:trHeight w:val="25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93,158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74,967</w:t>
            </w: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43,110</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48,989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44,431</w:t>
            </w:r>
          </w:p>
        </w:tc>
      </w:tr>
      <w:tr>
        <w:trPr>
          <w:trHeight w:val="26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155,114</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As of December 31, 2025, the total unamortized compensation cost related to all non-vested equity awards, including options and RSUs, was $279.0 million, which will be amortized over a weighted-average remaining requisite service period of approximately 2.4 years. As of December 31, 2025, the total unrecognized compensation expense related to the ESPP was $4.4 million, which is expected to be amortized over the next 0.7 years.</w:t>
      </w:r>
    </w:p>
    <w:p>
      <w:pPr>
        <w:spacing w:after="0" w:line="1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5"/>
          <w:szCs w:val="15"/>
          <w:b w:val="1"/>
          <w:bCs w:val="1"/>
          <w:color w:val="auto"/>
        </w:rPr>
        <w:t>Income Taxes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income (loss) before provision for income taxes were as follows for the years ended December 31, 2025, 2024, and 2023:</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54,557</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(42,708)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(74,776)</w:t>
            </w: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17,071</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w w:val="99"/>
              </w:rPr>
              <w:t>12,457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(37,162)</w:t>
            </w:r>
          </w:p>
        </w:tc>
      </w:tr>
      <w:tr>
        <w:trPr>
          <w:trHeight w:val="263"/>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71,628</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the provision for income taxes were as follows for the years ended December 31, 2025,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60" w:type="dxa"/>
            <w:vAlign w:val="bottom"/>
            <w:tcBorders>
              <w:bottom w:val="single" w:sz="8" w:color="auto"/>
            </w:tcBorders>
          </w:tcPr>
          <w:p>
            <w:pPr>
              <w:spacing w:after="0"/>
              <w:rPr>
                <w:sz w:val="19"/>
                <w:szCs w:val="19"/>
                <w:color w:val="auto"/>
              </w:rPr>
            </w:pPr>
          </w:p>
        </w:tc>
      </w:tr>
      <w:tr>
        <w:trPr>
          <w:trHeight w:val="23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tax benefit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36"/>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(6,365)</w:t>
            </w:r>
          </w:p>
        </w:tc>
      </w:tr>
      <w:tr>
        <w:trPr>
          <w:trHeight w:val="243"/>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tax benefit (expense)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benefit (expense):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36"/>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benefit (expense)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63"/>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at the applicable federal statutory rate to the Company’s effective income tax rate were as follows for the years ended December 31, 2025, 2024, and 2023:</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3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20"/>
                <w:szCs w:val="20"/>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tax at statutory rate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15,042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(6,353)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(23,507)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income tax, net of federal income tax effect</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1"/>
                <w:szCs w:val="21"/>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1,050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302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Israel</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charges from integration of acquired companies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16,631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(4,082)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2,360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2,315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Withholding taxes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2,973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(6,387)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5.71 %</w:t>
            </w: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(715)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0.64 %</w:t>
            </w: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Poland</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2,107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1,142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901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 incentive</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(2,541)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0.80 %</w:t>
            </w: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0.36 %</w:t>
            </w:r>
          </w:p>
        </w:tc>
      </w:tr>
      <w:tr>
        <w:trPr>
          <w:trHeight w:val="253"/>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Kingdom</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(557)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(1,328)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Canada</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 incentive</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(834)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Withholding taxes</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705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5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728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3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1,209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437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Base erosion and anti-abuse tax</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3,377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3,612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Global Intangible Low-Taxed Income (“GILTI”)</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1,735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IRC Section 367(a) gain</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988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tax credits</w:t>
            </w:r>
          </w:p>
        </w:tc>
        <w:tc>
          <w:tcPr>
            <w:tcW w:w="32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(9,542)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(11,483)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(18,277)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16.33 %</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20,170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62,272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(6,002)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18.50 %</w:t>
            </w: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charges from integration of acquired companies</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(9,255)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8.27 %</w:t>
            </w:r>
          </w:p>
        </w:tc>
      </w:tr>
      <w:tr>
        <w:trPr>
          <w:trHeight w:val="253"/>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32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885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948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0.24 %</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 and effective tax rate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3,695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6,727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5,902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ind w:left="160" w:hanging="152"/>
        <w:spacing w:after="0" w:line="222" w:lineRule="auto"/>
        <w:tabs>
          <w:tab w:leader="none" w:pos="16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Maryland, New York, New York City, Pennsylvania, and Texas make up the majority (greater than 50 percent) of the tax effect in this category</w:t>
      </w:r>
    </w:p>
    <w:p>
      <w:pPr>
        <w:spacing w:after="0" w:line="15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As of December 31, 2025, the Company has U.S. net operating loss (“NOL”) carryforwards of $191.9 million, which substantially do not expire, and state NOL carryforwards of $162.0 million, which begin to expire between 2028 and 2045. NOL carryforwards are subject to further possible limitation should a change in ownership of the Company occur, as defined by Internal Revenue Code (“IRC”) Section 382. As of December 31, 2025, the Company has foreign NOL carryforwards of $14.7 million, of which $3.2 million will begin to expire in 2030.</w:t>
      </w:r>
    </w:p>
    <w:p>
      <w:pPr>
        <w:spacing w:after="0" w:line="12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As of December 31, 2025, the Company had U.S. federal research and development credit carryforwards of $46.5 million, which begin to expire in 2041, U.S. state research and development credit carryforwards of $0.9 million, which do not expire, and foreign research and development credit carryforwards of $4.3 million, which will begin to expire in 2029, but which may also be used to satisfy payroll tax liabilities in the future.</w:t>
      </w:r>
    </w:p>
    <w:p>
      <w:pPr>
        <w:spacing w:after="0" w:line="11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The Organization for Economic Cooperation and Development released Pillar Two model rules defining a 15% global minimum tax for multinational corporations. Many countries in which the Company operates have enacted Pillar Two. Pillar Two rules apply to the Company beginning in the Company’s fiscal year 2025. Pillar Two is not expected to materially impact the Company’s effective tax rate or cash flows for fiscal year 2025. New legislation or guidance could change the Company’s current assessment.</w:t>
      </w:r>
    </w:p>
    <w:p>
      <w:pPr>
        <w:sectPr>
          <w:pgSz w:w="11900" w:h="16838" w:orient="portrait"/>
          <w:cols w:equalWidth="0" w:num="1">
            <w:col w:w="11220"/>
          </w:cols>
          <w:pgMar w:left="32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The total income tax benefit related to stock-based compensation expense and stock option exercises was $8.6 million, $3.0 million, and $2.9 million for the years ended December 31, 2025, 2024, and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income taxes paid (net of refunds)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income taxes paid (net of refunds)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w:t>
            </w:r>
          </w:p>
        </w:tc>
      </w:tr>
      <w:tr>
        <w:trPr>
          <w:trHeight w:val="27"/>
        </w:trPr>
        <w:tc>
          <w:tcPr>
            <w:tcW w:w="63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 paid (net of refunds) exceeded 5% of total income taxes paid (net of refunds) in the following jurisdictions: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York City</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York</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Ireland</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798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Kingdom</w:t>
            </w:r>
          </w:p>
        </w:tc>
        <w:tc>
          <w:tcPr>
            <w:tcW w:w="360" w:type="dxa"/>
            <w:vAlign w:val="bottom"/>
          </w:tcPr>
          <w:p>
            <w:pPr>
              <w:spacing w:after="0"/>
              <w:rPr>
                <w:sz w:val="20"/>
                <w:szCs w:val="20"/>
                <w:color w:val="auto"/>
              </w:rPr>
            </w:pPr>
          </w:p>
        </w:tc>
        <w:tc>
          <w:tcPr>
            <w:tcW w:w="12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635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Brazil</w:t>
            </w:r>
          </w:p>
        </w:tc>
        <w:tc>
          <w:tcPr>
            <w:tcW w:w="360" w:type="dxa"/>
            <w:vAlign w:val="bottom"/>
          </w:tcPr>
          <w:p>
            <w:pPr>
              <w:spacing w:after="0"/>
              <w:rPr>
                <w:sz w:val="20"/>
                <w:szCs w:val="20"/>
                <w:color w:val="auto"/>
              </w:rPr>
            </w:pPr>
          </w:p>
        </w:tc>
        <w:tc>
          <w:tcPr>
            <w:tcW w:w="12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519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Philippines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422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Australia</w:t>
            </w:r>
          </w:p>
        </w:tc>
        <w:tc>
          <w:tcPr>
            <w:tcW w:w="360" w:type="dxa"/>
            <w:vAlign w:val="bottom"/>
          </w:tcPr>
          <w:p>
            <w:pPr>
              <w:spacing w:after="0"/>
              <w:rPr>
                <w:sz w:val="20"/>
                <w:szCs w:val="20"/>
                <w:color w:val="auto"/>
              </w:rPr>
            </w:pPr>
          </w:p>
        </w:tc>
        <w:tc>
          <w:tcPr>
            <w:tcW w:w="12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310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India</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151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Jurisdiction below the threshold for the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effects of the temporary differences and carryforwards that give rise to deferred tax assets were as follows:</w:t>
      </w:r>
    </w:p>
    <w:p>
      <w:pPr>
        <w:spacing w:after="0" w:line="219"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59,255</w:t>
            </w:r>
          </w:p>
        </w:tc>
      </w:tr>
      <w:tr>
        <w:trPr>
          <w:trHeight w:val="25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3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18,475</w:t>
            </w:r>
          </w:p>
        </w:tc>
      </w:tr>
      <w:tr>
        <w:trPr>
          <w:trHeight w:val="25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3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research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85,835</w:t>
            </w:r>
          </w:p>
        </w:tc>
      </w:tr>
      <w:tr>
        <w:trPr>
          <w:trHeight w:val="25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w:t>
            </w:r>
          </w:p>
        </w:tc>
      </w:tr>
      <w:tr>
        <w:trPr>
          <w:trHeight w:val="23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tax credits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29,634</w:t>
            </w:r>
          </w:p>
        </w:tc>
      </w:tr>
      <w:tr>
        <w:trPr>
          <w:trHeight w:val="24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211,706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206,709</w:t>
            </w:r>
          </w:p>
        </w:tc>
      </w:tr>
      <w:tr>
        <w:trPr>
          <w:trHeight w:val="243"/>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r>
      <w:tr>
        <w:trPr>
          <w:trHeight w:val="237"/>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37"/>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r>
      <w:tr>
        <w:trPr>
          <w:trHeight w:val="243"/>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(197,519)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(199,831)</w:t>
            </w:r>
          </w:p>
        </w:tc>
      </w:tr>
      <w:tr>
        <w:trPr>
          <w:trHeight w:val="237"/>
        </w:trPr>
        <w:tc>
          <w:tcPr>
            <w:tcW w:w="8020" w:type="dxa"/>
            <w:vAlign w:val="bottom"/>
          </w:tcPr>
          <w:p>
            <w:pPr>
              <w:ind w:left="180"/>
              <w:spacing w:after="0" w:line="237" w:lineRule="exact"/>
              <w:rPr>
                <w:sz w:val="20"/>
                <w:szCs w:val="20"/>
                <w:color w:val="auto"/>
              </w:rPr>
            </w:pPr>
            <w:r>
              <w:rPr>
                <w:rFonts w:ascii="Times New Roman" w:cs="Times New Roman" w:eastAsia="Times New Roman" w:hAnsi="Times New Roman"/>
                <w:sz w:val="16"/>
                <w:szCs w:val="16"/>
                <w:color w:val="auto"/>
              </w:rPr>
              <w:t>Net deferred tax assets</w:t>
            </w:r>
            <w:r>
              <w:rPr>
                <w:rFonts w:ascii="Times New Roman" w:cs="Times New Roman" w:eastAsia="Times New Roman" w:hAnsi="Times New Roman"/>
                <w:sz w:val="21"/>
                <w:szCs w:val="21"/>
                <w:color w:val="auto"/>
                <w:vertAlign w:val="superscript"/>
              </w:rPr>
              <w:t>(2)</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ind w:left="160" w:hanging="152"/>
        <w:spacing w:after="0" w:line="222" w:lineRule="auto"/>
        <w:tabs>
          <w:tab w:leader="none" w:pos="1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maintains a full valuation allowance against the U.S. net deferred tax assets, as it believes that these deferred tax assets do not meet the more likely than not threshold.</w:t>
      </w:r>
    </w:p>
    <w:p>
      <w:pPr>
        <w:spacing w:after="0" w:line="3" w:lineRule="exact"/>
        <w:rPr>
          <w:rFonts w:ascii="Times New Roman" w:cs="Times New Roman" w:eastAsia="Times New Roman" w:hAnsi="Times New Roman"/>
          <w:sz w:val="19"/>
          <w:szCs w:val="19"/>
          <w:color w:val="auto"/>
          <w:vertAlign w:val="superscript"/>
        </w:rPr>
      </w:pPr>
    </w:p>
    <w:p>
      <w:pPr>
        <w:ind w:left="140" w:hanging="132"/>
        <w:spacing w:after="0" w:line="224" w:lineRule="auto"/>
        <w:tabs>
          <w:tab w:leader="none" w:pos="140"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net deferred tax asset as of December 31, 2025 and 2024 was recorded within ‘</w:t>
      </w:r>
      <w:r>
        <w:rPr>
          <w:rFonts w:ascii="Times New Roman" w:cs="Times New Roman" w:eastAsia="Times New Roman" w:hAnsi="Times New Roman"/>
          <w:sz w:val="12"/>
          <w:szCs w:val="12"/>
          <w:i w:val="1"/>
          <w:iCs w:val="1"/>
          <w:color w:val="auto"/>
        </w:rPr>
        <w:t>Other noncurrent assets, net</w:t>
      </w:r>
      <w:r>
        <w:rPr>
          <w:rFonts w:ascii="Times New Roman" w:cs="Times New Roman" w:eastAsia="Times New Roman" w:hAnsi="Times New Roman"/>
          <w:sz w:val="12"/>
          <w:szCs w:val="12"/>
          <w:color w:val="auto"/>
        </w:rPr>
        <w:t>’ on the Company’s Consolidated Balance Sheets.</w:t>
      </w:r>
    </w:p>
    <w:p>
      <w:pPr>
        <w:spacing w:after="0" w:line="14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The net change in the total valuation allowance was a decrease of $2.3 million, an increase of $25.0 million, and an increase of $73.4 million for the years ended December 31, 2025, 2024, and 2023, respectively. The change in valuation allowance as of December 31, 2025 was primarily related to the deduction of previously capitalized costs under IRC Section 174 and the utilization of U.S. federal and state net operating losses, offset by an increase in certain credit carryforwards. The change in valuation allowance as of December 31, 2024 and 2023 was primarily related to an increase in capitalized costs under IRC Section 174 and certain credit carryforwards, offset by the utilization of U.S. federal and state net operating losses. The following represents the changes in the Company’s valuation allowance for the years ended December 31, 2025, 2024, and 2023:</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199,831</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101,446</w:t>
            </w:r>
          </w:p>
        </w:tc>
      </w:tr>
      <w:tr>
        <w:trPr>
          <w:trHeight w:val="23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Charged to net income</w:t>
            </w: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67,030</w:t>
            </w:r>
          </w:p>
        </w:tc>
      </w:tr>
      <w:tr>
        <w:trPr>
          <w:trHeight w:val="24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Charged to other accounts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197,519</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199,831</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174,863</w:t>
            </w:r>
          </w:p>
        </w:tc>
      </w:tr>
      <w:tr>
        <w:trPr>
          <w:trHeight w:val="20"/>
        </w:trPr>
        <w:tc>
          <w:tcPr>
            <w:tcW w:w="6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various state jurisdictions, and internationally. As of December 31, 2025, tax years 2012 through 2021, and 2023 through 2025 remain open for examination by taxing authorities. The Company’s 2022 federal tax return was audited by the Internal Revenue Service, with no adjustments.</w:t>
      </w:r>
    </w:p>
    <w:p>
      <w:pPr>
        <w:spacing w:after="0" w:line="1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 xml:space="preserve">The calculation of the Company’s tax obligations involves dealing with uncertainties in the application of complex tax laws and regulations.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a less than 50% likelihood that a tax benefit will be sustained, no tax benefit has been recognized.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represents the changes in the Company’s unrecognized income tax benefits for the years ended December 31, 2025,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19,544</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Increases related to tax positions taken during the current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11,438</w:t>
            </w:r>
          </w:p>
        </w:tc>
      </w:tr>
      <w:tr>
        <w:trPr>
          <w:trHeight w:val="24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Increases (decreases) related to tax positions taken during prior years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20,711</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19,544</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15,578</w:t>
            </w:r>
          </w:p>
        </w:tc>
      </w:tr>
      <w:tr>
        <w:trPr>
          <w:trHeight w:val="21"/>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As of December 31, 2025, the Company had unrecognized tax benefits of $20.7 million, of which $8.3 million would impact the annual effective tax rate if recognized. The remainder of the unrecognized tax benefits would not affect the effective tax rate due to the valuation allowances recorded against deferred tax assets. As of December 31, 2025, $5.6 million of uncertain tax positions were recorded within ‘</w:t>
      </w:r>
      <w:r>
        <w:rPr>
          <w:rFonts w:ascii="Times New Roman" w:cs="Times New Roman" w:eastAsia="Times New Roman" w:hAnsi="Times New Roman"/>
          <w:sz w:val="16"/>
          <w:szCs w:val="16"/>
          <w:i w:val="1"/>
          <w:iCs w:val="1"/>
          <w:color w:val="auto"/>
        </w:rPr>
        <w:t>Other noncurrent liabilities</w:t>
      </w:r>
      <w:r>
        <w:rPr>
          <w:rFonts w:ascii="Times New Roman" w:cs="Times New Roman" w:eastAsia="Times New Roman" w:hAnsi="Times New Roman"/>
          <w:sz w:val="16"/>
          <w:szCs w:val="16"/>
          <w:color w:val="auto"/>
        </w:rPr>
        <w:t>’ on the Consolidated Balance Sheets, and $15.1 million were recorded as a reduction in deferred tax assets, of which $12.5 million are subject to valuation allowance.</w:t>
      </w:r>
    </w:p>
    <w:p>
      <w:pPr>
        <w:spacing w:after="0" w:line="13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Company recognizes interest and, if applicable, penalties for any uncertain tax positions. Interest and penalties are recorded as a component of income tax expense. In the years ended December 31, 2025, 2024, and 2023, the Company did not have material accrued interest or penalties associated with any unrecognized tax benefits.</w:t>
      </w:r>
    </w:p>
    <w:p>
      <w:pPr>
        <w:spacing w:after="0" w:line="1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15.</w:t>
        <w:tab/>
        <w:t>401(k) Defined Contribution Plan</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4% of compensation that a participant contributes to the 401(k) plan. In addition, as part of the acquisition of Rewire, the Company inherited various employer sponsored contribution savings plans. The Company’s contributions were not material for the years ended December 31, 2025, 2024, and 2023.</w:t>
      </w:r>
    </w:p>
    <w:p>
      <w:pPr>
        <w:spacing w:after="0" w:line="139" w:lineRule="exact"/>
        <w:rPr>
          <w:sz w:val="20"/>
          <w:szCs w:val="20"/>
          <w:color w:val="auto"/>
        </w:rPr>
      </w:pPr>
    </w:p>
    <w:p>
      <w:pPr>
        <w:ind w:right="8560" w:firstLine="8"/>
        <w:spacing w:after="0" w:line="467" w:lineRule="auto"/>
        <w:tabs>
          <w:tab w:leader="none" w:pos="364"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Guarantees and Indemnification</w:t>
      </w:r>
    </w:p>
    <w:p>
      <w:pPr>
        <w:spacing w:after="0" w:line="1"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December 31, 2025 or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Loss Contingencies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8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operates in a complex legal and regulatory environment and its operations are subject to various U.S. and foreign laws, rules, and regulations. From time to time, the Company is also subject to inquiry, examinations, or enforcement actions from various of its regulators. The Company accrues estimates for resolution of legal and other contingencies when losses are probable and estimable. As of December 31, 2025, the Company was involved in certain intellectual property and trademark disputes in certain jurisdictions; any potential loss related to those disputes cannot currently be reasonably estimated and any impact is expected to be immaterial.</w:t>
      </w:r>
    </w:p>
    <w:p>
      <w:pPr>
        <w:spacing w:after="0" w:line="12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Although the results of litigation and claims are inherently unpredictable, the Company does not believe that there was a reasonable possibility that it had incurred a material loss with respect to such loss contingencies as of December 31, 2025 and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Commitments</w:t>
      </w:r>
    </w:p>
    <w:p>
      <w:pPr>
        <w:spacing w:after="0" w:line="1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 Most contracts are typically cancellable within a period of less than one year, although some of the larger software or cloud service subscriptions require multi-year commitments. The purchase commitments presented in the table below include amounts that are fixed with noncancellable minimum purchase terms with remaining terms in excess of one year. Obligations under contracts that are cancellable or with terms of twelve months or less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future minimum payments under the purchase commitments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30,442</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30,831</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26,625</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28,542</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and thereafter</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r>
      <w:tr>
        <w:trPr>
          <w:trHeight w:val="243"/>
        </w:trPr>
        <w:tc>
          <w:tcPr>
            <w:tcW w:w="9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future minimum payments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133,940</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Reserve for Transaction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Company’s reserve for transaction losses for the years ended December 31, 2025 and 2024:</w:t>
      </w:r>
    </w:p>
    <w:p>
      <w:pPr>
        <w:spacing w:after="0" w:line="23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30480</wp:posOffset>
            </wp:positionV>
            <wp:extent cx="2040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33"/>
        </w:trPr>
        <w:tc>
          <w:tcPr>
            <w:tcW w:w="8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Provisions for transaction losses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58,155</w:t>
            </w:r>
          </w:p>
        </w:tc>
      </w:tr>
      <w:tr>
        <w:trPr>
          <w:trHeight w:val="246"/>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Losses incurred, net of recoveries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(57,929)</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17.</w:t>
        <w:tab/>
        <w:t>Accrued Expenses &amp; Other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w:t>
      </w:r>
    </w:p>
    <w:p>
      <w:pPr>
        <w:spacing w:after="0" w:line="21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30480</wp:posOffset>
            </wp:positionV>
            <wp:extent cx="2057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settlement liability</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33,946</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transaction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21,949</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marketing expense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salary, benefits, and related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11,704</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 and taxes payable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transaction losses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 employee contributions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4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15,791</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141,948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116,652</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1" w:lineRule="exact"/>
        <w:rPr>
          <w:sz w:val="20"/>
          <w:szCs w:val="20"/>
          <w:color w:val="auto"/>
        </w:rPr>
      </w:pPr>
    </w:p>
    <w:p>
      <w:pPr>
        <w:ind w:right="200" w:firstLine="8"/>
        <w:spacing w:after="0" w:line="259" w:lineRule="auto"/>
        <w:tabs>
          <w:tab w:leader="none" w:pos="145"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trade settlement liability amount represents the total of disbursement postfunding liabilities and book overdrafts owed to the Company’s disbursement partners. Refer to Note 2. </w:t>
      </w:r>
      <w:r>
        <w:rPr>
          <w:rFonts w:ascii="Times New Roman" w:cs="Times New Roman" w:eastAsia="Times New Roman" w:hAnsi="Times New Roman"/>
          <w:sz w:val="13"/>
          <w:szCs w:val="13"/>
          <w:i w:val="1"/>
          <w:iCs w:val="1"/>
          <w:color w:val="auto"/>
        </w:rPr>
        <w:t>Basis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Presentation and Summary of Significant Accounting Policies </w:t>
      </w:r>
      <w:r>
        <w:rPr>
          <w:rFonts w:ascii="Times New Roman" w:cs="Times New Roman" w:eastAsia="Times New Roman" w:hAnsi="Times New Roman"/>
          <w:sz w:val="13"/>
          <w:szCs w:val="13"/>
          <w:color w:val="auto"/>
        </w:rPr>
        <w:t>within the notes to consolidated financial statements for further discussion.</w:t>
      </w:r>
    </w:p>
    <w:p>
      <w:pPr>
        <w:spacing w:after="0" w:line="1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18.</w:t>
        <w:tab/>
        <w:t>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leases office space in all of its locations under noncancellable operating leases with various expiration dates through 2032.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expense, lease term, and discount rate for operating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80" w:type="dxa"/>
            <w:vAlign w:val="bottom"/>
            <w:tcBorders>
              <w:bottom w:val="single" w:sz="8" w:color="auto"/>
            </w:tcBorders>
          </w:tcPr>
          <w:p>
            <w:pPr>
              <w:spacing w:after="0"/>
              <w:rPr>
                <w:sz w:val="19"/>
                <w:szCs w:val="19"/>
                <w:color w:val="auto"/>
              </w:rPr>
            </w:pPr>
          </w:p>
        </w:tc>
      </w:tr>
      <w:tr>
        <w:trPr>
          <w:trHeight w:val="236"/>
        </w:trPr>
        <w:tc>
          <w:tcPr>
            <w:tcW w:w="6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 (in thousands)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8,268</w:t>
            </w:r>
          </w:p>
        </w:tc>
        <w:tc>
          <w:tcPr>
            <w:tcW w:w="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6,409</w:t>
            </w: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net included in the measurement of operating lease liabilities – operating cash</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flows</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19" w:lineRule="exact"/>
        <w:rPr>
          <w:sz w:val="20"/>
          <w:szCs w:val="20"/>
          <w:color w:val="auto"/>
        </w:rPr>
      </w:pPr>
    </w:p>
    <w:p>
      <w:pPr>
        <w:ind w:left="140" w:hanging="132"/>
        <w:spacing w:after="0"/>
        <w:tabs>
          <w:tab w:leader="none" w:pos="140"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for the year ended December 31, 2025 includes receipt of certain tenant improvement allowances, which exceeded cash lease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the maturity of lease liabilities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8,980</w:t>
            </w:r>
          </w:p>
        </w:tc>
        <w:tc>
          <w:tcPr>
            <w:tcW w:w="0" w:type="dxa"/>
            <w:vAlign w:val="bottom"/>
          </w:tcPr>
          <w:p>
            <w:pPr>
              <w:spacing w:after="0"/>
              <w:rPr>
                <w:sz w:val="1"/>
                <w:szCs w:val="1"/>
                <w:color w:val="auto"/>
              </w:rPr>
            </w:pPr>
          </w:p>
        </w:tc>
      </w:tr>
      <w:tr>
        <w:trPr>
          <w:trHeight w:val="23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0" w:type="dxa"/>
            <w:vAlign w:val="bottom"/>
          </w:tcPr>
          <w:p>
            <w:pPr>
              <w:spacing w:after="0"/>
              <w:rPr>
                <w:sz w:val="1"/>
                <w:szCs w:val="1"/>
                <w:color w:val="auto"/>
              </w:rPr>
            </w:pPr>
          </w:p>
        </w:tc>
      </w:tr>
      <w:tr>
        <w:trPr>
          <w:trHeight w:val="2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0" w:type="dxa"/>
            <w:vAlign w:val="bottom"/>
          </w:tcPr>
          <w:p>
            <w:pPr>
              <w:spacing w:after="0"/>
              <w:rPr>
                <w:sz w:val="1"/>
                <w:szCs w:val="1"/>
                <w:color w:val="auto"/>
              </w:rPr>
            </w:pPr>
          </w:p>
        </w:tc>
      </w:tr>
      <w:tr>
        <w:trPr>
          <w:trHeight w:val="23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0" w:type="dxa"/>
            <w:vAlign w:val="bottom"/>
          </w:tcPr>
          <w:p>
            <w:pPr>
              <w:spacing w:after="0"/>
              <w:rPr>
                <w:sz w:val="1"/>
                <w:szCs w:val="1"/>
                <w:color w:val="auto"/>
              </w:rPr>
            </w:pPr>
          </w:p>
        </w:tc>
      </w:tr>
      <w:tr>
        <w:trPr>
          <w:trHeight w:val="24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and thereafter</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14,851</w:t>
            </w:r>
          </w:p>
        </w:tc>
        <w:tc>
          <w:tcPr>
            <w:tcW w:w="0" w:type="dxa"/>
            <w:vAlign w:val="bottom"/>
          </w:tcPr>
          <w:p>
            <w:pPr>
              <w:spacing w:after="0"/>
              <w:rPr>
                <w:sz w:val="1"/>
                <w:szCs w:val="1"/>
                <w:color w:val="auto"/>
              </w:rPr>
            </w:pPr>
          </w:p>
        </w:tc>
      </w:tr>
      <w:tr>
        <w:trPr>
          <w:trHeight w:val="233"/>
        </w:trPr>
        <w:tc>
          <w:tcPr>
            <w:tcW w:w="6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lease payments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45,999</w:t>
            </w:r>
          </w:p>
        </w:tc>
        <w:tc>
          <w:tcPr>
            <w:tcW w:w="0" w:type="dxa"/>
            <w:vAlign w:val="bottom"/>
          </w:tcPr>
          <w:p>
            <w:pPr>
              <w:spacing w:after="0"/>
              <w:rPr>
                <w:sz w:val="1"/>
                <w:szCs w:val="1"/>
                <w:color w:val="auto"/>
              </w:rPr>
            </w:pPr>
          </w:p>
        </w:tc>
      </w:tr>
      <w:tr>
        <w:trPr>
          <w:trHeight w:val="2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0" w:type="dxa"/>
            <w:vAlign w:val="bottom"/>
          </w:tcPr>
          <w:p>
            <w:pPr>
              <w:spacing w:after="0"/>
              <w:rPr>
                <w:sz w:val="1"/>
                <w:szCs w:val="1"/>
                <w:color w:val="auto"/>
              </w:rPr>
            </w:pPr>
          </w:p>
        </w:tc>
      </w:tr>
      <w:tr>
        <w:trPr>
          <w:trHeight w:val="268"/>
        </w:trPr>
        <w:tc>
          <w:tcPr>
            <w:tcW w:w="6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19.  Supplemental Cash Flow Information</w:t>
            </w: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supplemental disclosures of cash flow information for the years ended December 31, 2025, 2024 and 2023 consisted of the following:</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0" w:type="dxa"/>
            <w:vAlign w:val="bottom"/>
          </w:tcPr>
          <w:p>
            <w:pPr>
              <w:spacing w:after="0"/>
              <w:rPr>
                <w:sz w:val="1"/>
                <w:szCs w:val="1"/>
                <w:color w:val="auto"/>
              </w:rPr>
            </w:pPr>
          </w:p>
        </w:tc>
      </w:tr>
      <w:tr>
        <w:trPr>
          <w:trHeight w:val="23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Unpaid property and equipment purchases in accounts payable and accrued expenses and other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capitalized to internal-use software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0" w:type="dxa"/>
            <w:vAlign w:val="bottom"/>
          </w:tcPr>
          <w:p>
            <w:pPr>
              <w:spacing w:after="0"/>
              <w:rPr>
                <w:sz w:val="1"/>
                <w:szCs w:val="1"/>
                <w:color w:val="auto"/>
              </w:rPr>
            </w:pPr>
          </w:p>
        </w:tc>
      </w:tr>
      <w:tr>
        <w:trPr>
          <w:trHeight w:val="25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 of equity amounts previously held back for acquisition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Amounts held back for acquisition consideration</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11,899</w:t>
            </w:r>
          </w:p>
        </w:tc>
        <w:tc>
          <w:tcPr>
            <w:tcW w:w="0" w:type="dxa"/>
            <w:vAlign w:val="bottom"/>
          </w:tcPr>
          <w:p>
            <w:pPr>
              <w:spacing w:after="0"/>
              <w:rPr>
                <w:sz w:val="1"/>
                <w:szCs w:val="1"/>
                <w:color w:val="auto"/>
              </w:rPr>
            </w:pPr>
          </w:p>
        </w:tc>
      </w:tr>
      <w:tr>
        <w:trPr>
          <w:trHeight w:val="25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r>
        <w:trPr>
          <w:trHeight w:val="23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of preexisting net receivable in exchange for net assets acquired in business combination</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 conditions, in connection with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2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early exercised options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20.</w:t>
      </w:r>
      <w:r>
        <w:rPr>
          <w:sz w:val="20"/>
          <w:szCs w:val="20"/>
          <w:color w:val="auto"/>
        </w:rPr>
        <w:tab/>
      </w:r>
      <w:r>
        <w:rPr>
          <w:rFonts w:ascii="Times New Roman" w:cs="Times New Roman" w:eastAsia="Times New Roman" w:hAnsi="Times New Roman"/>
          <w:sz w:val="15"/>
          <w:szCs w:val="15"/>
          <w:b w:val="1"/>
          <w:bCs w:val="1"/>
          <w:color w:val="auto"/>
        </w:rPr>
        <w:t>Segment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and Geographic Information</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and Note 6.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xml:space="preserve"> for information related to the Company’s geographic information for revenue and long-lived assets,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Income (Loss) and Performance Measurement</w:t>
      </w:r>
    </w:p>
    <w:p>
      <w:pPr>
        <w:spacing w:after="0" w:line="17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Company’s CODM is regularly provided results comparing actual performance against budgeted targets and prior periods. This measure aligns with how resources are managed and allocated within the Company’s one operating segment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Segment Expenses</w:t>
      </w:r>
    </w:p>
    <w:p>
      <w:pPr>
        <w:spacing w:after="0" w:line="17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On a regular basis, the Company’s CODM is provided certain significant segment expenses, which include advertising expense and stock-based compensation expense, in addition to those significant segment expenses reported within the Consolidated Statements of Operations.</w:t>
      </w:r>
    </w:p>
    <w:p>
      <w:pPr>
        <w:spacing w:after="0" w:line="9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reconciles the significant segment expenses regularly provided to the Company’s CODM for the years ended December 31, 2025, 2024, and 2023, to the primary measure of segment profitability, net income (loss):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1,635,147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944,285</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Significant segment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 expenses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(329,113)</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support and operations, excluding stock-based compensation expense</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(81,117)</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Marketing, excluding stock-based compensation expense and advertising expense</w:t>
            </w:r>
            <w:r>
              <w:rPr>
                <w:rFonts w:ascii="Times New Roman" w:cs="Times New Roman" w:eastAsia="Times New Roman" w:hAnsi="Times New Roman"/>
                <w:sz w:val="21"/>
                <w:szCs w:val="21"/>
                <w:color w:val="auto"/>
                <w:vertAlign w:val="superscript"/>
              </w:rPr>
              <w:t>(1)(2)</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 and development, excluding stock-based compensation expense</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(144,972)</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excluding stock-based compensation expense</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(134,941)</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(181,312)</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(136,967)</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segment disclosures: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segment income (expense), net</w:t>
            </w:r>
            <w:r>
              <w:rPr>
                <w:rFonts w:ascii="Times New Roman" w:cs="Times New Roman" w:eastAsia="Times New Roman" w:hAnsi="Times New Roman"/>
                <w:sz w:val="21"/>
                <w:szCs w:val="21"/>
                <w:color w:val="auto"/>
                <w:vertAlign w:val="superscript"/>
              </w:rPr>
              <w:t>(3)</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(117,840)</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1" w:lineRule="exact"/>
        <w:rPr>
          <w:sz w:val="20"/>
          <w:szCs w:val="20"/>
          <w:color w:val="auto"/>
        </w:rPr>
      </w:pPr>
    </w:p>
    <w:p>
      <w:pPr>
        <w:ind w:right="360" w:firstLine="8"/>
        <w:spacing w:after="0" w:line="260" w:lineRule="auto"/>
        <w:tabs>
          <w:tab w:leader="none" w:pos="145"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significant segment expenses reported within the Consolidated Statements of Operations are presented in this table excluding stock-based compensation expense. Stock-based compensation expense is presented separately as an additional significant segment expense and is regularly provided to the CODM. Refer to Note 13. </w:t>
      </w:r>
      <w:r>
        <w:rPr>
          <w:rFonts w:ascii="Times New Roman" w:cs="Times New Roman" w:eastAsia="Times New Roman" w:hAnsi="Times New Roman"/>
          <w:sz w:val="13"/>
          <w:szCs w:val="13"/>
          <w:i w:val="1"/>
          <w:iCs w:val="1"/>
          <w:color w:val="auto"/>
        </w:rPr>
        <w:t>Stock-Based Compensation</w:t>
      </w:r>
      <w:r>
        <w:rPr>
          <w:rFonts w:ascii="Times New Roman" w:cs="Times New Roman" w:eastAsia="Times New Roman" w:hAnsi="Times New Roman"/>
          <w:sz w:val="13"/>
          <w:szCs w:val="13"/>
          <w:color w:val="auto"/>
        </w:rPr>
        <w:t xml:space="preserve"> for tabular disclosure of amounts included within other significant segment expenses, stock-based compensation expense, net of amounts capitalized to internal-use software, as described in Note 6. </w:t>
      </w:r>
      <w:r>
        <w:rPr>
          <w:rFonts w:ascii="Times New Roman" w:cs="Times New Roman" w:eastAsia="Times New Roman" w:hAnsi="Times New Roman"/>
          <w:sz w:val="13"/>
          <w:szCs w:val="13"/>
          <w:i w:val="1"/>
          <w:iCs w:val="1"/>
          <w:color w:val="auto"/>
        </w:rPr>
        <w:t>Property and Equipment</w:t>
      </w:r>
      <w:r>
        <w:rPr>
          <w:rFonts w:ascii="Times New Roman" w:cs="Times New Roman" w:eastAsia="Times New Roman" w:hAnsi="Times New Roman"/>
          <w:sz w:val="13"/>
          <w:szCs w:val="13"/>
          <w:color w:val="auto"/>
        </w:rPr>
        <w:t>.</w:t>
      </w:r>
    </w:p>
    <w:p>
      <w:pPr>
        <w:spacing w:after="0" w:line="161" w:lineRule="exact"/>
        <w:rPr>
          <w:rFonts w:ascii="Times New Roman" w:cs="Times New Roman" w:eastAsia="Times New Roman" w:hAnsi="Times New Roman"/>
          <w:sz w:val="17"/>
          <w:szCs w:val="17"/>
          <w:color w:val="auto"/>
          <w:vertAlign w:val="superscript"/>
        </w:rPr>
      </w:pPr>
    </w:p>
    <w:p>
      <w:pPr>
        <w:ind w:right="620" w:firstLine="8"/>
        <w:spacing w:after="0" w:line="260" w:lineRule="auto"/>
        <w:tabs>
          <w:tab w:leader="none" w:pos="145"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significant segment expense reported within the Consolidated Statements of Operations is presented in this table excluding advertising expense. Advertising expense is presented separately as an additional significant segment expense and is regularly provided to the CODM. Advertising expense is included in Marketing expense as described in Note 2. </w:t>
      </w:r>
      <w:r>
        <w:rPr>
          <w:rFonts w:ascii="Times New Roman" w:cs="Times New Roman" w:eastAsia="Times New Roman" w:hAnsi="Times New Roman"/>
          <w:sz w:val="14"/>
          <w:szCs w:val="14"/>
          <w:i w:val="1"/>
          <w:iCs w:val="1"/>
          <w:color w:val="auto"/>
        </w:rPr>
        <w:t>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Presentation and Summary of Significant Accounting Policies.</w:t>
      </w:r>
    </w:p>
    <w:p>
      <w:pPr>
        <w:ind w:left="160" w:hanging="152"/>
        <w:spacing w:after="0" w:line="192"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Other segment income (expense) includes Other income (expense), net, which is described in Note 2. </w:t>
      </w:r>
      <w:r>
        <w:rPr>
          <w:rFonts w:ascii="Times New Roman" w:cs="Times New Roman" w:eastAsia="Times New Roman" w:hAnsi="Times New Roman"/>
          <w:sz w:val="14"/>
          <w:szCs w:val="14"/>
          <w:i w:val="1"/>
          <w:iCs w:val="1"/>
          <w:color w:val="auto"/>
        </w:rPr>
        <w:t>Basis of Presentation and Summary of Significant Accounting Policies</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unusual items or other significant noncash items for the years ended December 31,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540"/>
        <w:spacing w:after="0" w:line="466"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evaluated the effectiveness of our disclosure controls and procedures as of December 31, 2025,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spacing w:after="0" w:line="34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Based on our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system of controls also is based in part upon certain assumptions about the likelihood of future events, and there can be no assurance that any design will succeed in achieving its stated goals under all potential future conditions, regardless of how remote.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8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Our management conducted an evaluation of the effectiveness of our internal control over financial reporting as of December 31, 2025, based on the framework in Internal Control - Integrated Framework (2013) issued by the Committee of Sponsoring Organizations of the Treadway Commission. Based on its evaluation our management concluded that our internal control over financial reporting was effective as of December 31, 2025.</w:t>
      </w:r>
    </w:p>
    <w:p>
      <w:pPr>
        <w:spacing w:after="0" w:line="125"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2025 has been audited by PricewaterhouseCoopers LLP, an independent registered public accounting firm, as stated in their report which appears in Part II, Item 8 of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8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Rule 10b5-1 and Non-Rule 10b5-1 Trading Arrangements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18, 2025, Pankaj Sharma, our Chief Business Officer, adopted a trading plan intended to satisfy the conditions under Rule 10b5-1 of the Exchange Act. Mr.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Sharma’s plan is for the sale of up to 124,000 shares of our common stock and terminates on the earlier of the date all shares under the plan are sold and February 28, 2027.</w:t>
      </w:r>
    </w:p>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On November 21, 2025, Vikas Mehta, our Chief Financial Officer, adopted a trading plan intended to satisfy the conditions under Rule 10b5-1 of the Exchange Act. Mr. Mehta’s plan is for the sale of up to 100,000 shares of our common stock, the actual amount of which may be less based on tax withholdings of RSUs, and terminates on the earlier of the date all shares under the plan are sold and February 28, 2027.</w:t>
      </w:r>
    </w:p>
    <w:p>
      <w:pPr>
        <w:spacing w:after="0" w:line="11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On December 10, 2025, Ankur Sinha, our Chief Product and Technology Officer, adopted a trading plan intended to satisfy the conditions under Rule 10b5-1 of the Exchange Act. Mr. Sinha’s plan is for the sale of up to 63,906 shares of our common stock, the actual amount of which may be less based on tax withholdings of RSUs, and terminates on the earlier of the date all shares under the plan are sold and March 1, 2027.</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On December 11, 2025, Joshua Hug, a member of our board of directors, adopted a trading plan intended to satisfy the conditions under Rule 10b5-1 of the Exchange Act. Mr. Hug’s plan is for the sale of up to 1,014,439 shares of our common stock, the actual amount of which may be less based on tax withholdings of RSUs, and terminates on the earlier of the date all shares under the plan are sold and March 31, 2027.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8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10 with respect to executive officers will be set forth in our definitive proxy statement for the 2026 Annual Meeting of Stockholders, which will be filed with the SEC pursuant to Regulation 14A within 120 days of the Company’s fiscal year ended December 31, 2025 (the “Proxy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required by Item 10 for matters other than executive officers is incorporated by reference to the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Code of Conduct</w:t>
      </w:r>
    </w:p>
    <w:p>
      <w:pPr>
        <w:spacing w:after="0" w:line="16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board of directors adopted a Global Code of Conduct that applies to all of our employees, officers, including our Chief Executive Officer and principal financial officer, or persons performing similar functions and agents and representatives, including directors and consultants. The full text of our Global Code of Conduct is posted on our investor relations website at ir.remitly.com. We intend to disclose future amendments to certain provisions of our Global Code of Conduct, or waivers of such provisions applicable to any Chief Executive Officer and principal financial officer, or persons performing similar functions, and our directors, on our website identified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Item 11 will be set forth in the Proxy Statement and is incorporated herein by reference.</w:t>
      </w:r>
    </w:p>
    <w:p>
      <w:pPr>
        <w:spacing w:after="0" w:line="179" w:lineRule="exact"/>
        <w:rPr>
          <w:sz w:val="20"/>
          <w:szCs w:val="20"/>
          <w:color w:val="auto"/>
        </w:rPr>
      </w:pPr>
    </w:p>
    <w:p>
      <w:pPr>
        <w:ind w:right="3480"/>
        <w:spacing w:after="0" w:line="464" w:lineRule="auto"/>
        <w:rPr>
          <w:sz w:val="20"/>
          <w:szCs w:val="20"/>
          <w:color w:val="auto"/>
        </w:rPr>
      </w:pPr>
      <w:r>
        <w:rPr>
          <w:rFonts w:ascii="Times New Roman" w:cs="Times New Roman" w:eastAsia="Times New Roman" w:hAnsi="Times New Roman"/>
          <w:sz w:val="16"/>
          <w:szCs w:val="16"/>
          <w:b w:val="1"/>
          <w:bCs w:val="1"/>
          <w:color w:val="auto"/>
        </w:rPr>
        <w:t xml:space="preserve">Item 12. Security Ownership of Certain Beneficial Owners and Management and Related Stockholders Matters </w:t>
      </w:r>
      <w:r>
        <w:rPr>
          <w:rFonts w:ascii="Times New Roman" w:cs="Times New Roman" w:eastAsia="Times New Roman" w:hAnsi="Times New Roman"/>
          <w:sz w:val="16"/>
          <w:szCs w:val="16"/>
          <w:color w:val="auto"/>
        </w:rPr>
        <w:t xml:space="preserve">The information required by Item 12 will be set forth in the Proxy Statement and is incorporated herein by reference. </w:t>
      </w: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Item 13 will be set forth in the Proxy Statement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(1)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consolidated financial statements and related documents set forth in Item 8. Financial Statements are filed as part of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(2) Financial Statement Schedules.</w:t>
      </w:r>
    </w:p>
    <w:p>
      <w:pPr>
        <w:spacing w:after="0" w:line="16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All other schedules to the consolidated financial statements required by Regulation S-X are omitted because they are not applicable, not material or because the information is included within the consolidated financial statements and related notes in Item 8. Financial Statements and Supplementary Data of this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(3) Exhibits.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documents set forth below are filed herewith or are incorporated herein by reference to the location indicated.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060" w:type="dxa"/>
            <w:vAlign w:val="bottom"/>
            <w:gridSpan w:val="38"/>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6"/>
        </w:trPr>
        <w:tc>
          <w:tcPr>
            <w:tcW w:w="6220" w:type="dxa"/>
            <w:vAlign w:val="bottom"/>
            <w:gridSpan w:val="40"/>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206"/>
        </w:trPr>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280" w:type="dxa"/>
            <w:vAlign w:val="bottom"/>
            <w:gridSpan w:val="3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185"/>
        </w:trPr>
        <w:tc>
          <w:tcPr>
            <w:tcW w:w="94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2.1</w:t>
            </w:r>
          </w:p>
        </w:tc>
        <w:tc>
          <w:tcPr>
            <w:tcW w:w="4960" w:type="dxa"/>
            <w:vAlign w:val="bottom"/>
            <w:tcBorders>
              <w:bottom w:val="single" w:sz="8" w:color="0000FF"/>
            </w:tcBorders>
            <w:gridSpan w:val="27"/>
            <w:shd w:val="clear" w:color="auto" w:fill="CCEEFF"/>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Agreement and Plan of Merger, dated as of August 15, 2022, by and among,</w:t>
              </w:r>
            </w:hyperlink>
          </w:p>
        </w:tc>
        <w:tc>
          <w:tcPr>
            <w:tcW w:w="320" w:type="dxa"/>
            <w:vAlign w:val="bottom"/>
            <w:tcBorders>
              <w:bottom w:val="single" w:sz="8" w:color="CCEEFF"/>
            </w:tcBorders>
            <w:gridSpan w:val="12"/>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16, 2022</w:t>
            </w:r>
          </w:p>
        </w:tc>
        <w:tc>
          <w:tcPr>
            <w:tcW w:w="0" w:type="dxa"/>
            <w:vAlign w:val="bottom"/>
          </w:tcPr>
          <w:p>
            <w:pPr>
              <w:spacing w:after="0"/>
              <w:rPr>
                <w:sz w:val="1"/>
                <w:szCs w:val="1"/>
                <w:color w:val="auto"/>
              </w:rPr>
            </w:pPr>
          </w:p>
        </w:tc>
      </w:tr>
      <w:tr>
        <w:trPr>
          <w:trHeight w:val="169"/>
        </w:trPr>
        <w:tc>
          <w:tcPr>
            <w:tcW w:w="940" w:type="dxa"/>
            <w:vAlign w:val="bottom"/>
            <w:shd w:val="clear" w:color="auto" w:fill="CCEEFF"/>
          </w:tcPr>
          <w:p>
            <w:pPr>
              <w:spacing w:after="0"/>
              <w:rPr>
                <w:sz w:val="14"/>
                <w:szCs w:val="14"/>
                <w:color w:val="auto"/>
              </w:rPr>
            </w:pPr>
          </w:p>
        </w:tc>
        <w:tc>
          <w:tcPr>
            <w:tcW w:w="5280" w:type="dxa"/>
            <w:vAlign w:val="bottom"/>
            <w:gridSpan w:val="39"/>
            <w:shd w:val="clear" w:color="auto" w:fill="CCEEFF"/>
          </w:tcPr>
          <w:p>
            <w:pPr>
              <w:spacing w:after="0" w:line="169"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Remitly Global, Inc., Rewire Merger Sub Ltd., Rewire (O.S.G.) Research and</w:t>
              </w:r>
            </w:hyperlink>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top w:val="single" w:sz="8" w:color="CCEEFF"/>
            </w:tcBorders>
            <w:shd w:val="clear" w:color="auto" w:fill="CCEEFF"/>
          </w:tcPr>
          <w:p>
            <w:pPr>
              <w:spacing w:after="0"/>
              <w:rPr>
                <w:sz w:val="13"/>
                <w:szCs w:val="13"/>
                <w:color w:val="auto"/>
              </w:rPr>
            </w:pPr>
          </w:p>
        </w:tc>
        <w:tc>
          <w:tcPr>
            <w:tcW w:w="5040" w:type="dxa"/>
            <w:vAlign w:val="bottom"/>
            <w:tcBorders>
              <w:top w:val="single" w:sz="8" w:color="0000FF"/>
            </w:tcBorders>
            <w:gridSpan w:val="31"/>
            <w:shd w:val="clear" w:color="auto" w:fill="CCEEFF"/>
          </w:tcPr>
          <w:p>
            <w:pPr>
              <w:spacing w:after="0" w:line="15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Development Ltd. and Fortis Advisors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Amended and Restated Certificate of Incorporation</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November 12, 2021</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3.2</w:t>
            </w:r>
          </w:p>
        </w:tc>
        <w:tc>
          <w:tcPr>
            <w:tcW w:w="2040" w:type="dxa"/>
            <w:vAlign w:val="bottom"/>
            <w:tcBorders>
              <w:bottom w:val="single" w:sz="8" w:color="0000FF"/>
            </w:tcBorders>
            <w:gridSpan w:val="7"/>
            <w:shd w:val="clear" w:color="auto" w:fill="CCEEFF"/>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Amended and Restated Bylaws</w:t>
              </w:r>
            </w:hyperlink>
          </w:p>
        </w:tc>
        <w:tc>
          <w:tcPr>
            <w:tcW w:w="3240" w:type="dxa"/>
            <w:vAlign w:val="bottom"/>
            <w:tcBorders>
              <w:bottom w:val="single" w:sz="8" w:color="CCEEFF"/>
            </w:tcBorders>
            <w:gridSpan w:val="32"/>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0" w:type="dxa"/>
            <w:vAlign w:val="bottom"/>
          </w:tcPr>
          <w:p>
            <w:pPr>
              <w:spacing w:after="0"/>
              <w:rPr>
                <w:sz w:val="1"/>
                <w:szCs w:val="1"/>
                <w:color w:val="auto"/>
              </w:rPr>
            </w:pPr>
          </w:p>
        </w:tc>
      </w:tr>
      <w:tr>
        <w:trPr>
          <w:trHeight w:val="189"/>
        </w:trPr>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3.3</w:t>
            </w:r>
          </w:p>
        </w:tc>
        <w:tc>
          <w:tcPr>
            <w:tcW w:w="5280" w:type="dxa"/>
            <w:vAlign w:val="bottom"/>
            <w:gridSpan w:val="39"/>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Certificate of Change of Registered Agent</w:t>
              </w:r>
            </w:hyperlink>
          </w:p>
        </w:tc>
        <w:tc>
          <w:tcPr>
            <w:tcW w:w="9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7, 2025</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52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Form of Common Stock Certificate</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c>
          <w:tcPr>
            <w:tcW w:w="0" w:type="dxa"/>
            <w:vAlign w:val="bottom"/>
          </w:tcPr>
          <w:p>
            <w:pPr>
              <w:spacing w:after="0"/>
              <w:rPr>
                <w:sz w:val="1"/>
                <w:szCs w:val="1"/>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Description of Common Stock Registered Under Section 12 of the Securities</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98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Exchange Act of 1934,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52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Indemnification Agreement by and between the Registrant and each of</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30, 2021</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224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its directors and executive officers</w:t>
              </w:r>
            </w:hyperlink>
          </w:p>
        </w:tc>
        <w:tc>
          <w:tcPr>
            <w:tcW w:w="2960" w:type="dxa"/>
            <w:vAlign w:val="bottom"/>
            <w:tcBorders>
              <w:top w:val="single" w:sz="8" w:color="0000FF"/>
              <w:bottom w:val="single" w:sz="8" w:color="CCEEFF"/>
            </w:tcBorders>
            <w:gridSpan w:val="30"/>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2011 Equity Incentive Plan, as amended, and forms of equity agreements</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30, 2021</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74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thereunder</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10.3</w:t>
            </w:r>
          </w:p>
        </w:tc>
        <w:tc>
          <w:tcPr>
            <w:tcW w:w="4740" w:type="dxa"/>
            <w:vAlign w:val="bottom"/>
            <w:tcBorders>
              <w:bottom w:val="single" w:sz="8" w:color="0000FF"/>
            </w:tcBorders>
            <w:gridSpan w:val="20"/>
            <w:shd w:val="clear" w:color="auto" w:fill="CCEEFF"/>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2021 Equity Incentive Plan, as amended, and forms of award agreements</w:t>
              </w:r>
            </w:hyperlink>
          </w:p>
        </w:tc>
        <w:tc>
          <w:tcPr>
            <w:tcW w:w="540" w:type="dxa"/>
            <w:vAlign w:val="bottom"/>
            <w:tcBorders>
              <w:bottom w:val="single" w:sz="8" w:color="CCEEFF"/>
            </w:tcBorders>
            <w:gridSpan w:val="19"/>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17"/>
        </w:trPr>
        <w:tc>
          <w:tcPr>
            <w:tcW w:w="9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3"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thereunder</w:t>
              </w:r>
            </w:hyperlink>
          </w:p>
        </w:tc>
        <w:tc>
          <w:tcPr>
            <w:tcW w:w="4580" w:type="dxa"/>
            <w:vAlign w:val="bottom"/>
            <w:tcBorders>
              <w:bottom w:val="single" w:sz="8" w:color="CCEEFF"/>
            </w:tcBorders>
            <w:gridSpan w:val="37"/>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10.4</w:t>
            </w:r>
          </w:p>
        </w:tc>
        <w:tc>
          <w:tcPr>
            <w:tcW w:w="498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2021 Employee Stock Purchase Plan, as amended, and forms of subscription</w:t>
              </w:r>
            </w:hyperlink>
          </w:p>
        </w:tc>
        <w:tc>
          <w:tcPr>
            <w:tcW w:w="300" w:type="dxa"/>
            <w:vAlign w:val="bottom"/>
            <w:gridSpan w:val="11"/>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2024</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80" w:type="dxa"/>
            <w:vAlign w:val="bottom"/>
            <w:gridSpan w:val="39"/>
          </w:tcPr>
          <w:p>
            <w:pPr>
              <w:spacing w:after="0" w:line="183"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agreement thereunder</w:t>
              </w:r>
            </w:hyperlink>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5000" w:type="dxa"/>
            <w:vAlign w:val="bottom"/>
            <w:tcBorders>
              <w:bottom w:val="single" w:sz="8" w:color="0000FF"/>
            </w:tcBorders>
            <w:gridSpan w:val="2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Forms of Change in Control and Severance Agreement for executive officers</w:t>
            </w:r>
          </w:p>
        </w:tc>
        <w:tc>
          <w:tcPr>
            <w:tcW w:w="280" w:type="dxa"/>
            <w:vAlign w:val="bottom"/>
            <w:tcBorders>
              <w:bottom w:val="single" w:sz="8" w:color="CCEEFF"/>
            </w:tcBorders>
            <w:gridSpan w:val="10"/>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Amended and Restated Offer Letter, effective as of September 13, 2021 by and</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180" w:type="dxa"/>
            <w:vAlign w:val="bottom"/>
            <w:tcBorders>
              <w:top w:val="single" w:sz="8" w:color="0000FF"/>
            </w:tcBorders>
            <w:gridSpan w:val="37"/>
          </w:tcPr>
          <w:p>
            <w:pPr>
              <w:spacing w:after="0" w:line="16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between the Registrant and Matthew Oppenheimer</w:t>
              </w:r>
            </w:hyperlink>
          </w:p>
        </w:tc>
        <w:tc>
          <w:tcPr>
            <w:tcW w:w="1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52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Transition Agreement, dated as of March 5, 2025, by and between the</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7, 2025</w:t>
            </w: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Registrant and Joshua Hug</w:t>
              </w:r>
            </w:hyperlink>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Revolving Credit and Guaranty Agreement, dated as of September 13, 2021,</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96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among Remitly Global, Inc. and Remitly, Inc., the guarantors party thereto,</w:t>
              </w:r>
            </w:hyperlink>
          </w:p>
        </w:tc>
        <w:tc>
          <w:tcPr>
            <w:tcW w:w="320" w:type="dxa"/>
            <w:vAlign w:val="bottom"/>
            <w:gridSpan w:val="12"/>
          </w:tcPr>
          <w:p>
            <w:pPr>
              <w:spacing w:after="0" w:line="169"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w:t>
              </w:r>
            </w:hyperlink>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140" w:type="dxa"/>
            <w:vAlign w:val="bottom"/>
            <w:tcBorders>
              <w:top w:val="single" w:sz="8" w:color="0000FF"/>
            </w:tcBorders>
            <w:gridSpan w:val="35"/>
          </w:tcPr>
          <w:p>
            <w:pPr>
              <w:spacing w:after="0" w:line="15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lenders and issuing banks party thereto and J.P. Morgan Chase Bank, N.A.</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52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Amended and Restated Offer Letter, dated as of April 6, 2023, by and between</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8, 2023</w:t>
            </w: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0000FF"/>
            </w:tcBorders>
            <w:gridSpan w:val="33"/>
            <w:shd w:val="clear" w:color="auto" w:fill="CCEEFF"/>
          </w:tcPr>
          <w:p>
            <w:pPr>
              <w:spacing w:after="0" w:line="169"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the Registrant and Ankur Sinha</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Amendment No. 1, dated June 26, 2023, to the Revolving Credit and Guaranty</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 2023</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Agreement dated as of September 13, 2021 among Remitly Global, Inc. and</w:t>
              </w:r>
            </w:hyperlink>
          </w:p>
        </w:tc>
        <w:tc>
          <w:tcPr>
            <w:tcW w:w="18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280" w:type="dxa"/>
            <w:vAlign w:val="bottom"/>
            <w:gridSpan w:val="39"/>
          </w:tcPr>
          <w:p>
            <w:pPr>
              <w:spacing w:after="0" w:line="15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Remitly, Inc., the guarantors party thereto, the lenders and issuing banks party</w:t>
              </w:r>
            </w:hyperlink>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060" w:type="dxa"/>
            <w:vAlign w:val="bottom"/>
            <w:tcBorders>
              <w:top w:val="single" w:sz="8" w:color="0000FF"/>
            </w:tcBorders>
            <w:gridSpan w:val="32"/>
          </w:tcPr>
          <w:p>
            <w:pPr>
              <w:spacing w:after="0" w:line="169"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thereto and J.P. Morgan Chase Bank, N.A.</w:t>
              </w:r>
            </w:hyperlink>
          </w:p>
        </w:tc>
        <w:tc>
          <w:tcPr>
            <w:tcW w:w="100" w:type="dxa"/>
            <w:vAlign w:val="bottom"/>
            <w:gridSpan w:val="4"/>
          </w:tcPr>
          <w:p>
            <w:pPr>
              <w:spacing w:after="0"/>
              <w:rPr>
                <w:sz w:val="14"/>
                <w:szCs w:val="14"/>
                <w:color w:val="auto"/>
              </w:rPr>
            </w:pPr>
          </w:p>
        </w:tc>
        <w:tc>
          <w:tcPr>
            <w:tcW w:w="1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52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Amendment No. 2 and Joinder Agreement dated as of December 20, 2023, to</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December 22, 2023</w:t>
            </w:r>
          </w:p>
        </w:tc>
        <w:tc>
          <w:tcPr>
            <w:tcW w:w="0" w:type="dxa"/>
            <w:vAlign w:val="bottom"/>
          </w:tcPr>
          <w:p>
            <w:pPr>
              <w:spacing w:after="0"/>
              <w:rPr>
                <w:sz w:val="1"/>
                <w:szCs w:val="1"/>
                <w:color w:val="auto"/>
              </w:rPr>
            </w:pPr>
          </w:p>
        </w:tc>
      </w:tr>
      <w:tr>
        <w:trPr>
          <w:trHeight w:val="20"/>
        </w:trPr>
        <w:tc>
          <w:tcPr>
            <w:tcW w:w="94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140" w:type="dxa"/>
            <w:vAlign w:val="bottom"/>
            <w:gridSpan w:val="6"/>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shd w:val="clear" w:color="auto" w:fill="CCEEFF"/>
          </w:tcPr>
          <w:p>
            <w:pPr>
              <w:spacing w:after="0"/>
              <w:rPr>
                <w:sz w:val="14"/>
                <w:szCs w:val="14"/>
                <w:color w:val="auto"/>
              </w:rPr>
            </w:pPr>
          </w:p>
        </w:tc>
        <w:tc>
          <w:tcPr>
            <w:tcW w:w="5280" w:type="dxa"/>
            <w:vAlign w:val="bottom"/>
            <w:gridSpan w:val="39"/>
            <w:shd w:val="clear" w:color="auto" w:fill="CCEEFF"/>
          </w:tcPr>
          <w:p>
            <w:pPr>
              <w:spacing w:after="0" w:line="16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the Revolving Credit and Guaranty Agreement dated as of September 13, 2021</w:t>
              </w:r>
            </w:hyperlink>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36"/>
            <w:shd w:val="clear" w:color="auto" w:fill="CCEEFF"/>
          </w:tcPr>
          <w:p>
            <w:pPr>
              <w:spacing w:after="0" w:line="15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among Remitly Global, Inc. and Remitly, Inc. as borrowers and guarantors,</w:t>
              </w:r>
            </w:hyperlink>
          </w:p>
        </w:tc>
        <w:tc>
          <w:tcPr>
            <w:tcW w:w="120" w:type="dxa"/>
            <w:vAlign w:val="bottom"/>
            <w:tcBorders>
              <w:top w:val="single" w:sz="8" w:color="CCEEFF"/>
            </w:tcBorders>
            <w:gridSpan w:val="3"/>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JPMorgan Chase Bank, N.A. as administrative agent and the incremental</w:t>
              </w:r>
            </w:hyperlink>
          </w:p>
        </w:tc>
        <w:tc>
          <w:tcPr>
            <w:tcW w:w="400" w:type="dxa"/>
            <w:vAlign w:val="bottom"/>
            <w:tcBorders>
              <w:top w:val="single" w:sz="8" w:color="CCEEFF"/>
            </w:tcBorders>
            <w:gridSpan w:val="14"/>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0000FF"/>
              <w:bottom w:val="single" w:sz="8" w:color="0000FF"/>
            </w:tcBorders>
            <w:gridSpan w:val="4"/>
            <w:shd w:val="clear" w:color="auto" w:fill="CCEEFF"/>
          </w:tcPr>
          <w:p>
            <w:pPr>
              <w:spacing w:after="0" w:line="15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lenders party thereto</w:t>
              </w:r>
            </w:hyperlink>
          </w:p>
        </w:tc>
        <w:tc>
          <w:tcPr>
            <w:tcW w:w="34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10.12</w:t>
            </w:r>
          </w:p>
        </w:tc>
        <w:tc>
          <w:tcPr>
            <w:tcW w:w="5280" w:type="dxa"/>
            <w:vAlign w:val="bottom"/>
            <w:gridSpan w:val="39"/>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Offer Letter, dated as of July 26, 2024, by and between the Registrant and</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October 30, 2024</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78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Vikas Mehta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15"/>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5280" w:type="dxa"/>
            <w:vAlign w:val="bottom"/>
            <w:gridSpan w:val="39"/>
            <w:shd w:val="clear" w:color="auto" w:fill="CCEEFF"/>
          </w:tcPr>
          <w:p>
            <w:pPr>
              <w:spacing w:after="0" w:line="17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Credit Agreement dated as of June 24, 2025, among Remitly Global, Inc.,</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June 27, 2025</w:t>
            </w: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4800" w:type="dxa"/>
            <w:vAlign w:val="bottom"/>
            <w:tcBorders>
              <w:top w:val="single" w:sz="8" w:color="0000FF"/>
              <w:bottom w:val="single" w:sz="8" w:color="0000FF"/>
            </w:tcBorders>
            <w:gridSpan w:val="22"/>
            <w:shd w:val="clear" w:color="auto" w:fill="CCEEFF"/>
          </w:tcPr>
          <w:p>
            <w:pPr>
              <w:spacing w:after="0" w:line="169"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Remitly, Inc., the financial institutions party thereto, and JPMorgan Chase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gridSpan w:val="15"/>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4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FF"/>
            </w:tcBorders>
            <w:gridSpan w:val="10"/>
            <w:shd w:val="clear" w:color="auto" w:fill="CCEEFF"/>
          </w:tcPr>
          <w:p>
            <w:pPr>
              <w:spacing w:after="0" w:line="15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Bank, N.A., as administrative agent</w:t>
              </w:r>
            </w:hyperlink>
          </w:p>
        </w:tc>
        <w:tc>
          <w:tcPr>
            <w:tcW w:w="2500" w:type="dxa"/>
            <w:vAlign w:val="bottom"/>
            <w:tcBorders>
              <w:bottom w:val="single" w:sz="8" w:color="CCEEFF"/>
            </w:tcBorders>
            <w:gridSpan w:val="1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15"/>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10.14</w:t>
            </w:r>
          </w:p>
        </w:tc>
        <w:tc>
          <w:tcPr>
            <w:tcW w:w="5280" w:type="dxa"/>
            <w:vAlign w:val="bottom"/>
            <w:gridSpan w:val="39"/>
          </w:tcPr>
          <w:p>
            <w:pPr>
              <w:spacing w:after="0" w:line="175" w:lineRule="exact"/>
              <w:rPr>
                <w:sz w:val="20"/>
                <w:szCs w:val="20"/>
                <w:color w:val="auto"/>
              </w:rPr>
            </w:pPr>
            <w:r>
              <w:rPr>
                <w:rFonts w:ascii="Times New Roman" w:cs="Times New Roman" w:eastAsia="Times New Roman" w:hAnsi="Times New Roman"/>
                <w:sz w:val="16"/>
                <w:szCs w:val="16"/>
                <w:color w:val="0000FF"/>
              </w:rPr>
              <w:t>Amended and Restated Offer Letter, dated as of February 12, 2026, by and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84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6"/>
                <w:szCs w:val="16"/>
                <w:color w:val="0000FF"/>
              </w:rPr>
              <w:t>between the Registrant and Pankaj Sharma</w:t>
            </w:r>
          </w:p>
        </w:tc>
        <w:tc>
          <w:tcPr>
            <w:tcW w:w="440" w:type="dxa"/>
            <w:vAlign w:val="bottom"/>
            <w:gridSpan w:val="15"/>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10.15</w:t>
            </w:r>
          </w:p>
        </w:tc>
        <w:tc>
          <w:tcPr>
            <w:tcW w:w="5280" w:type="dxa"/>
            <w:vAlign w:val="bottom"/>
            <w:gridSpan w:val="3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Amended and Restated Offer Letter, dated as of February 12, 2026, by and</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rPr>
                <w:sz w:val="17"/>
                <w:szCs w:val="17"/>
                <w:color w:val="auto"/>
              </w:rPr>
            </w:pPr>
          </w:p>
        </w:tc>
        <w:tc>
          <w:tcPr>
            <w:tcW w:w="4840" w:type="dxa"/>
            <w:vAlign w:val="bottom"/>
            <w:tcBorders>
              <w:top w:val="single" w:sz="8" w:color="0000FF"/>
            </w:tcBorders>
            <w:gridSpan w:val="24"/>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between the Registrant and Saema Somalya</w:t>
            </w:r>
          </w:p>
        </w:tc>
        <w:tc>
          <w:tcPr>
            <w:tcW w:w="440" w:type="dxa"/>
            <w:vAlign w:val="bottom"/>
            <w:tcBorders>
              <w:top w:val="single" w:sz="8" w:color="CCEEFF"/>
            </w:tcBorders>
            <w:gridSpan w:val="15"/>
            <w:shd w:val="clear" w:color="auto" w:fill="CCEEFF"/>
          </w:tcPr>
          <w:p>
            <w:pPr>
              <w:spacing w:after="0"/>
              <w:rPr>
                <w:sz w:val="17"/>
                <w:szCs w:val="17"/>
                <w:color w:val="auto"/>
              </w:rPr>
            </w:pPr>
          </w:p>
        </w:tc>
        <w:tc>
          <w:tcPr>
            <w:tcW w:w="940" w:type="dxa"/>
            <w:vAlign w:val="bottom"/>
            <w:tcBorders>
              <w:top w:val="single" w:sz="8" w:color="CCEEFF"/>
            </w:tcBorders>
            <w:vMerge w:val="continue"/>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40" w:type="dxa"/>
            <w:vAlign w:val="bottom"/>
            <w:tcBorders>
              <w:top w:val="single" w:sz="8" w:color="CCEEFF"/>
            </w:tcBorders>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19.1</w:t>
            </w:r>
          </w:p>
        </w:tc>
        <w:tc>
          <w:tcPr>
            <w:tcW w:w="2840" w:type="dxa"/>
            <w:vAlign w:val="bottom"/>
            <w:tcBorders>
              <w:top w:val="single" w:sz="8" w:color="0000FF"/>
            </w:tcBorders>
            <w:gridSpan w:val="15"/>
          </w:tcPr>
          <w:p>
            <w:pPr>
              <w:spacing w:after="0" w:line="175" w:lineRule="exact"/>
              <w:rPr>
                <w:sz w:val="20"/>
                <w:szCs w:val="20"/>
                <w:color w:val="auto"/>
              </w:rPr>
            </w:pPr>
            <w:r>
              <w:rPr>
                <w:rFonts w:ascii="Times New Roman" w:cs="Times New Roman" w:eastAsia="Times New Roman" w:hAnsi="Times New Roman"/>
                <w:sz w:val="16"/>
                <w:szCs w:val="16"/>
                <w:color w:val="0000FF"/>
              </w:rPr>
              <w:t>Remitly Global, Inc. Insider Trading Policy</w:t>
            </w:r>
          </w:p>
        </w:tc>
        <w:tc>
          <w:tcPr>
            <w:tcW w:w="2440" w:type="dxa"/>
            <w:vAlign w:val="bottom"/>
            <w:tcBorders>
              <w:top w:val="single" w:sz="8" w:color="CCEEFF"/>
            </w:tcBorders>
            <w:gridSpan w:val="24"/>
          </w:tcPr>
          <w:p>
            <w:pPr>
              <w:spacing w:after="0"/>
              <w:rPr>
                <w:sz w:val="15"/>
                <w:szCs w:val="15"/>
                <w:color w:val="auto"/>
              </w:rPr>
            </w:pPr>
          </w:p>
        </w:tc>
        <w:tc>
          <w:tcPr>
            <w:tcW w:w="94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5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9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4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21.1</w:t>
            </w:r>
          </w:p>
        </w:tc>
        <w:tc>
          <w:tcPr>
            <w:tcW w:w="5280" w:type="dxa"/>
            <w:vAlign w:val="bottom"/>
            <w:gridSpan w:val="3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List of Subsidiaries of the Registrant</w:t>
            </w:r>
          </w:p>
        </w:tc>
        <w:tc>
          <w:tcPr>
            <w:tcW w:w="9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74"/>
        </w:trPr>
        <w:tc>
          <w:tcPr>
            <w:tcW w:w="940" w:type="dxa"/>
            <w:vAlign w:val="bottom"/>
            <w:tcBorders>
              <w:top w:val="single" w:sz="8" w:color="CCEEFF"/>
            </w:tcBorders>
          </w:tcPr>
          <w:p>
            <w:pPr>
              <w:spacing w:after="0"/>
              <w:rPr>
                <w:sz w:val="24"/>
                <w:szCs w:val="24"/>
                <w:color w:val="auto"/>
              </w:rPr>
            </w:pPr>
          </w:p>
        </w:tc>
        <w:tc>
          <w:tcPr>
            <w:tcW w:w="2380" w:type="dxa"/>
            <w:vAlign w:val="bottom"/>
            <w:tcBorders>
              <w:top w:val="single" w:sz="8" w:color="0000FF"/>
            </w:tcBorders>
            <w:gridSpan w:val="11"/>
          </w:tcPr>
          <w:p>
            <w:pPr>
              <w:spacing w:after="0"/>
              <w:rPr>
                <w:sz w:val="24"/>
                <w:szCs w:val="24"/>
                <w:color w:val="auto"/>
              </w:rPr>
            </w:pPr>
          </w:p>
        </w:tc>
        <w:tc>
          <w:tcPr>
            <w:tcW w:w="2400" w:type="dxa"/>
            <w:vAlign w:val="bottom"/>
            <w:tcBorders>
              <w:top w:val="single" w:sz="8" w:color="CCEEFF"/>
            </w:tcBorders>
            <w:gridSpan w:val="10"/>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23.1</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 public</w:t>
            </w:r>
          </w:p>
        </w:tc>
      </w:tr>
      <w:tr>
        <w:trPr>
          <w:trHeight w:val="155"/>
        </w:trPr>
        <w:tc>
          <w:tcPr>
            <w:tcW w:w="82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FF"/>
              </w:rPr>
              <w:t>accounting firm</w:t>
            </w:r>
          </w:p>
        </w:tc>
        <w:tc>
          <w:tcPr>
            <w:tcW w:w="3620" w:type="dxa"/>
            <w:vAlign w:val="bottom"/>
            <w:tcBorders>
              <w:top w:val="single" w:sz="8" w:color="0000FF"/>
            </w:tcBorders>
            <w:gridSpan w:val="5"/>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24.1</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Power of Attorney (included in the signature page to the Annual Report on</w:t>
            </w:r>
          </w:p>
        </w:tc>
      </w:tr>
      <w:tr>
        <w:trPr>
          <w:trHeight w:val="156"/>
        </w:trPr>
        <w:tc>
          <w:tcPr>
            <w:tcW w:w="820" w:type="dxa"/>
            <w:vAlign w:val="bottom"/>
          </w:tcPr>
          <w:p>
            <w:pPr>
              <w:spacing w:after="0"/>
              <w:rPr>
                <w:sz w:val="13"/>
                <w:szCs w:val="13"/>
                <w:color w:val="auto"/>
              </w:rPr>
            </w:pPr>
          </w:p>
        </w:tc>
        <w:tc>
          <w:tcPr>
            <w:tcW w:w="4860" w:type="dxa"/>
            <w:vAlign w:val="bottom"/>
            <w:tcBorders>
              <w:top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Form 10-K)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31.1</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w:t>
            </w:r>
          </w:p>
        </w:tc>
      </w:tr>
      <w:tr>
        <w:trPr>
          <w:trHeight w:val="156"/>
        </w:trPr>
        <w:tc>
          <w:tcPr>
            <w:tcW w:w="820" w:type="dxa"/>
            <w:vAlign w:val="bottom"/>
          </w:tcPr>
          <w:p>
            <w:pPr>
              <w:spacing w:after="0"/>
              <w:rPr>
                <w:sz w:val="13"/>
                <w:szCs w:val="13"/>
                <w:color w:val="auto"/>
              </w:rPr>
            </w:pPr>
          </w:p>
        </w:tc>
        <w:tc>
          <w:tcPr>
            <w:tcW w:w="4940" w:type="dxa"/>
            <w:vAlign w:val="bottom"/>
            <w:tcBorders>
              <w:top w:val="single" w:sz="8" w:color="0000FF"/>
            </w:tcBorders>
            <w:gridSpan w:val="10"/>
          </w:tcPr>
          <w:p>
            <w:pPr>
              <w:spacing w:after="0" w:line="155" w:lineRule="exact"/>
              <w:rPr>
                <w:sz w:val="20"/>
                <w:szCs w:val="20"/>
                <w:color w:val="auto"/>
              </w:rPr>
            </w:pPr>
            <w:r>
              <w:rPr>
                <w:rFonts w:ascii="Times New Roman" w:cs="Times New Roman" w:eastAsia="Times New Roman" w:hAnsi="Times New Roman"/>
                <w:sz w:val="16"/>
                <w:szCs w:val="16"/>
                <w:color w:val="0000FF"/>
              </w:rPr>
              <w:t>15d-14(a) under the Securities Exchange Act of 1934, as Adopted Pursuant</w:t>
            </w:r>
          </w:p>
        </w:tc>
        <w:tc>
          <w:tcPr>
            <w:tcW w:w="280" w:type="dxa"/>
            <w:vAlign w:val="bottom"/>
            <w:gridSpan w:val="4"/>
          </w:tcPr>
          <w:p>
            <w:pPr>
              <w:jc w:val="right"/>
              <w:ind w:right="160"/>
              <w:spacing w:after="0" w:line="155" w:lineRule="exact"/>
              <w:rPr>
                <w:sz w:val="20"/>
                <w:szCs w:val="20"/>
                <w:color w:val="auto"/>
              </w:rPr>
            </w:pPr>
            <w:r>
              <w:rPr>
                <w:rFonts w:ascii="Times New Roman" w:cs="Times New Roman" w:eastAsia="Times New Roman" w:hAnsi="Times New Roman"/>
                <w:sz w:val="16"/>
                <w:szCs w:val="16"/>
                <w:color w:val="0000FF"/>
                <w:w w:val="79"/>
              </w:rPr>
              <w:t>to</w:t>
            </w:r>
          </w:p>
        </w:tc>
      </w:tr>
      <w:tr>
        <w:trPr>
          <w:trHeight w:val="169"/>
        </w:trPr>
        <w:tc>
          <w:tcPr>
            <w:tcW w:w="8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198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31.2</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w:t>
            </w:r>
          </w:p>
        </w:tc>
      </w:tr>
      <w:tr>
        <w:trPr>
          <w:trHeight w:val="156"/>
        </w:trPr>
        <w:tc>
          <w:tcPr>
            <w:tcW w:w="820" w:type="dxa"/>
            <w:vAlign w:val="bottom"/>
          </w:tcPr>
          <w:p>
            <w:pPr>
              <w:spacing w:after="0"/>
              <w:rPr>
                <w:sz w:val="13"/>
                <w:szCs w:val="13"/>
                <w:color w:val="auto"/>
              </w:rPr>
            </w:pPr>
          </w:p>
        </w:tc>
        <w:tc>
          <w:tcPr>
            <w:tcW w:w="4900" w:type="dxa"/>
            <w:vAlign w:val="bottom"/>
            <w:tcBorders>
              <w:top w:val="single" w:sz="8" w:color="0000FF"/>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FF"/>
              </w:rPr>
              <w:t>15d-14(a) under the Securities Exchange Act of 1934, as Adopted Pursuant</w:t>
            </w:r>
          </w:p>
        </w:tc>
        <w:tc>
          <w:tcPr>
            <w:tcW w:w="320" w:type="dxa"/>
            <w:vAlign w:val="bottom"/>
            <w:gridSpan w:val="5"/>
          </w:tcPr>
          <w:p>
            <w:pPr>
              <w:jc w:val="right"/>
              <w:ind w:right="160"/>
              <w:spacing w:after="0" w:line="155" w:lineRule="exact"/>
              <w:rPr>
                <w:sz w:val="20"/>
                <w:szCs w:val="20"/>
                <w:color w:val="auto"/>
              </w:rPr>
            </w:pPr>
            <w:r>
              <w:rPr>
                <w:rFonts w:ascii="Times New Roman" w:cs="Times New Roman" w:eastAsia="Times New Roman" w:hAnsi="Times New Roman"/>
                <w:sz w:val="16"/>
                <w:szCs w:val="16"/>
                <w:color w:val="0000FF"/>
              </w:rPr>
              <w:t>to</w:t>
            </w:r>
          </w:p>
        </w:tc>
      </w:tr>
      <w:tr>
        <w:trPr>
          <w:trHeight w:val="169"/>
        </w:trPr>
        <w:tc>
          <w:tcPr>
            <w:tcW w:w="8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198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32.1*</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w:t>
            </w:r>
          </w:p>
        </w:tc>
      </w:tr>
      <w:tr>
        <w:trPr>
          <w:trHeight w:val="155"/>
        </w:trPr>
        <w:tc>
          <w:tcPr>
            <w:tcW w:w="8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FF"/>
              </w:rPr>
              <w:t>as Adopted Pursuant to Section 906 of the Sarbanes-Oxley Act of 2002</w:t>
            </w:r>
          </w:p>
        </w:tc>
        <w:tc>
          <w:tcPr>
            <w:tcW w:w="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32.2*</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w:t>
            </w:r>
          </w:p>
        </w:tc>
      </w:tr>
      <w:tr>
        <w:trPr>
          <w:trHeight w:val="156"/>
        </w:trPr>
        <w:tc>
          <w:tcPr>
            <w:tcW w:w="820" w:type="dxa"/>
            <w:vAlign w:val="bottom"/>
          </w:tcPr>
          <w:p>
            <w:pPr>
              <w:spacing w:after="0"/>
              <w:rPr>
                <w:sz w:val="13"/>
                <w:szCs w:val="13"/>
                <w:color w:val="auto"/>
              </w:rPr>
            </w:pPr>
          </w:p>
        </w:tc>
        <w:tc>
          <w:tcPr>
            <w:tcW w:w="516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as Adopted Pursuant to Section 906 of the Sarbanes-Oxley Act of 2002</w:t>
            </w:r>
          </w:p>
        </w:tc>
        <w:tc>
          <w:tcPr>
            <w:tcW w:w="60" w:type="dxa"/>
            <w:vAlign w:val="bottom"/>
            <w:gridSpan w:val="2"/>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97.1</w:t>
            </w:r>
          </w:p>
        </w:tc>
        <w:tc>
          <w:tcPr>
            <w:tcW w:w="22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Compensation Recoupment Policy</w:t>
              </w:r>
            </w:hyperlink>
          </w:p>
        </w:tc>
        <w:tc>
          <w:tcPr>
            <w:tcW w:w="2360" w:type="dxa"/>
            <w:vAlign w:val="bottom"/>
            <w:tcBorders>
              <w:top w:val="single" w:sz="8" w:color="0000FF"/>
            </w:tcBorders>
            <w:gridSpan w:val="2"/>
          </w:tcPr>
          <w:p>
            <w:pPr>
              <w:spacing w:after="0"/>
              <w:rPr>
                <w:sz w:val="19"/>
                <w:szCs w:val="19"/>
                <w:color w:val="auto"/>
              </w:rPr>
            </w:pPr>
          </w:p>
        </w:tc>
        <w:tc>
          <w:tcPr>
            <w:tcW w:w="600" w:type="dxa"/>
            <w:vAlign w:val="bottom"/>
            <w:gridSpan w:val="9"/>
          </w:tcPr>
          <w:p>
            <w:pPr>
              <w:spacing w:after="0"/>
              <w:rPr>
                <w:sz w:val="19"/>
                <w:szCs w:val="19"/>
                <w:color w:val="auto"/>
              </w:rPr>
            </w:pPr>
          </w:p>
        </w:tc>
      </w:tr>
      <w:tr>
        <w:trPr>
          <w:trHeight w:val="22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101.INS</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r>
      <w:tr>
        <w:trPr>
          <w:trHeight w:val="189"/>
        </w:trPr>
        <w:tc>
          <w:tcPr>
            <w:tcW w:w="820" w:type="dxa"/>
            <w:vAlign w:val="bottom"/>
          </w:tcPr>
          <w:p>
            <w:pPr>
              <w:spacing w:after="0"/>
              <w:rPr>
                <w:sz w:val="16"/>
                <w:szCs w:val="16"/>
                <w:color w:val="auto"/>
              </w:rPr>
            </w:pP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r>
      <w:tr>
        <w:trPr>
          <w:trHeight w:val="210"/>
        </w:trPr>
        <w:tc>
          <w:tcPr>
            <w:tcW w:w="820" w:type="dxa"/>
            <w:vAlign w:val="bottom"/>
          </w:tcPr>
          <w:p>
            <w:pPr>
              <w:spacing w:after="0"/>
              <w:rPr>
                <w:sz w:val="18"/>
                <w:szCs w:val="18"/>
                <w:color w:val="auto"/>
              </w:rPr>
            </w:pP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29"/>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101.SCH</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101.CAL</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101.DEF</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101.LAB</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101.PRE</w:t>
            </w:r>
          </w:p>
        </w:tc>
        <w:tc>
          <w:tcPr>
            <w:tcW w:w="52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-2833370</wp:posOffset>
            </wp:positionV>
            <wp:extent cx="7132320" cy="266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-2190115</wp:posOffset>
            </wp:positionV>
            <wp:extent cx="7132320"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-1547495</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-1127125</wp:posOffset>
            </wp:positionV>
            <wp:extent cx="7132320"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ind w:left="940" w:right="180" w:hanging="635"/>
        <w:spacing w:after="0" w:line="263" w:lineRule="auto"/>
        <w:tabs>
          <w:tab w:leader="none" w:pos="9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jc w:val="right"/>
        <w:ind w:right="180"/>
        <w:spacing w:after="0"/>
        <w:tabs>
          <w:tab w:leader="none" w:pos="3020" w:val="left"/>
          <w:tab w:leader="none" w:pos="1900" w:val="left"/>
          <w:tab w:leader="none" w:pos="118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001-40822</w:t>
      </w:r>
      <w:r>
        <w:rPr>
          <w:sz w:val="20"/>
          <w:szCs w:val="20"/>
          <w:color w:val="auto"/>
        </w:rPr>
        <w:tab/>
      </w:r>
      <w:r>
        <w:rPr>
          <w:rFonts w:ascii="Times New Roman" w:cs="Times New Roman" w:eastAsia="Times New Roman" w:hAnsi="Times New Roman"/>
          <w:sz w:val="16"/>
          <w:szCs w:val="16"/>
          <w:color w:val="auto"/>
        </w:rPr>
        <w:t>97.1</w:t>
      </w:r>
      <w:r>
        <w:rPr>
          <w:sz w:val="20"/>
          <w:szCs w:val="20"/>
          <w:color w:val="auto"/>
        </w:rPr>
        <w:tab/>
      </w:r>
      <w:r>
        <w:rPr>
          <w:rFonts w:ascii="Times New Roman" w:cs="Times New Roman" w:eastAsia="Times New Roman" w:hAnsi="Times New Roman"/>
          <w:sz w:val="16"/>
          <w:szCs w:val="16"/>
          <w:color w:val="auto"/>
        </w:rPr>
        <w:t>February 19, 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0" w:lineRule="exact"/>
        <w:rPr>
          <w:sz w:val="20"/>
          <w:szCs w:val="20"/>
          <w:color w:val="auto"/>
        </w:rPr>
      </w:pPr>
    </w:p>
    <w:p>
      <w:pPr>
        <w:sectPr>
          <w:pgSz w:w="11900" w:h="16838" w:orient="portrait"/>
          <w:cols w:equalWidth="0" w:num="2">
            <w:col w:w="6140" w:space="500"/>
            <w:col w:w="4600"/>
          </w:cols>
          <w:pgMar w:left="320" w:top="369" w:right="339" w:bottom="1440" w:gutter="0" w:footer="0" w:header="0"/>
        </w:sectPr>
      </w:pPr>
    </w:p>
    <w:p>
      <w:pPr>
        <w:spacing w:after="0" w:line="56" w:lineRule="exact"/>
        <w:rPr>
          <w:sz w:val="20"/>
          <w:szCs w:val="20"/>
          <w:color w:val="auto"/>
        </w:rPr>
      </w:pPr>
    </w:p>
    <w:p>
      <w:pPr>
        <w:jc w:val="both"/>
        <w:ind w:firstLine="8"/>
        <w:spacing w:after="0" w:line="265" w:lineRule="auto"/>
        <w:tabs>
          <w:tab w:leader="none" w:pos="138" w:val="left"/>
        </w:tabs>
        <w:numPr>
          <w:ilvl w:val="0"/>
          <w:numId w:val="5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certifications furnished in Exhibits 32.1 and 32.2 hereto are deemed to accompany this Form 10-K and are not deemed “filed” for purposes of Section 18 of the Exchange Act, or otherwise subject to the liability of that section, nor shall they be deemed incorporated by reference into any filing under the Securities Act or the Exchange Act.</w:t>
      </w:r>
    </w:p>
    <w:p>
      <w:pPr>
        <w:spacing w:after="0" w:line="133" w:lineRule="exact"/>
        <w:rPr>
          <w:sz w:val="20"/>
          <w:szCs w:val="20"/>
          <w:color w:val="auto"/>
        </w:rPr>
      </w:pPr>
    </w:p>
    <w:p>
      <w:pPr>
        <w:ind w:right="20" w:firstLine="8"/>
        <w:spacing w:after="0" w:line="283" w:lineRule="auto"/>
        <w:tabs>
          <w:tab w:leader="none" w:pos="121" w:val="left"/>
        </w:tabs>
        <w:numPr>
          <w:ilvl w:val="0"/>
          <w:numId w:val="5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Certain identified information has been excluded from this exhibit because the registrant does not believe it is material and is the type that the registrant customarily treats as private and confidential. Redacted information is indicated by “[*****]”.</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Remitly Global, Inc.</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February 18, 2026</w:t>
            </w:r>
          </w:p>
        </w:tc>
        <w:tc>
          <w:tcPr>
            <w:tcW w:w="2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Oppenheimer</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Oppenheimer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2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February 18, 2026</w:t>
            </w:r>
          </w:p>
        </w:tc>
        <w:tc>
          <w:tcPr>
            <w:tcW w:w="2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Vikas Mehta</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Vikas Mehta</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2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February 18, 2026</w:t>
            </w:r>
          </w:p>
        </w:tc>
        <w:tc>
          <w:tcPr>
            <w:tcW w:w="2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Luke Tavis</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Luke Tavis</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9"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the undersigned officers and directors of Remitly Global, Inc., hereby severally and individually constitute and appoint Matthew Oppenheimer, Vikas Mehta, and Luke Tavis, jointly and severally, the true and lawful attorney and agent of each of us to execute in the name, place and stead of each of us (individually and in any capacity stated below) any and all amendments to this Annual Report on Form 10-K and all instruments necessary or advisable in connection therewith and to file the same with the Securities and Exchange Commission, each of said attorney and agent to have the power to act with or without the others and to have full power and authority to do and perform in the name and on behalf of each of the undersigned every act whatsoever necessary or advisable to be done in the premises as fully and to all intents and purposes as any of the undersigned might or could do in person, and we hereby ratify and confirm our signatures as they may be signed by our said attorney and agent or each of them to any and all such amendments and instruments.</w:t>
      </w:r>
    </w:p>
    <w:p>
      <w:pPr>
        <w:spacing w:after="0" w:line="125"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69" w:right="359" w:bottom="1440" w:gutter="0" w:footer="0" w:header="0"/>
        </w:sectPr>
      </w:pP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Matthew Oppenheimer, Chief Executive Officer and 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Luke Tavis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Luke Tavis, Chief Accounting Officer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Phyllis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Phyllis Campbell,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Joshua Hug,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Nigel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Nigel Morris,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Margaret M. Smyth,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Vikas Mehta, Chief Financial Officer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Ryno Blignaut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Ryno Blignaut, Director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Bora Chung,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Laurent Le Moal,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Phillip Riese,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18, 2026</w:t>
      </w:r>
    </w:p>
    <w:p>
      <w:pPr>
        <w:spacing w:after="0" w:line="1172" w:lineRule="exact"/>
        <w:rPr>
          <w:sz w:val="20"/>
          <w:szCs w:val="20"/>
          <w:color w:val="auto"/>
        </w:rPr>
      </w:pPr>
    </w:p>
    <w:p>
      <w:pPr>
        <w:sectPr>
          <w:pgSz w:w="11900" w:h="16838" w:orient="portrait"/>
          <w:cols w:equalWidth="0" w:num="2">
            <w:col w:w="5040" w:space="720"/>
            <w:col w:w="5460"/>
          </w:cols>
          <w:pgMar w:left="320" w:top="3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1220"/>
          </w:cols>
          <w:pgMar w:left="320" w:top="369" w:right="359" w:bottom="1440" w:gutter="0" w:footer="0" w:header="0"/>
          <w:type w:val="continuous"/>
        </w:sectPr>
      </w:pPr>
    </w:p>
    <w:bookmarkStart w:id="102" w:name="page103"/>
    <w:bookmarkEnd w:id="102"/>
    <w:tbl>
      <w:tblPr>
        <w:tblLayout w:type="fixed"/>
        <w:tblInd w:w="5" w:type="dxa"/>
        <w:tblCellMar>
          <w:top w:w="0" w:type="dxa"/>
          <w:left w:w="0" w:type="dxa"/>
          <w:bottom w:w="0" w:type="dxa"/>
          <w:right w:w="0" w:type="dxa"/>
        </w:tblCellMar>
      </w:tblPr>
      <w:tr>
        <w:trPr>
          <w:trHeight w:val="273"/>
        </w:trPr>
        <w:tc>
          <w:tcPr>
            <w:tcW w:w="6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Exhibit 10.5</w:t>
            </w:r>
          </w:p>
        </w:tc>
      </w:tr>
      <w:tr>
        <w:trPr>
          <w:trHeight w:val="632"/>
        </w:trPr>
        <w:tc>
          <w:tcPr>
            <w:tcW w:w="6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Form for CEO</w:t>
            </w:r>
          </w:p>
        </w:tc>
      </w:tr>
      <w:tr>
        <w:trPr>
          <w:trHeight w:val="764"/>
        </w:trPr>
        <w:tc>
          <w:tcPr>
            <w:tcW w:w="8920" w:type="dxa"/>
            <w:vAlign w:val="bottom"/>
            <w:gridSpan w:val="3"/>
          </w:tcPr>
          <w:p>
            <w:pPr>
              <w:ind w:left="3560"/>
              <w:spacing w:after="0"/>
              <w:rPr>
                <w:sz w:val="20"/>
                <w:szCs w:val="20"/>
                <w:color w:val="auto"/>
              </w:rPr>
            </w:pPr>
            <w:r>
              <w:rPr>
                <w:rFonts w:ascii="Arial" w:cs="Arial" w:eastAsia="Arial" w:hAnsi="Arial"/>
                <w:sz w:val="18"/>
                <w:szCs w:val="18"/>
                <w:b w:val="1"/>
                <w:bCs w:val="1"/>
                <w:color w:val="auto"/>
              </w:rPr>
              <w:t>Change in Control and Severance Agreement</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17"/>
        </w:trPr>
        <w:tc>
          <w:tcPr>
            <w:tcW w:w="8920" w:type="dxa"/>
            <w:vAlign w:val="bottom"/>
            <w:gridSpan w:val="3"/>
          </w:tcPr>
          <w:p>
            <w:pPr>
              <w:ind w:left="640"/>
              <w:spacing w:after="0"/>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w:t>
            </w:r>
          </w:p>
        </w:tc>
        <w:tc>
          <w:tcPr>
            <w:tcW w:w="260" w:type="dxa"/>
            <w:vAlign w:val="bottom"/>
            <w:tcBorders>
              <w:bottom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 and</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Remitly Global,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effective as of</w:t>
            </w:r>
          </w:p>
        </w:tc>
        <w:tc>
          <w:tcPr>
            <w:tcW w:w="400" w:type="dxa"/>
            <w:vAlign w:val="bottom"/>
            <w:tcBorders>
              <w:bottom w:val="single" w:sz="8" w:color="auto"/>
            </w:tcBorders>
          </w:tcPr>
          <w:p>
            <w:pPr>
              <w:spacing w:after="0"/>
              <w:rPr>
                <w:sz w:val="18"/>
                <w:szCs w:val="18"/>
                <w:color w:val="auto"/>
              </w:rPr>
            </w:pPr>
          </w:p>
        </w:tc>
        <w:tc>
          <w:tcPr>
            <w:tcW w:w="2340" w:type="dxa"/>
            <w:vAlign w:val="bottom"/>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pacing w:after="0" w:line="278" w:lineRule="exact"/>
        <w:rPr>
          <w:sz w:val="20"/>
          <w:szCs w:val="20"/>
          <w:color w:val="auto"/>
        </w:rPr>
      </w:pPr>
    </w:p>
    <w:p>
      <w:pPr>
        <w:ind w:left="5"/>
        <w:spacing w:after="0"/>
        <w:tabs>
          <w:tab w:leader="none" w:pos="325" w:val="left"/>
        </w:tabs>
        <w:rPr>
          <w:sz w:val="20"/>
          <w:szCs w:val="20"/>
          <w:color w:val="auto"/>
        </w:rPr>
      </w:pPr>
      <w:r>
        <w:rPr>
          <w:rFonts w:ascii="Arial" w:cs="Arial" w:eastAsia="Arial" w:hAnsi="Arial"/>
          <w:sz w:val="18"/>
          <w:szCs w:val="18"/>
          <w:color w:val="010000"/>
        </w:rPr>
        <w:t>1.</w:t>
      </w:r>
      <w:r>
        <w:rPr>
          <w:sz w:val="20"/>
          <w:szCs w:val="20"/>
          <w:color w:val="auto"/>
        </w:rPr>
        <w:tab/>
      </w:r>
      <w:r>
        <w:rPr>
          <w:rFonts w:ascii="Arial" w:cs="Arial" w:eastAsia="Arial" w:hAnsi="Arial"/>
          <w:sz w:val="18"/>
          <w:szCs w:val="18"/>
          <w:b w:val="1"/>
          <w:bCs w:val="1"/>
          <w:color w:val="auto"/>
        </w:rPr>
        <w:t>Term of Agreement.</w:t>
      </w:r>
    </w:p>
    <w:p>
      <w:pPr>
        <w:spacing w:after="0" w:line="306" w:lineRule="exact"/>
        <w:rPr>
          <w:sz w:val="20"/>
          <w:szCs w:val="20"/>
          <w:color w:val="auto"/>
        </w:rPr>
      </w:pPr>
    </w:p>
    <w:p>
      <w:pPr>
        <w:jc w:val="both"/>
        <w:ind w:left="5" w:right="100" w:firstLine="648"/>
        <w:spacing w:after="0" w:line="288" w:lineRule="auto"/>
        <w:rPr>
          <w:sz w:val="20"/>
          <w:szCs w:val="20"/>
          <w:color w:val="auto"/>
        </w:rPr>
      </w:pPr>
      <w:r>
        <w:rPr>
          <w:rFonts w:ascii="Arial" w:cs="Arial" w:eastAsia="Arial" w:hAnsi="Arial"/>
          <w:sz w:val="18"/>
          <w:szCs w:val="18"/>
          <w:color w:val="auto"/>
        </w:rPr>
        <w:t>This Agreement shall terminate the earlier of the third (3)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this Agreement shall remain in effect through the earlier of:</w:t>
      </w:r>
    </w:p>
    <w:p>
      <w:pPr>
        <w:spacing w:after="0" w:line="208" w:lineRule="exact"/>
        <w:rPr>
          <w:sz w:val="20"/>
          <w:szCs w:val="20"/>
          <w:color w:val="auto"/>
        </w:rPr>
      </w:pPr>
    </w:p>
    <w:p>
      <w:pPr>
        <w:ind w:left="5" w:right="120" w:firstLine="643"/>
        <w:spacing w:after="0" w:line="318" w:lineRule="auto"/>
        <w:tabs>
          <w:tab w:leader="none" w:pos="110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80" w:lineRule="exact"/>
        <w:rPr>
          <w:rFonts w:ascii="Arial" w:cs="Arial" w:eastAsia="Arial" w:hAnsi="Arial"/>
          <w:sz w:val="18"/>
          <w:szCs w:val="18"/>
          <w:color w:val="010000"/>
        </w:rPr>
      </w:pPr>
    </w:p>
    <w:p>
      <w:pPr>
        <w:ind w:left="5" w:right="120" w:firstLine="643"/>
        <w:spacing w:after="0" w:line="318" w:lineRule="auto"/>
        <w:tabs>
          <w:tab w:leader="none" w:pos="1208"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80" w:lineRule="exact"/>
        <w:rPr>
          <w:sz w:val="20"/>
          <w:szCs w:val="20"/>
          <w:color w:val="auto"/>
        </w:rPr>
      </w:pPr>
    </w:p>
    <w:p>
      <w:pPr>
        <w:ind w:left="5" w:right="120" w:firstLine="648"/>
        <w:spacing w:after="0" w:line="281" w:lineRule="auto"/>
        <w:rPr>
          <w:sz w:val="20"/>
          <w:szCs w:val="20"/>
          <w:color w:val="auto"/>
        </w:rPr>
      </w:pPr>
      <w:r>
        <w:rPr>
          <w:rFonts w:ascii="Arial" w:cs="Arial" w:eastAsia="Arial" w:hAnsi="Arial"/>
          <w:sz w:val="18"/>
          <w:szCs w:val="18"/>
          <w:color w:val="auto"/>
        </w:rPr>
        <w:t>This Agreement shall renew automatically and continue in effect for three (3) year periods measured from the initial Expiration Date, unless the Company provides Executive notice of non-renewal at least three</w:t>
      </w:r>
    </w:p>
    <w:p>
      <w:pPr>
        <w:spacing w:after="0" w:line="1" w:lineRule="exact"/>
        <w:rPr>
          <w:sz w:val="20"/>
          <w:szCs w:val="20"/>
          <w:color w:val="auto"/>
        </w:rPr>
      </w:pPr>
    </w:p>
    <w:p>
      <w:pPr>
        <w:jc w:val="both"/>
        <w:ind w:left="5" w:right="120" w:hanging="5"/>
        <w:spacing w:after="0" w:line="292" w:lineRule="auto"/>
        <w:tabs>
          <w:tab w:leader="none" w:pos="2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217" w:lineRule="exact"/>
        <w:rPr>
          <w:sz w:val="20"/>
          <w:szCs w:val="20"/>
          <w:color w:val="auto"/>
        </w:rPr>
      </w:pPr>
    </w:p>
    <w:p>
      <w:pPr>
        <w:ind w:left="5" w:right="1000" w:hanging="5"/>
        <w:spacing w:after="0" w:line="303" w:lineRule="auto"/>
        <w:tabs>
          <w:tab w:leader="none" w:pos="355"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If the Executive is subject to a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206" w:lineRule="exact"/>
        <w:rPr>
          <w:rFonts w:ascii="Arial" w:cs="Arial" w:eastAsia="Arial" w:hAnsi="Arial"/>
          <w:sz w:val="18"/>
          <w:szCs w:val="18"/>
          <w:color w:val="010000"/>
        </w:rPr>
      </w:pPr>
    </w:p>
    <w:p>
      <w:pPr>
        <w:jc w:val="both"/>
        <w:ind w:left="5" w:firstLine="642"/>
        <w:spacing w:after="0" w:line="288" w:lineRule="auto"/>
        <w:tabs>
          <w:tab w:leader="none" w:pos="1072" w:val="left"/>
        </w:tabs>
        <w:numPr>
          <w:ilvl w:val="1"/>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The Company shall pay the Executive twelve months of his/her monthly base salary (at the rate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07" w:lineRule="exact"/>
        <w:rPr>
          <w:rFonts w:ascii="Arial" w:cs="Arial" w:eastAsia="Arial" w:hAnsi="Arial"/>
          <w:sz w:val="18"/>
          <w:szCs w:val="18"/>
          <w:color w:val="010000"/>
        </w:rPr>
      </w:pPr>
    </w:p>
    <w:p>
      <w:pPr>
        <w:jc w:val="both"/>
        <w:ind w:left="5" w:firstLine="643"/>
        <w:spacing w:after="0" w:line="285" w:lineRule="auto"/>
        <w:tabs>
          <w:tab w:leader="none" w:pos="1194" w:val="left"/>
        </w:tabs>
        <w:numPr>
          <w:ilvl w:val="1"/>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Continued Employee Benefits. </w:t>
      </w:r>
      <w:r>
        <w:rPr>
          <w:rFonts w:ascii="Arial" w:cs="Arial" w:eastAsia="Arial" w:hAnsi="Arial"/>
          <w:sz w:val="18"/>
          <w:szCs w:val="18"/>
          <w:color w:val="auto"/>
        </w:rPr>
        <w:t>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w:t>
      </w:r>
    </w:p>
    <w:p>
      <w:pPr>
        <w:sectPr>
          <w:pgSz w:w="11900" w:h="16838" w:orient="portrait"/>
          <w:cols w:equalWidth="0" w:num="1">
            <w:col w:w="11125"/>
          </w:cols>
          <w:pgMar w:left="435" w:top="1412" w:right="339" w:bottom="1440" w:gutter="0" w:footer="0" w:header="0"/>
        </w:sectPr>
      </w:pPr>
    </w:p>
    <w:bookmarkStart w:id="103" w:name="page104"/>
    <w:bookmarkEnd w:id="103"/>
    <w:p>
      <w:pPr>
        <w:jc w:val="both"/>
        <w:ind w:left="5" w:right="100"/>
        <w:spacing w:after="0" w:line="279" w:lineRule="auto"/>
        <w:rPr>
          <w:sz w:val="20"/>
          <w:szCs w:val="20"/>
          <w:color w:val="auto"/>
        </w:rPr>
      </w:pPr>
      <w:r>
        <w:rPr>
          <w:rFonts w:ascii="Arial" w:cs="Arial" w:eastAsia="Arial" w:hAnsi="Arial"/>
          <w:sz w:val="18"/>
          <w:szCs w:val="18"/>
          <w:color w:val="auto"/>
        </w:rPr>
        <w:t xml:space="preserve">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any taxable payments under Section 2(b) will not be paid before the first business day occurring after the sixtieth (60</w:t>
      </w:r>
      <w:r>
        <w:rPr>
          <w:rFonts w:ascii="Arial" w:cs="Arial" w:eastAsia="Arial" w:hAnsi="Arial"/>
          <w:sz w:val="11"/>
          <w:szCs w:val="11"/>
          <w:color w:val="auto"/>
        </w:rPr>
        <w:t>th</w:t>
      </w:r>
      <w:r>
        <w:rPr>
          <w:rFonts w:ascii="Arial" w:cs="Arial" w:eastAsia="Arial" w:hAnsi="Arial"/>
          <w:sz w:val="18"/>
          <w:szCs w:val="18"/>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222" w:lineRule="exact"/>
        <w:rPr>
          <w:sz w:val="20"/>
          <w:szCs w:val="20"/>
          <w:color w:val="auto"/>
        </w:rPr>
      </w:pPr>
    </w:p>
    <w:p>
      <w:pPr>
        <w:jc w:val="both"/>
        <w:ind w:left="5" w:firstLine="643"/>
        <w:spacing w:after="0" w:line="282" w:lineRule="auto"/>
        <w:tabs>
          <w:tab w:leader="none" w:pos="1252" w:val="left"/>
        </w:tabs>
        <w:numPr>
          <w:ilvl w:val="1"/>
          <w:numId w:val="63"/>
        </w:numPr>
        <w:rPr>
          <w:rFonts w:ascii="Arial" w:cs="Arial" w:eastAsia="Arial" w:hAnsi="Arial"/>
          <w:sz w:val="18"/>
          <w:szCs w:val="18"/>
          <w:color w:val="010000"/>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Each of Executive's then outstanding Equity Awards, including awards that would otherwise vest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25%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2 shall apply to all future Company RSU award agreements, except to the extent the award agreement provides otherwise in a provision that expressly references this provision.</w:t>
      </w:r>
    </w:p>
    <w:p>
      <w:pPr>
        <w:spacing w:after="0" w:line="214" w:lineRule="exact"/>
        <w:rPr>
          <w:rFonts w:ascii="Arial" w:cs="Arial" w:eastAsia="Arial" w:hAnsi="Arial"/>
          <w:sz w:val="18"/>
          <w:szCs w:val="18"/>
          <w:color w:val="010000"/>
        </w:rPr>
      </w:pPr>
    </w:p>
    <w:p>
      <w:pPr>
        <w:ind w:left="5" w:right="280" w:hanging="5"/>
        <w:spacing w:after="0" w:line="318" w:lineRule="auto"/>
        <w:tabs>
          <w:tab w:leader="none" w:pos="355" w:val="left"/>
        </w:tabs>
        <w:numPr>
          <w:ilvl w:val="0"/>
          <w:numId w:val="64"/>
        </w:numPr>
        <w:rPr>
          <w:rFonts w:ascii="Arial" w:cs="Arial" w:eastAsia="Arial" w:hAnsi="Arial"/>
          <w:sz w:val="18"/>
          <w:szCs w:val="18"/>
          <w:color w:val="010000"/>
        </w:rPr>
      </w:pPr>
      <w:r>
        <w:rPr>
          <w:rFonts w:ascii="Arial" w:cs="Arial" w:eastAsia="Arial" w:hAnsi="Arial"/>
          <w:sz w:val="18"/>
          <w:szCs w:val="18"/>
          <w:b w:val="1"/>
          <w:bCs w:val="1"/>
          <w:color w:val="auto"/>
        </w:rPr>
        <w:t xml:space="preserve">CIC Qualifying Termination. </w:t>
      </w:r>
      <w:r>
        <w:rPr>
          <w:rFonts w:ascii="Arial" w:cs="Arial" w:eastAsia="Arial" w:hAnsi="Arial"/>
          <w:sz w:val="18"/>
          <w:szCs w:val="18"/>
          <w:color w:val="auto"/>
        </w:rPr>
        <w:t>If the Executive is subject to a CIC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180" w:lineRule="exact"/>
        <w:rPr>
          <w:rFonts w:ascii="Arial" w:cs="Arial" w:eastAsia="Arial" w:hAnsi="Arial"/>
          <w:sz w:val="18"/>
          <w:szCs w:val="18"/>
          <w:color w:val="010000"/>
        </w:rPr>
      </w:pPr>
    </w:p>
    <w:p>
      <w:pPr>
        <w:jc w:val="both"/>
        <w:ind w:left="5" w:right="100" w:firstLine="643"/>
        <w:spacing w:after="0" w:line="287" w:lineRule="auto"/>
        <w:tabs>
          <w:tab w:leader="none" w:pos="1086" w:val="left"/>
        </w:tabs>
        <w:numPr>
          <w:ilvl w:val="1"/>
          <w:numId w:val="64"/>
        </w:numPr>
        <w:rPr>
          <w:rFonts w:ascii="Arial" w:cs="Arial" w:eastAsia="Arial" w:hAnsi="Arial"/>
          <w:sz w:val="18"/>
          <w:szCs w:val="18"/>
          <w:color w:val="010000"/>
        </w:rPr>
      </w:pPr>
      <w:r>
        <w:rPr>
          <w:rFonts w:ascii="Arial" w:cs="Arial" w:eastAsia="Arial" w:hAnsi="Arial"/>
          <w:sz w:val="18"/>
          <w:szCs w:val="18"/>
          <w:b w:val="1"/>
          <w:bCs w:val="1"/>
          <w:color w:val="auto"/>
        </w:rPr>
        <w:t xml:space="preserve">Severance Payments. </w:t>
      </w:r>
      <w:r>
        <w:rPr>
          <w:rFonts w:ascii="Arial" w:cs="Arial" w:eastAsia="Arial" w:hAnsi="Arial"/>
          <w:sz w:val="18"/>
          <w:szCs w:val="18"/>
          <w:color w:val="auto"/>
        </w:rPr>
        <w:t>The Company or its successor shall pay the Executive eighteen (18) months of his/her monthly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and one and a half times 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06" w:lineRule="exact"/>
        <w:rPr>
          <w:rFonts w:ascii="Arial" w:cs="Arial" w:eastAsia="Arial" w:hAnsi="Arial"/>
          <w:sz w:val="18"/>
          <w:szCs w:val="18"/>
          <w:color w:val="010000"/>
        </w:rPr>
      </w:pPr>
    </w:p>
    <w:p>
      <w:pPr>
        <w:jc w:val="both"/>
        <w:ind w:left="5" w:right="100" w:firstLine="643"/>
        <w:spacing w:after="0" w:line="282" w:lineRule="auto"/>
        <w:tabs>
          <w:tab w:leader="none" w:pos="1235" w:val="left"/>
        </w:tabs>
        <w:numPr>
          <w:ilvl w:val="1"/>
          <w:numId w:val="64"/>
        </w:numPr>
        <w:rPr>
          <w:rFonts w:ascii="Arial" w:cs="Arial" w:eastAsia="Arial" w:hAnsi="Arial"/>
          <w:sz w:val="18"/>
          <w:szCs w:val="18"/>
          <w:color w:val="010000"/>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Each of Executive’s then outstanding Equity Awards, including awards that would otherwise vest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ectPr>
          <w:pgSz w:w="11900" w:h="16838" w:orient="portrait"/>
          <w:cols w:equalWidth="0" w:num="1">
            <w:col w:w="11125"/>
          </w:cols>
          <w:pgMar w:left="435" w:top="1430" w:right="339" w:bottom="1440" w:gutter="0" w:footer="0" w:header="0"/>
        </w:sectPr>
      </w:pPr>
    </w:p>
    <w:bookmarkStart w:id="104" w:name="page105"/>
    <w:bookmarkEnd w:id="104"/>
    <w:p>
      <w:pPr>
        <w:jc w:val="both"/>
        <w:ind w:left="5" w:right="40" w:firstLine="643"/>
        <w:spacing w:after="0" w:line="288" w:lineRule="auto"/>
        <w:tabs>
          <w:tab w:leader="none" w:pos="1117" w:val="left"/>
        </w:tabs>
        <w:numPr>
          <w:ilvl w:val="1"/>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COBRA; Pay in Lieu of Continued Employee Benefits. </w:t>
      </w:r>
      <w:r>
        <w:rPr>
          <w:rFonts w:ascii="Arial" w:cs="Arial" w:eastAsia="Arial" w:hAnsi="Arial"/>
          <w:sz w:val="18"/>
          <w:szCs w:val="18"/>
          <w:color w:val="auto"/>
        </w:rPr>
        <w:t>Continuation of COBRA or a cash benefit, in both cases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as 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w:t>
      </w:r>
    </w:p>
    <w:p>
      <w:pPr>
        <w:spacing w:after="0" w:line="221" w:lineRule="exact"/>
        <w:rPr>
          <w:rFonts w:ascii="Arial" w:cs="Arial" w:eastAsia="Arial" w:hAnsi="Arial"/>
          <w:sz w:val="18"/>
          <w:szCs w:val="18"/>
          <w:color w:val="010000"/>
        </w:rPr>
      </w:pPr>
    </w:p>
    <w:p>
      <w:pPr>
        <w:ind w:left="5" w:hanging="5"/>
        <w:spacing w:after="0" w:line="303" w:lineRule="auto"/>
        <w:tabs>
          <w:tab w:leader="none" w:pos="355" w:val="left"/>
        </w:tabs>
        <w:numPr>
          <w:ilvl w:val="0"/>
          <w:numId w:val="66"/>
        </w:numPr>
        <w:rPr>
          <w:rFonts w:ascii="Arial" w:cs="Arial" w:eastAsia="Arial" w:hAnsi="Arial"/>
          <w:sz w:val="18"/>
          <w:szCs w:val="18"/>
          <w:color w:val="010000"/>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Any other provision of this Agreement notwithstanding, the benefits under Section 2 and 3 shall not apply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 has executed a general release of all known and unknown</w:t>
      </w:r>
    </w:p>
    <w:p>
      <w:pPr>
        <w:spacing w:after="0" w:line="17" w:lineRule="exact"/>
        <w:rPr>
          <w:sz w:val="20"/>
          <w:szCs w:val="20"/>
          <w:color w:val="auto"/>
        </w:rPr>
      </w:pPr>
    </w:p>
    <w:p>
      <w:pPr>
        <w:jc w:val="both"/>
        <w:ind w:left="5" w:right="40"/>
        <w:spacing w:after="0" w:line="287" w:lineRule="auto"/>
        <w:rPr>
          <w:sz w:val="20"/>
          <w:szCs w:val="20"/>
          <w:color w:val="auto"/>
        </w:rPr>
      </w:pPr>
      <w:r>
        <w:rPr>
          <w:rFonts w:ascii="Arial" w:cs="Arial" w:eastAsia="Arial" w:hAnsi="Arial"/>
          <w:sz w:val="18"/>
          <w:szCs w:val="18"/>
          <w:color w:val="auto"/>
        </w:rPr>
        <w:t>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thirty (30) days after the Executive’s Separation. The Executive must execute and return the Release within the time period specified in the form.</w:t>
      </w:r>
    </w:p>
    <w:p>
      <w:pPr>
        <w:spacing w:after="0" w:line="220" w:lineRule="exact"/>
        <w:rPr>
          <w:sz w:val="20"/>
          <w:szCs w:val="20"/>
          <w:color w:val="auto"/>
        </w:rPr>
      </w:pPr>
    </w:p>
    <w:p>
      <w:pPr>
        <w:jc w:val="both"/>
        <w:ind w:left="5" w:right="40" w:hanging="5"/>
        <w:spacing w:after="0" w:line="282" w:lineRule="auto"/>
        <w:tabs>
          <w:tab w:leader="none" w:pos="409" w:val="left"/>
        </w:tabs>
        <w:numPr>
          <w:ilvl w:val="0"/>
          <w:numId w:val="67"/>
        </w:numPr>
        <w:rPr>
          <w:rFonts w:ascii="Arial" w:cs="Arial" w:eastAsia="Arial" w:hAnsi="Arial"/>
          <w:sz w:val="18"/>
          <w:szCs w:val="18"/>
          <w:color w:val="010000"/>
        </w:rPr>
      </w:pPr>
      <w:r>
        <w:rPr>
          <w:rFonts w:ascii="Arial" w:cs="Arial" w:eastAsia="Arial" w:hAnsi="Arial"/>
          <w:sz w:val="18"/>
          <w:szCs w:val="18"/>
          <w:b w:val="1"/>
          <w:bCs w:val="1"/>
          <w:color w:val="auto"/>
        </w:rPr>
        <w:t xml:space="preserve">Accrued Compensation and Benefits. </w:t>
      </w:r>
      <w:r>
        <w:rPr>
          <w:rFonts w:ascii="Arial" w:cs="Arial" w:eastAsia="Arial" w:hAnsi="Arial"/>
          <w:sz w:val="18"/>
          <w:szCs w:val="18"/>
          <w:color w:val="auto"/>
        </w:rPr>
        <w:t>Notwithstanding anything to the contrary in Section 2 and 3 above,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200" w:lineRule="exact"/>
        <w:rPr>
          <w:rFonts w:ascii="Arial" w:cs="Arial" w:eastAsia="Arial" w:hAnsi="Arial"/>
          <w:sz w:val="18"/>
          <w:szCs w:val="18"/>
          <w:color w:val="010000"/>
        </w:rPr>
      </w:pPr>
    </w:p>
    <w:p>
      <w:pPr>
        <w:ind w:left="345" w:hanging="345"/>
        <w:spacing w:after="0"/>
        <w:tabs>
          <w:tab w:leader="none" w:pos="345" w:val="left"/>
        </w:tabs>
        <w:numPr>
          <w:ilvl w:val="0"/>
          <w:numId w:val="67"/>
        </w:numPr>
        <w:rPr>
          <w:rFonts w:ascii="Arial" w:cs="Arial" w:eastAsia="Arial" w:hAnsi="Arial"/>
          <w:sz w:val="18"/>
          <w:szCs w:val="18"/>
          <w:color w:val="010000"/>
        </w:rPr>
      </w:pPr>
      <w:r>
        <w:rPr>
          <w:rFonts w:ascii="Arial" w:cs="Arial" w:eastAsia="Arial" w:hAnsi="Arial"/>
          <w:sz w:val="18"/>
          <w:szCs w:val="18"/>
          <w:b w:val="1"/>
          <w:bCs w:val="1"/>
          <w:color w:val="auto"/>
        </w:rPr>
        <w:t>Definitions.</w:t>
      </w:r>
    </w:p>
    <w:p>
      <w:pPr>
        <w:spacing w:after="0" w:line="306" w:lineRule="exact"/>
        <w:rPr>
          <w:rFonts w:ascii="Arial" w:cs="Arial" w:eastAsia="Arial" w:hAnsi="Arial"/>
          <w:sz w:val="18"/>
          <w:szCs w:val="18"/>
          <w:color w:val="010000"/>
        </w:rPr>
      </w:pPr>
    </w:p>
    <w:p>
      <w:pPr>
        <w:jc w:val="both"/>
        <w:ind w:left="5" w:right="40" w:firstLine="643"/>
        <w:spacing w:after="0" w:line="280" w:lineRule="auto"/>
        <w:tabs>
          <w:tab w:leader="none" w:pos="1073" w:val="left"/>
        </w:tabs>
        <w:numPr>
          <w:ilvl w:val="1"/>
          <w:numId w:val="6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w:t>
      </w:r>
    </w:p>
    <w:p>
      <w:pPr>
        <w:spacing w:after="0" w:line="207" w:lineRule="exact"/>
        <w:rPr>
          <w:rFonts w:ascii="Arial" w:cs="Arial" w:eastAsia="Arial" w:hAnsi="Arial"/>
          <w:sz w:val="18"/>
          <w:szCs w:val="18"/>
          <w:color w:val="010000"/>
        </w:rPr>
      </w:pPr>
    </w:p>
    <w:p>
      <w:pPr>
        <w:ind w:left="1065" w:hanging="417"/>
        <w:spacing w:after="0"/>
        <w:tabs>
          <w:tab w:leader="none" w:pos="1065" w:val="left"/>
        </w:tabs>
        <w:numPr>
          <w:ilvl w:val="1"/>
          <w:numId w:val="6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306" w:lineRule="exact"/>
        <w:rPr>
          <w:rFonts w:ascii="Arial" w:cs="Arial" w:eastAsia="Arial" w:hAnsi="Arial"/>
          <w:sz w:val="18"/>
          <w:szCs w:val="18"/>
          <w:color w:val="010000"/>
        </w:rPr>
      </w:pPr>
    </w:p>
    <w:p>
      <w:pPr>
        <w:jc w:val="both"/>
        <w:ind w:left="5" w:right="40" w:firstLine="643"/>
        <w:spacing w:after="0" w:line="300" w:lineRule="auto"/>
        <w:tabs>
          <w:tab w:leader="none" w:pos="1076" w:val="left"/>
        </w:tabs>
        <w:numPr>
          <w:ilvl w:val="1"/>
          <w:numId w:val="6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For all purposes under this Agreement, a Change in Control shall mean a “Corporate Transaction,” as such term is defined in the Plan,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transaction (including any series of transactions) also qualifies as a change in control event under U.S. Treasury Regulation 1.409A- 3(i)(5).</w:t>
      </w:r>
    </w:p>
    <w:p>
      <w:pPr>
        <w:sectPr>
          <w:pgSz w:w="11900" w:h="16838" w:orient="portrait"/>
          <w:cols w:equalWidth="0" w:num="1">
            <w:col w:w="11065"/>
          </w:cols>
          <w:pgMar w:left="435" w:top="1349" w:right="399" w:bottom="1440" w:gutter="0" w:footer="0" w:header="0"/>
        </w:sectPr>
      </w:pPr>
    </w:p>
    <w:bookmarkStart w:id="105" w:name="page106"/>
    <w:bookmarkEnd w:id="105"/>
    <w:p>
      <w:pPr>
        <w:jc w:val="both"/>
        <w:ind w:left="5" w:right="100" w:firstLine="643"/>
        <w:spacing w:after="0" w:line="288" w:lineRule="auto"/>
        <w:tabs>
          <w:tab w:leader="none" w:pos="1113"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pacing w:after="0" w:line="32" w:lineRule="exact"/>
        <w:rPr>
          <w:rFonts w:ascii="Arial" w:cs="Arial" w:eastAsia="Arial" w:hAnsi="Arial"/>
          <w:sz w:val="18"/>
          <w:szCs w:val="18"/>
          <w:color w:val="010000"/>
        </w:rPr>
      </w:pPr>
    </w:p>
    <w:p>
      <w:pPr>
        <w:jc w:val="both"/>
        <w:ind w:left="5" w:right="20" w:firstLine="643"/>
        <w:spacing w:after="0" w:line="300" w:lineRule="auto"/>
        <w:tabs>
          <w:tab w:leader="none" w:pos="1100"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195" w:lineRule="exact"/>
        <w:rPr>
          <w:rFonts w:ascii="Arial" w:cs="Arial" w:eastAsia="Arial" w:hAnsi="Arial"/>
          <w:sz w:val="18"/>
          <w:szCs w:val="18"/>
          <w:color w:val="010000"/>
        </w:rPr>
      </w:pPr>
    </w:p>
    <w:p>
      <w:pPr>
        <w:jc w:val="both"/>
        <w:ind w:left="5" w:right="100" w:firstLine="643"/>
        <w:spacing w:after="0" w:line="277" w:lineRule="auto"/>
        <w:tabs>
          <w:tab w:leader="none" w:pos="1117" w:val="left"/>
        </w:tabs>
        <w:numPr>
          <w:ilvl w:val="1"/>
          <w:numId w:val="68"/>
        </w:numPr>
        <w:rPr>
          <w:rFonts w:ascii="Arial" w:cs="Arial" w:eastAsia="Arial" w:hAnsi="Arial"/>
          <w:sz w:val="18"/>
          <w:szCs w:val="18"/>
          <w:color w:val="010000"/>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any of the following actions by the Company without Executive’s written consent: (i)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Executive’s duties or responsibilities that is 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w:t>
      </w:r>
    </w:p>
    <w:p>
      <w:pPr>
        <w:spacing w:after="0" w:line="2" w:lineRule="exact"/>
        <w:rPr>
          <w:rFonts w:ascii="Arial" w:cs="Arial" w:eastAsia="Arial" w:hAnsi="Arial"/>
          <w:sz w:val="18"/>
          <w:szCs w:val="18"/>
          <w:color w:val="010000"/>
        </w:rPr>
      </w:pPr>
    </w:p>
    <w:p>
      <w:pPr>
        <w:jc w:val="both"/>
        <w:ind w:left="5" w:right="100" w:hanging="5"/>
        <w:spacing w:after="0" w:line="279" w:lineRule="auto"/>
        <w:tabs>
          <w:tab w:leader="none" w:pos="3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material reduction in Executive’s annual base salary or a material reduction in Executive’s employee benefits (e.g., medical, dental, insurance, short- and long-term disability insurance and 40l(k) retirement plan benefits, collectively, the </w:t>
      </w:r>
      <w:r>
        <w:rPr>
          <w:rFonts w:ascii="Arial" w:cs="Arial" w:eastAsia="Arial" w:hAnsi="Arial"/>
          <w:sz w:val="18"/>
          <w:szCs w:val="18"/>
          <w:b w:val="1"/>
          <w:bCs w:val="1"/>
          <w:i w:val="1"/>
          <w:iCs w:val="1"/>
          <w:color w:val="auto"/>
        </w:rPr>
        <w:t>“Employee Benefits”</w:t>
      </w:r>
      <w:r>
        <w:rPr>
          <w:rFonts w:ascii="Arial" w:cs="Arial" w:eastAsia="Arial" w:hAnsi="Arial"/>
          <w:sz w:val="18"/>
          <w:szCs w:val="18"/>
          <w:color w:val="auto"/>
        </w:rPr>
        <w:t>)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222" w:lineRule="exact"/>
        <w:rPr>
          <w:rFonts w:ascii="Arial" w:cs="Arial" w:eastAsia="Arial" w:hAnsi="Arial"/>
          <w:sz w:val="18"/>
          <w:szCs w:val="18"/>
          <w:color w:val="auto"/>
        </w:rPr>
      </w:pPr>
    </w:p>
    <w:p>
      <w:pPr>
        <w:ind w:left="1065" w:hanging="417"/>
        <w:spacing w:after="0"/>
        <w:tabs>
          <w:tab w:leader="none" w:pos="1065"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Company’s 2021 Equity Incentive Plan, as may be amended from time to</w:t>
      </w:r>
    </w:p>
    <w:p>
      <w:pPr>
        <w:spacing w:after="0" w:line="40" w:lineRule="exact"/>
        <w:rPr>
          <w:sz w:val="20"/>
          <w:szCs w:val="20"/>
          <w:color w:val="auto"/>
        </w:rPr>
      </w:pPr>
    </w:p>
    <w:p>
      <w:pPr>
        <w:ind w:left="5"/>
        <w:spacing w:after="0"/>
        <w:rPr>
          <w:sz w:val="20"/>
          <w:szCs w:val="20"/>
          <w:color w:val="auto"/>
        </w:rPr>
      </w:pPr>
      <w:r>
        <w:rPr>
          <w:rFonts w:ascii="Arial" w:cs="Arial" w:eastAsia="Arial" w:hAnsi="Arial"/>
          <w:sz w:val="18"/>
          <w:szCs w:val="18"/>
          <w:color w:val="auto"/>
        </w:rPr>
        <w:t>time.</w:t>
      </w:r>
    </w:p>
    <w:p>
      <w:pPr>
        <w:spacing w:after="0" w:line="302" w:lineRule="exact"/>
        <w:rPr>
          <w:sz w:val="20"/>
          <w:szCs w:val="20"/>
          <w:color w:val="auto"/>
        </w:rPr>
      </w:pPr>
    </w:p>
    <w:p>
      <w:pPr>
        <w:jc w:val="both"/>
        <w:ind w:left="5" w:right="100" w:firstLine="643"/>
        <w:spacing w:after="0" w:line="292" w:lineRule="auto"/>
        <w:tabs>
          <w:tab w:leader="none" w:pos="1113"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216" w:lineRule="exact"/>
        <w:rPr>
          <w:rFonts w:ascii="Arial" w:cs="Arial" w:eastAsia="Arial" w:hAnsi="Arial"/>
          <w:sz w:val="18"/>
          <w:szCs w:val="18"/>
          <w:color w:val="010000"/>
        </w:rPr>
      </w:pPr>
    </w:p>
    <w:p>
      <w:pPr>
        <w:jc w:val="both"/>
        <w:ind w:left="5" w:firstLine="643"/>
        <w:spacing w:after="0" w:line="316" w:lineRule="auto"/>
        <w:tabs>
          <w:tab w:leader="none" w:pos="1013" w:val="left"/>
        </w:tabs>
        <w:numPr>
          <w:ilvl w:val="1"/>
          <w:numId w:val="7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color w:val="auto"/>
        </w:rPr>
        <w:t>Qualifying Termination</w:t>
      </w:r>
      <w:r>
        <w:rPr>
          <w:rFonts w:ascii="Arial" w:cs="Arial" w:eastAsia="Arial" w:hAnsi="Arial"/>
          <w:sz w:val="17"/>
          <w:szCs w:val="17"/>
          <w:color w:val="auto"/>
        </w:rPr>
        <w:t>” 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99" w:lineRule="exact"/>
        <w:rPr>
          <w:rFonts w:ascii="Arial" w:cs="Arial" w:eastAsia="Arial" w:hAnsi="Arial"/>
          <w:sz w:val="17"/>
          <w:szCs w:val="17"/>
          <w:color w:val="010000"/>
        </w:rPr>
      </w:pPr>
    </w:p>
    <w:p>
      <w:pPr>
        <w:ind w:left="1005" w:hanging="357"/>
        <w:spacing w:after="0"/>
        <w:tabs>
          <w:tab w:leader="none" w:pos="1005"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65" w:lineRule="exact"/>
        <w:rPr>
          <w:rFonts w:ascii="Arial" w:cs="Arial" w:eastAsia="Arial" w:hAnsi="Arial"/>
          <w:sz w:val="18"/>
          <w:szCs w:val="18"/>
          <w:color w:val="010000"/>
        </w:rPr>
      </w:pPr>
    </w:p>
    <w:p>
      <w:pPr>
        <w:ind w:left="345" w:hanging="345"/>
        <w:spacing w:after="0"/>
        <w:tabs>
          <w:tab w:leader="none" w:pos="345" w:val="left"/>
        </w:tabs>
        <w:numPr>
          <w:ilvl w:val="0"/>
          <w:numId w:val="71"/>
        </w:numPr>
        <w:rPr>
          <w:rFonts w:ascii="Arial" w:cs="Arial" w:eastAsia="Arial" w:hAnsi="Arial"/>
          <w:sz w:val="18"/>
          <w:szCs w:val="18"/>
          <w:color w:val="010000"/>
        </w:rPr>
      </w:pPr>
      <w:r>
        <w:rPr>
          <w:rFonts w:ascii="Arial" w:cs="Arial" w:eastAsia="Arial" w:hAnsi="Arial"/>
          <w:sz w:val="18"/>
          <w:szCs w:val="18"/>
          <w:b w:val="1"/>
          <w:bCs w:val="1"/>
          <w:color w:val="auto"/>
        </w:rPr>
        <w:t>Successors.</w:t>
      </w:r>
    </w:p>
    <w:p>
      <w:pPr>
        <w:spacing w:after="0" w:line="306" w:lineRule="exact"/>
        <w:rPr>
          <w:rFonts w:ascii="Arial" w:cs="Arial" w:eastAsia="Arial" w:hAnsi="Arial"/>
          <w:sz w:val="18"/>
          <w:szCs w:val="18"/>
          <w:color w:val="010000"/>
        </w:rPr>
      </w:pPr>
    </w:p>
    <w:p>
      <w:pPr>
        <w:ind w:left="5" w:right="120" w:firstLine="643"/>
        <w:spacing w:after="0" w:line="318" w:lineRule="auto"/>
        <w:tabs>
          <w:tab w:leader="none" w:pos="1127" w:val="left"/>
        </w:tabs>
        <w:numPr>
          <w:ilvl w:val="1"/>
          <w:numId w:val="71"/>
        </w:numPr>
        <w:rPr>
          <w:rFonts w:ascii="Arial" w:cs="Arial" w:eastAsia="Arial" w:hAnsi="Arial"/>
          <w:sz w:val="18"/>
          <w:szCs w:val="18"/>
          <w:color w:val="010000"/>
        </w:rPr>
      </w:pPr>
      <w:r>
        <w:rPr>
          <w:rFonts w:ascii="Arial" w:cs="Arial" w:eastAsia="Arial" w:hAnsi="Arial"/>
          <w:sz w:val="18"/>
          <w:szCs w:val="18"/>
          <w:b w:val="1"/>
          <w:bCs w:val="1"/>
          <w:color w:val="auto"/>
        </w:rPr>
        <w:t xml:space="preserve">Company’s Successors. </w:t>
      </w:r>
      <w:r>
        <w:rPr>
          <w:rFonts w:ascii="Arial" w:cs="Arial" w:eastAsia="Arial" w:hAnsi="Arial"/>
          <w:sz w:val="18"/>
          <w:szCs w:val="18"/>
          <w:color w:val="auto"/>
        </w:rPr>
        <w:t>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lease, merger, consolidation, liquidation or otherwise) to all or</w:t>
      </w:r>
    </w:p>
    <w:p>
      <w:pPr>
        <w:sectPr>
          <w:pgSz w:w="11900" w:h="16838" w:orient="portrait"/>
          <w:cols w:equalWidth="0" w:num="1">
            <w:col w:w="11125"/>
          </w:cols>
          <w:pgMar w:left="435" w:top="1349" w:right="339" w:bottom="1440" w:gutter="0" w:footer="0" w:header="0"/>
        </w:sectPr>
      </w:pPr>
    </w:p>
    <w:bookmarkStart w:id="106" w:name="page107"/>
    <w:bookmarkEnd w:id="106"/>
    <w:p>
      <w:pPr>
        <w:jc w:val="both"/>
        <w:ind w:left="5"/>
        <w:spacing w:after="0" w:line="318" w:lineRule="auto"/>
        <w:rPr>
          <w:sz w:val="20"/>
          <w:szCs w:val="20"/>
          <w:color w:val="auto"/>
        </w:rPr>
      </w:pPr>
      <w:r>
        <w:rPr>
          <w:rFonts w:ascii="Arial" w:cs="Arial" w:eastAsia="Arial" w:hAnsi="Arial"/>
          <w:sz w:val="18"/>
          <w:szCs w:val="18"/>
          <w:color w:val="auto"/>
        </w:rPr>
        <w:t>substantially all of the Company’s business and/or assets, by an agreement in substance and form satisfactory to the Executive, to assume this Agreement and to agree expressly to perform this Agreement</w:t>
      </w:r>
    </w:p>
    <w:p>
      <w:pPr>
        <w:spacing w:after="0" w:line="5" w:lineRule="exact"/>
        <w:rPr>
          <w:sz w:val="20"/>
          <w:szCs w:val="20"/>
          <w:color w:val="auto"/>
        </w:rPr>
      </w:pPr>
    </w:p>
    <w:p>
      <w:pPr>
        <w:jc w:val="both"/>
        <w:ind w:left="5"/>
        <w:spacing w:after="0" w:line="292" w:lineRule="auto"/>
        <w:rPr>
          <w:sz w:val="20"/>
          <w:szCs w:val="20"/>
          <w:color w:val="auto"/>
        </w:rPr>
      </w:pPr>
      <w:r>
        <w:rPr>
          <w:rFonts w:ascii="Arial" w:cs="Arial" w:eastAsia="Arial" w:hAnsi="Arial"/>
          <w:sz w:val="18"/>
          <w:szCs w:val="18"/>
          <w:color w:val="auto"/>
        </w:rPr>
        <w:t>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217" w:lineRule="exact"/>
        <w:rPr>
          <w:sz w:val="20"/>
          <w:szCs w:val="20"/>
          <w:color w:val="auto"/>
        </w:rPr>
      </w:pPr>
    </w:p>
    <w:p>
      <w:pPr>
        <w:jc w:val="both"/>
        <w:ind w:left="5" w:right="20" w:firstLine="643"/>
        <w:spacing w:after="0" w:line="292" w:lineRule="auto"/>
        <w:tabs>
          <w:tab w:leader="none" w:pos="1154" w:val="left"/>
        </w:tabs>
        <w:numPr>
          <w:ilvl w:val="1"/>
          <w:numId w:val="72"/>
        </w:numPr>
        <w:rPr>
          <w:rFonts w:ascii="Arial" w:cs="Arial" w:eastAsia="Arial" w:hAnsi="Arial"/>
          <w:sz w:val="18"/>
          <w:szCs w:val="18"/>
          <w:color w:val="010000"/>
        </w:rPr>
      </w:pPr>
      <w:r>
        <w:rPr>
          <w:rFonts w:ascii="Arial" w:cs="Arial" w:eastAsia="Arial" w:hAnsi="Arial"/>
          <w:sz w:val="18"/>
          <w:szCs w:val="18"/>
          <w:b w:val="1"/>
          <w:bCs w:val="1"/>
          <w:color w:val="auto"/>
        </w:rPr>
        <w:t xml:space="preserve">Executive’s Successors. </w:t>
      </w:r>
      <w:r>
        <w:rPr>
          <w:rFonts w:ascii="Arial" w:cs="Arial" w:eastAsia="Arial" w:hAnsi="Arial"/>
          <w:sz w:val="18"/>
          <w:szCs w:val="18"/>
          <w:color w:val="auto"/>
        </w:rPr>
        <w:t>This Agreement and all rights of the Executive hereunder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Executive’s personal or legal representatives, executors, administrators, successors, heirs, distributees, devisees and legatees.</w:t>
      </w:r>
    </w:p>
    <w:p>
      <w:pPr>
        <w:spacing w:after="0" w:line="203" w:lineRule="exact"/>
        <w:rPr>
          <w:rFonts w:ascii="Arial" w:cs="Arial" w:eastAsia="Arial" w:hAnsi="Arial"/>
          <w:sz w:val="18"/>
          <w:szCs w:val="18"/>
          <w:color w:val="010000"/>
        </w:rPr>
      </w:pPr>
    </w:p>
    <w:p>
      <w:pPr>
        <w:ind w:left="345" w:hanging="345"/>
        <w:spacing w:after="0"/>
        <w:tabs>
          <w:tab w:leader="none" w:pos="345" w:val="left"/>
        </w:tabs>
        <w:numPr>
          <w:ilvl w:val="0"/>
          <w:numId w:val="73"/>
        </w:numPr>
        <w:rPr>
          <w:rFonts w:ascii="Arial" w:cs="Arial" w:eastAsia="Arial" w:hAnsi="Arial"/>
          <w:sz w:val="18"/>
          <w:szCs w:val="18"/>
          <w:color w:val="010000"/>
        </w:rPr>
      </w:pPr>
      <w:r>
        <w:rPr>
          <w:rFonts w:ascii="Arial" w:cs="Arial" w:eastAsia="Arial" w:hAnsi="Arial"/>
          <w:sz w:val="18"/>
          <w:szCs w:val="18"/>
          <w:b w:val="1"/>
          <w:bCs w:val="1"/>
          <w:color w:val="auto"/>
        </w:rPr>
        <w:t>Golden Parachute Taxes.</w:t>
      </w:r>
    </w:p>
    <w:p>
      <w:pPr>
        <w:spacing w:after="0" w:line="306" w:lineRule="exact"/>
        <w:rPr>
          <w:rFonts w:ascii="Arial" w:cs="Arial" w:eastAsia="Arial" w:hAnsi="Arial"/>
          <w:sz w:val="18"/>
          <w:szCs w:val="18"/>
          <w:color w:val="010000"/>
        </w:rPr>
      </w:pPr>
    </w:p>
    <w:p>
      <w:pPr>
        <w:jc w:val="both"/>
        <w:ind w:left="5" w:firstLine="643"/>
        <w:spacing w:after="0" w:line="278" w:lineRule="auto"/>
        <w:tabs>
          <w:tab w:leader="none" w:pos="1127" w:val="left"/>
        </w:tabs>
        <w:numPr>
          <w:ilvl w:val="1"/>
          <w:numId w:val="73"/>
        </w:numPr>
        <w:rPr>
          <w:rFonts w:ascii="Arial" w:cs="Arial" w:eastAsia="Arial" w:hAnsi="Arial"/>
          <w:sz w:val="18"/>
          <w:szCs w:val="18"/>
          <w:color w:val="010000"/>
        </w:rPr>
      </w:pPr>
      <w:r>
        <w:rPr>
          <w:rFonts w:ascii="Arial" w:cs="Arial" w:eastAsia="Arial" w:hAnsi="Arial"/>
          <w:sz w:val="18"/>
          <w:szCs w:val="18"/>
          <w:b w:val="1"/>
          <w:bCs w:val="1"/>
          <w:color w:val="auto"/>
        </w:rPr>
        <w:t xml:space="preserve">Best After-Tax Result. </w:t>
      </w:r>
      <w:r>
        <w:rPr>
          <w:rFonts w:ascii="Arial" w:cs="Arial" w:eastAsia="Arial" w:hAnsi="Arial"/>
          <w:sz w:val="18"/>
          <w:szCs w:val="18"/>
          <w:color w:val="auto"/>
        </w:rPr>
        <w:t>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Tax Counsel</w:t>
      </w:r>
      <w:r>
        <w:rPr>
          <w:rFonts w:ascii="Arial" w:cs="Arial" w:eastAsia="Arial" w:hAnsi="Arial"/>
          <w:sz w:val="18"/>
          <w:szCs w:val="18"/>
          <w:color w:val="auto"/>
        </w:rPr>
        <w:t>”), whose determination shall be conclusive and binding upon Executive and the Company for all purposes.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8(b) hereof shall apply, and the enforcement of Section 8(b) shall be the exclusive remedy to the Company.</w:t>
      </w:r>
    </w:p>
    <w:p>
      <w:pPr>
        <w:spacing w:after="0" w:line="232" w:lineRule="exact"/>
        <w:rPr>
          <w:rFonts w:ascii="Arial" w:cs="Arial" w:eastAsia="Arial" w:hAnsi="Arial"/>
          <w:sz w:val="18"/>
          <w:szCs w:val="18"/>
          <w:color w:val="010000"/>
        </w:rPr>
      </w:pPr>
    </w:p>
    <w:p>
      <w:pPr>
        <w:jc w:val="both"/>
        <w:ind w:left="5" w:firstLine="643"/>
        <w:spacing w:after="0" w:line="291" w:lineRule="auto"/>
        <w:tabs>
          <w:tab w:leader="none" w:pos="1113" w:val="left"/>
        </w:tabs>
        <w:numPr>
          <w:ilvl w:val="1"/>
          <w:numId w:val="73"/>
        </w:numPr>
        <w:rPr>
          <w:rFonts w:ascii="Arial" w:cs="Arial" w:eastAsia="Arial" w:hAnsi="Arial"/>
          <w:sz w:val="18"/>
          <w:szCs w:val="18"/>
          <w:color w:val="010000"/>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If, notwithstanding any reduction described in Section 8(a) hereof (or in the absence of any such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w:t>
      </w:r>
    </w:p>
    <w:p>
      <w:pPr>
        <w:sectPr>
          <w:pgSz w:w="11900" w:h="16838" w:orient="portrait"/>
          <w:cols w:equalWidth="0" w:num="1">
            <w:col w:w="11025"/>
          </w:cols>
          <w:pgMar w:left="435" w:top="1349" w:right="439" w:bottom="1440" w:gutter="0" w:footer="0" w:header="0"/>
        </w:sectPr>
      </w:pPr>
    </w:p>
    <w:bookmarkStart w:id="107" w:name="page108"/>
    <w:bookmarkEnd w:id="107"/>
    <w:p>
      <w:pPr>
        <w:jc w:val="both"/>
        <w:ind w:left="4" w:right="80"/>
        <w:spacing w:after="0" w:line="282" w:lineRule="auto"/>
        <w:rPr>
          <w:sz w:val="20"/>
          <w:szCs w:val="20"/>
          <w:color w:val="auto"/>
        </w:rPr>
      </w:pPr>
      <w:r>
        <w:rPr>
          <w:rFonts w:ascii="Arial" w:cs="Arial" w:eastAsia="Arial" w:hAnsi="Arial"/>
          <w:sz w:val="18"/>
          <w:szCs w:val="18"/>
          <w:color w:val="auto"/>
        </w:rPr>
        <w:t>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201" w:lineRule="exact"/>
        <w:rPr>
          <w:sz w:val="20"/>
          <w:szCs w:val="20"/>
          <w:color w:val="auto"/>
        </w:rPr>
      </w:pPr>
    </w:p>
    <w:p>
      <w:pPr>
        <w:ind w:left="344" w:hanging="344"/>
        <w:spacing w:after="0"/>
        <w:tabs>
          <w:tab w:leader="none" w:pos="344" w:val="left"/>
        </w:tabs>
        <w:numPr>
          <w:ilvl w:val="0"/>
          <w:numId w:val="74"/>
        </w:numPr>
        <w:rPr>
          <w:rFonts w:ascii="Arial" w:cs="Arial" w:eastAsia="Arial" w:hAnsi="Arial"/>
          <w:sz w:val="18"/>
          <w:szCs w:val="18"/>
          <w:color w:val="010000"/>
        </w:rPr>
      </w:pPr>
      <w:r>
        <w:rPr>
          <w:rFonts w:ascii="Arial" w:cs="Arial" w:eastAsia="Arial" w:hAnsi="Arial"/>
          <w:sz w:val="18"/>
          <w:szCs w:val="18"/>
          <w:b w:val="1"/>
          <w:bCs w:val="1"/>
          <w:color w:val="auto"/>
        </w:rPr>
        <w:t>Miscellaneous Provisions.</w:t>
      </w:r>
    </w:p>
    <w:p>
      <w:pPr>
        <w:spacing w:after="0" w:line="306" w:lineRule="exact"/>
        <w:rPr>
          <w:rFonts w:ascii="Arial" w:cs="Arial" w:eastAsia="Arial" w:hAnsi="Arial"/>
          <w:sz w:val="18"/>
          <w:szCs w:val="18"/>
          <w:color w:val="010000"/>
        </w:rPr>
      </w:pPr>
    </w:p>
    <w:p>
      <w:pPr>
        <w:jc w:val="both"/>
        <w:ind w:left="4" w:firstLine="643"/>
        <w:spacing w:after="0" w:line="281" w:lineRule="auto"/>
        <w:tabs>
          <w:tab w:leader="none" w:pos="1098" w:val="left"/>
        </w:tabs>
        <w:numPr>
          <w:ilvl w:val="1"/>
          <w:numId w:val="74"/>
        </w:numPr>
        <w:rPr>
          <w:rFonts w:ascii="Arial" w:cs="Arial" w:eastAsia="Arial" w:hAnsi="Arial"/>
          <w:sz w:val="18"/>
          <w:szCs w:val="18"/>
          <w:color w:val="010000"/>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To the extent (i) any payments to which Executive becomes entitled under this Agreement, or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plan referenced herein, in connection with Executive’s termination of employment with the Company constitute deferred compensation subject to Section 409A of the Code and</w:t>
      </w:r>
    </w:p>
    <w:p>
      <w:pPr>
        <w:spacing w:after="0" w:line="1" w:lineRule="exact"/>
        <w:rPr>
          <w:rFonts w:ascii="Arial" w:cs="Arial" w:eastAsia="Arial" w:hAnsi="Arial"/>
          <w:sz w:val="18"/>
          <w:szCs w:val="18"/>
          <w:color w:val="010000"/>
        </w:rPr>
      </w:pPr>
    </w:p>
    <w:p>
      <w:pPr>
        <w:jc w:val="both"/>
        <w:ind w:left="4" w:right="80"/>
        <w:spacing w:after="0" w:line="278" w:lineRule="auto"/>
        <w:rPr>
          <w:rFonts w:ascii="Arial" w:cs="Arial" w:eastAsia="Arial" w:hAnsi="Arial"/>
          <w:sz w:val="18"/>
          <w:szCs w:val="18"/>
          <w:color w:val="010000"/>
        </w:rPr>
      </w:pPr>
      <w:r>
        <w:rPr>
          <w:rFonts w:ascii="Arial" w:cs="Arial" w:eastAsia="Arial" w:hAnsi="Arial"/>
          <w:sz w:val="18"/>
          <w:szCs w:val="18"/>
          <w:color w:val="auto"/>
        </w:rPr>
        <w:t xml:space="preserve">(ii)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240" w:lineRule="exact"/>
        <w:rPr>
          <w:rFonts w:ascii="Arial" w:cs="Arial" w:eastAsia="Arial" w:hAnsi="Arial"/>
          <w:sz w:val="18"/>
          <w:szCs w:val="18"/>
          <w:color w:val="010000"/>
        </w:rPr>
      </w:pPr>
    </w:p>
    <w:p>
      <w:pPr>
        <w:jc w:val="both"/>
        <w:ind w:left="4" w:right="80" w:firstLine="643"/>
        <w:spacing w:after="0" w:line="280" w:lineRule="auto"/>
        <w:tabs>
          <w:tab w:leader="none" w:pos="1179" w:val="left"/>
        </w:tabs>
        <w:numPr>
          <w:ilvl w:val="1"/>
          <w:numId w:val="74"/>
        </w:numPr>
        <w:rPr>
          <w:rFonts w:ascii="Arial" w:cs="Arial" w:eastAsia="Arial" w:hAnsi="Arial"/>
          <w:sz w:val="18"/>
          <w:szCs w:val="18"/>
          <w:color w:val="010000"/>
        </w:rPr>
      </w:pPr>
      <w:r>
        <w:rPr>
          <w:rFonts w:ascii="Arial" w:cs="Arial" w:eastAsia="Arial" w:hAnsi="Arial"/>
          <w:sz w:val="18"/>
          <w:szCs w:val="18"/>
          <w:b w:val="1"/>
          <w:bCs w:val="1"/>
          <w:color w:val="auto"/>
        </w:rPr>
        <w:t xml:space="preserve">Other Arrangements. </w:t>
      </w:r>
      <w:r>
        <w:rPr>
          <w:rFonts w:ascii="Arial" w:cs="Arial" w:eastAsia="Arial" w:hAnsi="Arial"/>
          <w:sz w:val="18"/>
          <w:szCs w:val="18"/>
          <w:color w:val="auto"/>
        </w:rPr>
        <w:t>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agreement governing Equity 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ectPr>
          <w:pgSz w:w="11900" w:h="16838" w:orient="portrait"/>
          <w:cols w:equalWidth="0" w:num="1">
            <w:col w:w="11104"/>
          </w:cols>
          <w:pgMar w:left="436" w:top="1430" w:right="359" w:bottom="1440" w:gutter="0" w:footer="0" w:header="0"/>
        </w:sectPr>
      </w:pPr>
    </w:p>
    <w:bookmarkStart w:id="108" w:name="page109"/>
    <w:bookmarkEnd w:id="108"/>
    <w:p>
      <w:pPr>
        <w:jc w:val="both"/>
        <w:ind w:firstLine="643"/>
        <w:spacing w:after="0" w:line="285" w:lineRule="auto"/>
        <w:tabs>
          <w:tab w:leader="none" w:pos="1058"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209" w:lineRule="exact"/>
        <w:rPr>
          <w:rFonts w:ascii="Arial" w:cs="Arial" w:eastAsia="Arial" w:hAnsi="Arial"/>
          <w:sz w:val="18"/>
          <w:szCs w:val="18"/>
          <w:color w:val="010000"/>
        </w:rPr>
      </w:pPr>
    </w:p>
    <w:p>
      <w:pPr>
        <w:jc w:val="both"/>
        <w:ind w:right="100" w:firstLine="643"/>
        <w:spacing w:after="0" w:line="282" w:lineRule="auto"/>
        <w:tabs>
          <w:tab w:leader="none" w:pos="1122"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228" w:lineRule="exact"/>
        <w:rPr>
          <w:rFonts w:ascii="Arial" w:cs="Arial" w:eastAsia="Arial" w:hAnsi="Arial"/>
          <w:sz w:val="18"/>
          <w:szCs w:val="18"/>
          <w:color w:val="010000"/>
        </w:rPr>
      </w:pPr>
    </w:p>
    <w:p>
      <w:pPr>
        <w:jc w:val="both"/>
        <w:ind w:firstLine="643"/>
        <w:spacing w:after="0" w:line="288" w:lineRule="auto"/>
        <w:tabs>
          <w:tab w:leader="none" w:pos="1068"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7" w:lineRule="exact"/>
        <w:rPr>
          <w:rFonts w:ascii="Arial" w:cs="Arial" w:eastAsia="Arial" w:hAnsi="Arial"/>
          <w:sz w:val="18"/>
          <w:szCs w:val="18"/>
          <w:color w:val="010000"/>
        </w:rPr>
      </w:pPr>
    </w:p>
    <w:p>
      <w:pPr>
        <w:ind w:right="120" w:firstLine="643"/>
        <w:spacing w:after="0" w:line="318" w:lineRule="auto"/>
        <w:tabs>
          <w:tab w:leader="none" w:pos="1044"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180" w:lineRule="exact"/>
        <w:rPr>
          <w:rFonts w:ascii="Arial" w:cs="Arial" w:eastAsia="Arial" w:hAnsi="Arial"/>
          <w:sz w:val="18"/>
          <w:szCs w:val="18"/>
          <w:color w:val="010000"/>
        </w:rPr>
      </w:pPr>
    </w:p>
    <w:p>
      <w:pPr>
        <w:ind w:right="120" w:firstLine="643"/>
        <w:spacing w:after="0" w:line="318" w:lineRule="auto"/>
        <w:tabs>
          <w:tab w:leader="none" w:pos="1080"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193" w:lineRule="exact"/>
        <w:rPr>
          <w:rFonts w:ascii="Arial" w:cs="Arial" w:eastAsia="Arial" w:hAnsi="Arial"/>
          <w:sz w:val="18"/>
          <w:szCs w:val="18"/>
          <w:color w:val="010000"/>
        </w:rPr>
      </w:pPr>
    </w:p>
    <w:p>
      <w:pPr>
        <w:jc w:val="both"/>
        <w:ind w:firstLine="643"/>
        <w:spacing w:after="0" w:line="288" w:lineRule="auto"/>
        <w:tabs>
          <w:tab w:leader="none" w:pos="1149"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No Retention Rights. </w:t>
      </w:r>
      <w:r>
        <w:rPr>
          <w:rFonts w:ascii="Arial" w:cs="Arial" w:eastAsia="Arial" w:hAnsi="Arial"/>
          <w:sz w:val="18"/>
          <w:szCs w:val="18"/>
          <w:color w:val="auto"/>
        </w:rPr>
        <w:t>Nothing in this Agreement shall confer upon the Executive any right to continue in service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207" w:lineRule="exact"/>
        <w:rPr>
          <w:rFonts w:ascii="Arial" w:cs="Arial" w:eastAsia="Arial" w:hAnsi="Arial"/>
          <w:sz w:val="18"/>
          <w:szCs w:val="18"/>
          <w:color w:val="010000"/>
        </w:rPr>
      </w:pPr>
    </w:p>
    <w:p>
      <w:pPr>
        <w:ind w:firstLine="643"/>
        <w:spacing w:after="0" w:line="318" w:lineRule="auto"/>
        <w:tabs>
          <w:tab w:leader="none" w:pos="1035"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validity, interpretation, construction and performance of this Agreement shall be governed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Washington (other than its choice-of-law provisions).</w:t>
      </w:r>
    </w:p>
    <w:p>
      <w:pPr>
        <w:spacing w:after="0" w:line="180" w:lineRule="exact"/>
        <w:rPr>
          <w:sz w:val="20"/>
          <w:szCs w:val="20"/>
          <w:color w:val="auto"/>
        </w:rPr>
      </w:pPr>
    </w:p>
    <w:p>
      <w:pPr>
        <w:ind w:right="480" w:firstLine="648"/>
        <w:spacing w:after="0" w:line="303"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943610</wp:posOffset>
            </wp:positionV>
            <wp:extent cx="41916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ectPr>
          <w:pgSz w:w="11900" w:h="16838" w:orient="portrait"/>
          <w:cols w:equalWidth="0" w:num="1">
            <w:col w:w="11120"/>
          </w:cols>
          <w:pgMar w:left="440" w:top="1349" w:right="339" w:bottom="1440" w:gutter="0" w:footer="0" w:header="0"/>
        </w:sectPr>
      </w:pPr>
    </w:p>
    <w:bookmarkStart w:id="109" w:name="page110"/>
    <w:bookmarkEnd w:id="109"/>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for Non-CEO Executive Officers</w:t>
      </w:r>
    </w:p>
    <w:p>
      <w:pPr>
        <w:spacing w:after="0" w:line="200" w:lineRule="exact"/>
        <w:rPr>
          <w:sz w:val="20"/>
          <w:szCs w:val="20"/>
          <w:color w:val="auto"/>
        </w:rPr>
      </w:pPr>
    </w:p>
    <w:p>
      <w:pPr>
        <w:spacing w:after="0" w:line="322" w:lineRule="exact"/>
        <w:rPr>
          <w:sz w:val="20"/>
          <w:szCs w:val="20"/>
          <w:color w:val="auto"/>
        </w:rPr>
      </w:pPr>
    </w:p>
    <w:tbl>
      <w:tblPr>
        <w:tblLayout w:type="fixed"/>
        <w:tblInd w:w="5" w:type="dxa"/>
        <w:tblCellMar>
          <w:top w:w="0" w:type="dxa"/>
          <w:left w:w="0" w:type="dxa"/>
          <w:bottom w:w="0" w:type="dxa"/>
          <w:right w:w="0" w:type="dxa"/>
        </w:tblCellMar>
      </w:tblPr>
      <w:tr>
        <w:trPr>
          <w:trHeight w:val="247"/>
        </w:trPr>
        <w:tc>
          <w:tcPr>
            <w:tcW w:w="8920" w:type="dxa"/>
            <w:vAlign w:val="bottom"/>
            <w:gridSpan w:val="3"/>
          </w:tcPr>
          <w:p>
            <w:pPr>
              <w:ind w:left="3560"/>
              <w:spacing w:after="0"/>
              <w:rPr>
                <w:sz w:val="20"/>
                <w:szCs w:val="20"/>
                <w:color w:val="auto"/>
              </w:rPr>
            </w:pPr>
            <w:r>
              <w:rPr>
                <w:rFonts w:ascii="Arial" w:cs="Arial" w:eastAsia="Arial" w:hAnsi="Arial"/>
                <w:sz w:val="18"/>
                <w:szCs w:val="18"/>
                <w:b w:val="1"/>
                <w:bCs w:val="1"/>
                <w:color w:val="auto"/>
              </w:rPr>
              <w:t>Change in Control and Severance Agreement</w:t>
            </w: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717"/>
        </w:trPr>
        <w:tc>
          <w:tcPr>
            <w:tcW w:w="8920" w:type="dxa"/>
            <w:vAlign w:val="bottom"/>
            <w:gridSpan w:val="3"/>
          </w:tcPr>
          <w:p>
            <w:pPr>
              <w:ind w:left="640"/>
              <w:spacing w:after="0"/>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w:t>
            </w:r>
          </w:p>
        </w:tc>
        <w:tc>
          <w:tcPr>
            <w:tcW w:w="260" w:type="dxa"/>
            <w:vAlign w:val="bottom"/>
            <w:tcBorders>
              <w:bottom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 and</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Remitly Global,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effective as of</w:t>
            </w:r>
          </w:p>
        </w:tc>
        <w:tc>
          <w:tcPr>
            <w:tcW w:w="400" w:type="dxa"/>
            <w:vAlign w:val="bottom"/>
            <w:tcBorders>
              <w:bottom w:val="single" w:sz="8" w:color="auto"/>
            </w:tcBorders>
          </w:tcPr>
          <w:p>
            <w:pPr>
              <w:spacing w:after="0"/>
              <w:rPr>
                <w:sz w:val="19"/>
                <w:szCs w:val="19"/>
                <w:color w:val="auto"/>
              </w:rPr>
            </w:pPr>
          </w:p>
        </w:tc>
        <w:tc>
          <w:tcPr>
            <w:tcW w:w="2340" w:type="dxa"/>
            <w:vAlign w:val="bottom"/>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65" w:lineRule="exact"/>
        <w:rPr>
          <w:sz w:val="20"/>
          <w:szCs w:val="20"/>
          <w:color w:val="auto"/>
        </w:rPr>
      </w:pPr>
    </w:p>
    <w:p>
      <w:pPr>
        <w:ind w:left="5"/>
        <w:spacing w:after="0"/>
        <w:tabs>
          <w:tab w:leader="none" w:pos="325" w:val="left"/>
        </w:tabs>
        <w:rPr>
          <w:sz w:val="20"/>
          <w:szCs w:val="20"/>
          <w:color w:val="auto"/>
        </w:rPr>
      </w:pPr>
      <w:r>
        <w:rPr>
          <w:rFonts w:ascii="Arial" w:cs="Arial" w:eastAsia="Arial" w:hAnsi="Arial"/>
          <w:sz w:val="18"/>
          <w:szCs w:val="18"/>
          <w:color w:val="010000"/>
        </w:rPr>
        <w:t>1.</w:t>
      </w:r>
      <w:r>
        <w:rPr>
          <w:sz w:val="20"/>
          <w:szCs w:val="20"/>
          <w:color w:val="auto"/>
        </w:rPr>
        <w:tab/>
      </w:r>
      <w:r>
        <w:rPr>
          <w:rFonts w:ascii="Arial" w:cs="Arial" w:eastAsia="Arial" w:hAnsi="Arial"/>
          <w:sz w:val="18"/>
          <w:szCs w:val="18"/>
          <w:b w:val="1"/>
          <w:bCs w:val="1"/>
          <w:color w:val="auto"/>
        </w:rPr>
        <w:t>Term of Agreement.</w:t>
      </w:r>
    </w:p>
    <w:p>
      <w:pPr>
        <w:spacing w:after="0" w:line="306" w:lineRule="exact"/>
        <w:rPr>
          <w:sz w:val="20"/>
          <w:szCs w:val="20"/>
          <w:color w:val="auto"/>
        </w:rPr>
      </w:pPr>
    </w:p>
    <w:p>
      <w:pPr>
        <w:jc w:val="both"/>
        <w:ind w:left="5" w:right="100" w:firstLine="648"/>
        <w:spacing w:after="0" w:line="288" w:lineRule="auto"/>
        <w:rPr>
          <w:sz w:val="20"/>
          <w:szCs w:val="20"/>
          <w:color w:val="auto"/>
        </w:rPr>
      </w:pPr>
      <w:r>
        <w:rPr>
          <w:rFonts w:ascii="Arial" w:cs="Arial" w:eastAsia="Arial" w:hAnsi="Arial"/>
          <w:sz w:val="18"/>
          <w:szCs w:val="18"/>
          <w:color w:val="auto"/>
        </w:rPr>
        <w:t>This Agreement shall terminate the earlier of the second (2)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this Agreement shall remain in effect through the earlier of:</w:t>
      </w:r>
    </w:p>
    <w:p>
      <w:pPr>
        <w:spacing w:after="0" w:line="208" w:lineRule="exact"/>
        <w:rPr>
          <w:sz w:val="20"/>
          <w:szCs w:val="20"/>
          <w:color w:val="auto"/>
        </w:rPr>
      </w:pPr>
    </w:p>
    <w:p>
      <w:pPr>
        <w:ind w:left="5" w:right="120" w:firstLine="643"/>
        <w:spacing w:after="0" w:line="318" w:lineRule="auto"/>
        <w:tabs>
          <w:tab w:leader="none" w:pos="110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80" w:lineRule="exact"/>
        <w:rPr>
          <w:rFonts w:ascii="Arial" w:cs="Arial" w:eastAsia="Arial" w:hAnsi="Arial"/>
          <w:sz w:val="18"/>
          <w:szCs w:val="18"/>
          <w:color w:val="010000"/>
        </w:rPr>
      </w:pPr>
    </w:p>
    <w:p>
      <w:pPr>
        <w:ind w:left="5" w:right="120" w:firstLine="643"/>
        <w:spacing w:after="0" w:line="318" w:lineRule="auto"/>
        <w:tabs>
          <w:tab w:leader="none" w:pos="1208"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94" w:lineRule="exact"/>
        <w:rPr>
          <w:sz w:val="20"/>
          <w:szCs w:val="20"/>
          <w:color w:val="auto"/>
        </w:rPr>
      </w:pPr>
    </w:p>
    <w:p>
      <w:pPr>
        <w:ind w:left="5" w:right="120" w:firstLine="648"/>
        <w:spacing w:after="0" w:line="273" w:lineRule="auto"/>
        <w:rPr>
          <w:sz w:val="20"/>
          <w:szCs w:val="20"/>
          <w:color w:val="auto"/>
        </w:rPr>
      </w:pPr>
      <w:r>
        <w:rPr>
          <w:rFonts w:ascii="Arial" w:cs="Arial" w:eastAsia="Arial" w:hAnsi="Arial"/>
          <w:sz w:val="18"/>
          <w:szCs w:val="18"/>
          <w:color w:val="auto"/>
        </w:rPr>
        <w:t>This Agreement shall renew automatically and continue in effect for two (2) year periods measured from the initial Expiration Date, unless the Company provides Executive notice of non-renewal at least three</w:t>
      </w:r>
    </w:p>
    <w:p>
      <w:pPr>
        <w:spacing w:after="0" w:line="2" w:lineRule="exact"/>
        <w:rPr>
          <w:sz w:val="20"/>
          <w:szCs w:val="20"/>
          <w:color w:val="auto"/>
        </w:rPr>
      </w:pPr>
    </w:p>
    <w:p>
      <w:pPr>
        <w:jc w:val="both"/>
        <w:ind w:left="5" w:right="120" w:hanging="5"/>
        <w:spacing w:after="0" w:line="292" w:lineRule="auto"/>
        <w:tabs>
          <w:tab w:leader="none" w:pos="279"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217" w:lineRule="exact"/>
        <w:rPr>
          <w:sz w:val="20"/>
          <w:szCs w:val="20"/>
          <w:color w:val="auto"/>
        </w:rPr>
      </w:pPr>
    </w:p>
    <w:p>
      <w:pPr>
        <w:ind w:left="5" w:right="1000" w:hanging="5"/>
        <w:spacing w:after="0" w:line="318" w:lineRule="auto"/>
        <w:tabs>
          <w:tab w:leader="none" w:pos="355" w:val="left"/>
        </w:tabs>
        <w:numPr>
          <w:ilvl w:val="0"/>
          <w:numId w:val="78"/>
        </w:numPr>
        <w:rPr>
          <w:rFonts w:ascii="Arial" w:cs="Arial" w:eastAsia="Arial" w:hAnsi="Arial"/>
          <w:sz w:val="18"/>
          <w:szCs w:val="18"/>
          <w:color w:val="010000"/>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If the Executive is subject to a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180" w:lineRule="exact"/>
        <w:rPr>
          <w:rFonts w:ascii="Arial" w:cs="Arial" w:eastAsia="Arial" w:hAnsi="Arial"/>
          <w:sz w:val="18"/>
          <w:szCs w:val="18"/>
          <w:color w:val="010000"/>
        </w:rPr>
      </w:pPr>
    </w:p>
    <w:p>
      <w:pPr>
        <w:jc w:val="both"/>
        <w:ind w:left="5" w:firstLine="642"/>
        <w:spacing w:after="0" w:line="288" w:lineRule="auto"/>
        <w:tabs>
          <w:tab w:leader="none" w:pos="1072" w:val="left"/>
        </w:tabs>
        <w:numPr>
          <w:ilvl w:val="1"/>
          <w:numId w:val="78"/>
        </w:numPr>
        <w:rPr>
          <w:rFonts w:ascii="Arial" w:cs="Arial" w:eastAsia="Arial" w:hAnsi="Arial"/>
          <w:sz w:val="18"/>
          <w:szCs w:val="18"/>
          <w:color w:val="010000"/>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The Company shall pay the Executive six (6) months of his/her monthly base salary (at the rate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21" w:lineRule="exact"/>
        <w:rPr>
          <w:rFonts w:ascii="Arial" w:cs="Arial" w:eastAsia="Arial" w:hAnsi="Arial"/>
          <w:sz w:val="18"/>
          <w:szCs w:val="18"/>
          <w:color w:val="010000"/>
        </w:rPr>
      </w:pPr>
    </w:p>
    <w:p>
      <w:pPr>
        <w:jc w:val="both"/>
        <w:ind w:left="5" w:firstLine="643"/>
        <w:spacing w:after="0" w:line="282" w:lineRule="auto"/>
        <w:tabs>
          <w:tab w:leader="none" w:pos="1194" w:val="left"/>
        </w:tabs>
        <w:numPr>
          <w:ilvl w:val="1"/>
          <w:numId w:val="78"/>
        </w:numPr>
        <w:rPr>
          <w:rFonts w:ascii="Arial" w:cs="Arial" w:eastAsia="Arial" w:hAnsi="Arial"/>
          <w:sz w:val="18"/>
          <w:szCs w:val="18"/>
          <w:color w:val="010000"/>
        </w:rPr>
      </w:pPr>
      <w:r>
        <w:rPr>
          <w:rFonts w:ascii="Arial" w:cs="Arial" w:eastAsia="Arial" w:hAnsi="Arial"/>
          <w:sz w:val="18"/>
          <w:szCs w:val="18"/>
          <w:b w:val="1"/>
          <w:bCs w:val="1"/>
          <w:color w:val="auto"/>
        </w:rPr>
        <w:t xml:space="preserve">Continued Employee Benefits. </w:t>
      </w:r>
      <w:r>
        <w:rPr>
          <w:rFonts w:ascii="Arial" w:cs="Arial" w:eastAsia="Arial" w:hAnsi="Arial"/>
          <w:sz w:val="18"/>
          <w:szCs w:val="18"/>
          <w:color w:val="auto"/>
        </w:rPr>
        <w:t>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w:t>
      </w:r>
    </w:p>
    <w:p>
      <w:pPr>
        <w:spacing w:after="0" w:line="39" w:lineRule="exact"/>
        <w:rPr>
          <w:sz w:val="20"/>
          <w:szCs w:val="20"/>
          <w:color w:val="auto"/>
        </w:rPr>
      </w:pPr>
    </w:p>
    <w:p>
      <w:pPr>
        <w:ind w:left="5" w:right="120"/>
        <w:spacing w:after="0" w:line="318" w:lineRule="auto"/>
        <w:rPr>
          <w:sz w:val="20"/>
          <w:szCs w:val="20"/>
          <w:color w:val="auto"/>
        </w:rPr>
      </w:pPr>
      <w:r>
        <w:rPr>
          <w:rFonts w:ascii="Arial" w:cs="Arial" w:eastAsia="Arial" w:hAnsi="Arial"/>
          <w:sz w:val="18"/>
          <w:szCs w:val="18"/>
          <w:color w:val="auto"/>
        </w:rPr>
        <w:t>noncompliance with applicable law (including, without limitation, Section 2716 of the Public Health Service Act), the Company instead shall provide to Executive a taxable monthly payment in an amount equal to</w:t>
      </w:r>
    </w:p>
    <w:p>
      <w:pPr>
        <w:sectPr>
          <w:pgSz w:w="11900" w:h="16838" w:orient="portrait"/>
          <w:cols w:equalWidth="0" w:num="1">
            <w:col w:w="11125"/>
          </w:cols>
          <w:pgMar w:left="435" w:top="1440" w:right="339" w:bottom="1440" w:gutter="0" w:footer="0" w:header="0"/>
        </w:sectPr>
      </w:pPr>
    </w:p>
    <w:bookmarkStart w:id="110" w:name="page111"/>
    <w:bookmarkEnd w:id="110"/>
    <w:p>
      <w:pPr>
        <w:jc w:val="both"/>
        <w:ind w:left="112" w:right="40"/>
        <w:spacing w:after="0" w:line="279" w:lineRule="auto"/>
        <w:rPr>
          <w:sz w:val="20"/>
          <w:szCs w:val="20"/>
          <w:color w:val="auto"/>
        </w:rPr>
      </w:pPr>
      <w:r>
        <w:rPr>
          <w:rFonts w:ascii="Arial" w:cs="Arial" w:eastAsia="Arial" w:hAnsi="Arial"/>
          <w:sz w:val="18"/>
          <w:szCs w:val="18"/>
          <w:color w:val="auto"/>
        </w:rPr>
        <w:t xml:space="preserve">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any taxable payments under Section 2(b) will not be paid before the first business day occurring after the sixtieth (60</w:t>
      </w:r>
      <w:r>
        <w:rPr>
          <w:rFonts w:ascii="Arial" w:cs="Arial" w:eastAsia="Arial" w:hAnsi="Arial"/>
          <w:sz w:val="11"/>
          <w:szCs w:val="11"/>
          <w:color w:val="auto"/>
        </w:rPr>
        <w:t>th</w:t>
      </w:r>
      <w:r>
        <w:rPr>
          <w:rFonts w:ascii="Arial" w:cs="Arial" w:eastAsia="Arial" w:hAnsi="Arial"/>
          <w:sz w:val="18"/>
          <w:szCs w:val="18"/>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233" w:lineRule="exact"/>
        <w:rPr>
          <w:sz w:val="20"/>
          <w:szCs w:val="20"/>
          <w:color w:val="auto"/>
        </w:rPr>
      </w:pPr>
    </w:p>
    <w:p>
      <w:pPr>
        <w:ind w:left="112" w:right="220" w:hanging="5"/>
        <w:spacing w:after="0" w:line="303" w:lineRule="auto"/>
        <w:tabs>
          <w:tab w:leader="none" w:pos="462" w:val="left"/>
        </w:tabs>
        <w:numPr>
          <w:ilvl w:val="0"/>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CIC Qualifying Termination. </w:t>
      </w:r>
      <w:r>
        <w:rPr>
          <w:rFonts w:ascii="Arial" w:cs="Arial" w:eastAsia="Arial" w:hAnsi="Arial"/>
          <w:sz w:val="18"/>
          <w:szCs w:val="18"/>
          <w:color w:val="auto"/>
        </w:rPr>
        <w:t>If the Executive is subject to a CIC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203" w:lineRule="exact"/>
        <w:rPr>
          <w:rFonts w:ascii="Arial" w:cs="Arial" w:eastAsia="Arial" w:hAnsi="Arial"/>
          <w:sz w:val="18"/>
          <w:szCs w:val="18"/>
          <w:color w:val="010000"/>
        </w:rPr>
      </w:pPr>
    </w:p>
    <w:p>
      <w:pPr>
        <w:jc w:val="both"/>
        <w:ind w:left="112" w:right="40" w:firstLine="643"/>
        <w:spacing w:after="0" w:line="249" w:lineRule="auto"/>
        <w:tabs>
          <w:tab w:leader="none" w:pos="1301" w:val="left"/>
        </w:tabs>
        <w:numPr>
          <w:ilvl w:val="1"/>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Severance Payments. </w:t>
      </w:r>
      <w:r>
        <w:rPr>
          <w:rFonts w:ascii="Arial" w:cs="Arial" w:eastAsia="Arial" w:hAnsi="Arial"/>
          <w:sz w:val="18"/>
          <w:szCs w:val="18"/>
          <w:color w:val="auto"/>
        </w:rPr>
        <w:t>The Company or its successor shall pay the Executive [six (6)]</w:t>
      </w:r>
      <w:r>
        <w:rPr>
          <w:rFonts w:ascii="Arial" w:cs="Arial" w:eastAsia="Arial" w:hAnsi="Arial"/>
          <w:sz w:val="23"/>
          <w:szCs w:val="23"/>
          <w:color w:val="auto"/>
          <w:vertAlign w:val="superscript"/>
        </w:rPr>
        <w:t>1</w:t>
      </w:r>
      <w:r>
        <w:rPr>
          <w:rFonts w:ascii="Arial" w:cs="Arial" w:eastAsia="Arial" w:hAnsi="Arial"/>
          <w:sz w:val="18"/>
          <w:szCs w:val="18"/>
          <w:color w:val="auto"/>
        </w:rPr>
        <w:t>[twelve (12)] months of his/her</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base salary and [fifty percent (50%) of]</w:t>
      </w:r>
      <w:r>
        <w:rPr>
          <w:rFonts w:ascii="Arial" w:cs="Arial" w:eastAsia="Arial" w:hAnsi="Arial"/>
          <w:sz w:val="23"/>
          <w:szCs w:val="23"/>
          <w:color w:val="auto"/>
          <w:vertAlign w:val="superscript"/>
        </w:rPr>
        <w:t>1</w:t>
      </w:r>
      <w:r>
        <w:rPr>
          <w:rFonts w:ascii="Arial" w:cs="Arial" w:eastAsia="Arial" w:hAnsi="Arial"/>
          <w:sz w:val="18"/>
          <w:szCs w:val="18"/>
          <w:color w:val="auto"/>
        </w:rPr>
        <w:t>[one times] 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53" w:lineRule="exact"/>
        <w:rPr>
          <w:rFonts w:ascii="Arial" w:cs="Arial" w:eastAsia="Arial" w:hAnsi="Arial"/>
          <w:sz w:val="18"/>
          <w:szCs w:val="18"/>
          <w:color w:val="010000"/>
        </w:rPr>
      </w:pPr>
    </w:p>
    <w:p>
      <w:pPr>
        <w:jc w:val="both"/>
        <w:ind w:left="112" w:right="40" w:firstLine="643"/>
        <w:spacing w:after="0" w:line="282" w:lineRule="auto"/>
        <w:tabs>
          <w:tab w:leader="none" w:pos="1342" w:val="left"/>
        </w:tabs>
        <w:numPr>
          <w:ilvl w:val="1"/>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Each of Executive’s then outstanding Equity Awards, including awards that would otherwise vest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pacing w:after="0" w:line="214" w:lineRule="exact"/>
        <w:rPr>
          <w:rFonts w:ascii="Arial" w:cs="Arial" w:eastAsia="Arial" w:hAnsi="Arial"/>
          <w:sz w:val="18"/>
          <w:szCs w:val="18"/>
          <w:color w:val="010000"/>
        </w:rPr>
      </w:pPr>
    </w:p>
    <w:p>
      <w:pPr>
        <w:jc w:val="both"/>
        <w:ind w:left="112" w:right="40" w:firstLine="643"/>
        <w:spacing w:after="0" w:line="288" w:lineRule="auto"/>
        <w:tabs>
          <w:tab w:leader="none" w:pos="1224" w:val="left"/>
        </w:tabs>
        <w:numPr>
          <w:ilvl w:val="1"/>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COBRA; Pay in Lieu of Continued Employee Benefits. </w:t>
      </w:r>
      <w:r>
        <w:rPr>
          <w:rFonts w:ascii="Arial" w:cs="Arial" w:eastAsia="Arial" w:hAnsi="Arial"/>
          <w:sz w:val="18"/>
          <w:szCs w:val="18"/>
          <w:color w:val="auto"/>
        </w:rPr>
        <w:t>Continuation of COBRA or a cash benefit, in both cases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as 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w:t>
      </w:r>
    </w:p>
    <w:p>
      <w:pPr>
        <w:spacing w:after="0" w:line="221" w:lineRule="exact"/>
        <w:rPr>
          <w:rFonts w:ascii="Arial" w:cs="Arial" w:eastAsia="Arial" w:hAnsi="Arial"/>
          <w:sz w:val="18"/>
          <w:szCs w:val="18"/>
          <w:color w:val="010000"/>
        </w:rPr>
      </w:pPr>
    </w:p>
    <w:p>
      <w:pPr>
        <w:ind w:left="112" w:hanging="5"/>
        <w:spacing w:after="0" w:line="289" w:lineRule="auto"/>
        <w:tabs>
          <w:tab w:leader="none" w:pos="462" w:val="left"/>
        </w:tabs>
        <w:numPr>
          <w:ilvl w:val="0"/>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Any other provision of this Agreement notwithstanding, the benefits under Section 2 and 3 shall not apply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22631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45" w:lineRule="exact"/>
        <w:rPr>
          <w:sz w:val="20"/>
          <w:szCs w:val="20"/>
          <w:color w:val="auto"/>
        </w:rPr>
      </w:pPr>
    </w:p>
    <w:p>
      <w:pPr>
        <w:ind w:left="132" w:hanging="132"/>
        <w:spacing w:after="0"/>
        <w:tabs>
          <w:tab w:leader="none" w:pos="132" w:val="left"/>
        </w:tabs>
        <w:numPr>
          <w:ilvl w:val="0"/>
          <w:numId w:val="80"/>
        </w:numPr>
        <w:rPr>
          <w:rFonts w:ascii="Arial" w:cs="Arial" w:eastAsia="Arial" w:hAnsi="Arial"/>
          <w:sz w:val="26"/>
          <w:szCs w:val="26"/>
          <w:color w:val="auto"/>
          <w:vertAlign w:val="superscript"/>
        </w:rPr>
      </w:pPr>
      <w:r>
        <w:rPr>
          <w:rFonts w:ascii="Arial" w:cs="Arial" w:eastAsia="Arial" w:hAnsi="Arial"/>
          <w:sz w:val="18"/>
          <w:szCs w:val="18"/>
          <w:color w:val="auto"/>
        </w:rPr>
        <w:t>Contained in agreement with Chief Legal and Corporate Affairs Officer only.</w:t>
      </w:r>
    </w:p>
    <w:p>
      <w:pPr>
        <w:sectPr>
          <w:pgSz w:w="11900" w:h="16838" w:orient="portrait"/>
          <w:cols w:equalWidth="0" w:num="1">
            <w:col w:w="11172"/>
          </w:cols>
          <w:pgMar w:left="328" w:top="1430" w:right="399" w:bottom="1440" w:gutter="0" w:footer="0" w:header="0"/>
        </w:sectPr>
      </w:pPr>
    </w:p>
    <w:bookmarkStart w:id="111" w:name="page112"/>
    <w:bookmarkEnd w:id="111"/>
    <w:p>
      <w:pPr>
        <w:ind w:left="5" w:right="660"/>
        <w:spacing w:after="0" w:line="318" w:lineRule="auto"/>
        <w:rPr>
          <w:sz w:val="20"/>
          <w:szCs w:val="20"/>
          <w:color w:val="auto"/>
        </w:rPr>
      </w:pPr>
      <w:r>
        <w:rPr>
          <w:rFonts w:ascii="Arial" w:cs="Arial" w:eastAsia="Arial" w:hAnsi="Arial"/>
          <w:sz w:val="18"/>
          <w:szCs w:val="18"/>
          <w:color w:val="auto"/>
        </w:rPr>
        <w:t>form of Release to the Executive within thirty (30) days after the Executive’s Separation. The Executive must execute and return the Release within the time period specified in the form.</w:t>
      </w:r>
    </w:p>
    <w:p>
      <w:pPr>
        <w:spacing w:after="0" w:line="180" w:lineRule="exact"/>
        <w:rPr>
          <w:sz w:val="20"/>
          <w:szCs w:val="20"/>
          <w:color w:val="auto"/>
        </w:rPr>
      </w:pPr>
    </w:p>
    <w:p>
      <w:pPr>
        <w:jc w:val="both"/>
        <w:ind w:left="5" w:right="100" w:hanging="5"/>
        <w:spacing w:after="0" w:line="282" w:lineRule="auto"/>
        <w:tabs>
          <w:tab w:leader="none" w:pos="409" w:val="left"/>
        </w:tabs>
        <w:numPr>
          <w:ilvl w:val="0"/>
          <w:numId w:val="81"/>
        </w:numPr>
        <w:rPr>
          <w:rFonts w:ascii="Arial" w:cs="Arial" w:eastAsia="Arial" w:hAnsi="Arial"/>
          <w:sz w:val="18"/>
          <w:szCs w:val="18"/>
          <w:color w:val="010000"/>
        </w:rPr>
      </w:pPr>
      <w:r>
        <w:rPr>
          <w:rFonts w:ascii="Arial" w:cs="Arial" w:eastAsia="Arial" w:hAnsi="Arial"/>
          <w:sz w:val="18"/>
          <w:szCs w:val="18"/>
          <w:b w:val="1"/>
          <w:bCs w:val="1"/>
          <w:color w:val="auto"/>
        </w:rPr>
        <w:t xml:space="preserve">Accrued Compensation and Benefits. </w:t>
      </w:r>
      <w:r>
        <w:rPr>
          <w:rFonts w:ascii="Arial" w:cs="Arial" w:eastAsia="Arial" w:hAnsi="Arial"/>
          <w:sz w:val="18"/>
          <w:szCs w:val="18"/>
          <w:color w:val="auto"/>
        </w:rPr>
        <w:t>Notwithstanding anything to the contrary in Section 2 and 3 above,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214" w:lineRule="exact"/>
        <w:rPr>
          <w:rFonts w:ascii="Arial" w:cs="Arial" w:eastAsia="Arial" w:hAnsi="Arial"/>
          <w:sz w:val="18"/>
          <w:szCs w:val="18"/>
          <w:color w:val="010000"/>
        </w:rPr>
      </w:pPr>
    </w:p>
    <w:p>
      <w:pPr>
        <w:ind w:left="345" w:hanging="344"/>
        <w:spacing w:after="0"/>
        <w:tabs>
          <w:tab w:leader="none" w:pos="345" w:val="left"/>
        </w:tabs>
        <w:numPr>
          <w:ilvl w:val="0"/>
          <w:numId w:val="81"/>
        </w:numPr>
        <w:rPr>
          <w:rFonts w:ascii="Arial" w:cs="Arial" w:eastAsia="Arial" w:hAnsi="Arial"/>
          <w:sz w:val="18"/>
          <w:szCs w:val="18"/>
          <w:color w:val="010000"/>
        </w:rPr>
      </w:pPr>
      <w:r>
        <w:rPr>
          <w:rFonts w:ascii="Arial" w:cs="Arial" w:eastAsia="Arial" w:hAnsi="Arial"/>
          <w:sz w:val="18"/>
          <w:szCs w:val="18"/>
          <w:b w:val="1"/>
          <w:bCs w:val="1"/>
          <w:color w:val="auto"/>
        </w:rPr>
        <w:t>Definitions.</w:t>
      </w:r>
    </w:p>
    <w:p>
      <w:pPr>
        <w:spacing w:after="0" w:line="306" w:lineRule="exact"/>
        <w:rPr>
          <w:rFonts w:ascii="Arial" w:cs="Arial" w:eastAsia="Arial" w:hAnsi="Arial"/>
          <w:sz w:val="18"/>
          <w:szCs w:val="18"/>
          <w:color w:val="010000"/>
        </w:rPr>
      </w:pPr>
    </w:p>
    <w:p>
      <w:pPr>
        <w:jc w:val="both"/>
        <w:ind w:left="5" w:right="100" w:firstLine="643"/>
        <w:spacing w:after="0" w:line="280" w:lineRule="auto"/>
        <w:tabs>
          <w:tab w:leader="none" w:pos="1073" w:val="left"/>
        </w:tabs>
        <w:numPr>
          <w:ilvl w:val="1"/>
          <w:numId w:val="8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w:t>
      </w:r>
    </w:p>
    <w:p>
      <w:pPr>
        <w:spacing w:after="0" w:line="207" w:lineRule="exact"/>
        <w:rPr>
          <w:rFonts w:ascii="Arial" w:cs="Arial" w:eastAsia="Arial" w:hAnsi="Arial"/>
          <w:sz w:val="18"/>
          <w:szCs w:val="18"/>
          <w:color w:val="010000"/>
        </w:rPr>
      </w:pPr>
    </w:p>
    <w:p>
      <w:pPr>
        <w:ind w:left="1065" w:hanging="417"/>
        <w:spacing w:after="0"/>
        <w:tabs>
          <w:tab w:leader="none" w:pos="1065" w:val="left"/>
        </w:tabs>
        <w:numPr>
          <w:ilvl w:val="1"/>
          <w:numId w:val="8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306" w:lineRule="exact"/>
        <w:rPr>
          <w:rFonts w:ascii="Arial" w:cs="Arial" w:eastAsia="Arial" w:hAnsi="Arial"/>
          <w:sz w:val="18"/>
          <w:szCs w:val="18"/>
          <w:color w:val="010000"/>
        </w:rPr>
      </w:pPr>
    </w:p>
    <w:p>
      <w:pPr>
        <w:jc w:val="both"/>
        <w:ind w:left="5" w:right="100" w:firstLine="643"/>
        <w:spacing w:after="0" w:line="292" w:lineRule="auto"/>
        <w:tabs>
          <w:tab w:leader="none" w:pos="1076" w:val="left"/>
        </w:tabs>
        <w:numPr>
          <w:ilvl w:val="1"/>
          <w:numId w:val="8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For all purposes under this Agreement, a Change in Control shall mean a “Corporate Transaction,” as such term is defined in the Plan,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transaction (including any series of transactions) also qualifies as a change in control event under U.S. Treasury Regulation 1.409A- 3(i)(5).</w:t>
      </w:r>
    </w:p>
    <w:p>
      <w:pPr>
        <w:spacing w:after="0" w:line="216" w:lineRule="exact"/>
        <w:rPr>
          <w:rFonts w:ascii="Arial" w:cs="Arial" w:eastAsia="Arial" w:hAnsi="Arial"/>
          <w:sz w:val="18"/>
          <w:szCs w:val="18"/>
          <w:color w:val="010000"/>
        </w:rPr>
      </w:pPr>
    </w:p>
    <w:p>
      <w:pPr>
        <w:jc w:val="both"/>
        <w:ind w:left="5" w:right="100" w:firstLine="643"/>
        <w:spacing w:after="0" w:line="288" w:lineRule="auto"/>
        <w:tabs>
          <w:tab w:leader="none" w:pos="1113" w:val="left"/>
        </w:tabs>
        <w:numPr>
          <w:ilvl w:val="1"/>
          <w:numId w:val="8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pacing w:after="0" w:line="32" w:lineRule="exact"/>
        <w:rPr>
          <w:rFonts w:ascii="Arial" w:cs="Arial" w:eastAsia="Arial" w:hAnsi="Arial"/>
          <w:sz w:val="18"/>
          <w:szCs w:val="18"/>
          <w:color w:val="010000"/>
        </w:rPr>
      </w:pPr>
    </w:p>
    <w:p>
      <w:pPr>
        <w:jc w:val="both"/>
        <w:ind w:left="5" w:right="20" w:firstLine="643"/>
        <w:spacing w:after="0" w:line="292" w:lineRule="auto"/>
        <w:tabs>
          <w:tab w:leader="none" w:pos="1100" w:val="left"/>
        </w:tabs>
        <w:numPr>
          <w:ilvl w:val="1"/>
          <w:numId w:val="8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216" w:lineRule="exact"/>
        <w:rPr>
          <w:rFonts w:ascii="Arial" w:cs="Arial" w:eastAsia="Arial" w:hAnsi="Arial"/>
          <w:sz w:val="18"/>
          <w:szCs w:val="18"/>
          <w:color w:val="010000"/>
        </w:rPr>
      </w:pPr>
    </w:p>
    <w:p>
      <w:pPr>
        <w:jc w:val="both"/>
        <w:ind w:left="5" w:firstLine="643"/>
        <w:spacing w:after="0" w:line="292" w:lineRule="auto"/>
        <w:tabs>
          <w:tab w:leader="none" w:pos="1144" w:val="left"/>
        </w:tabs>
        <w:numPr>
          <w:ilvl w:val="1"/>
          <w:numId w:val="81"/>
        </w:numPr>
        <w:rPr>
          <w:rFonts w:ascii="Arial" w:cs="Arial" w:eastAsia="Arial" w:hAnsi="Arial"/>
          <w:sz w:val="18"/>
          <w:szCs w:val="18"/>
          <w:color w:val="010000"/>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any of the following actions by the Company without Executive’s written consent: (i)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Executive’s duties or responsibilities that is inconsistent with Executive’s position, provided that a mere change of title alone shall not constitute such a material reduction[, provided further that it will be considered a material reduction in Executive’s duties and</w:t>
      </w:r>
    </w:p>
    <w:p>
      <w:pPr>
        <w:sectPr>
          <w:pgSz w:w="11900" w:h="16838" w:orient="portrait"/>
          <w:cols w:equalWidth="0" w:num="1">
            <w:col w:w="11125"/>
          </w:cols>
          <w:pgMar w:left="435" w:top="1349" w:right="339" w:bottom="1440" w:gutter="0" w:footer="0" w:header="0"/>
        </w:sectPr>
      </w:pPr>
    </w:p>
    <w:bookmarkStart w:id="112" w:name="page113"/>
    <w:bookmarkEnd w:id="112"/>
    <w:p>
      <w:pPr>
        <w:jc w:val="both"/>
        <w:ind w:left="112"/>
        <w:spacing w:after="0" w:line="275" w:lineRule="auto"/>
        <w:rPr>
          <w:sz w:val="20"/>
          <w:szCs w:val="20"/>
          <w:color w:val="auto"/>
        </w:rPr>
      </w:pPr>
      <w:r>
        <w:rPr>
          <w:rFonts w:ascii="Arial" w:cs="Arial" w:eastAsia="Arial" w:hAnsi="Arial"/>
          <w:sz w:val="18"/>
          <w:szCs w:val="18"/>
          <w:color w:val="auto"/>
        </w:rPr>
        <w:t>responsibilities if, after a Change in Control, the Executive is not the Chief Financial Officer of the ultimate parent of the resulting company or if such ultimate parent company is not a publicly traded company]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(ii) 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 plan benefits, collectively, the </w:t>
      </w:r>
      <w:r>
        <w:rPr>
          <w:rFonts w:ascii="Arial" w:cs="Arial" w:eastAsia="Arial" w:hAnsi="Arial"/>
          <w:sz w:val="18"/>
          <w:szCs w:val="18"/>
          <w:b w:val="1"/>
          <w:bCs w:val="1"/>
          <w:i w:val="1"/>
          <w:iCs w:val="1"/>
          <w:color w:val="auto"/>
        </w:rPr>
        <w:t>“Employee Benefits”</w:t>
      </w:r>
      <w:r>
        <w:rPr>
          <w:rFonts w:ascii="Arial" w:cs="Arial" w:eastAsia="Arial" w:hAnsi="Arial"/>
          <w:sz w:val="18"/>
          <w:szCs w:val="18"/>
          <w:color w:val="auto"/>
        </w:rPr>
        <w:t>)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209" w:lineRule="exact"/>
        <w:rPr>
          <w:sz w:val="20"/>
          <w:szCs w:val="20"/>
          <w:color w:val="auto"/>
        </w:rPr>
      </w:pPr>
    </w:p>
    <w:p>
      <w:pPr>
        <w:ind w:left="1172" w:hanging="417"/>
        <w:spacing w:after="0"/>
        <w:tabs>
          <w:tab w:leader="none" w:pos="1172"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Company’s 2021 Equity Incentive Plan, as may be amended from time to</w:t>
      </w:r>
    </w:p>
    <w:p>
      <w:pPr>
        <w:spacing w:after="0" w:line="40" w:lineRule="exact"/>
        <w:rPr>
          <w:sz w:val="20"/>
          <w:szCs w:val="20"/>
          <w:color w:val="auto"/>
        </w:rPr>
      </w:pPr>
    </w:p>
    <w:p>
      <w:pPr>
        <w:ind w:left="112"/>
        <w:spacing w:after="0"/>
        <w:rPr>
          <w:sz w:val="20"/>
          <w:szCs w:val="20"/>
          <w:color w:val="auto"/>
        </w:rPr>
      </w:pPr>
      <w:r>
        <w:rPr>
          <w:rFonts w:ascii="Arial" w:cs="Arial" w:eastAsia="Arial" w:hAnsi="Arial"/>
          <w:sz w:val="18"/>
          <w:szCs w:val="18"/>
          <w:color w:val="auto"/>
        </w:rPr>
        <w:t>time.</w:t>
      </w:r>
    </w:p>
    <w:p>
      <w:pPr>
        <w:spacing w:after="0" w:line="302" w:lineRule="exact"/>
        <w:rPr>
          <w:sz w:val="20"/>
          <w:szCs w:val="20"/>
          <w:color w:val="auto"/>
        </w:rPr>
      </w:pPr>
    </w:p>
    <w:p>
      <w:pPr>
        <w:jc w:val="both"/>
        <w:ind w:left="112" w:right="100" w:firstLine="643"/>
        <w:spacing w:after="0" w:line="300" w:lineRule="auto"/>
        <w:tabs>
          <w:tab w:leader="none" w:pos="122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95" w:lineRule="exact"/>
        <w:rPr>
          <w:rFonts w:ascii="Arial" w:cs="Arial" w:eastAsia="Arial" w:hAnsi="Arial"/>
          <w:sz w:val="18"/>
          <w:szCs w:val="18"/>
          <w:color w:val="010000"/>
        </w:rPr>
      </w:pPr>
    </w:p>
    <w:p>
      <w:pPr>
        <w:jc w:val="both"/>
        <w:ind w:left="112" w:firstLine="643"/>
        <w:spacing w:after="0" w:line="300" w:lineRule="auto"/>
        <w:tabs>
          <w:tab w:leader="none" w:pos="116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95" w:lineRule="exact"/>
        <w:rPr>
          <w:rFonts w:ascii="Arial" w:cs="Arial" w:eastAsia="Arial" w:hAnsi="Arial"/>
          <w:sz w:val="18"/>
          <w:szCs w:val="18"/>
          <w:color w:val="010000"/>
        </w:rPr>
      </w:pPr>
    </w:p>
    <w:p>
      <w:pPr>
        <w:ind w:left="1112" w:hanging="357"/>
        <w:spacing w:after="0"/>
        <w:tabs>
          <w:tab w:leader="none" w:pos="1112"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52" w:lineRule="exact"/>
        <w:rPr>
          <w:rFonts w:ascii="Arial" w:cs="Arial" w:eastAsia="Arial" w:hAnsi="Arial"/>
          <w:sz w:val="18"/>
          <w:szCs w:val="18"/>
          <w:color w:val="010000"/>
        </w:rPr>
      </w:pPr>
    </w:p>
    <w:p>
      <w:pPr>
        <w:ind w:left="452" w:hanging="344"/>
        <w:spacing w:after="0"/>
        <w:tabs>
          <w:tab w:leader="none" w:pos="452" w:val="left"/>
        </w:tabs>
        <w:numPr>
          <w:ilvl w:val="0"/>
          <w:numId w:val="84"/>
        </w:numPr>
        <w:rPr>
          <w:rFonts w:ascii="Arial" w:cs="Arial" w:eastAsia="Arial" w:hAnsi="Arial"/>
          <w:sz w:val="18"/>
          <w:szCs w:val="18"/>
          <w:color w:val="010000"/>
        </w:rPr>
      </w:pPr>
      <w:r>
        <w:rPr>
          <w:rFonts w:ascii="Arial" w:cs="Arial" w:eastAsia="Arial" w:hAnsi="Arial"/>
          <w:sz w:val="18"/>
          <w:szCs w:val="18"/>
          <w:b w:val="1"/>
          <w:bCs w:val="1"/>
          <w:color w:val="auto"/>
        </w:rPr>
        <w:t>Successors.</w:t>
      </w:r>
    </w:p>
    <w:p>
      <w:pPr>
        <w:spacing w:after="0" w:line="279" w:lineRule="exact"/>
        <w:rPr>
          <w:rFonts w:ascii="Arial" w:cs="Arial" w:eastAsia="Arial" w:hAnsi="Arial"/>
          <w:sz w:val="18"/>
          <w:szCs w:val="18"/>
          <w:color w:val="010000"/>
        </w:rPr>
      </w:pPr>
    </w:p>
    <w:p>
      <w:pPr>
        <w:jc w:val="both"/>
        <w:ind w:left="112" w:right="100" w:firstLine="643"/>
        <w:spacing w:after="0" w:line="282" w:lineRule="auto"/>
        <w:tabs>
          <w:tab w:leader="none" w:pos="1234" w:val="left"/>
        </w:tabs>
        <w:numPr>
          <w:ilvl w:val="1"/>
          <w:numId w:val="84"/>
        </w:numPr>
        <w:rPr>
          <w:rFonts w:ascii="Arial" w:cs="Arial" w:eastAsia="Arial" w:hAnsi="Arial"/>
          <w:sz w:val="18"/>
          <w:szCs w:val="18"/>
          <w:color w:val="010000"/>
        </w:rPr>
      </w:pPr>
      <w:r>
        <w:rPr>
          <w:rFonts w:ascii="Arial" w:cs="Arial" w:eastAsia="Arial" w:hAnsi="Arial"/>
          <w:sz w:val="18"/>
          <w:szCs w:val="18"/>
          <w:b w:val="1"/>
          <w:bCs w:val="1"/>
          <w:color w:val="auto"/>
        </w:rPr>
        <w:t xml:space="preserve">Company’s Successors. </w:t>
      </w:r>
      <w:r>
        <w:rPr>
          <w:rFonts w:ascii="Arial" w:cs="Arial" w:eastAsia="Arial" w:hAnsi="Arial"/>
          <w:sz w:val="18"/>
          <w:szCs w:val="18"/>
          <w:color w:val="auto"/>
        </w:rPr>
        <w:t>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22631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32" w:hanging="132"/>
        <w:spacing w:after="0"/>
        <w:tabs>
          <w:tab w:leader="none" w:pos="132" w:val="left"/>
        </w:tabs>
        <w:numPr>
          <w:ilvl w:val="0"/>
          <w:numId w:val="85"/>
        </w:numPr>
        <w:rPr>
          <w:rFonts w:ascii="Arial" w:cs="Arial" w:eastAsia="Arial" w:hAnsi="Arial"/>
          <w:sz w:val="26"/>
          <w:szCs w:val="26"/>
          <w:color w:val="auto"/>
          <w:vertAlign w:val="superscript"/>
        </w:rPr>
      </w:pPr>
      <w:r>
        <w:rPr>
          <w:rFonts w:ascii="Arial" w:cs="Arial" w:eastAsia="Arial" w:hAnsi="Arial"/>
          <w:sz w:val="18"/>
          <w:szCs w:val="18"/>
          <w:color w:val="auto"/>
        </w:rPr>
        <w:t>Contained in agreement with Chief Financial Officer only.</w:t>
      </w:r>
    </w:p>
    <w:p>
      <w:pPr>
        <w:sectPr>
          <w:pgSz w:w="11900" w:h="16838" w:orient="portrait"/>
          <w:cols w:equalWidth="0" w:num="1">
            <w:col w:w="11232"/>
          </w:cols>
          <w:pgMar w:left="328" w:top="1349" w:right="339" w:bottom="1440" w:gutter="0" w:footer="0" w:header="0"/>
        </w:sectPr>
      </w:pPr>
    </w:p>
    <w:bookmarkStart w:id="113" w:name="page114"/>
    <w:bookmarkEnd w:id="113"/>
    <w:p>
      <w:pPr>
        <w:jc w:val="both"/>
        <w:ind w:left="5" w:right="120" w:firstLine="643"/>
        <w:spacing w:after="0" w:line="300" w:lineRule="auto"/>
        <w:tabs>
          <w:tab w:leader="none" w:pos="1154" w:val="left"/>
        </w:tabs>
        <w:numPr>
          <w:ilvl w:val="1"/>
          <w:numId w:val="86"/>
        </w:numPr>
        <w:rPr>
          <w:rFonts w:ascii="Arial" w:cs="Arial" w:eastAsia="Arial" w:hAnsi="Arial"/>
          <w:sz w:val="18"/>
          <w:szCs w:val="18"/>
          <w:color w:val="010000"/>
        </w:rPr>
      </w:pPr>
      <w:r>
        <w:rPr>
          <w:rFonts w:ascii="Arial" w:cs="Arial" w:eastAsia="Arial" w:hAnsi="Arial"/>
          <w:sz w:val="18"/>
          <w:szCs w:val="18"/>
          <w:b w:val="1"/>
          <w:bCs w:val="1"/>
          <w:color w:val="auto"/>
        </w:rPr>
        <w:t xml:space="preserve">Executive’s Successors. </w:t>
      </w:r>
      <w:r>
        <w:rPr>
          <w:rFonts w:ascii="Arial" w:cs="Arial" w:eastAsia="Arial" w:hAnsi="Arial"/>
          <w:sz w:val="18"/>
          <w:szCs w:val="18"/>
          <w:color w:val="auto"/>
        </w:rPr>
        <w:t>This Agreement and all rights of the Executive hereunder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Executive’s personal or legal representatives, executors, administrators, successors, heirs, distributees, devisees and legatees.</w:t>
      </w:r>
    </w:p>
    <w:p>
      <w:pPr>
        <w:spacing w:after="0" w:line="182" w:lineRule="exact"/>
        <w:rPr>
          <w:rFonts w:ascii="Arial" w:cs="Arial" w:eastAsia="Arial" w:hAnsi="Arial"/>
          <w:sz w:val="18"/>
          <w:szCs w:val="18"/>
          <w:color w:val="010000"/>
        </w:rPr>
      </w:pPr>
    </w:p>
    <w:p>
      <w:pPr>
        <w:ind w:left="345" w:hanging="345"/>
        <w:spacing w:after="0"/>
        <w:tabs>
          <w:tab w:leader="none" w:pos="345" w:val="left"/>
        </w:tabs>
        <w:numPr>
          <w:ilvl w:val="0"/>
          <w:numId w:val="87"/>
        </w:numPr>
        <w:rPr>
          <w:rFonts w:ascii="Arial" w:cs="Arial" w:eastAsia="Arial" w:hAnsi="Arial"/>
          <w:sz w:val="18"/>
          <w:szCs w:val="18"/>
          <w:color w:val="010000"/>
        </w:rPr>
      </w:pPr>
      <w:r>
        <w:rPr>
          <w:rFonts w:ascii="Arial" w:cs="Arial" w:eastAsia="Arial" w:hAnsi="Arial"/>
          <w:sz w:val="18"/>
          <w:szCs w:val="18"/>
          <w:b w:val="1"/>
          <w:bCs w:val="1"/>
          <w:color w:val="auto"/>
        </w:rPr>
        <w:t>Golden Parachute Taxes.</w:t>
      </w:r>
    </w:p>
    <w:p>
      <w:pPr>
        <w:spacing w:after="0" w:line="306" w:lineRule="exact"/>
        <w:rPr>
          <w:rFonts w:ascii="Arial" w:cs="Arial" w:eastAsia="Arial" w:hAnsi="Arial"/>
          <w:sz w:val="18"/>
          <w:szCs w:val="18"/>
          <w:color w:val="010000"/>
        </w:rPr>
      </w:pPr>
    </w:p>
    <w:p>
      <w:pPr>
        <w:jc w:val="both"/>
        <w:ind w:left="5" w:right="100" w:firstLine="643"/>
        <w:spacing w:after="0" w:line="278" w:lineRule="auto"/>
        <w:tabs>
          <w:tab w:leader="none" w:pos="1127" w:val="left"/>
        </w:tabs>
        <w:numPr>
          <w:ilvl w:val="1"/>
          <w:numId w:val="87"/>
        </w:numPr>
        <w:rPr>
          <w:rFonts w:ascii="Arial" w:cs="Arial" w:eastAsia="Arial" w:hAnsi="Arial"/>
          <w:sz w:val="18"/>
          <w:szCs w:val="18"/>
          <w:color w:val="010000"/>
        </w:rPr>
      </w:pPr>
      <w:r>
        <w:rPr>
          <w:rFonts w:ascii="Arial" w:cs="Arial" w:eastAsia="Arial" w:hAnsi="Arial"/>
          <w:sz w:val="18"/>
          <w:szCs w:val="18"/>
          <w:b w:val="1"/>
          <w:bCs w:val="1"/>
          <w:color w:val="auto"/>
        </w:rPr>
        <w:t xml:space="preserve">Best After-Tax Result. </w:t>
      </w:r>
      <w:r>
        <w:rPr>
          <w:rFonts w:ascii="Arial" w:cs="Arial" w:eastAsia="Arial" w:hAnsi="Arial"/>
          <w:sz w:val="18"/>
          <w:szCs w:val="18"/>
          <w:color w:val="auto"/>
        </w:rPr>
        <w:t>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Tax Counsel</w:t>
      </w:r>
      <w:r>
        <w:rPr>
          <w:rFonts w:ascii="Arial" w:cs="Arial" w:eastAsia="Arial" w:hAnsi="Arial"/>
          <w:sz w:val="18"/>
          <w:szCs w:val="18"/>
          <w:color w:val="auto"/>
        </w:rPr>
        <w:t>”), whose determination shall be conclusive and binding upon Executive and the Company for all purposes.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8(b) hereof shall apply, and the enforcement of Section 8(b) shall be the exclusive remedy to the Company.</w:t>
      </w:r>
    </w:p>
    <w:p>
      <w:pPr>
        <w:spacing w:after="0" w:line="57" w:lineRule="exact"/>
        <w:rPr>
          <w:rFonts w:ascii="Arial" w:cs="Arial" w:eastAsia="Arial" w:hAnsi="Arial"/>
          <w:sz w:val="18"/>
          <w:szCs w:val="18"/>
          <w:color w:val="010000"/>
        </w:rPr>
      </w:pPr>
    </w:p>
    <w:p>
      <w:pPr>
        <w:jc w:val="both"/>
        <w:ind w:left="5" w:firstLine="643"/>
        <w:spacing w:after="0" w:line="280" w:lineRule="auto"/>
        <w:tabs>
          <w:tab w:leader="none" w:pos="1073" w:val="left"/>
        </w:tabs>
        <w:numPr>
          <w:ilvl w:val="1"/>
          <w:numId w:val="87"/>
        </w:numPr>
        <w:rPr>
          <w:rFonts w:ascii="Arial" w:cs="Arial" w:eastAsia="Arial" w:hAnsi="Arial"/>
          <w:sz w:val="18"/>
          <w:szCs w:val="18"/>
          <w:color w:val="010000"/>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If, notwithstanding any reduction described in Section 8(a) hereof (or in the absence of any such reduction),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217" w:lineRule="exact"/>
        <w:rPr>
          <w:rFonts w:ascii="Arial" w:cs="Arial" w:eastAsia="Arial" w:hAnsi="Arial"/>
          <w:sz w:val="18"/>
          <w:szCs w:val="18"/>
          <w:color w:val="010000"/>
        </w:rPr>
      </w:pPr>
    </w:p>
    <w:p>
      <w:pPr>
        <w:ind w:left="345" w:hanging="345"/>
        <w:spacing w:after="0"/>
        <w:tabs>
          <w:tab w:leader="none" w:pos="345" w:val="left"/>
        </w:tabs>
        <w:numPr>
          <w:ilvl w:val="0"/>
          <w:numId w:val="87"/>
        </w:numPr>
        <w:rPr>
          <w:rFonts w:ascii="Arial" w:cs="Arial" w:eastAsia="Arial" w:hAnsi="Arial"/>
          <w:sz w:val="18"/>
          <w:szCs w:val="18"/>
          <w:color w:val="010000"/>
        </w:rPr>
      </w:pPr>
      <w:r>
        <w:rPr>
          <w:rFonts w:ascii="Arial" w:cs="Arial" w:eastAsia="Arial" w:hAnsi="Arial"/>
          <w:sz w:val="18"/>
          <w:szCs w:val="18"/>
          <w:b w:val="1"/>
          <w:bCs w:val="1"/>
          <w:color w:val="auto"/>
        </w:rPr>
        <w:t>Miscellaneous Provisions.</w:t>
      </w:r>
    </w:p>
    <w:p>
      <w:pPr>
        <w:sectPr>
          <w:pgSz w:w="11900" w:h="16838" w:orient="portrait"/>
          <w:cols w:equalWidth="0" w:num="1">
            <w:col w:w="11125"/>
          </w:cols>
          <w:pgMar w:left="435" w:top="1349" w:right="339" w:bottom="1440" w:gutter="0" w:footer="0" w:header="0"/>
        </w:sectPr>
      </w:pPr>
    </w:p>
    <w:bookmarkStart w:id="114" w:name="page115"/>
    <w:bookmarkEnd w:id="114"/>
    <w:p>
      <w:pPr>
        <w:spacing w:after="0" w:line="193" w:lineRule="exact"/>
        <w:rPr>
          <w:sz w:val="20"/>
          <w:szCs w:val="20"/>
          <w:color w:val="auto"/>
        </w:rPr>
      </w:pPr>
    </w:p>
    <w:p>
      <w:pPr>
        <w:jc w:val="both"/>
        <w:ind w:left="5" w:firstLine="642"/>
        <w:spacing w:after="0" w:line="280" w:lineRule="auto"/>
        <w:tabs>
          <w:tab w:leader="none" w:pos="1099" w:val="left"/>
        </w:tabs>
        <w:numPr>
          <w:ilvl w:val="1"/>
          <w:numId w:val="88"/>
        </w:numPr>
        <w:rPr>
          <w:rFonts w:ascii="Arial" w:cs="Arial" w:eastAsia="Arial" w:hAnsi="Arial"/>
          <w:sz w:val="18"/>
          <w:szCs w:val="18"/>
          <w:color w:val="010000"/>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To the extent (i) any payments to which Executive becomes entitled under this Agreement, or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plan referenced herein, in connection with Executive’s termination of employment with the Company constitute deferred compensation subject to Section 409A of the Code and</w:t>
      </w:r>
    </w:p>
    <w:p>
      <w:pPr>
        <w:jc w:val="both"/>
        <w:ind w:left="5" w:right="100" w:hanging="5"/>
        <w:spacing w:after="0" w:line="279" w:lineRule="auto"/>
        <w:tabs>
          <w:tab w:leader="none" w:pos="2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213" w:lineRule="exact"/>
        <w:rPr>
          <w:rFonts w:ascii="Arial" w:cs="Arial" w:eastAsia="Arial" w:hAnsi="Arial"/>
          <w:sz w:val="18"/>
          <w:szCs w:val="18"/>
          <w:color w:val="auto"/>
        </w:rPr>
      </w:pPr>
    </w:p>
    <w:p>
      <w:pPr>
        <w:jc w:val="both"/>
        <w:ind w:left="5" w:right="100" w:firstLine="642"/>
        <w:spacing w:after="0" w:line="282" w:lineRule="auto"/>
        <w:tabs>
          <w:tab w:leader="none" w:pos="1180" w:val="left"/>
        </w:tabs>
        <w:numPr>
          <w:ilvl w:val="1"/>
          <w:numId w:val="89"/>
        </w:numPr>
        <w:rPr>
          <w:rFonts w:ascii="Arial" w:cs="Arial" w:eastAsia="Arial" w:hAnsi="Arial"/>
          <w:sz w:val="18"/>
          <w:szCs w:val="18"/>
          <w:color w:val="010000"/>
        </w:rPr>
      </w:pPr>
      <w:r>
        <w:rPr>
          <w:rFonts w:ascii="Arial" w:cs="Arial" w:eastAsia="Arial" w:hAnsi="Arial"/>
          <w:sz w:val="18"/>
          <w:szCs w:val="18"/>
          <w:b w:val="1"/>
          <w:bCs w:val="1"/>
          <w:color w:val="auto"/>
        </w:rPr>
        <w:t xml:space="preserve">Other Arrangements. </w:t>
      </w:r>
      <w:r>
        <w:rPr>
          <w:rFonts w:ascii="Arial" w:cs="Arial" w:eastAsia="Arial" w:hAnsi="Arial"/>
          <w:sz w:val="18"/>
          <w:szCs w:val="18"/>
          <w:color w:val="auto"/>
        </w:rPr>
        <w:t>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agreement governing Equity 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pacing w:after="0" w:line="214" w:lineRule="exact"/>
        <w:rPr>
          <w:rFonts w:ascii="Arial" w:cs="Arial" w:eastAsia="Arial" w:hAnsi="Arial"/>
          <w:sz w:val="18"/>
          <w:szCs w:val="18"/>
          <w:color w:val="010000"/>
        </w:rPr>
      </w:pPr>
    </w:p>
    <w:p>
      <w:pPr>
        <w:jc w:val="both"/>
        <w:ind w:left="5" w:firstLine="643"/>
        <w:spacing w:after="0" w:line="285" w:lineRule="auto"/>
        <w:tabs>
          <w:tab w:leader="none" w:pos="1063" w:val="left"/>
        </w:tabs>
        <w:numPr>
          <w:ilvl w:val="1"/>
          <w:numId w:val="89"/>
        </w:numPr>
        <w:rPr>
          <w:rFonts w:ascii="Arial" w:cs="Arial" w:eastAsia="Arial" w:hAnsi="Arial"/>
          <w:sz w:val="18"/>
          <w:szCs w:val="18"/>
          <w:color w:val="010000"/>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ectPr>
          <w:pgSz w:w="11900" w:h="16838" w:orient="portrait"/>
          <w:cols w:equalWidth="0" w:num="1">
            <w:col w:w="11125"/>
          </w:cols>
          <w:pgMar w:left="435" w:top="1440" w:right="339" w:bottom="1440" w:gutter="0" w:footer="0" w:header="0"/>
        </w:sectPr>
      </w:pPr>
    </w:p>
    <w:bookmarkStart w:id="115" w:name="page116"/>
    <w:bookmarkEnd w:id="115"/>
    <w:p>
      <w:pPr>
        <w:jc w:val="both"/>
        <w:ind w:right="100" w:firstLine="643"/>
        <w:spacing w:after="0" w:line="286" w:lineRule="auto"/>
        <w:tabs>
          <w:tab w:leader="none" w:pos="1122"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207" w:lineRule="exact"/>
        <w:rPr>
          <w:rFonts w:ascii="Arial" w:cs="Arial" w:eastAsia="Arial" w:hAnsi="Arial"/>
          <w:sz w:val="18"/>
          <w:szCs w:val="18"/>
          <w:color w:val="010000"/>
        </w:rPr>
      </w:pPr>
    </w:p>
    <w:p>
      <w:pPr>
        <w:jc w:val="both"/>
        <w:ind w:firstLine="643"/>
        <w:spacing w:after="0" w:line="288" w:lineRule="auto"/>
        <w:tabs>
          <w:tab w:leader="none" w:pos="1068"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21" w:lineRule="exact"/>
        <w:rPr>
          <w:rFonts w:ascii="Arial" w:cs="Arial" w:eastAsia="Arial" w:hAnsi="Arial"/>
          <w:sz w:val="18"/>
          <w:szCs w:val="18"/>
          <w:color w:val="010000"/>
        </w:rPr>
      </w:pPr>
    </w:p>
    <w:p>
      <w:pPr>
        <w:ind w:right="120" w:firstLine="643"/>
        <w:spacing w:after="0" w:line="303" w:lineRule="auto"/>
        <w:tabs>
          <w:tab w:leader="none" w:pos="1044"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206" w:lineRule="exact"/>
        <w:rPr>
          <w:rFonts w:ascii="Arial" w:cs="Arial" w:eastAsia="Arial" w:hAnsi="Arial"/>
          <w:sz w:val="18"/>
          <w:szCs w:val="18"/>
          <w:color w:val="010000"/>
        </w:rPr>
      </w:pPr>
    </w:p>
    <w:p>
      <w:pPr>
        <w:ind w:right="120" w:firstLine="643"/>
        <w:spacing w:after="0" w:line="318" w:lineRule="auto"/>
        <w:tabs>
          <w:tab w:leader="none" w:pos="1080"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180" w:lineRule="exact"/>
        <w:rPr>
          <w:rFonts w:ascii="Arial" w:cs="Arial" w:eastAsia="Arial" w:hAnsi="Arial"/>
          <w:sz w:val="18"/>
          <w:szCs w:val="18"/>
          <w:color w:val="010000"/>
        </w:rPr>
      </w:pPr>
    </w:p>
    <w:p>
      <w:pPr>
        <w:jc w:val="both"/>
        <w:ind w:firstLine="643"/>
        <w:spacing w:after="0" w:line="288" w:lineRule="auto"/>
        <w:tabs>
          <w:tab w:leader="none" w:pos="1149"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 xml:space="preserve">No Retention Rights. </w:t>
      </w:r>
      <w:r>
        <w:rPr>
          <w:rFonts w:ascii="Arial" w:cs="Arial" w:eastAsia="Arial" w:hAnsi="Arial"/>
          <w:sz w:val="18"/>
          <w:szCs w:val="18"/>
          <w:color w:val="auto"/>
        </w:rPr>
        <w:t>Nothing in this Agreement shall confer upon the Executive any right to continue in service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207" w:lineRule="exact"/>
        <w:rPr>
          <w:rFonts w:ascii="Arial" w:cs="Arial" w:eastAsia="Arial" w:hAnsi="Arial"/>
          <w:sz w:val="18"/>
          <w:szCs w:val="18"/>
          <w:color w:val="010000"/>
        </w:rPr>
      </w:pPr>
    </w:p>
    <w:p>
      <w:pPr>
        <w:ind w:firstLine="643"/>
        <w:spacing w:after="0" w:line="318" w:lineRule="auto"/>
        <w:tabs>
          <w:tab w:leader="none" w:pos="1035"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validity, interpretation, construction and performance of this Agreement shall be governed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Washington (other than its choice-of-law provisions).</w:t>
      </w:r>
    </w:p>
    <w:p>
      <w:pPr>
        <w:spacing w:after="0" w:line="248" w:lineRule="exact"/>
        <w:rPr>
          <w:sz w:val="20"/>
          <w:szCs w:val="20"/>
          <w:color w:val="auto"/>
        </w:rPr>
      </w:pPr>
    </w:p>
    <w:p>
      <w:pPr>
        <w:ind w:right="480" w:firstLine="648"/>
        <w:spacing w:after="0" w:line="318"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617855</wp:posOffset>
            </wp:positionV>
            <wp:extent cx="4191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ectPr>
          <w:pgSz w:w="11900" w:h="16838" w:orient="portrait"/>
          <w:cols w:equalWidth="0" w:num="1">
            <w:col w:w="11120"/>
          </w:cols>
          <w:pgMar w:left="440" w:top="134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Pankaj:</w:t>
      </w:r>
    </w:p>
    <w:p>
      <w:pPr>
        <w:spacing w:after="0" w:line="212" w:lineRule="exact"/>
        <w:rPr>
          <w:sz w:val="20"/>
          <w:szCs w:val="20"/>
          <w:color w:val="auto"/>
        </w:rPr>
      </w:pPr>
    </w:p>
    <w:p>
      <w:pPr>
        <w:ind w:left="60" w:right="420"/>
        <w:spacing w:after="0" w:line="241" w:lineRule="auto"/>
        <w:rPr>
          <w:sz w:val="20"/>
          <w:szCs w:val="20"/>
          <w:color w:val="auto"/>
        </w:rPr>
      </w:pPr>
      <w:r>
        <w:rPr>
          <w:rFonts w:ascii="Times New Roman" w:cs="Times New Roman" w:eastAsia="Times New Roman" w:hAnsi="Times New Roman"/>
          <w:sz w:val="20"/>
          <w:szCs w:val="20"/>
          <w:color w:val="auto"/>
        </w:rPr>
        <w:t>This letter agreement amends and restates the existing offer letter between you and Remitly Global,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dated August 6, 2024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You will continue to work in the role of Chief Business Officer, reporting to the Company’s Chief Executive Officer.</w:t>
      </w:r>
    </w:p>
    <w:p>
      <w:pPr>
        <w:spacing w:after="0" w:line="198" w:lineRule="exact"/>
        <w:rPr>
          <w:sz w:val="20"/>
          <w:szCs w:val="20"/>
          <w:color w:val="auto"/>
        </w:rPr>
      </w:pPr>
    </w:p>
    <w:p>
      <w:pPr>
        <w:jc w:val="both"/>
        <w:ind w:left="60" w:right="420" w:hanging="1"/>
        <w:spacing w:after="0" w:line="291" w:lineRule="auto"/>
        <w:tabs>
          <w:tab w:leader="none" w:pos="316" w:val="left"/>
        </w:tabs>
        <w:numPr>
          <w:ilvl w:val="0"/>
          <w:numId w:val="9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Cash Compensation</w:t>
      </w:r>
      <w:r>
        <w:rPr>
          <w:rFonts w:ascii="Times New Roman" w:cs="Times New Roman" w:eastAsia="Times New Roman" w:hAnsi="Times New Roman"/>
          <w:sz w:val="20"/>
          <w:szCs w:val="20"/>
          <w:color w:val="auto"/>
        </w:rPr>
        <w:t>. In this position, the Company will pay you an annual base salary payable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standard payroll schedule. Your pay will be periodically reviewed as a part of the Company’s regular reviews of compensation.</w:t>
      </w:r>
    </w:p>
    <w:p>
      <w:pPr>
        <w:spacing w:after="0" w:line="175" w:lineRule="exact"/>
        <w:rPr>
          <w:rFonts w:ascii="Times New Roman" w:cs="Times New Roman" w:eastAsia="Times New Roman" w:hAnsi="Times New Roman"/>
          <w:sz w:val="20"/>
          <w:szCs w:val="20"/>
          <w:b w:val="1"/>
          <w:bCs w:val="1"/>
          <w:color w:val="010000"/>
        </w:rPr>
      </w:pPr>
    </w:p>
    <w:p>
      <w:pPr>
        <w:jc w:val="both"/>
        <w:ind w:left="60" w:right="420" w:hanging="1"/>
        <w:spacing w:after="0" w:line="283" w:lineRule="auto"/>
        <w:tabs>
          <w:tab w:leader="none" w:pos="316" w:val="left"/>
        </w:tabs>
        <w:numPr>
          <w:ilvl w:val="0"/>
          <w:numId w:val="9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You will continue to be eligible to participate in a number of Company-sponsored benefits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extent that you 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70" w:lineRule="exact"/>
        <w:rPr>
          <w:rFonts w:ascii="Times New Roman" w:cs="Times New Roman" w:eastAsia="Times New Roman" w:hAnsi="Times New Roman"/>
          <w:sz w:val="20"/>
          <w:szCs w:val="20"/>
          <w:b w:val="1"/>
          <w:bCs w:val="1"/>
          <w:color w:val="010000"/>
        </w:rPr>
      </w:pPr>
    </w:p>
    <w:p>
      <w:pPr>
        <w:jc w:val="both"/>
        <w:ind w:left="60" w:right="420" w:hanging="1"/>
        <w:spacing w:after="0" w:line="291" w:lineRule="auto"/>
        <w:tabs>
          <w:tab w:leader="none" w:pos="316" w:val="left"/>
        </w:tabs>
        <w:numPr>
          <w:ilvl w:val="0"/>
          <w:numId w:val="9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Benefits</w:t>
      </w:r>
      <w:r>
        <w:rPr>
          <w:rFonts w:ascii="Times New Roman" w:cs="Times New Roman" w:eastAsia="Times New Roman" w:hAnsi="Times New Roman"/>
          <w:sz w:val="20"/>
          <w:szCs w:val="20"/>
          <w:color w:val="auto"/>
        </w:rPr>
        <w:t>. You will be eligible to receive change in control and severance payments and benefits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in Control and Severance Agreement (the “</w:t>
      </w:r>
      <w:r>
        <w:rPr>
          <w:rFonts w:ascii="Times New Roman" w:cs="Times New Roman" w:eastAsia="Times New Roman" w:hAnsi="Times New Roman"/>
          <w:sz w:val="20"/>
          <w:szCs w:val="20"/>
          <w:b w:val="1"/>
          <w:bCs w:val="1"/>
          <w:color w:val="auto"/>
        </w:rPr>
        <w:t>Severance Agreement</w:t>
      </w:r>
      <w:r>
        <w:rPr>
          <w:rFonts w:ascii="Times New Roman" w:cs="Times New Roman" w:eastAsia="Times New Roman" w:hAnsi="Times New Roman"/>
          <w:sz w:val="20"/>
          <w:szCs w:val="20"/>
          <w:color w:val="auto"/>
        </w:rPr>
        <w:t xml:space="preserve">”) between you and the Company, attached to this offer letter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b w:val="1"/>
          <w:bCs w:val="1"/>
          <w:color w:val="010000"/>
        </w:rPr>
      </w:pPr>
    </w:p>
    <w:p>
      <w:pPr>
        <w:ind w:left="60" w:right="420" w:hanging="1"/>
        <w:spacing w:after="0" w:line="315" w:lineRule="auto"/>
        <w:tabs>
          <w:tab w:leader="none" w:pos="316" w:val="left"/>
        </w:tabs>
        <w:numPr>
          <w:ilvl w:val="0"/>
          <w:numId w:val="9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color w:val="auto"/>
        </w:rPr>
        <w:t>. By signing this letter agreement, you reaffirm the terms and conditions of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Invention Assignment, Confidentiality, and Non-Competition Agreement by and between you and the Company.</w:t>
      </w:r>
    </w:p>
    <w:p>
      <w:pPr>
        <w:spacing w:after="0" w:line="138" w:lineRule="exact"/>
        <w:rPr>
          <w:rFonts w:ascii="Times New Roman" w:cs="Times New Roman" w:eastAsia="Times New Roman" w:hAnsi="Times New Roman"/>
          <w:sz w:val="20"/>
          <w:szCs w:val="20"/>
          <w:b w:val="1"/>
          <w:bCs w:val="1"/>
          <w:color w:val="010000"/>
        </w:rPr>
      </w:pPr>
    </w:p>
    <w:p>
      <w:pPr>
        <w:jc w:val="both"/>
        <w:ind w:left="60" w:right="420" w:hanging="1"/>
        <w:spacing w:after="0" w:line="279" w:lineRule="auto"/>
        <w:tabs>
          <w:tab w:leader="none" w:pos="316" w:val="left"/>
        </w:tabs>
        <w:numPr>
          <w:ilvl w:val="0"/>
          <w:numId w:val="9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Conflicting Obligations</w:t>
      </w:r>
      <w:r>
        <w:rPr>
          <w:rFonts w:ascii="Times New Roman" w:cs="Times New Roman" w:eastAsia="Times New Roman" w:hAnsi="Times New Roman"/>
          <w:sz w:val="20"/>
          <w:szCs w:val="20"/>
          <w:color w:val="auto"/>
        </w:rPr>
        <w:t>. You understand and agree that by signing this letter agreement, you represent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316865</wp:posOffset>
            </wp:positionV>
            <wp:extent cx="16459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60" w:hanging="1"/>
        <w:spacing w:after="0" w:line="222" w:lineRule="auto"/>
        <w:tabs>
          <w:tab w:leader="none" w:pos="175" w:val="left"/>
        </w:tabs>
        <w:numPr>
          <w:ilvl w:val="0"/>
          <w:numId w:val="92"/>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Any reference to the Company will be understood to include any direct or indirect subsidiary of the Company that employs you, including Remitly, Inc.</w:t>
      </w:r>
    </w:p>
    <w:p>
      <w:pPr>
        <w:sectPr>
          <w:pgSz w:w="11900" w:h="16838" w:orient="portrait"/>
          <w:cols w:equalWidth="0" w:num="1">
            <w:col w:w="10580"/>
          </w:cols>
          <w:pgMar w:left="980" w:top="108" w:right="339" w:bottom="1440" w:gutter="0" w:footer="0" w:header="0"/>
        </w:sectPr>
      </w:pPr>
    </w:p>
    <w:bookmarkStart w:id="117" w:name="page118"/>
    <w:bookmarkEnd w:id="117"/>
    <w:p>
      <w:pPr>
        <w:jc w:val="both"/>
        <w:ind w:left="1" w:hanging="1"/>
        <w:spacing w:after="0" w:line="288" w:lineRule="auto"/>
        <w:tabs>
          <w:tab w:leader="none" w:pos="258" w:val="left"/>
        </w:tabs>
        <w:numPr>
          <w:ilvl w:val="0"/>
          <w:numId w:val="9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color w:val="auto"/>
        </w:rPr>
        <w:t>. While you render services to the Company, you agree that you will not engage in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65" w:lineRule="exact"/>
        <w:rPr>
          <w:rFonts w:ascii="Times New Roman" w:cs="Times New Roman" w:eastAsia="Times New Roman" w:hAnsi="Times New Roman"/>
          <w:sz w:val="20"/>
          <w:szCs w:val="20"/>
          <w:b w:val="1"/>
          <w:bCs w:val="1"/>
          <w:color w:val="010000"/>
        </w:rPr>
      </w:pPr>
    </w:p>
    <w:p>
      <w:pPr>
        <w:jc w:val="both"/>
        <w:ind w:left="1" w:hanging="1"/>
        <w:spacing w:after="0" w:line="283" w:lineRule="auto"/>
        <w:tabs>
          <w:tab w:leader="none" w:pos="258" w:val="left"/>
        </w:tabs>
        <w:numPr>
          <w:ilvl w:val="0"/>
          <w:numId w:val="9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 practices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83" w:lineRule="exact"/>
        <w:rPr>
          <w:rFonts w:ascii="Times New Roman" w:cs="Times New Roman" w:eastAsia="Times New Roman" w:hAnsi="Times New Roman"/>
          <w:sz w:val="20"/>
          <w:szCs w:val="20"/>
          <w:b w:val="1"/>
          <w:bCs w:val="1"/>
          <w:color w:val="010000"/>
        </w:rPr>
      </w:pPr>
    </w:p>
    <w:p>
      <w:pPr>
        <w:jc w:val="both"/>
        <w:ind w:left="1" w:hanging="1"/>
        <w:spacing w:after="0" w:line="277" w:lineRule="auto"/>
        <w:tabs>
          <w:tab w:leader="none" w:pos="258" w:val="left"/>
        </w:tabs>
        <w:numPr>
          <w:ilvl w:val="0"/>
          <w:numId w:val="9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You and the Company agree to submit to mandatory binding arbitration, governed by the Federal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w:t>
      </w:r>
      <w:r>
        <w:rPr>
          <w:rFonts w:ascii="Times New Roman" w:cs="Times New Roman" w:eastAsia="Times New Roman" w:hAnsi="Times New Roman"/>
          <w:sz w:val="20"/>
          <w:szCs w:val="20"/>
          <w:b w:val="1"/>
          <w:bCs w:val="1"/>
          <w:color w:val="auto"/>
        </w:rPr>
        <w:t>FAA</w:t>
      </w:r>
      <w:r>
        <w:rPr>
          <w:rFonts w:ascii="Times New Roman" w:cs="Times New Roman" w:eastAsia="Times New Roman" w:hAnsi="Times New Roman"/>
          <w:sz w:val="20"/>
          <w:szCs w:val="20"/>
          <w:color w:val="auto"/>
        </w:rPr>
        <w:t>”), any and all claims arising 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Times New Roman" w:cs="Times New Roman" w:eastAsia="Times New Roman" w:hAnsi="Times New Roman"/>
          <w:sz w:val="20"/>
          <w:szCs w:val="20"/>
          <w:b w:val="1"/>
          <w:bCs w:val="1"/>
          <w:color w:val="auto"/>
        </w:rPr>
        <w:t>Arbitrable Claims</w:t>
      </w:r>
      <w:r>
        <w:rPr>
          <w:rFonts w:ascii="Times New Roman" w:cs="Times New Roman" w:eastAsia="Times New Roman" w:hAnsi="Times New Roman"/>
          <w:sz w:val="20"/>
          <w:szCs w:val="20"/>
          <w:color w:val="auto"/>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Times New Roman" w:cs="Times New Roman" w:eastAsia="Times New Roman" w:hAnsi="Times New Roman"/>
          <w:sz w:val="20"/>
          <w:szCs w:val="20"/>
          <w:u w:val="single" w:color="auto"/>
          <w:color w:val="auto"/>
        </w:rPr>
        <w:t>Nothing in this Arbitration and Class Action Waiver section, however, restricts your right to pursue claims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 xml:space="preserve">court: (a) on a representative action basis under applicable law, or (b) arising under the Washington State Law Against Discrimination (RCW 49.60, </w:t>
      </w:r>
      <w:r>
        <w:rPr>
          <w:rFonts w:ascii="Times New Roman" w:cs="Times New Roman" w:eastAsia="Times New Roman" w:hAnsi="Times New Roman"/>
          <w:sz w:val="20"/>
          <w:szCs w:val="20"/>
          <w:i w:val="1"/>
          <w:iCs w:val="1"/>
          <w:u w:val="single" w:color="auto"/>
          <w:color w:val="auto"/>
        </w:rPr>
        <w:t>et seq</w:t>
      </w:r>
      <w:r>
        <w:rPr>
          <w:rFonts w:ascii="Times New Roman" w:cs="Times New Roman" w:eastAsia="Times New Roman" w:hAnsi="Times New Roman"/>
          <w:sz w:val="20"/>
          <w:szCs w:val="20"/>
          <w:u w:val="single" w:color="auto"/>
          <w:color w:val="auto"/>
        </w:rPr>
        <w:t>.) or any federal anti-discrimination law.</w:t>
      </w:r>
    </w:p>
    <w:p>
      <w:pPr>
        <w:spacing w:after="0" w:line="180" w:lineRule="exact"/>
        <w:rPr>
          <w:sz w:val="20"/>
          <w:szCs w:val="20"/>
          <w:color w:val="auto"/>
        </w:rPr>
      </w:pPr>
    </w:p>
    <w:p>
      <w:pPr>
        <w:ind w:left="1" w:right="240"/>
        <w:spacing w:after="0" w:line="286" w:lineRule="auto"/>
        <w:rPr>
          <w:sz w:val="20"/>
          <w:szCs w:val="20"/>
          <w:color w:val="auto"/>
        </w:rPr>
      </w:pPr>
      <w:r>
        <w:rPr>
          <w:rFonts w:ascii="Times New Roman" w:cs="Times New Roman" w:eastAsia="Times New Roman" w:hAnsi="Times New Roman"/>
          <w:sz w:val="20"/>
          <w:szCs w:val="20"/>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73" w:lineRule="exact"/>
        <w:rPr>
          <w:sz w:val="20"/>
          <w:szCs w:val="20"/>
          <w:color w:val="auto"/>
        </w:rPr>
      </w:pPr>
    </w:p>
    <w:p>
      <w:pPr>
        <w:ind w:left="1" w:firstLine="648"/>
        <w:spacing w:after="0" w:line="278" w:lineRule="auto"/>
        <w:rPr>
          <w:sz w:val="20"/>
          <w:szCs w:val="20"/>
          <w:color w:val="auto"/>
        </w:rPr>
      </w:pPr>
      <w:r>
        <w:rPr>
          <w:rFonts w:ascii="Times New Roman" w:cs="Times New Roman" w:eastAsia="Times New Roman" w:hAnsi="Times New Roman"/>
          <w:sz w:val="20"/>
          <w:szCs w:val="20"/>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Times New Roman" w:cs="Times New Roman" w:eastAsia="Times New Roman" w:hAnsi="Times New Roman"/>
          <w:sz w:val="20"/>
          <w:szCs w:val="20"/>
          <w:color w:val="0E32E1"/>
        </w:rPr>
        <w:t>http://www.jamsadr.com/rules-employment-arbitration</w:t>
      </w:r>
      <w:r>
        <w:rPr>
          <w:rFonts w:ascii="Times New Roman" w:cs="Times New Roman" w:eastAsia="Times New Roman" w:hAnsi="Times New Roman"/>
          <w:sz w:val="20"/>
          <w:szCs w:val="20"/>
          <w:color w:val="000000"/>
        </w:rPr>
        <w:t>. If you are unable to access these rules, please let me know and I will</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provide you with a hardcopy. The arbitrator</w:t>
      </w:r>
    </w:p>
    <w:p>
      <w:pPr>
        <w:sectPr>
          <w:pgSz w:w="11900" w:h="16838" w:orient="portrait"/>
          <w:cols w:equalWidth="0" w:num="1">
            <w:col w:w="10101"/>
          </w:cols>
          <w:pgMar w:left="1039" w:top="1436" w:right="759" w:bottom="1440" w:gutter="0" w:footer="0" w:header="0"/>
        </w:sectPr>
      </w:pPr>
    </w:p>
    <w:bookmarkStart w:id="118" w:name="page119"/>
    <w:bookmarkEnd w:id="118"/>
    <w:p>
      <w:pPr>
        <w:jc w:val="both"/>
        <w:ind w:left="1" w:right="300"/>
        <w:spacing w:after="0" w:line="289" w:lineRule="auto"/>
        <w:rPr>
          <w:sz w:val="20"/>
          <w:szCs w:val="20"/>
          <w:color w:val="auto"/>
        </w:rPr>
      </w:pPr>
      <w:r>
        <w:rPr>
          <w:rFonts w:ascii="Times New Roman" w:cs="Times New Roman" w:eastAsia="Times New Roman" w:hAnsi="Times New Roman"/>
          <w:sz w:val="20"/>
          <w:szCs w:val="20"/>
          <w:color w:val="auto"/>
        </w:rPr>
        <w:t>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pacing w:after="0" w:line="164" w:lineRule="exact"/>
        <w:rPr>
          <w:sz w:val="20"/>
          <w:szCs w:val="20"/>
          <w:color w:val="auto"/>
        </w:rPr>
      </w:pPr>
    </w:p>
    <w:p>
      <w:pPr>
        <w:jc w:val="both"/>
        <w:ind w:left="1" w:hanging="1"/>
        <w:spacing w:after="0" w:line="298" w:lineRule="auto"/>
        <w:tabs>
          <w:tab w:leader="none" w:pos="258" w:val="left"/>
        </w:tabs>
        <w:numPr>
          <w:ilvl w:val="0"/>
          <w:numId w:val="9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continue to adhere to the Company’s standards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professionalism, loyalty, integrity, honesty, reliability and respect for all. You will also be expected to continue to comply with the Company’s policies and procedures. The Company is an equal opportunity employer.</w:t>
      </w:r>
    </w:p>
    <w:p>
      <w:pPr>
        <w:spacing w:after="0" w:line="155" w:lineRule="exact"/>
        <w:rPr>
          <w:rFonts w:ascii="Times New Roman" w:cs="Times New Roman" w:eastAsia="Times New Roman" w:hAnsi="Times New Roman"/>
          <w:sz w:val="20"/>
          <w:szCs w:val="20"/>
          <w:b w:val="1"/>
          <w:bCs w:val="1"/>
          <w:color w:val="010000"/>
        </w:rPr>
      </w:pPr>
    </w:p>
    <w:p>
      <w:pPr>
        <w:jc w:val="both"/>
        <w:ind w:left="1" w:hanging="1"/>
        <w:spacing w:after="0" w:line="278" w:lineRule="auto"/>
        <w:tabs>
          <w:tab w:leader="none" w:pos="262" w:val="left"/>
        </w:tabs>
        <w:numPr>
          <w:ilvl w:val="0"/>
          <w:numId w:val="9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with the Company continues to be for no specific period of time.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will continue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90" w:lineRule="exact"/>
        <w:rPr>
          <w:rFonts w:ascii="Times New Roman" w:cs="Times New Roman" w:eastAsia="Times New Roman" w:hAnsi="Times New Roman"/>
          <w:sz w:val="20"/>
          <w:szCs w:val="20"/>
          <w:b w:val="1"/>
          <w:bCs w:val="1"/>
          <w:color w:val="010000"/>
        </w:rPr>
      </w:pPr>
    </w:p>
    <w:p>
      <w:pPr>
        <w:ind w:left="1" w:right="20" w:hanging="1"/>
        <w:spacing w:after="0" w:line="301" w:lineRule="auto"/>
        <w:tabs>
          <w:tab w:leader="none" w:pos="251" w:val="left"/>
        </w:tabs>
        <w:numPr>
          <w:ilvl w:val="0"/>
          <w:numId w:val="9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Withholdings</w:t>
      </w:r>
      <w:r>
        <w:rPr>
          <w:rFonts w:ascii="Times New Roman" w:cs="Times New Roman" w:eastAsia="Times New Roman" w:hAnsi="Times New Roman"/>
          <w:sz w:val="20"/>
          <w:szCs w:val="20"/>
          <w:color w:val="auto"/>
        </w:rPr>
        <w:t>. All forms of compensation paid to you as an employee of the Company shall be less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0101"/>
          </w:cols>
          <w:pgMar w:left="1039" w:top="1440" w:right="759" w:bottom="1440" w:gutter="0" w:footer="0" w:header="0"/>
        </w:sectPr>
      </w:pPr>
    </w:p>
    <w:bookmarkStart w:id="119" w:name="page120"/>
    <w:bookmarkEnd w:id="119"/>
    <w:p>
      <w:pPr>
        <w:spacing w:after="0" w:line="200" w:lineRule="exact"/>
        <w:rPr>
          <w:sz w:val="20"/>
          <w:szCs w:val="20"/>
          <w:color w:val="auto"/>
        </w:rPr>
      </w:pPr>
    </w:p>
    <w:p>
      <w:pPr>
        <w:spacing w:after="0" w:line="2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0"/>
          <w:szCs w:val="20"/>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 REMITLY GLOBAL,INC.</w:t>
      </w:r>
    </w:p>
    <w:p>
      <w:pPr>
        <w:spacing w:after="0" w:line="2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Matthew Oppenheimer</w:t>
      </w:r>
    </w:p>
    <w:p>
      <w:pPr>
        <w:spacing w:after="0" w:line="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Matthew Oppenheimer</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Pankaj Sharma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Pankaj Sharma</w:t>
      </w:r>
    </w:p>
    <w:p>
      <w:pPr>
        <w:sectPr>
          <w:pgSz w:w="11900" w:h="16838" w:orient="portrait"/>
          <w:cols w:equalWidth="0" w:num="1">
            <w:col w:w="9880"/>
          </w:cols>
          <w:pgMar w:left="1040" w:top="1440" w:right="97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Saema:</w:t>
      </w:r>
    </w:p>
    <w:p>
      <w:pPr>
        <w:spacing w:after="0" w:line="212" w:lineRule="exact"/>
        <w:rPr>
          <w:sz w:val="20"/>
          <w:szCs w:val="20"/>
          <w:color w:val="auto"/>
        </w:rPr>
      </w:pPr>
    </w:p>
    <w:p>
      <w:pPr>
        <w:ind w:left="60" w:right="420"/>
        <w:spacing w:after="0" w:line="241" w:lineRule="auto"/>
        <w:rPr>
          <w:sz w:val="20"/>
          <w:szCs w:val="20"/>
          <w:color w:val="auto"/>
        </w:rPr>
      </w:pPr>
      <w:r>
        <w:rPr>
          <w:rFonts w:ascii="Times New Roman" w:cs="Times New Roman" w:eastAsia="Times New Roman" w:hAnsi="Times New Roman"/>
          <w:sz w:val="20"/>
          <w:szCs w:val="20"/>
          <w:color w:val="auto"/>
        </w:rPr>
        <w:t>This letter agreement amends and restates the existing offer letter between you and Remitly Global,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dated November 12, 2020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w:t>
      </w:r>
    </w:p>
    <w:p>
      <w:pPr>
        <w:spacing w:after="0" w:line="227" w:lineRule="exact"/>
        <w:rPr>
          <w:sz w:val="20"/>
          <w:szCs w:val="20"/>
          <w:color w:val="auto"/>
        </w:rPr>
      </w:pPr>
    </w:p>
    <w:p>
      <w:pPr>
        <w:ind w:right="20" w:firstLine="405"/>
        <w:spacing w:after="0" w:line="233" w:lineRule="auto"/>
        <w:rPr>
          <w:sz w:val="20"/>
          <w:szCs w:val="20"/>
          <w:color w:val="auto"/>
        </w:rPr>
      </w:pPr>
      <w:r>
        <w:rPr>
          <w:rFonts w:ascii="Times New Roman" w:cs="Times New Roman" w:eastAsia="Times New Roman" w:hAnsi="Times New Roman"/>
          <w:sz w:val="20"/>
          <w:szCs w:val="20"/>
          <w:color w:val="auto"/>
        </w:rPr>
        <w:t>You will continue to work in the role of Chief Legal and Corporate Affairs Officer, reporting to the Company’s Chief Executive Officer.</w:t>
      </w:r>
    </w:p>
    <w:p>
      <w:pPr>
        <w:spacing w:after="0" w:line="184" w:lineRule="exact"/>
        <w:rPr>
          <w:sz w:val="20"/>
          <w:szCs w:val="20"/>
          <w:color w:val="auto"/>
        </w:rPr>
      </w:pPr>
    </w:p>
    <w:p>
      <w:pPr>
        <w:jc w:val="both"/>
        <w:ind w:left="60" w:right="420" w:hanging="1"/>
        <w:spacing w:after="0" w:line="291" w:lineRule="auto"/>
        <w:tabs>
          <w:tab w:leader="none" w:pos="316" w:val="left"/>
        </w:tabs>
        <w:numPr>
          <w:ilvl w:val="0"/>
          <w:numId w:val="9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Cash Compensation</w:t>
      </w:r>
      <w:r>
        <w:rPr>
          <w:rFonts w:ascii="Times New Roman" w:cs="Times New Roman" w:eastAsia="Times New Roman" w:hAnsi="Times New Roman"/>
          <w:sz w:val="20"/>
          <w:szCs w:val="20"/>
          <w:color w:val="auto"/>
        </w:rPr>
        <w:t>. In this position, the Company will pay you an annual base salary payable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standard payroll schedule. Your pay will be periodically reviewed as a part of the Company’s regular reviews of compensation.</w:t>
      </w:r>
    </w:p>
    <w:p>
      <w:pPr>
        <w:spacing w:after="0" w:line="162" w:lineRule="exact"/>
        <w:rPr>
          <w:rFonts w:ascii="Times New Roman" w:cs="Times New Roman" w:eastAsia="Times New Roman" w:hAnsi="Times New Roman"/>
          <w:sz w:val="20"/>
          <w:szCs w:val="20"/>
          <w:b w:val="1"/>
          <w:bCs w:val="1"/>
          <w:color w:val="010000"/>
        </w:rPr>
      </w:pPr>
    </w:p>
    <w:p>
      <w:pPr>
        <w:jc w:val="both"/>
        <w:ind w:left="60" w:right="420" w:hanging="1"/>
        <w:spacing w:after="0" w:line="288" w:lineRule="auto"/>
        <w:tabs>
          <w:tab w:leader="none" w:pos="316" w:val="left"/>
        </w:tabs>
        <w:numPr>
          <w:ilvl w:val="0"/>
          <w:numId w:val="9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You will continue to be eligible to participate in a number of Company-sponsored benefits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extent that you 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65" w:lineRule="exact"/>
        <w:rPr>
          <w:rFonts w:ascii="Times New Roman" w:cs="Times New Roman" w:eastAsia="Times New Roman" w:hAnsi="Times New Roman"/>
          <w:sz w:val="20"/>
          <w:szCs w:val="20"/>
          <w:b w:val="1"/>
          <w:bCs w:val="1"/>
          <w:color w:val="010000"/>
        </w:rPr>
      </w:pPr>
    </w:p>
    <w:p>
      <w:pPr>
        <w:jc w:val="both"/>
        <w:ind w:left="60" w:right="420" w:hanging="1"/>
        <w:spacing w:after="0" w:line="291" w:lineRule="auto"/>
        <w:tabs>
          <w:tab w:leader="none" w:pos="316" w:val="left"/>
        </w:tabs>
        <w:numPr>
          <w:ilvl w:val="0"/>
          <w:numId w:val="9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Benefits</w:t>
      </w:r>
      <w:r>
        <w:rPr>
          <w:rFonts w:ascii="Times New Roman" w:cs="Times New Roman" w:eastAsia="Times New Roman" w:hAnsi="Times New Roman"/>
          <w:sz w:val="20"/>
          <w:szCs w:val="20"/>
          <w:color w:val="auto"/>
        </w:rPr>
        <w:t>. You will be eligible to receive change in control and severance payments and benefits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in Control and Severance Agreement (the “</w:t>
      </w:r>
      <w:r>
        <w:rPr>
          <w:rFonts w:ascii="Times New Roman" w:cs="Times New Roman" w:eastAsia="Times New Roman" w:hAnsi="Times New Roman"/>
          <w:sz w:val="20"/>
          <w:szCs w:val="20"/>
          <w:b w:val="1"/>
          <w:bCs w:val="1"/>
          <w:color w:val="auto"/>
        </w:rPr>
        <w:t>Severance Agreement</w:t>
      </w:r>
      <w:r>
        <w:rPr>
          <w:rFonts w:ascii="Times New Roman" w:cs="Times New Roman" w:eastAsia="Times New Roman" w:hAnsi="Times New Roman"/>
          <w:sz w:val="20"/>
          <w:szCs w:val="20"/>
          <w:color w:val="auto"/>
        </w:rPr>
        <w:t xml:space="preserve">”) between you and the Company, attached to this offer letter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b w:val="1"/>
          <w:bCs w:val="1"/>
          <w:color w:val="010000"/>
        </w:rPr>
      </w:pPr>
    </w:p>
    <w:p>
      <w:pPr>
        <w:ind w:left="60" w:right="420" w:hanging="1"/>
        <w:spacing w:after="0" w:line="301" w:lineRule="auto"/>
        <w:tabs>
          <w:tab w:leader="none" w:pos="316" w:val="left"/>
        </w:tabs>
        <w:numPr>
          <w:ilvl w:val="0"/>
          <w:numId w:val="9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color w:val="auto"/>
        </w:rPr>
        <w:t>. By signing this letter agreement, you reaffirm the terms and conditions of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Invention Assignment, Confidentiality, and Non-Competition Agreement by and between you and the Company.</w:t>
      </w:r>
    </w:p>
    <w:p>
      <w:pPr>
        <w:spacing w:after="0" w:line="165" w:lineRule="exact"/>
        <w:rPr>
          <w:rFonts w:ascii="Times New Roman" w:cs="Times New Roman" w:eastAsia="Times New Roman" w:hAnsi="Times New Roman"/>
          <w:sz w:val="20"/>
          <w:szCs w:val="20"/>
          <w:b w:val="1"/>
          <w:bCs w:val="1"/>
          <w:color w:val="010000"/>
        </w:rPr>
      </w:pPr>
    </w:p>
    <w:p>
      <w:pPr>
        <w:jc w:val="both"/>
        <w:ind w:left="60" w:right="420" w:hanging="1"/>
        <w:spacing w:after="0" w:line="277" w:lineRule="auto"/>
        <w:tabs>
          <w:tab w:leader="none" w:pos="316" w:val="left"/>
        </w:tabs>
        <w:numPr>
          <w:ilvl w:val="0"/>
          <w:numId w:val="9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Conflicting Obligations</w:t>
      </w:r>
      <w:r>
        <w:rPr>
          <w:rFonts w:ascii="Times New Roman" w:cs="Times New Roman" w:eastAsia="Times New Roman" w:hAnsi="Times New Roman"/>
          <w:sz w:val="20"/>
          <w:szCs w:val="20"/>
          <w:color w:val="auto"/>
        </w:rPr>
        <w:t>. You understand and agree that by signing this letter agreement, you represent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328930</wp:posOffset>
            </wp:positionV>
            <wp:extent cx="1645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right="460" w:hanging="1"/>
        <w:spacing w:after="0" w:line="229" w:lineRule="auto"/>
        <w:tabs>
          <w:tab w:leader="none" w:pos="175" w:val="left"/>
        </w:tabs>
        <w:numPr>
          <w:ilvl w:val="0"/>
          <w:numId w:val="96"/>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Any reference to the Company will be understood to include any direct or indirect subsidiary of the Company that employs you, including Remitly, Inc.</w:t>
      </w:r>
    </w:p>
    <w:p>
      <w:pPr>
        <w:sectPr>
          <w:pgSz w:w="11900" w:h="16838" w:orient="portrait"/>
          <w:cols w:equalWidth="0" w:num="1">
            <w:col w:w="10580"/>
          </w:cols>
          <w:pgMar w:left="980" w:top="108" w:right="339" w:bottom="1440" w:gutter="0" w:footer="0" w:header="0"/>
        </w:sectPr>
      </w:pPr>
    </w:p>
    <w:bookmarkStart w:id="121" w:name="page122"/>
    <w:bookmarkEnd w:id="121"/>
    <w:p>
      <w:pPr>
        <w:jc w:val="both"/>
        <w:ind w:left="1" w:hanging="1"/>
        <w:spacing w:after="0" w:line="288" w:lineRule="auto"/>
        <w:tabs>
          <w:tab w:leader="none" w:pos="258" w:val="left"/>
        </w:tabs>
        <w:numPr>
          <w:ilvl w:val="0"/>
          <w:numId w:val="9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color w:val="auto"/>
        </w:rPr>
        <w:t>. While you render services to the Company, you agree that you will not engage in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65" w:lineRule="exact"/>
        <w:rPr>
          <w:rFonts w:ascii="Times New Roman" w:cs="Times New Roman" w:eastAsia="Times New Roman" w:hAnsi="Times New Roman"/>
          <w:sz w:val="20"/>
          <w:szCs w:val="20"/>
          <w:b w:val="1"/>
          <w:bCs w:val="1"/>
          <w:color w:val="010000"/>
        </w:rPr>
      </w:pPr>
    </w:p>
    <w:p>
      <w:pPr>
        <w:jc w:val="both"/>
        <w:ind w:left="1" w:hanging="1"/>
        <w:spacing w:after="0" w:line="283" w:lineRule="auto"/>
        <w:tabs>
          <w:tab w:leader="none" w:pos="258" w:val="left"/>
        </w:tabs>
        <w:numPr>
          <w:ilvl w:val="0"/>
          <w:numId w:val="9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 practices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83" w:lineRule="exact"/>
        <w:rPr>
          <w:rFonts w:ascii="Times New Roman" w:cs="Times New Roman" w:eastAsia="Times New Roman" w:hAnsi="Times New Roman"/>
          <w:sz w:val="20"/>
          <w:szCs w:val="20"/>
          <w:b w:val="1"/>
          <w:bCs w:val="1"/>
          <w:color w:val="010000"/>
        </w:rPr>
      </w:pPr>
    </w:p>
    <w:p>
      <w:pPr>
        <w:jc w:val="both"/>
        <w:ind w:left="1" w:hanging="1"/>
        <w:spacing w:after="0" w:line="277" w:lineRule="auto"/>
        <w:tabs>
          <w:tab w:leader="none" w:pos="258" w:val="left"/>
        </w:tabs>
        <w:numPr>
          <w:ilvl w:val="0"/>
          <w:numId w:val="9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You and the Company agree to submit to mandatory binding arbitration, governed by the Federal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w:t>
      </w:r>
      <w:r>
        <w:rPr>
          <w:rFonts w:ascii="Times New Roman" w:cs="Times New Roman" w:eastAsia="Times New Roman" w:hAnsi="Times New Roman"/>
          <w:sz w:val="20"/>
          <w:szCs w:val="20"/>
          <w:b w:val="1"/>
          <w:bCs w:val="1"/>
          <w:color w:val="auto"/>
        </w:rPr>
        <w:t>FAA</w:t>
      </w:r>
      <w:r>
        <w:rPr>
          <w:rFonts w:ascii="Times New Roman" w:cs="Times New Roman" w:eastAsia="Times New Roman" w:hAnsi="Times New Roman"/>
          <w:sz w:val="20"/>
          <w:szCs w:val="20"/>
          <w:color w:val="auto"/>
        </w:rPr>
        <w:t>”), any and all claims arising 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Times New Roman" w:cs="Times New Roman" w:eastAsia="Times New Roman" w:hAnsi="Times New Roman"/>
          <w:sz w:val="20"/>
          <w:szCs w:val="20"/>
          <w:b w:val="1"/>
          <w:bCs w:val="1"/>
          <w:color w:val="auto"/>
        </w:rPr>
        <w:t>Arbitrable Claims</w:t>
      </w:r>
      <w:r>
        <w:rPr>
          <w:rFonts w:ascii="Times New Roman" w:cs="Times New Roman" w:eastAsia="Times New Roman" w:hAnsi="Times New Roman"/>
          <w:sz w:val="20"/>
          <w:szCs w:val="20"/>
          <w:color w:val="auto"/>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Times New Roman" w:cs="Times New Roman" w:eastAsia="Times New Roman" w:hAnsi="Times New Roman"/>
          <w:sz w:val="20"/>
          <w:szCs w:val="20"/>
          <w:u w:val="single" w:color="auto"/>
          <w:color w:val="auto"/>
        </w:rPr>
        <w:t>Nothing in this Arbitration and Class Action Waiver section, however, restricts your right to pursue claims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 xml:space="preserve">court: (a) on a representative action basis under applicable law, or (b) arising under the Washington State Law Against Discrimination (RCW 49.60, </w:t>
      </w:r>
      <w:r>
        <w:rPr>
          <w:rFonts w:ascii="Times New Roman" w:cs="Times New Roman" w:eastAsia="Times New Roman" w:hAnsi="Times New Roman"/>
          <w:sz w:val="20"/>
          <w:szCs w:val="20"/>
          <w:i w:val="1"/>
          <w:iCs w:val="1"/>
          <w:u w:val="single" w:color="auto"/>
          <w:color w:val="auto"/>
        </w:rPr>
        <w:t>et seq</w:t>
      </w:r>
      <w:r>
        <w:rPr>
          <w:rFonts w:ascii="Times New Roman" w:cs="Times New Roman" w:eastAsia="Times New Roman" w:hAnsi="Times New Roman"/>
          <w:sz w:val="20"/>
          <w:szCs w:val="20"/>
          <w:u w:val="single" w:color="auto"/>
          <w:color w:val="auto"/>
        </w:rPr>
        <w:t>.) or any federal anti-discrimination law.</w:t>
      </w:r>
    </w:p>
    <w:p>
      <w:pPr>
        <w:spacing w:after="0" w:line="180" w:lineRule="exact"/>
        <w:rPr>
          <w:sz w:val="20"/>
          <w:szCs w:val="20"/>
          <w:color w:val="auto"/>
        </w:rPr>
      </w:pPr>
    </w:p>
    <w:p>
      <w:pPr>
        <w:ind w:left="1" w:right="240"/>
        <w:spacing w:after="0" w:line="286" w:lineRule="auto"/>
        <w:rPr>
          <w:sz w:val="20"/>
          <w:szCs w:val="20"/>
          <w:color w:val="auto"/>
        </w:rPr>
      </w:pPr>
      <w:r>
        <w:rPr>
          <w:rFonts w:ascii="Times New Roman" w:cs="Times New Roman" w:eastAsia="Times New Roman" w:hAnsi="Times New Roman"/>
          <w:sz w:val="20"/>
          <w:szCs w:val="20"/>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73" w:lineRule="exact"/>
        <w:rPr>
          <w:sz w:val="20"/>
          <w:szCs w:val="20"/>
          <w:color w:val="auto"/>
        </w:rPr>
      </w:pPr>
    </w:p>
    <w:p>
      <w:pPr>
        <w:ind w:left="1" w:firstLine="648"/>
        <w:spacing w:after="0" w:line="278" w:lineRule="auto"/>
        <w:rPr>
          <w:sz w:val="20"/>
          <w:szCs w:val="20"/>
          <w:color w:val="auto"/>
        </w:rPr>
      </w:pPr>
      <w:r>
        <w:rPr>
          <w:rFonts w:ascii="Times New Roman" w:cs="Times New Roman" w:eastAsia="Times New Roman" w:hAnsi="Times New Roman"/>
          <w:sz w:val="20"/>
          <w:szCs w:val="20"/>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Times New Roman" w:cs="Times New Roman" w:eastAsia="Times New Roman" w:hAnsi="Times New Roman"/>
          <w:sz w:val="20"/>
          <w:szCs w:val="20"/>
          <w:color w:val="0E32E1"/>
        </w:rPr>
        <w:t>http://www.jamsadr.com/rules-employment-arbitration</w:t>
      </w:r>
      <w:r>
        <w:rPr>
          <w:rFonts w:ascii="Times New Roman" w:cs="Times New Roman" w:eastAsia="Times New Roman" w:hAnsi="Times New Roman"/>
          <w:sz w:val="20"/>
          <w:szCs w:val="20"/>
          <w:color w:val="000000"/>
        </w:rPr>
        <w:t>. If you are unable to access these rules, please let me know and I will</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provide you with a hardcopy. The arbitrator</w:t>
      </w:r>
    </w:p>
    <w:p>
      <w:pPr>
        <w:sectPr>
          <w:pgSz w:w="11900" w:h="16838" w:orient="portrait"/>
          <w:cols w:equalWidth="0" w:num="1">
            <w:col w:w="10101"/>
          </w:cols>
          <w:pgMar w:left="1039" w:top="1436" w:right="759" w:bottom="1440" w:gutter="0" w:footer="0" w:header="0"/>
        </w:sectPr>
      </w:pPr>
    </w:p>
    <w:bookmarkStart w:id="122" w:name="page123"/>
    <w:bookmarkEnd w:id="122"/>
    <w:p>
      <w:pPr>
        <w:jc w:val="both"/>
        <w:ind w:left="1" w:right="300"/>
        <w:spacing w:after="0" w:line="289" w:lineRule="auto"/>
        <w:rPr>
          <w:sz w:val="20"/>
          <w:szCs w:val="20"/>
          <w:color w:val="auto"/>
        </w:rPr>
      </w:pPr>
      <w:r>
        <w:rPr>
          <w:rFonts w:ascii="Times New Roman" w:cs="Times New Roman" w:eastAsia="Times New Roman" w:hAnsi="Times New Roman"/>
          <w:sz w:val="20"/>
          <w:szCs w:val="20"/>
          <w:color w:val="auto"/>
        </w:rPr>
        <w:t>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pacing w:after="0" w:line="164" w:lineRule="exact"/>
        <w:rPr>
          <w:sz w:val="20"/>
          <w:szCs w:val="20"/>
          <w:color w:val="auto"/>
        </w:rPr>
      </w:pPr>
    </w:p>
    <w:p>
      <w:pPr>
        <w:jc w:val="both"/>
        <w:ind w:left="1" w:hanging="1"/>
        <w:spacing w:after="0" w:line="298" w:lineRule="auto"/>
        <w:tabs>
          <w:tab w:leader="none" w:pos="258" w:val="left"/>
        </w:tabs>
        <w:numPr>
          <w:ilvl w:val="0"/>
          <w:numId w:val="9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continue to adhere to the Company’s standards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professionalism, loyalty, integrity, honesty, reliability and respect for all. You will also be expected to continue to comply with the Company’s policies and procedures. The Company is an equal opportunity employer.</w:t>
      </w:r>
    </w:p>
    <w:p>
      <w:pPr>
        <w:spacing w:after="0" w:line="155" w:lineRule="exact"/>
        <w:rPr>
          <w:rFonts w:ascii="Times New Roman" w:cs="Times New Roman" w:eastAsia="Times New Roman" w:hAnsi="Times New Roman"/>
          <w:sz w:val="20"/>
          <w:szCs w:val="20"/>
          <w:b w:val="1"/>
          <w:bCs w:val="1"/>
          <w:color w:val="010000"/>
        </w:rPr>
      </w:pPr>
    </w:p>
    <w:p>
      <w:pPr>
        <w:jc w:val="both"/>
        <w:ind w:left="1" w:hanging="1"/>
        <w:spacing w:after="0" w:line="278" w:lineRule="auto"/>
        <w:tabs>
          <w:tab w:leader="none" w:pos="262" w:val="left"/>
        </w:tabs>
        <w:numPr>
          <w:ilvl w:val="0"/>
          <w:numId w:val="9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with the Company continues to be for no specific period of time.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will continue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90" w:lineRule="exact"/>
        <w:rPr>
          <w:rFonts w:ascii="Times New Roman" w:cs="Times New Roman" w:eastAsia="Times New Roman" w:hAnsi="Times New Roman"/>
          <w:sz w:val="20"/>
          <w:szCs w:val="20"/>
          <w:b w:val="1"/>
          <w:bCs w:val="1"/>
          <w:color w:val="010000"/>
        </w:rPr>
      </w:pPr>
    </w:p>
    <w:p>
      <w:pPr>
        <w:ind w:left="1" w:right="20" w:hanging="1"/>
        <w:spacing w:after="0" w:line="301" w:lineRule="auto"/>
        <w:tabs>
          <w:tab w:leader="none" w:pos="251" w:val="left"/>
        </w:tabs>
        <w:numPr>
          <w:ilvl w:val="0"/>
          <w:numId w:val="9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Withholdings</w:t>
      </w:r>
      <w:r>
        <w:rPr>
          <w:rFonts w:ascii="Times New Roman" w:cs="Times New Roman" w:eastAsia="Times New Roman" w:hAnsi="Times New Roman"/>
          <w:sz w:val="20"/>
          <w:szCs w:val="20"/>
          <w:color w:val="auto"/>
        </w:rPr>
        <w:t>. All forms of compensation paid to you as an employee of the Company shall be less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0101"/>
          </w:cols>
          <w:pgMar w:left="1039" w:top="1440" w:right="759" w:bottom="1440" w:gutter="0" w:footer="0" w:header="0"/>
        </w:sectPr>
      </w:pPr>
    </w:p>
    <w:bookmarkStart w:id="123" w:name="page124"/>
    <w:bookmarkEnd w:id="123"/>
    <w:p>
      <w:pPr>
        <w:spacing w:after="0" w:line="200" w:lineRule="exact"/>
        <w:rPr>
          <w:sz w:val="20"/>
          <w:szCs w:val="20"/>
          <w:color w:val="auto"/>
        </w:rPr>
      </w:pPr>
    </w:p>
    <w:p>
      <w:pPr>
        <w:spacing w:after="0" w:line="2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0"/>
          <w:szCs w:val="20"/>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 REMITLY GLOBAL,INC.</w:t>
      </w:r>
    </w:p>
    <w:p>
      <w:pPr>
        <w:spacing w:after="0" w:line="2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Matthew Oppenheimer</w:t>
      </w:r>
    </w:p>
    <w:p>
      <w:pPr>
        <w:spacing w:after="0" w:line="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Matthew Oppenheimer</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Saema Somalya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Saema Somalya</w:t>
      </w:r>
    </w:p>
    <w:p>
      <w:pPr>
        <w:sectPr>
          <w:pgSz w:w="11900" w:h="16838" w:orient="portrait"/>
          <w:cols w:equalWidth="0" w:num="1">
            <w:col w:w="9880"/>
          </w:cols>
          <w:pgMar w:left="1040" w:top="1440" w:right="979" w:bottom="1440" w:gutter="0" w:footer="0" w:header="0"/>
        </w:sectPr>
      </w:pPr>
    </w:p>
    <w:bookmarkStart w:id="124" w:name="page125"/>
    <w:bookmarkEnd w:id="124"/>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REMITLY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Effective Date: November 13, 2025</w:t>
      </w:r>
    </w:p>
    <w:p>
      <w:pPr>
        <w:spacing w:after="0" w:line="200" w:lineRule="exact"/>
        <w:rPr>
          <w:sz w:val="20"/>
          <w:szCs w:val="20"/>
          <w:color w:val="auto"/>
        </w:rPr>
      </w:pPr>
    </w:p>
    <w:p>
      <w:pPr>
        <w:spacing w:after="0" w:line="374" w:lineRule="exact"/>
        <w:rPr>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Remitly Global, Inc. (together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help its directors, officers, employees, and other service providers comply with insider trading laws and promote high standards of honest and ethical business conduct.</w:t>
      </w:r>
    </w:p>
    <w:p>
      <w:pPr>
        <w:spacing w:after="0" w:line="10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Insider trading happens when someone who is in possession of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trades securities or discloses MNPI to someone else who trades on the basis of that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considering trading our stock or other securities, please keep these three key points in mind:</w:t>
      </w:r>
    </w:p>
    <w:p>
      <w:pPr>
        <w:spacing w:after="0" w:line="171" w:lineRule="exact"/>
        <w:rPr>
          <w:sz w:val="20"/>
          <w:szCs w:val="20"/>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buy or sell our securities when you are in possession of MNPI;</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all MNPI confidential, including from your family and friends;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 doubt about whether you have MNPI, ask before trading.</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You are responsible for understanding and following this Policy and for the consequences of any actions you may take. The Chief Legal and Corporate Affairs Officer and their designees (each, a “</w:t>
      </w:r>
      <w:r>
        <w:rPr>
          <w:rFonts w:ascii="Times New Roman" w:cs="Times New Roman" w:eastAsia="Times New Roman" w:hAnsi="Times New Roman"/>
          <w:sz w:val="18"/>
          <w:szCs w:val="18"/>
          <w:b w:val="1"/>
          <w:bCs w:val="1"/>
          <w:i w:val="1"/>
          <w:iCs w:val="1"/>
          <w:color w:val="auto"/>
        </w:rPr>
        <w:t>Policy Administrator</w:t>
      </w:r>
      <w:r>
        <w:rPr>
          <w:rFonts w:ascii="Times New Roman" w:cs="Times New Roman" w:eastAsia="Times New Roman" w:hAnsi="Times New Roman"/>
          <w:sz w:val="18"/>
          <w:szCs w:val="18"/>
          <w:color w:val="auto"/>
        </w:rPr>
        <w:t>”) will assist with implementing, interpreting, and enforcing this Policy, pre-clearing trading activities of Restricted Insiders (as defined below), and pre-approving any Rule 10b5-1 Plans (as discussed below).</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Policy Scope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covered by this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applies to (collectively,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right="400" w:hanging="324"/>
        <w:spacing w:after="0" w:line="261" w:lineRule="auto"/>
        <w:tabs>
          <w:tab w:leader="none" w:pos="9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and other people who gain access to Company MNPI, including contractors, vendors, consultants, and board members;</w:t>
      </w: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spouses, domestic partners, and minor children (even if financially independent) of such directors, officers, or employees;</w:t>
      </w:r>
    </w:p>
    <w:p>
      <w:pPr>
        <w:spacing w:after="0" w:line="9" w:lineRule="exact"/>
        <w:rPr>
          <w:rFonts w:ascii="Times New Roman" w:cs="Times New Roman" w:eastAsia="Times New Roman" w:hAnsi="Times New Roman"/>
          <w:sz w:val="18"/>
          <w:szCs w:val="18"/>
          <w:color w:val="auto"/>
        </w:rPr>
      </w:pPr>
    </w:p>
    <w:p>
      <w:pPr>
        <w:ind w:left="980" w:right="280" w:hanging="324"/>
        <w:spacing w:after="0" w:line="250" w:lineRule="auto"/>
        <w:tabs>
          <w:tab w:leader="none" w:pos="9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people sharing their households or subject to influence or control of our employees and board members (including those who consult those employees and board members before they trade in Remitly securities); and</w:t>
      </w:r>
    </w:p>
    <w:p>
      <w:pPr>
        <w:ind w:left="980" w:right="640" w:hanging="324"/>
        <w:spacing w:after="0" w:line="260" w:lineRule="auto"/>
        <w:tabs>
          <w:tab w:leader="none" w:pos="9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entities such as venture capital funds, partnerships, trusts, and corporations which are associated or affiliated with our employees, contractors, consultants, and board members.</w:t>
      </w:r>
    </w:p>
    <w:p>
      <w:pPr>
        <w:spacing w:after="0" w:line="12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Additional trading restrictions in this Policy apply to directors and executive officers of Remitly Global, Inc. (“</w:t>
      </w:r>
      <w:r>
        <w:rPr>
          <w:rFonts w:ascii="Times New Roman" w:cs="Times New Roman" w:eastAsia="Times New Roman" w:hAnsi="Times New Roman"/>
          <w:sz w:val="18"/>
          <w:szCs w:val="18"/>
          <w:b w:val="1"/>
          <w:bCs w:val="1"/>
          <w:i w:val="1"/>
          <w:iCs w:val="1"/>
          <w:color w:val="auto"/>
        </w:rPr>
        <w:t>Section 16 Reporting Persons</w:t>
      </w:r>
      <w:r>
        <w:rPr>
          <w:rFonts w:ascii="Times New Roman" w:cs="Times New Roman" w:eastAsia="Times New Roman" w:hAnsi="Times New Roman"/>
          <w:sz w:val="18"/>
          <w:szCs w:val="18"/>
          <w:color w:val="auto"/>
        </w:rPr>
        <w:t>”) and other key employees and insiders listed on Exhibit A (collectively, the “</w:t>
      </w:r>
      <w:r>
        <w:rPr>
          <w:rFonts w:ascii="Times New Roman" w:cs="Times New Roman" w:eastAsia="Times New Roman" w:hAnsi="Times New Roman"/>
          <w:sz w:val="18"/>
          <w:szCs w:val="18"/>
          <w:b w:val="1"/>
          <w:bCs w:val="1"/>
          <w:i w:val="1"/>
          <w:iCs w:val="1"/>
          <w:color w:val="auto"/>
        </w:rPr>
        <w:t>Restricted Insiders</w:t>
      </w:r>
      <w:r>
        <w:rPr>
          <w:rFonts w:ascii="Times New Roman" w:cs="Times New Roman" w:eastAsia="Times New Roman" w:hAnsi="Times New Roman"/>
          <w:sz w:val="18"/>
          <w:szCs w:val="18"/>
          <w:color w:val="auto"/>
        </w:rPr>
        <w:t>”) who have regular access to MNPI in the normal course of their job. The list of Restricted Insiders will be subject to periodic modification from time to time as required in order to comply with legal requirements and best practices.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if you are aware of MNPI when your employment or service relationship with the Company ends, you still may not trade our securities until that MNPI has become public or is no longer material.</w:t>
      </w:r>
    </w:p>
    <w:p>
      <w:pPr>
        <w:sectPr>
          <w:pgSz w:w="11900" w:h="16838" w:orient="portrait"/>
          <w:cols w:equalWidth="0" w:num="1">
            <w:col w:w="11240"/>
          </w:cols>
          <w:pgMar w:left="320" w:top="14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covered by this Policy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primary purpose of this Policy is to prevent people who are in possession of MNPI from trading in our stock or other securities or disclosing MNPI to someone else who trades on the basis of that information. This Policy applies to all transactions involving our securities, including common stock,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options and warrants to purchase common stock, and any other debt or equity securities the Company may issue from time to time, such as bonds, preferred stock, convertible notes, as well as to derivative securities relating to the Company’s securities, whether or not issued by the Company, such as exchange-traded options.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information</w:t>
      </w:r>
      <w:r>
        <w:rPr>
          <w:rFonts w:ascii="Times New Roman" w:cs="Times New Roman" w:eastAsia="Times New Roman" w:hAnsi="Times New Roman"/>
          <w:sz w:val="18"/>
          <w:szCs w:val="18"/>
          <w:color w:val="auto"/>
        </w:rPr>
        <w:t>” is information about our company that a reasonable investor would consider important in making a decision to purchase or sell the Company’s securities. Material information can be positive or negative and can relate to virtually any aspect of the Company’s business. Determination of what may constitute material information will depend upon the facts and circumstances in each particular situation.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examples of material information may include (but are not limited to):</w:t>
      </w:r>
    </w:p>
    <w:p>
      <w:pPr>
        <w:spacing w:after="0" w:line="171" w:lineRule="exact"/>
        <w:rPr>
          <w:sz w:val="20"/>
          <w:szCs w:val="20"/>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forecasted revenues, earnings, or other financial results;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 or other product developments;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partners or the loss of a significant contract or partner;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the Company’s technology or business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or acquisitions, joint ventures, restructurings, or dispositions of significant subsidiaries or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litigation or regulatory inquiries or developments in existing litigation or inquiries;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 or data breaches;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 borrowings, or financings or capital investments;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financial condition or asset value or liquidity issues;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corporate strategy;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 stock splits, or changes in dividend policy.</w:t>
      </w:r>
    </w:p>
    <w:p>
      <w:pPr>
        <w:spacing w:after="0" w:line="14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means that the confidential information has not yet been shared broadly outside the Company. If you are not sure whether information is considered public, you should either consult with the Policy Administrator or our Corporate Legal team, or assume that the information is nonpublic and treat it as confidential.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Companies’ Stock</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remember as well that we may possess confidential information relating to or belonging to our customers, partners, or other third parties and that it is equally important that we treat this information with the same care with which we treat our own information.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Prohibited Activities and Other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Prohibited Activities for All Covered Persons</w:t>
      </w:r>
    </w:p>
    <w:p>
      <w:pPr>
        <w:spacing w:after="0" w:line="175" w:lineRule="exact"/>
        <w:rPr>
          <w:sz w:val="20"/>
          <w:szCs w:val="20"/>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while in possession of MNPI or during a Blackout Period:</w:t>
      </w:r>
    </w:p>
    <w:p>
      <w:pPr>
        <w:spacing w:after="0" w:line="27" w:lineRule="exact"/>
        <w:rPr>
          <w:rFonts w:ascii="Times New Roman" w:cs="Times New Roman" w:eastAsia="Times New Roman" w:hAnsi="Times New Roman"/>
          <w:sz w:val="18"/>
          <w:szCs w:val="18"/>
          <w:color w:val="auto"/>
        </w:rPr>
      </w:pPr>
    </w:p>
    <w:p>
      <w:pPr>
        <w:ind w:left="1620" w:right="40" w:hanging="316"/>
        <w:spacing w:after="0" w:line="250" w:lineRule="auto"/>
        <w:tabs>
          <w:tab w:leader="none" w:pos="161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our securities </w:t>
      </w:r>
      <w:r>
        <w:rPr>
          <w:rFonts w:ascii="Times New Roman" w:cs="Times New Roman" w:eastAsia="Times New Roman" w:hAnsi="Times New Roman"/>
          <w:sz w:val="18"/>
          <w:szCs w:val="18"/>
          <w:u w:val="single" w:color="auto"/>
          <w:color w:val="auto"/>
        </w:rPr>
        <w:t>at any time</w:t>
      </w:r>
      <w:r>
        <w:rPr>
          <w:rFonts w:ascii="Times New Roman" w:cs="Times New Roman" w:eastAsia="Times New Roman" w:hAnsi="Times New Roman"/>
          <w:sz w:val="18"/>
          <w:szCs w:val="18"/>
          <w:color w:val="auto"/>
        </w:rPr>
        <w:t xml:space="preserve"> while in possession of any MNPI (other than pursuant to a 10b5-1 Plan entered into in accordance with this Policy), regardless of whether a Blackout Period is in place.</w:t>
      </w:r>
    </w:p>
    <w:p>
      <w:pPr>
        <w:ind w:left="1620" w:right="100" w:hanging="316"/>
        <w:spacing w:after="0" w:line="250" w:lineRule="auto"/>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our securities outside of a Trading Window or during a Blackout Period designated by the Policy Administrator (other than pursuant to a 10b5-1 Plan entered into in accordance with this Policy). See the definition of “</w:t>
      </w:r>
      <w:r>
        <w:rPr>
          <w:rFonts w:ascii="Times New Roman" w:cs="Times New Roman" w:eastAsia="Times New Roman" w:hAnsi="Times New Roman"/>
          <w:sz w:val="18"/>
          <w:szCs w:val="18"/>
          <w:b w:val="1"/>
          <w:bCs w:val="1"/>
          <w:i w:val="1"/>
          <w:iCs w:val="1"/>
          <w:color w:val="auto"/>
        </w:rPr>
        <w:t>Trading Window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securities of another company (including securities you may already own) if you have MNPI about that company.</w:t>
      </w:r>
    </w:p>
    <w:p>
      <w:pPr>
        <w:sectPr>
          <w:pgSz w:w="11900" w:h="16838" w:orient="portrait"/>
          <w:cols w:equalWidth="0" w:num="1">
            <w:col w:w="11180"/>
          </w:cols>
          <w:pgMar w:left="320" w:top="1413" w:right="399" w:bottom="1440" w:gutter="0" w:footer="0" w:header="0"/>
        </w:sectPr>
      </w:pPr>
    </w:p>
    <w:bookmarkStart w:id="126" w:name="page127"/>
    <w:bookmarkEnd w:id="126"/>
    <w:p>
      <w:pPr>
        <w:jc w:val="both"/>
        <w:ind w:left="1620" w:right="80" w:hanging="316"/>
        <w:spacing w:after="0" w:line="257" w:lineRule="auto"/>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our securities to limited partners, general partners, or stockholders of any entity outside of a Trading Window or during a Blackout Period, unless those limited partners, general partners, or stockholders have agreed in writing to hold the securities until the next open Trading Window.</w:t>
      </w:r>
    </w:p>
    <w:p>
      <w:pPr>
        <w:spacing w:after="0" w:line="1" w:lineRule="exact"/>
        <w:rPr>
          <w:rFonts w:ascii="Times New Roman" w:cs="Times New Roman" w:eastAsia="Times New Roman" w:hAnsi="Times New Roman"/>
          <w:sz w:val="18"/>
          <w:szCs w:val="18"/>
          <w:color w:val="auto"/>
        </w:rPr>
      </w:pPr>
    </w:p>
    <w:p>
      <w:pPr>
        <w:ind w:left="1620" w:right="400" w:hanging="316"/>
        <w:spacing w:after="0" w:line="250" w:lineRule="auto"/>
        <w:tabs>
          <w:tab w:leader="none" w:pos="161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Gifts - Unless approved in advance by the Policy Administrator, making a gift, charitable contribution, or other transfer without consideration, of our securities during a period when the Covered Person cannot trade.</w:t>
      </w: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MNPI:</w:t>
      </w:r>
    </w:p>
    <w:p>
      <w:pPr>
        <w:spacing w:after="0" w:line="9" w:lineRule="exact"/>
        <w:rPr>
          <w:rFonts w:ascii="Times New Roman" w:cs="Times New Roman" w:eastAsia="Times New Roman" w:hAnsi="Times New Roman"/>
          <w:sz w:val="18"/>
          <w:szCs w:val="18"/>
          <w:color w:val="auto"/>
        </w:rPr>
      </w:pPr>
    </w:p>
    <w:p>
      <w:pPr>
        <w:ind w:left="1620" w:right="100" w:hanging="316"/>
        <w:spacing w:after="0" w:line="250" w:lineRule="auto"/>
        <w:tabs>
          <w:tab w:leader="none" w:pos="161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Sharing MNPI with any outside person, unless required by your job and such person is under NDA, or as authorized by the Policy Administrator. Sharing MNPI directly or indirectly with any other person, including family members, where such information may be used by such person to their profit by trading or in recommending or advising others to trade in the securities of companies to which the MNPI relates, is considered “tipping” and will violate this Policy.</w:t>
      </w:r>
    </w:p>
    <w:p>
      <w:pPr>
        <w:spacing w:after="0" w:line="1" w:lineRule="exact"/>
        <w:rPr>
          <w:rFonts w:ascii="Times New Roman" w:cs="Times New Roman" w:eastAsia="Times New Roman" w:hAnsi="Times New Roman"/>
          <w:sz w:val="18"/>
          <w:szCs w:val="18"/>
          <w:color w:val="auto"/>
        </w:rPr>
      </w:pPr>
    </w:p>
    <w:p>
      <w:pPr>
        <w:ind w:left="1620" w:right="560" w:hanging="316"/>
        <w:spacing w:after="0" w:line="250" w:lineRule="auto"/>
        <w:tabs>
          <w:tab w:leader="none" w:pos="16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trading advice or expressing trading opinions about the Company, unless the advice is to tell someone not to trade our securities because the trade would violate this Policy or the law.</w:t>
      </w: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derivative transactions:</w:t>
      </w:r>
    </w:p>
    <w:p>
      <w:pPr>
        <w:spacing w:after="0" w:line="9" w:lineRule="exact"/>
        <w:rPr>
          <w:rFonts w:ascii="Times New Roman" w:cs="Times New Roman" w:eastAsia="Times New Roman" w:hAnsi="Times New Roman"/>
          <w:sz w:val="18"/>
          <w:szCs w:val="18"/>
          <w:color w:val="auto"/>
        </w:rPr>
      </w:pPr>
    </w:p>
    <w:p>
      <w:pPr>
        <w:ind w:left="1620" w:hanging="316"/>
        <w:spacing w:after="0" w:line="250" w:lineRule="auto"/>
        <w:tabs>
          <w:tab w:leader="none" w:pos="161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exercise of equity awards issued by us, engaging in transactions involving options or other derivative securities on our stock, such as puts and calls, whether on an exchange or in any other market.</w:t>
      </w:r>
    </w:p>
    <w:p>
      <w:pPr>
        <w:ind w:left="1620" w:right="240" w:hanging="316"/>
        <w:spacing w:after="0" w:line="250" w:lineRule="auto"/>
        <w:tabs>
          <w:tab w:leader="none" w:pos="16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or monetization transactions involving our securities, such as zero cost collars and forward sale contracts, or contributing our securities to exchange funds in a manner that could be interpreted as hedging in our stock.</w:t>
      </w:r>
    </w:p>
    <w:p>
      <w:pPr>
        <w:ind w:left="1620" w:hanging="316"/>
        <w:spacing w:after="0"/>
        <w:tabs>
          <w:tab w:leader="none" w:pos="16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sales of our securities, meaning a sale of securities that you do not own, including short sales “against the box.”</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of Company securities:</w:t>
      </w:r>
    </w:p>
    <w:p>
      <w:pPr>
        <w:spacing w:after="0" w:line="9" w:lineRule="exact"/>
        <w:rPr>
          <w:rFonts w:ascii="Times New Roman" w:cs="Times New Roman" w:eastAsia="Times New Roman" w:hAnsi="Times New Roman"/>
          <w:sz w:val="18"/>
          <w:szCs w:val="18"/>
          <w:color w:val="auto"/>
        </w:rPr>
      </w:pPr>
    </w:p>
    <w:p>
      <w:pPr>
        <w:ind w:left="1620" w:right="100" w:hanging="316"/>
        <w:spacing w:after="0" w:line="255" w:lineRule="auto"/>
        <w:tabs>
          <w:tab w:leader="none" w:pos="161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Using or pledging our securities as collateral in a margin account or as collateral for a loan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the pledge has been pre-approved by the Chief Legal and Corporate Affairs Officer based on the guidelines set forth by the board of directors for pledges, and the Covered Person clearly demonstrates the financial capacity to repay such loan without resort to any pledged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Restrictions Applicable to Restricted Insiders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restrictions noted above for Covered Persons also apply to our Restricted Insiders.</w:t>
      </w:r>
    </w:p>
    <w:p>
      <w:pPr>
        <w:spacing w:after="0" w:line="16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Pre-Approval for Trades. </w:t>
      </w:r>
      <w:r>
        <w:rPr>
          <w:rFonts w:ascii="Times New Roman" w:cs="Times New Roman" w:eastAsia="Times New Roman" w:hAnsi="Times New Roman"/>
          <w:sz w:val="18"/>
          <w:szCs w:val="18"/>
          <w:color w:val="auto"/>
        </w:rPr>
        <w:t>Prior to trading our securities, Restricted Insiders must obtain pre-approval from a Policy Administrator. To obtain pre-approval,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Restricted Insider must:</w:t>
      </w:r>
    </w:p>
    <w:p>
      <w:pPr>
        <w:spacing w:after="0" w:line="105" w:lineRule="exact"/>
        <w:rPr>
          <w:sz w:val="20"/>
          <w:szCs w:val="20"/>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notification of the amount and nature of the proposed trade;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prior to the proposed trade that the Restricted Insider does not have any MNPI;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email confirmation from the Policy Administrator approving the trade, which approval can be granted or denied at their discretion.</w:t>
      </w:r>
    </w:p>
    <w:p>
      <w:pPr>
        <w:spacing w:after="0" w:line="15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You may satisfy the pre-approval requirement through our stock administration platform or by contacting the required information to the Policy Administrator.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pre-approval must be obtained even if the Restricted Insider wants to trade during an open Trading Window.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Restrictions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trading prohibitions of this Policy are not the only stock-trading rules and regulations you need to follow. You should be aware of additional prohibitions and restrictions set by contract or by federal and state securities laws and regulations (e.g., lock-up agreements, contractual restrictions on the resale of securities, rules on short swing</w:t>
      </w:r>
    </w:p>
    <w:p>
      <w:pPr>
        <w:sectPr>
          <w:pgSz w:w="11900" w:h="16838" w:orient="portrait"/>
          <w:cols w:equalWidth="0" w:num="1">
            <w:col w:w="11200"/>
          </w:cols>
          <w:pgMar w:left="320" w:top="1417" w:right="379" w:bottom="1440" w:gutter="0" w:footer="0" w:header="0"/>
        </w:sectPr>
      </w:pPr>
    </w:p>
    <w:bookmarkStart w:id="127" w:name="page128"/>
    <w:bookmarkEnd w:id="127"/>
    <w:p>
      <w:pPr>
        <w:ind w:right="120"/>
        <w:spacing w:after="0" w:line="282" w:lineRule="auto"/>
        <w:rPr>
          <w:sz w:val="20"/>
          <w:szCs w:val="20"/>
          <w:color w:val="auto"/>
        </w:rPr>
      </w:pPr>
      <w:r>
        <w:rPr>
          <w:rFonts w:ascii="Times New Roman" w:cs="Times New Roman" w:eastAsia="Times New Roman" w:hAnsi="Times New Roman"/>
          <w:sz w:val="18"/>
          <w:szCs w:val="18"/>
          <w:color w:val="auto"/>
        </w:rPr>
        <w:t>trading by Section 16 Reporting Persons, compliance with Rule 144 under the Securities Act of 1933, as amended, and others). Any Covered Person who is uncertain whether other prohibitions or restrictions apply should send a request to a Policy Administrator.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When Trading Is Allowed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Windows and Blackout Periods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 promote compliance with insider trading laws, we have designated periods when Covered Persons can trade in our securities, which are described below.</w:t>
      </w:r>
    </w:p>
    <w:p>
      <w:pPr>
        <w:spacing w:after="0" w:line="104" w:lineRule="exact"/>
        <w:rPr>
          <w:sz w:val="20"/>
          <w:szCs w:val="20"/>
          <w:color w:val="auto"/>
        </w:rPr>
      </w:pPr>
    </w:p>
    <w:p>
      <w:pPr>
        <w:jc w:val="both"/>
        <w:ind w:left="660" w:right="80" w:hanging="328"/>
        <w:spacing w:after="0" w:line="268"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can only trade during a Trading Window</w:t>
      </w:r>
      <w:r>
        <w:rPr>
          <w:rFonts w:ascii="Times New Roman" w:cs="Times New Roman" w:eastAsia="Times New Roman" w:hAnsi="Times New Roman"/>
          <w:sz w:val="18"/>
          <w:szCs w:val="18"/>
          <w:color w:val="auto"/>
        </w:rPr>
        <w:t>. Covered Persons are allowed to trade our securities only during a Trading Window period,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opens after the close of trading on the next full trading day following the widespread public release of our quarterly or year-end operating results, and closes at the close of trading on the fifteenth calendar day of the third month of the then-current quarter.</w:t>
      </w:r>
    </w:p>
    <w:p>
      <w:pPr>
        <w:spacing w:after="0" w:line="120" w:lineRule="exact"/>
        <w:rPr>
          <w:rFonts w:ascii="Times New Roman" w:cs="Times New Roman" w:eastAsia="Times New Roman" w:hAnsi="Times New Roman"/>
          <w:sz w:val="18"/>
          <w:szCs w:val="18"/>
          <w:color w:val="auto"/>
        </w:rPr>
      </w:pPr>
    </w:p>
    <w:p>
      <w:pPr>
        <w:ind w:left="6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if we publicly announce our quarterly financial results after close of trading on a Monday (or before trading begins on a Tuesday), then the first time a Covered Person can trade our securities is after the close of market on Tuesday (effectively at the opening of the market on Wednesday for regular trading). However, if we announce quarterly financial results before trading begins on that Monday, then the first time the Covered Person can trade is after the close of market on Monday (effectively at the opening of the market on Tuesday for regular trading).</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Even during a Trading Window, you are not allowed to trade while in possession of MNPI</w:t>
      </w:r>
      <w:r>
        <w:rPr>
          <w:rFonts w:ascii="Times New Roman" w:cs="Times New Roman" w:eastAsia="Times New Roman" w:hAnsi="Times New Roman"/>
          <w:sz w:val="18"/>
          <w:szCs w:val="18"/>
          <w:color w:val="auto"/>
        </w:rPr>
        <w:t>. Trading in the Company’s securities in a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Window should not be considered to be within the “safe harbor” - please use your judgment. Even during a Trading Window, you still may not trade our securities if you possess MNPI at that time. A Covered Person who possesses MNPI during a Trading Window may only trade our securities after that MNPI has been widely disclosed to the public or is no longer material.</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You cannot trade during a Blackout Period</w:t>
      </w:r>
      <w:r>
        <w:rPr>
          <w:rFonts w:ascii="Times New Roman" w:cs="Times New Roman" w:eastAsia="Times New Roman" w:hAnsi="Times New Roman"/>
          <w:sz w:val="17"/>
          <w:szCs w:val="17"/>
          <w:color w:val="auto"/>
        </w:rPr>
        <w:t>. Even during a Trading Window, the Company may, in its sole discretion, designate special trading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Blackout Periods that apply to specific individuals or groups of people (including all Covered Persons). No Covered Person may trade our securities while subject to any such Blackout Period. Additionally, no Covered Person may tell anyone that a special Blackout Period has been designated or that one previously was in place because that also is confidential information that cannot be disclosed internally or externally.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Exceptions to Prohibited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restrictions of this Policy do not apply to the following:</w:t>
      </w:r>
    </w:p>
    <w:p>
      <w:pPr>
        <w:spacing w:after="0" w:line="169" w:lineRule="exact"/>
        <w:rPr>
          <w:sz w:val="20"/>
          <w:szCs w:val="20"/>
          <w:color w:val="auto"/>
        </w:rPr>
      </w:pPr>
    </w:p>
    <w:p>
      <w:pPr>
        <w:ind w:left="660" w:right="40" w:hanging="328"/>
        <w:spacing w:after="0" w:line="284"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Investing 401(k) plan contributions in a company stock fund in accordance with the terms of our 401(k) plan. However, any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your investment election regarding the Company’s securities are subject to trading restrictions under this Policy.</w:t>
      </w:r>
    </w:p>
    <w:p>
      <w:pPr>
        <w:spacing w:after="0" w:line="104"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Exercising stock options granted under our equity incentive plans for cash or by delivering to the Company previously owned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through a net exercise of a stock option that is permitted by the Company’s equity incentive plan and that does not involve a sale of shares in the open market; or paying taxes in connection with exercising stock options granted under our equity incentive plans that does not involve a sale of shares in the open market. 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128" w:lineRule="exact"/>
        <w:rPr>
          <w:rFonts w:ascii="Times New Roman" w:cs="Times New Roman" w:eastAsia="Times New Roman" w:hAnsi="Times New Roman"/>
          <w:sz w:val="18"/>
          <w:szCs w:val="18"/>
          <w:color w:val="auto"/>
        </w:rPr>
      </w:pPr>
    </w:p>
    <w:p>
      <w:pPr>
        <w:ind w:left="660" w:right="300" w:hanging="328"/>
        <w:spacing w:after="0" w:line="284"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The settlement of RSUs pursuant to a net settlement or a “sale to cover” for non-discretionary, automatic tax withholdings initiated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Company for the payment of taxes upon the vesting of RSUs.</w:t>
      </w:r>
    </w:p>
    <w:p>
      <w:pPr>
        <w:sectPr>
          <w:pgSz w:w="11900" w:h="16838" w:orient="portrait"/>
          <w:cols w:equalWidth="0" w:num="1">
            <w:col w:w="11220"/>
          </w:cols>
          <w:pgMar w:left="320" w:top="1417"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Permitted Trades Under 10b5-1 Plans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individuals who want to trade in our securities but may frequently be in possession of MNPI, a “10b5-1 Plan” may be utilized to continue trading in our securities while in possession of MNPI, outside of a Trading Window or during a Blackout Period.</w:t>
      </w:r>
    </w:p>
    <w:p>
      <w:pPr>
        <w:spacing w:after="0" w:line="104" w:lineRule="exact"/>
        <w:rPr>
          <w:sz w:val="20"/>
          <w:szCs w:val="20"/>
          <w:color w:val="auto"/>
        </w:rPr>
      </w:pPr>
    </w:p>
    <w:p>
      <w:pPr>
        <w:ind w:left="660" w:right="40" w:hanging="328"/>
        <w:spacing w:after="0" w:line="286" w:lineRule="auto"/>
        <w:tabs>
          <w:tab w:leader="none" w:pos="74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Is a 10b5-1 Plan? </w:t>
      </w:r>
      <w:r>
        <w:rPr>
          <w:rFonts w:ascii="Times New Roman" w:cs="Times New Roman" w:eastAsia="Times New Roman" w:hAnsi="Times New Roman"/>
          <w:sz w:val="18"/>
          <w:szCs w:val="18"/>
          <w:color w:val="auto"/>
        </w:rPr>
        <w:t>A 10b5-1 Plan is a written plan entered into while a Restricted Insider is not in possession of MNPI and that establishes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forward-looking schedule for selling or purchasing a predetermined number of shares.</w:t>
      </w:r>
    </w:p>
    <w:p>
      <w:pPr>
        <w:spacing w:after="0" w:line="100"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Who can enter into a 10b5-1 Plan? </w:t>
      </w:r>
      <w:r>
        <w:rPr>
          <w:rFonts w:ascii="Times New Roman" w:cs="Times New Roman" w:eastAsia="Times New Roman" w:hAnsi="Times New Roman"/>
          <w:sz w:val="18"/>
          <w:szCs w:val="18"/>
          <w:color w:val="auto"/>
        </w:rPr>
        <w:t>Because Restricted Insiders are more likely than other Covered Persons to have access to MNPI, we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 our Restricted Insiders to set up and enter into a 10b5-1 Plan. Other insiders who are interested in a 10b5-1 Plan should reach out to the Policy Administrator.</w:t>
      </w:r>
    </w:p>
    <w:p>
      <w:pPr>
        <w:spacing w:after="0" w:line="116"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How do I adopt a 10b5-1 Plan? </w:t>
      </w:r>
      <w:r>
        <w:rPr>
          <w:rFonts w:ascii="Times New Roman" w:cs="Times New Roman" w:eastAsia="Times New Roman" w:hAnsi="Times New Roman"/>
          <w:sz w:val="18"/>
          <w:szCs w:val="18"/>
          <w:color w:val="auto"/>
        </w:rPr>
        <w:t>If you are eligible and interested in setting up a 10b5-1 Plan, you should consult with a Policy Administrator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sure that:</w:t>
      </w:r>
    </w:p>
    <w:p>
      <w:pPr>
        <w:spacing w:after="0" w:line="105" w:lineRule="exact"/>
        <w:rPr>
          <w:sz w:val="20"/>
          <w:szCs w:val="20"/>
          <w:color w:val="auto"/>
        </w:rPr>
      </w:pPr>
    </w:p>
    <w:p>
      <w:pPr>
        <w:ind w:left="1300" w:right="580" w:hanging="320"/>
        <w:spacing w:after="0" w:line="280" w:lineRule="auto"/>
        <w:tabs>
          <w:tab w:leader="none" w:pos="1297" w:val="left"/>
        </w:tabs>
        <w:numPr>
          <w:ilvl w:val="0"/>
          <w:numId w:val="1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10b5-1 Plan complies with the requirements of Rule 10b5-1 under the Securities Exchange Act of 1934, as amended, and this Policy.</w:t>
      </w:r>
    </w:p>
    <w:p>
      <w:pPr>
        <w:spacing w:after="0" w:line="106" w:lineRule="exact"/>
        <w:rPr>
          <w:rFonts w:ascii="Courier New" w:cs="Courier New" w:eastAsia="Courier New" w:hAnsi="Courier New"/>
          <w:sz w:val="18"/>
          <w:szCs w:val="18"/>
          <w:color w:val="auto"/>
        </w:rPr>
      </w:pPr>
    </w:p>
    <w:p>
      <w:pPr>
        <w:jc w:val="both"/>
        <w:ind w:left="1300" w:right="160" w:hanging="320"/>
        <w:spacing w:after="0" w:line="286" w:lineRule="auto"/>
        <w:tabs>
          <w:tab w:leader="none" w:pos="1297" w:val="left"/>
        </w:tabs>
        <w:numPr>
          <w:ilvl w:val="0"/>
          <w:numId w:val="11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You have certified to the Policy Administrator in writing prior to the date that the 10b5-1 Plan is formally adopted that (i) you are not in possession of MNPI, (ii) all trades to be made pursuant to the 10b5-1 Plan will be in accordance with applicable SEC rules, and (iii) the 10b5-1 Plan complies with the requirements of Rule 10b5-1. This certification may be made in an email to the Policy Administrator.</w:t>
      </w:r>
    </w:p>
    <w:p>
      <w:pPr>
        <w:spacing w:after="0" w:line="107" w:lineRule="exact"/>
        <w:rPr>
          <w:rFonts w:ascii="Courier New" w:cs="Courier New" w:eastAsia="Courier New" w:hAnsi="Courier New"/>
          <w:sz w:val="17"/>
          <w:szCs w:val="17"/>
          <w:color w:val="auto"/>
        </w:rPr>
      </w:pPr>
    </w:p>
    <w:p>
      <w:pPr>
        <w:ind w:left="1300" w:right="300" w:hanging="320"/>
        <w:spacing w:after="0" w:line="311" w:lineRule="auto"/>
        <w:tabs>
          <w:tab w:leader="none" w:pos="1297" w:val="left"/>
        </w:tabs>
        <w:numPr>
          <w:ilvl w:val="0"/>
          <w:numId w:val="11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first trade under the 10b5-1 Plan does not occur until the later of (i) the 91st day after the 10b5-1 Plan is adopted and (ii) the third business day following the filing of the company’s Form 10-Q or Form 10-K (but no later than 120 days after the adoption date).</w:t>
      </w:r>
    </w:p>
    <w:p>
      <w:pPr>
        <w:spacing w:after="0" w:line="82" w:lineRule="exact"/>
        <w:rPr>
          <w:rFonts w:ascii="Courier New" w:cs="Courier New" w:eastAsia="Courier New" w:hAnsi="Courier New"/>
          <w:sz w:val="17"/>
          <w:szCs w:val="17"/>
          <w:color w:val="auto"/>
        </w:rPr>
      </w:pPr>
    </w:p>
    <w:p>
      <w:pPr>
        <w:ind w:left="1300" w:hanging="320"/>
        <w:spacing w:after="0"/>
        <w:tabs>
          <w:tab w:leader="none" w:pos="1300" w:val="left"/>
        </w:tabs>
        <w:numPr>
          <w:ilvl w:val="0"/>
          <w:numId w:val="1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10b5-1 Plan is adopted during a Trading Window and not during any Blackout Period.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individual may have no more than one 10b5-1 Plan adopted at any point in time (i.e., multiple concurrent plans are prohibited).</w:t>
      </w:r>
    </w:p>
    <w:p>
      <w:pPr>
        <w:spacing w:after="0" w:line="171"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Approval of a 10b5-1 Plan by a Policy Administrator shall not be considered a determination by us or the Policy Administrator that the 10b5-1 Plan satisfies the requirements of Rule 10b5-1.</w:t>
      </w:r>
    </w:p>
    <w:p>
      <w:pPr>
        <w:spacing w:after="0" w:line="104" w:lineRule="exact"/>
        <w:rPr>
          <w:sz w:val="20"/>
          <w:szCs w:val="20"/>
          <w:color w:val="auto"/>
        </w:rPr>
      </w:pPr>
    </w:p>
    <w:p>
      <w:pPr>
        <w:ind w:left="660" w:hanging="328"/>
        <w:spacing w:after="0" w:line="255"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How do I modify a 10b5-1 Plan? </w:t>
      </w:r>
      <w:r>
        <w:rPr>
          <w:rFonts w:ascii="Times New Roman" w:cs="Times New Roman" w:eastAsia="Times New Roman" w:hAnsi="Times New Roman"/>
          <w:sz w:val="18"/>
          <w:szCs w:val="18"/>
          <w:color w:val="auto"/>
        </w:rPr>
        <w:t>Because the SEC views the modification of a 10b5-1 Plan to be the same as terminating an existing 10b5-1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entering into a new 10b5-1 Plan, the approval process for modifying a 10b5-1 Plan is similar to those for initially adopting the plan. Once you have an approved 10b5-1 Plan in place, you will need approval from a Policy Administrator if you want to make any changes to it. We may limit your ability to modify your 10b5-1 Plan because making frequent changes to a 10b5-1 Plan may give the appearance that you are trading on MNPI under the guise of that plan. Modifications to a 10b5-1 Plan can only be made during a Trading Window and not during any Blackout Period and when you are not in possession of MNPI. Any changes to your 10b5-1 Plan will be subject to a “cooling off’ period, meaning that the first trade under the modified 10b5-1 Plan may not occur until the later of: (i) the 91st day after the 10b5-1 Plan is modified and (ii) the third business day following the filing of the company’s Form 10-Q or Form 10-K (but no later than 120 days after the modification date).</w:t>
      </w:r>
    </w:p>
    <w:p>
      <w:pPr>
        <w:spacing w:after="0" w:line="13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Violations Of This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Violating this Policy</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consequences of violating the insider trading laws can be severe. If any securities transaction becomes the subject of an investigation, please note the SEC will review it after the fact with the benefit of 20/20 hindsight. People who violate insider trading laws may be required to disgorge profits made or losses avoided by trading, pay</w:t>
      </w:r>
    </w:p>
    <w:p>
      <w:pPr>
        <w:sectPr>
          <w:pgSz w:w="11900" w:h="16838" w:orient="portrait"/>
          <w:cols w:equalWidth="0" w:num="1">
            <w:col w:w="11240"/>
          </w:cols>
          <w:pgMar w:left="320" w:top="1413" w:right="339" w:bottom="1440" w:gutter="0" w:footer="0" w:header="0"/>
        </w:sectPr>
      </w:pPr>
    </w:p>
    <w:bookmarkStart w:id="129" w:name="page130"/>
    <w:bookmarkEnd w:id="129"/>
    <w:p>
      <w:pPr>
        <w:spacing w:after="0" w:line="261" w:lineRule="auto"/>
        <w:rPr>
          <w:sz w:val="20"/>
          <w:szCs w:val="20"/>
          <w:color w:val="auto"/>
        </w:rPr>
      </w:pPr>
      <w:r>
        <w:rPr>
          <w:rFonts w:ascii="Times New Roman" w:cs="Times New Roman" w:eastAsia="Times New Roman" w:hAnsi="Times New Roman"/>
          <w:sz w:val="18"/>
          <w:szCs w:val="18"/>
          <w:color w:val="auto"/>
        </w:rPr>
        <w:t>the loss suffered by the persons who purchased securities from or sold securities to the insider tipper,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may impose discipline on anyone in violation of this Policy, up to and including termination of employment, and we may issue stop transfer orders to our transfer agent to prevent any attempted trades that would violate this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Violations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Covered Person who violates this Policy or any federal or state laws governing insider trading or tipping, or who knows of any such violation by any other Covered Person, must report the violation immediately to our General Counsel. If you want to submit a concern or complaint regarding a possible violation of this Policy anonymously, you should follow the procedures outlined in our Whistleblower and Speak Up Policy or reach out to a Policy Administrator. Anyone who violates this Policy may be subject to disciplinary measures, which may include termination of employment.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Administration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Chief Legal and Corporate Affairs Officer will administer and interpret this Policy and enforce compliance as needed. The Policy Administrator may consult with the Company’s outside legal counsel as needed. The Chief Legal and Corporate Affairs Officer may designate other individuals to perform their duties under this policy.</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Neither the Company nor the Policy Administrator will be liable for any act made under this Policy. Neither the Company nor the Policy Administrator is responsible for any failure to approve a trade or for imposing any Blackout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this Policy</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board of directors reserves the right in its sole discretion to modify or grant waivers to this Policy. Any amendments or waiver may be publicly disclosed if required by applicable laws, rules, and regulations.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Restricted Insiders may be amended with the approval of the Chief Legal and Corporate Affairs Officer.</w:t>
      </w:r>
    </w:p>
    <w:p>
      <w:pPr>
        <w:sectPr>
          <w:pgSz w:w="11900" w:h="16838" w:orient="portrait"/>
          <w:cols w:equalWidth="0" w:num="1">
            <w:col w:w="11120"/>
          </w:cols>
          <w:pgMar w:left="320" w:top="1417" w:right="45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Subsidiary of Remitly Global, Inc.</w:t>
      </w:r>
    </w:p>
    <w:p>
      <w:pPr>
        <w:sectPr>
          <w:pgSz w:w="11900" w:h="16838" w:orient="portrait"/>
          <w:cols w:equalWidth="0" w:num="1">
            <w:col w:w="11220"/>
          </w:cols>
          <w:pgMar w:left="340" w:top="1427" w:right="3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Remitly,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Remitly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Remitly Europe Limited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 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w:t>
      </w:r>
    </w:p>
    <w:p>
      <w:pPr>
        <w:sectPr>
          <w:pgSz w:w="11900" w:h="16838" w:orient="portrait"/>
          <w:cols w:equalWidth="0" w:num="2">
            <w:col w:w="4900" w:space="720"/>
            <w:col w:w="5600"/>
          </w:cols>
          <w:pgMar w:left="340" w:top="1427" w:right="339" w:bottom="1440" w:gutter="0" w:footer="0" w:header="0"/>
          <w:type w:val="continuous"/>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7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u w:val="single" w:color="auto"/>
          <w:color w:val="auto"/>
        </w:rPr>
        <w:t>CONSENT OF INDEPENDENT REGISTERED PUBLIC ACCOUNTING FIRM</w:t>
      </w:r>
    </w:p>
    <w:p>
      <w:pPr>
        <w:spacing w:after="0" w:line="24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333-285056, No. 333-277337, No. 333-270112, No. 333-263958, No. 333-259738 and No. 333-259737) of Remitly Global, Inc. of our report dated February 18, 2026 relating to the financial statements and the effectiveness of internal control over financial reporting, which appears in this Form 10-K.</w:t>
      </w:r>
    </w:p>
    <w:p>
      <w:pPr>
        <w:spacing w:after="0" w:line="25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Seattle, Washington</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18, 2026</w:t>
      </w:r>
    </w:p>
    <w:p>
      <w:pPr>
        <w:sectPr>
          <w:pgSz w:w="11900" w:h="16838" w:orient="portrait"/>
          <w:cols w:equalWidth="0" w:num="1">
            <w:col w:w="11240"/>
          </w:cols>
          <w:pgMar w:left="320" w:top="1436" w:right="339" w:bottom="1440" w:gutter="0" w:footer="0" w:header="0"/>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8"/>
        <w:spacing w:after="0" w:line="376" w:lineRule="auto"/>
        <w:tabs>
          <w:tab w:leader="none" w:pos="6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133" w:name="page134"/>
    <w:bookmarkEnd w:id="13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Vikas Mehta, certify that:</w:t>
      </w:r>
    </w:p>
    <w:p>
      <w:pPr>
        <w:spacing w:after="0" w:line="306" w:lineRule="exact"/>
        <w:rPr>
          <w:sz w:val="20"/>
          <w:szCs w:val="20"/>
          <w:color w:val="auto"/>
        </w:rPr>
      </w:pPr>
    </w:p>
    <w:p>
      <w:pPr>
        <w:ind w:left="640" w:hanging="308"/>
        <w:spacing w:after="0"/>
        <w:tabs>
          <w:tab w:leader="none" w:pos="6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firstLine="8"/>
        <w:spacing w:after="0" w:line="376" w:lineRule="auto"/>
        <w:tabs>
          <w:tab w:leader="none" w:pos="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376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27" w:right="339" w:bottom="1158" w:gutter="0" w:footer="0" w:header="0"/>
        </w:sectPr>
      </w:pPr>
    </w:p>
    <w:bookmarkStart w:id="134" w:name="page135"/>
    <w:bookmarkEnd w:id="1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660" w:right="960" w:hanging="328"/>
        <w:spacing w:after="0" w:line="275" w:lineRule="auto"/>
        <w:tabs>
          <w:tab w:leader="none" w:pos="65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of the Securities Exchange Act of 1934, as amended; and</w:t>
      </w:r>
    </w:p>
    <w:p>
      <w:pPr>
        <w:spacing w:after="0" w:line="228" w:lineRule="exact"/>
        <w:rPr>
          <w:rFonts w:ascii="Times New Roman" w:cs="Times New Roman" w:eastAsia="Times New Roman" w:hAnsi="Times New Roman"/>
          <w:sz w:val="22"/>
          <w:szCs w:val="22"/>
          <w:color w:val="auto"/>
        </w:rPr>
      </w:pPr>
    </w:p>
    <w:p>
      <w:pPr>
        <w:ind w:left="660" w:right="240" w:hanging="328"/>
        <w:spacing w:after="0" w:line="291" w:lineRule="auto"/>
        <w:tabs>
          <w:tab w:leader="none" w:pos="65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4"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I, Vikas Mehta, Chief Financial Officer of Remitly Global, Inc. (the “Company”), do hereby certify, pursuant to 18 U.S.C. Section 1350, as adopted pursuant to Section 906 of the Sarbanes-Oxley Act of 2002, that to the best of my knowledge:</w:t>
      </w:r>
    </w:p>
    <w:p>
      <w:pPr>
        <w:spacing w:after="0" w:line="175" w:lineRule="exact"/>
        <w:rPr>
          <w:sz w:val="20"/>
          <w:szCs w:val="20"/>
          <w:color w:val="auto"/>
        </w:rPr>
      </w:pPr>
    </w:p>
    <w:p>
      <w:pPr>
        <w:ind w:left="660" w:right="960" w:hanging="328"/>
        <w:spacing w:after="0" w:line="275" w:lineRule="auto"/>
        <w:tabs>
          <w:tab w:leader="none" w:pos="65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22"/>
          <w:szCs w:val="22"/>
          <w:color w:val="auto"/>
        </w:rPr>
      </w:pPr>
    </w:p>
    <w:p>
      <w:pPr>
        <w:ind w:left="660" w:right="240" w:hanging="328"/>
        <w:spacing w:after="0" w:line="275" w:lineRule="auto"/>
        <w:tabs>
          <w:tab w:leader="none" w:pos="65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9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1)"/>
      <w:numFmt w:val="decimal"/>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1."/>
      <w:numFmt w:val="decimal"/>
      <w:start w:val="1"/>
    </w:lvl>
  </w:abstractNum>
  <w:abstractNum w:abstractNumId="36">
    <w:nsid w:val="BF72B14"/>
    <w:multiLevelType w:val="hybridMultilevel"/>
    <w:lvl w:ilvl="0">
      <w:lvlJc w:val="left"/>
      <w:lvlText w:val="%1."/>
      <w:numFmt w:val="decimal"/>
      <w:start w:val="2"/>
    </w:lvl>
  </w:abstractNum>
  <w:abstractNum w:abstractNumId="37">
    <w:nsid w:val="11447B73"/>
    <w:multiLevelType w:val="hybridMultilevel"/>
    <w:lvl w:ilvl="0">
      <w:lvlJc w:val="left"/>
      <w:lvlText w:val="%1."/>
      <w:numFmt w:val="decimal"/>
      <w:start w:val="3"/>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4"/>
    </w:lvl>
  </w:abstractNum>
  <w:abstractNum w:abstractNumId="41">
    <w:nsid w:val="1A32234B"/>
    <w:multiLevelType w:val="hybridMultilevel"/>
    <w:lvl w:ilvl="0">
      <w:lvlJc w:val="left"/>
      <w:lvlText w:val="%1."/>
      <w:numFmt w:val="decimal"/>
      <w:start w:val="5"/>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decimal"/>
      <w:start w:val="7"/>
    </w:lvl>
  </w:abstractNum>
  <w:abstractNum w:abstractNumId="44">
    <w:nsid w:val="4962813B"/>
    <w:multiLevelType w:val="hybridMultilevel"/>
    <w:lvl w:ilvl="0">
      <w:lvlJc w:val="left"/>
      <w:lvlText w:val="%1."/>
      <w:numFmt w:val="decimal"/>
      <w:start w:val="8"/>
    </w:lvl>
  </w:abstractNum>
  <w:abstractNum w:abstractNumId="45">
    <w:nsid w:val="60B6DF70"/>
    <w:multiLevelType w:val="hybridMultilevel"/>
    <w:lvl w:ilvl="0">
      <w:lvlJc w:val="left"/>
      <w:lvlText w:val="%1."/>
      <w:numFmt w:val="decimal"/>
      <w:start w:val="9"/>
    </w:lvl>
  </w:abstractNum>
  <w:abstractNum w:abstractNumId="46">
    <w:nsid w:val="6A5EE64"/>
    <w:multiLevelType w:val="hybridMultilevel"/>
    <w:lvl w:ilvl="0">
      <w:lvlJc w:val="left"/>
      <w:lvlText w:val="%1."/>
      <w:numFmt w:val="decimal"/>
      <w:start w:val="10"/>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1."/>
      <w:numFmt w:val="decimal"/>
      <w:start w:val="13"/>
    </w:lvl>
  </w:abstractNum>
  <w:abstractNum w:abstractNumId="49">
    <w:nsid w:val="1A27709E"/>
    <w:multiLevelType w:val="hybridMultilevel"/>
    <w:lvl w:ilvl="0">
      <w:lvlJc w:val="left"/>
      <w:lvlText w:val="(%1)"/>
      <w:numFmt w:val="decimal"/>
      <w:start w:val="1"/>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1)"/>
      <w:numFmt w:val="decimal"/>
      <w:start w:val="1"/>
    </w:lvl>
  </w:abstractNum>
  <w:abstractNum w:abstractNumId="52">
    <w:nsid w:val="7FB7E0AA"/>
    <w:multiLevelType w:val="hybridMultilevel"/>
    <w:lvl w:ilvl="0">
      <w:lvlJc w:val="left"/>
      <w:lvlText w:val="%1."/>
      <w:numFmt w:val="decimal"/>
      <w:start w:val="16"/>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1"/>
      <w:numFmt w:val="decimal"/>
      <w:start w:val="104"/>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1)"/>
      <w:numFmt w:val="lowerLetter"/>
      <w:start w:val="1"/>
    </w:lvl>
  </w:abstractNum>
  <w:abstractNum w:abstractNumId="60">
    <w:nsid w:val="14E17E33"/>
    <w:multiLevelType w:val="hybridMultilevel"/>
    <w:lvl w:ilvl="0">
      <w:lvlJc w:val="left"/>
      <w:lvlText w:val="(%1)"/>
      <w:numFmt w:val="decimal"/>
      <w:start w:val="3"/>
    </w:lvl>
  </w:abstractNum>
  <w:abstractNum w:abstractNumId="61">
    <w:nsid w:val="3222E7CD"/>
    <w:multiLevelType w:val="hybridMultilevel"/>
    <w:lvl w:ilvl="0">
      <w:lvlJc w:val="left"/>
      <w:lvlText w:val="%1."/>
      <w:numFmt w:val="decimal"/>
      <w:start w:val="2"/>
    </w:lvl>
    <w:lvl w:ilvl="1">
      <w:lvlJc w:val="left"/>
      <w:lvlText w:val="(%2)"/>
      <w:numFmt w:val="lowerLetter"/>
      <w:start w:val="1"/>
    </w:lvl>
  </w:abstractNum>
  <w:abstractNum w:abstractNumId="62">
    <w:nsid w:val="74DE0EE3"/>
    <w:multiLevelType w:val="hybridMultilevel"/>
    <w:lvl w:ilvl="0">
      <w:lvlJc w:val="left"/>
      <w:lvlText w:val="%1"/>
      <w:numFmt w:val="decimal"/>
      <w:start w:val="1"/>
    </w:lvl>
    <w:lvl w:ilvl="1">
      <w:lvlJc w:val="left"/>
      <w:lvlText w:val="(%2)"/>
      <w:numFmt w:val="lowerLetter"/>
      <w:start w:val="3"/>
    </w:lvl>
  </w:abstractNum>
  <w:abstractNum w:abstractNumId="63">
    <w:nsid w:val="68EBC550"/>
    <w:multiLevelType w:val="hybridMultilevel"/>
    <w:lvl w:ilvl="0">
      <w:lvlJc w:val="left"/>
      <w:lvlText w:val="%1."/>
      <w:numFmt w:val="decimal"/>
      <w:start w:val="3"/>
    </w:lvl>
    <w:lvl w:ilvl="1">
      <w:lvlJc w:val="left"/>
      <w:lvlText w:val="(%2)"/>
      <w:numFmt w:val="lowerLetter"/>
      <w:start w:val="1"/>
    </w:lvl>
  </w:abstractNum>
  <w:abstractNum w:abstractNumId="64">
    <w:nsid w:val="2DF6D648"/>
    <w:multiLevelType w:val="hybridMultilevel"/>
    <w:lvl w:ilvl="0">
      <w:lvlJc w:val="left"/>
      <w:lvlText w:val="%1"/>
      <w:numFmt w:val="decimal"/>
      <w:start w:val="1"/>
    </w:lvl>
    <w:lvl w:ilvl="1">
      <w:lvlJc w:val="left"/>
      <w:lvlText w:val="(%2)"/>
      <w:numFmt w:val="lowerLetter"/>
      <w:start w:val="3"/>
    </w:lvl>
  </w:abstractNum>
  <w:abstractNum w:abstractNumId="65">
    <w:nsid w:val="46B7D447"/>
    <w:multiLevelType w:val="hybridMultilevel"/>
    <w:lvl w:ilvl="0">
      <w:lvlJc w:val="left"/>
      <w:lvlText w:val="%1."/>
      <w:numFmt w:val="decimal"/>
      <w:start w:val="4"/>
    </w:lvl>
    <w:lvl w:ilvl="1">
      <w:lvlJc w:val="left"/>
      <w:lvlText w:val="%2"/>
      <w:numFmt w:val="lowerLetter"/>
      <w:start w:val="1"/>
    </w:lvl>
  </w:abstractNum>
  <w:abstractNum w:abstractNumId="66">
    <w:nsid w:val="4A2AC315"/>
    <w:multiLevelType w:val="hybridMultilevel"/>
    <w:lvl w:ilvl="0">
      <w:lvlJc w:val="left"/>
      <w:lvlText w:val="%1."/>
      <w:numFmt w:val="decimal"/>
      <w:start w:val="5"/>
    </w:lvl>
    <w:lvl w:ilvl="1">
      <w:lvlJc w:val="left"/>
      <w:lvlText w:val="(%2)"/>
      <w:numFmt w:val="lowerLetter"/>
      <w:start w:val="1"/>
    </w:lvl>
  </w:abstractNum>
  <w:abstractNum w:abstractNumId="67">
    <w:nsid w:val="39EE015C"/>
    <w:multiLevelType w:val="hybridMultilevel"/>
    <w:lvl w:ilvl="0">
      <w:lvlJc w:val="left"/>
      <w:lvlText w:val="%1"/>
      <w:numFmt w:val="lowerLetter"/>
      <w:start w:val="1"/>
    </w:lvl>
    <w:lvl w:ilvl="1">
      <w:lvlJc w:val="left"/>
      <w:lvlText w:val="(%2)"/>
      <w:numFmt w:val="lowerLetter"/>
      <w:start w:val="4"/>
    </w:lvl>
  </w:abstractNum>
  <w:abstractNum w:abstractNumId="68">
    <w:nsid w:val="57FC4FBB"/>
    <w:multiLevelType w:val="hybridMultilevel"/>
    <w:lvl w:ilvl="0">
      <w:lvlJc w:val="left"/>
      <w:lvlText w:val="(%1)"/>
      <w:numFmt w:val="lowerLetter"/>
      <w:start w:val="61"/>
    </w:lvl>
    <w:lvl w:ilvl="1">
      <w:lvlJc w:val="left"/>
      <w:lvlText w:val="(%2)"/>
      <w:numFmt w:val="lowerLetter"/>
      <w:start w:val="7"/>
    </w:lvl>
  </w:abstractNum>
  <w:abstractNum w:abstractNumId="69">
    <w:nsid w:val="CC1016F"/>
    <w:multiLevelType w:val="hybridMultilevel"/>
    <w:lvl w:ilvl="0">
      <w:lvlJc w:val="left"/>
      <w:lvlText w:val="%1"/>
      <w:numFmt w:val="decimal"/>
      <w:start w:val="1"/>
    </w:lvl>
    <w:lvl w:ilvl="1">
      <w:lvlJc w:val="left"/>
      <w:lvlText w:val="(%2)"/>
      <w:numFmt w:val="lowerLetter"/>
      <w:start w:val="8"/>
    </w:lvl>
  </w:abstractNum>
  <w:abstractNum w:abstractNumId="70">
    <w:nsid w:val="43F18422"/>
    <w:multiLevelType w:val="hybridMultilevel"/>
    <w:lvl w:ilvl="0">
      <w:lvlJc w:val="left"/>
      <w:lvlText w:val="%1."/>
      <w:numFmt w:val="decimal"/>
      <w:start w:val="7"/>
    </w:lvl>
    <w:lvl w:ilvl="1">
      <w:lvlJc w:val="left"/>
      <w:lvlText w:val="(%2)"/>
      <w:numFmt w:val="lowerLetter"/>
      <w:start w:val="1"/>
    </w:lvl>
  </w:abstractNum>
  <w:abstractNum w:abstractNumId="71">
    <w:nsid w:val="60EF0119"/>
    <w:multiLevelType w:val="hybridMultilevel"/>
    <w:lvl w:ilvl="0">
      <w:lvlJc w:val="left"/>
      <w:lvlText w:val="%1"/>
      <w:numFmt w:val="decimal"/>
      <w:start w:val="1"/>
    </w:lvl>
    <w:lvl w:ilvl="1">
      <w:lvlJc w:val="left"/>
      <w:lvlText w:val="(%2)"/>
      <w:numFmt w:val="lowerLetter"/>
      <w:start w:val="2"/>
    </w:lvl>
  </w:abstractNum>
  <w:abstractNum w:abstractNumId="72">
    <w:nsid w:val="26F324BA"/>
    <w:multiLevelType w:val="hybridMultilevel"/>
    <w:lvl w:ilvl="0">
      <w:lvlJc w:val="left"/>
      <w:lvlText w:val="%1."/>
      <w:numFmt w:val="decimal"/>
      <w:start w:val="8"/>
    </w:lvl>
    <w:lvl w:ilvl="1">
      <w:lvlJc w:val="left"/>
      <w:lvlText w:val="(%2)"/>
      <w:numFmt w:val="lowerLetter"/>
      <w:start w:val="1"/>
    </w:lvl>
  </w:abstractNum>
  <w:abstractNum w:abstractNumId="73">
    <w:nsid w:val="7F01579B"/>
    <w:multiLevelType w:val="hybridMultilevel"/>
    <w:lvl w:ilvl="0">
      <w:lvlJc w:val="left"/>
      <w:lvlText w:val="%1."/>
      <w:numFmt w:val="decimal"/>
      <w:start w:val="9"/>
    </w:lvl>
    <w:lvl w:ilvl="1">
      <w:lvlJc w:val="left"/>
      <w:lvlText w:val="(%2)"/>
      <w:numFmt w:val="lowerLetter"/>
      <w:start w:val="1"/>
    </w:lvl>
  </w:abstractNum>
  <w:abstractNum w:abstractNumId="74">
    <w:nsid w:val="49DA307D"/>
    <w:multiLevelType w:val="hybridMultilevel"/>
    <w:lvl w:ilvl="0">
      <w:lvlJc w:val="left"/>
      <w:lvlText w:val="(%1)"/>
      <w:numFmt w:val="lowerLetter"/>
      <w:start w:val="3"/>
    </w:lvl>
  </w:abstractNum>
  <w:abstractNum w:abstractNumId="75">
    <w:nsid w:val="7055A5F5"/>
    <w:multiLevelType w:val="hybridMultilevel"/>
    <w:lvl w:ilvl="0">
      <w:lvlJc w:val="left"/>
      <w:lvlText w:val="(%1)"/>
      <w:numFmt w:val="lowerLetter"/>
      <w:start w:val="1"/>
    </w:lvl>
  </w:abstractNum>
  <w:abstractNum w:abstractNumId="76">
    <w:nsid w:val="5FB8370B"/>
    <w:multiLevelType w:val="hybridMultilevel"/>
    <w:lvl w:ilvl="0">
      <w:lvlJc w:val="left"/>
      <w:lvlText w:val="(%1)"/>
      <w:numFmt w:val="decimal"/>
      <w:start w:val="3"/>
    </w:lvl>
  </w:abstractNum>
  <w:abstractNum w:abstractNumId="77">
    <w:nsid w:val="50801EE1"/>
    <w:multiLevelType w:val="hybridMultilevel"/>
    <w:lvl w:ilvl="0">
      <w:lvlJc w:val="left"/>
      <w:lvlText w:val="%1."/>
      <w:numFmt w:val="decimal"/>
      <w:start w:val="2"/>
    </w:lvl>
    <w:lvl w:ilvl="1">
      <w:lvlJc w:val="left"/>
      <w:lvlText w:val="(%2)"/>
      <w:numFmt w:val="lowerLetter"/>
      <w:start w:val="1"/>
    </w:lvl>
  </w:abstractNum>
  <w:abstractNum w:abstractNumId="78">
    <w:nsid w:val="488AC1A"/>
    <w:multiLevelType w:val="hybridMultilevel"/>
    <w:lvl w:ilvl="0">
      <w:lvlJc w:val="left"/>
      <w:lvlText w:val="%1."/>
      <w:numFmt w:val="decimal"/>
      <w:start w:val="3"/>
    </w:lvl>
    <w:lvl w:ilvl="1">
      <w:lvlJc w:val="left"/>
      <w:lvlText w:val="(%2)"/>
      <w:numFmt w:val="lowerLetter"/>
      <w:start w:val="1"/>
    </w:lvl>
  </w:abstractNum>
  <w:abstractNum w:abstractNumId="79">
    <w:nsid w:val="5FB8011C"/>
    <w:multiLevelType w:val="hybridMultilevel"/>
    <w:lvl w:ilvl="0">
      <w:lvlJc w:val="left"/>
      <w:lvlText w:val="1"/>
      <w:numFmt w:val="bullet"/>
      <w:start w:val="1"/>
    </w:lvl>
  </w:abstractNum>
  <w:abstractNum w:abstractNumId="80">
    <w:nsid w:val="6AA78F7F"/>
    <w:multiLevelType w:val="hybridMultilevel"/>
    <w:lvl w:ilvl="0">
      <w:lvlJc w:val="left"/>
      <w:lvlText w:val="%1."/>
      <w:numFmt w:val="decimal"/>
      <w:start w:val="5"/>
    </w:lvl>
    <w:lvl w:ilvl="1">
      <w:lvlJc w:val="left"/>
      <w:lvlText w:val="(%2)"/>
      <w:numFmt w:val="lowerLetter"/>
      <w:start w:val="1"/>
    </w:lvl>
  </w:abstractNum>
  <w:abstractNum w:abstractNumId="81">
    <w:nsid w:val="7672BD23"/>
    <w:multiLevelType w:val="hybridMultilevel"/>
    <w:lvl w:ilvl="0">
      <w:lvlJc w:val="left"/>
      <w:lvlText w:val="(%1)"/>
      <w:numFmt w:val="lowerLetter"/>
      <w:start w:val="7"/>
    </w:lvl>
  </w:abstractNum>
  <w:abstractNum w:abstractNumId="82">
    <w:nsid w:val="6FC75AF8"/>
    <w:multiLevelType w:val="hybridMultilevel"/>
    <w:lvl w:ilvl="0">
      <w:lvlJc w:val="left"/>
      <w:lvlText w:val="%1"/>
      <w:numFmt w:val="decimal"/>
      <w:start w:val="1"/>
    </w:lvl>
    <w:lvl w:ilvl="1">
      <w:lvlJc w:val="left"/>
      <w:lvlText w:val="(%2)"/>
      <w:numFmt w:val="lowerLetter"/>
      <w:start w:val="8"/>
    </w:lvl>
  </w:abstractNum>
  <w:abstractNum w:abstractNumId="83">
    <w:nsid w:val="6A5F7029"/>
    <w:multiLevelType w:val="hybridMultilevel"/>
    <w:lvl w:ilvl="0">
      <w:lvlJc w:val="left"/>
      <w:lvlText w:val="%1."/>
      <w:numFmt w:val="decimal"/>
      <w:start w:val="7"/>
    </w:lvl>
    <w:lvl w:ilvl="1">
      <w:lvlJc w:val="left"/>
      <w:lvlText w:val="(%2)"/>
      <w:numFmt w:val="lowerLetter"/>
      <w:start w:val="1"/>
    </w:lvl>
  </w:abstractNum>
  <w:abstractNum w:abstractNumId="84">
    <w:nsid w:val="7D5E18F8"/>
    <w:multiLevelType w:val="hybridMultilevel"/>
    <w:lvl w:ilvl="0">
      <w:lvlJc w:val="left"/>
      <w:lvlText w:val="2"/>
      <w:numFmt w:val="bullet"/>
      <w:start w:val="1"/>
    </w:lvl>
  </w:abstractNum>
  <w:abstractNum w:abstractNumId="85">
    <w:nsid w:val="5F3534A4"/>
    <w:multiLevelType w:val="hybridMultilevel"/>
    <w:lvl w:ilvl="0">
      <w:lvlJc w:val="left"/>
      <w:lvlText w:val="%1"/>
      <w:numFmt w:val="decimal"/>
      <w:start w:val="1"/>
    </w:lvl>
    <w:lvl w:ilvl="1">
      <w:lvlJc w:val="left"/>
      <w:lvlText w:val="(%2)"/>
      <w:numFmt w:val="lowerLetter"/>
      <w:start w:val="2"/>
    </w:lvl>
  </w:abstractNum>
  <w:abstractNum w:abstractNumId="86">
    <w:nsid w:val="73A1821B"/>
    <w:multiLevelType w:val="hybridMultilevel"/>
    <w:lvl w:ilvl="0">
      <w:lvlJc w:val="left"/>
      <w:lvlText w:val="%1."/>
      <w:numFmt w:val="decimal"/>
      <w:start w:val="8"/>
    </w:lvl>
    <w:lvl w:ilvl="1">
      <w:lvlJc w:val="left"/>
      <w:lvlText w:val="(%2)"/>
      <w:numFmt w:val="lowerLetter"/>
      <w:start w:val="1"/>
    </w:lvl>
  </w:abstractNum>
  <w:abstractNum w:abstractNumId="87">
    <w:nsid w:val="7DE67713"/>
    <w:multiLevelType w:val="hybridMultilevel"/>
    <w:lvl w:ilvl="0">
      <w:lvlJc w:val="left"/>
      <w:lvlText w:val="%1"/>
      <w:numFmt w:val="lowerLetter"/>
      <w:start w:val="1"/>
    </w:lvl>
    <w:lvl w:ilvl="1">
      <w:lvlJc w:val="left"/>
      <w:lvlText w:val="(%2)"/>
      <w:numFmt w:val="lowerLetter"/>
      <w:start w:val="1"/>
    </w:lvl>
  </w:abstractNum>
  <w:abstractNum w:abstractNumId="88">
    <w:nsid w:val="555C55B5"/>
    <w:multiLevelType w:val="hybridMultilevel"/>
    <w:lvl w:ilvl="0">
      <w:lvlJc w:val="left"/>
      <w:lvlText w:val="(%1)"/>
      <w:numFmt w:val="lowerLetter"/>
      <w:start w:val="35"/>
    </w:lvl>
    <w:lvl w:ilvl="1">
      <w:lvlJc w:val="left"/>
      <w:lvlText w:val="(%2)"/>
      <w:numFmt w:val="lowerLetter"/>
      <w:start w:val="2"/>
    </w:lvl>
  </w:abstractNum>
  <w:abstractNum w:abstractNumId="89">
    <w:nsid w:val="3FA62ACA"/>
    <w:multiLevelType w:val="hybridMultilevel"/>
    <w:lvl w:ilvl="0">
      <w:lvlJc w:val="left"/>
      <w:lvlText w:val="(%1)"/>
      <w:numFmt w:val="lowerLetter"/>
      <w:start w:val="4"/>
    </w:lvl>
  </w:abstractNum>
  <w:abstractNum w:abstractNumId="90">
    <w:nsid w:val="14FCE74E"/>
    <w:multiLevelType w:val="hybridMultilevel"/>
    <w:lvl w:ilvl="0">
      <w:lvlJc w:val="left"/>
      <w:lvlText w:val="%1."/>
      <w:numFmt w:val="decimal"/>
      <w:start w:val="1"/>
    </w:lvl>
  </w:abstractNum>
  <w:abstractNum w:abstractNumId="91">
    <w:nsid w:val="6A3DD3E8"/>
    <w:multiLevelType w:val="hybridMultilevel"/>
    <w:lvl w:ilvl="0">
      <w:lvlJc w:val="left"/>
      <w:lvlText w:val="1"/>
      <w:numFmt w:val="bullet"/>
      <w:start w:val="1"/>
    </w:lvl>
  </w:abstractNum>
  <w:abstractNum w:abstractNumId="92">
    <w:nsid w:val="71C91298"/>
    <w:multiLevelType w:val="hybridMultilevel"/>
    <w:lvl w:ilvl="0">
      <w:lvlJc w:val="left"/>
      <w:lvlText w:val="%1."/>
      <w:numFmt w:val="decimal"/>
      <w:start w:val="6"/>
    </w:lvl>
  </w:abstractNum>
  <w:abstractNum w:abstractNumId="93">
    <w:nsid w:val="9DAF632"/>
    <w:multiLevelType w:val="hybridMultilevel"/>
    <w:lvl w:ilvl="0">
      <w:lvlJc w:val="left"/>
      <w:lvlText w:val="%1."/>
      <w:numFmt w:val="decimal"/>
      <w:start w:val="9"/>
    </w:lvl>
  </w:abstractNum>
  <w:abstractNum w:abstractNumId="94">
    <w:nsid w:val="53299938"/>
    <w:multiLevelType w:val="hybridMultilevel"/>
    <w:lvl w:ilvl="0">
      <w:lvlJc w:val="left"/>
      <w:lvlText w:val="%1."/>
      <w:numFmt w:val="decimal"/>
      <w:start w:val="1"/>
    </w:lvl>
  </w:abstractNum>
  <w:abstractNum w:abstractNumId="95">
    <w:nsid w:val="1FBFE8E0"/>
    <w:multiLevelType w:val="hybridMultilevel"/>
    <w:lvl w:ilvl="0">
      <w:lvlJc w:val="left"/>
      <w:lvlText w:val="1"/>
      <w:numFmt w:val="bullet"/>
      <w:start w:val="1"/>
    </w:lvl>
  </w:abstractNum>
  <w:abstractNum w:abstractNumId="96">
    <w:nsid w:val="5092CA79"/>
    <w:multiLevelType w:val="hybridMultilevel"/>
    <w:lvl w:ilvl="0">
      <w:lvlJc w:val="left"/>
      <w:lvlText w:val="%1."/>
      <w:numFmt w:val="decimal"/>
      <w:start w:val="6"/>
    </w:lvl>
  </w:abstractNum>
  <w:abstractNum w:abstractNumId="97">
    <w:nsid w:val="1D545C4D"/>
    <w:multiLevelType w:val="hybridMultilevel"/>
    <w:lvl w:ilvl="0">
      <w:lvlJc w:val="left"/>
      <w:lvlText w:val="%1."/>
      <w:numFmt w:val="decimal"/>
      <w:start w:val="9"/>
    </w:lvl>
  </w:abstractNum>
  <w:abstractNum w:abstractNumId="98">
    <w:nsid w:val="59ADEA3D"/>
    <w:multiLevelType w:val="hybridMultilevel"/>
    <w:lvl w:ilvl="0">
      <w:lvlJc w:val="left"/>
      <w:lvlText w:val="%1."/>
      <w:numFmt w:val="upperLetter"/>
      <w:start w:val="9"/>
    </w:lvl>
  </w:abstractNum>
  <w:abstractNum w:abstractNumId="99">
    <w:nsid w:val="288F1A34"/>
    <w:multiLevelType w:val="hybridMultilevel"/>
    <w:lvl w:ilvl="0">
      <w:lvlJc w:val="left"/>
      <w:lvlText w:val="•"/>
      <w:numFmt w:val="bullet"/>
      <w:start w:val="1"/>
    </w:lvl>
  </w:abstractNum>
  <w:abstractNum w:abstractNumId="100">
    <w:nsid w:val="2A155DBC"/>
    <w:multiLevelType w:val="hybridMultilevel"/>
    <w:lvl w:ilvl="0">
      <w:lvlJc w:val="left"/>
      <w:lvlText w:val="•"/>
      <w:numFmt w:val="bullet"/>
      <w:start w:val="1"/>
    </w:lvl>
  </w:abstractNum>
  <w:abstractNum w:abstractNumId="101">
    <w:nsid w:val="1D9F6E5F"/>
    <w:multiLevelType w:val="hybridMultilevel"/>
    <w:lvl w:ilvl="0">
      <w:lvlJc w:val="left"/>
      <w:lvlText w:val="•"/>
      <w:numFmt w:val="bullet"/>
      <w:start w:val="1"/>
    </w:lvl>
  </w:abstractNum>
  <w:abstractNum w:abstractNumId="102">
    <w:nsid w:val="97E1B4E"/>
    <w:multiLevelType w:val="hybridMultilevel"/>
    <w:lvl w:ilvl="0">
      <w:lvlJc w:val="left"/>
      <w:lvlText w:val="%1."/>
      <w:numFmt w:val="decimal"/>
      <w:start w:val="1"/>
    </w:lvl>
    <w:lvl w:ilvl="1">
      <w:lvlJc w:val="left"/>
      <w:lvlText w:val="%2."/>
      <w:numFmt w:val="lowerLetter"/>
      <w:start w:val="1"/>
    </w:lvl>
  </w:abstractNum>
  <w:abstractNum w:abstractNumId="103">
    <w:nsid w:val="51088277"/>
    <w:multiLevelType w:val="hybridMultilevel"/>
    <w:lvl w:ilvl="0">
      <w:lvlJc w:val="left"/>
      <w:lvlText w:val="%1"/>
      <w:numFmt w:val="decimal"/>
      <w:start w:val="1"/>
    </w:lvl>
    <w:lvl w:ilvl="1">
      <w:lvlJc w:val="left"/>
      <w:lvlText w:val="%2."/>
      <w:numFmt w:val="lowerLetter"/>
      <w:start w:val="4"/>
    </w:lvl>
  </w:abstractNum>
  <w:abstractNum w:abstractNumId="104">
    <w:nsid w:val="1CA0C5FA"/>
    <w:multiLevelType w:val="hybridMultilevel"/>
    <w:lvl w:ilvl="0">
      <w:lvlJc w:val="left"/>
      <w:lvlText w:val="%1."/>
      <w:numFmt w:val="decimal"/>
      <w:start w:val="2"/>
    </w:lvl>
    <w:lvl w:ilvl="1">
      <w:lvlJc w:val="left"/>
      <w:lvlText w:val="%2."/>
      <w:numFmt w:val="lowerLetter"/>
      <w:start w:val="1"/>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
      <w:numFmt w:val="bullet"/>
      <w:start w:val="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o"/>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1."/>
      <w:numFmt w:val="decimal"/>
      <w:start w:val="1"/>
    </w:lvl>
    <w:lvl w:ilvl="1">
      <w:lvlJc w:val="left"/>
      <w:lvlText w:val="%2)"/>
      <w:numFmt w:val="lowerLetter"/>
      <w:start w:val="1"/>
    </w:lvl>
  </w:abstractNum>
  <w:abstractNum w:abstractNumId="112">
    <w:nsid w:val="3C5991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3">
    <w:nsid w:val="4BD8591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jpeg"/><Relationship Id="rId166" Type="http://schemas.openxmlformats.org/officeDocument/2006/relationships/image" Target="media/image140.jpe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20" Type="http://schemas.openxmlformats.org/officeDocument/2006/relationships/hyperlink" Target="https://www.sec.gov/Archives/edgar/data/1782170/000162828022022987/exhibit21-8xk.htm" TargetMode="External"/><Relationship Id="rId121" Type="http://schemas.openxmlformats.org/officeDocument/2006/relationships/hyperlink" Target="https://www.sec.gov/Archives/edgar/data/0001782170/000178217021000011/exhibit33-remitlyglobalxpu.htm" TargetMode="External"/><Relationship Id="rId122" Type="http://schemas.openxmlformats.org/officeDocument/2006/relationships/hyperlink" Target="https://www.sec.gov/Archives/edgar/data/1782170/000178217024000074/ex31-restatedbylaws.htm" TargetMode="External"/><Relationship Id="rId123" Type="http://schemas.openxmlformats.org/officeDocument/2006/relationships/hyperlink" Target="https://www.sec.gov/Archives/edgar/data/1782170/000178217025000093/exhibit33-remitlyglobalinc.htm" TargetMode="External"/><Relationship Id="rId124" Type="http://schemas.openxmlformats.org/officeDocument/2006/relationships/hyperlink" Target="https://www.sec.gov/Archives/edgar/data/0001782170/000162828021018524/exhibit41-sx1a1.htm" TargetMode="External"/><Relationship Id="rId125" Type="http://schemas.openxmlformats.org/officeDocument/2006/relationships/hyperlink" Target="https://www.sec.gov/Archives/edgar/data/1782170/000178217025000018/exhibit43-relydescriptiono.htm" TargetMode="External"/><Relationship Id="rId126" Type="http://schemas.openxmlformats.org/officeDocument/2006/relationships/hyperlink" Target="https://www.sec.gov/Archives/edgar/data/0001782170/000162828021017788/exhibit101-sx1.htm" TargetMode="External"/><Relationship Id="rId127" Type="http://schemas.openxmlformats.org/officeDocument/2006/relationships/hyperlink" Target="https://www.sec.gov/Archives/edgar/data/1782170/000162828021017788/exhibit103-sx1.htm" TargetMode="External"/><Relationship Id="rId128" Type="http://schemas.openxmlformats.org/officeDocument/2006/relationships/hyperlink" Target="https://www.sec.gov/Archives/edgar/data/1782170/000178217025000018/exhibit103-2021equityincen.htm" TargetMode="External"/><Relationship Id="rId129" Type="http://schemas.openxmlformats.org/officeDocument/2006/relationships/hyperlink" Target="https://www.sec.gov/Archives/edgar/data/1782170/000178217024000187/exhibit101-remitlyx2021emp.htm" TargetMode="External"/><Relationship Id="rId130" Type="http://schemas.openxmlformats.org/officeDocument/2006/relationships/hyperlink" Target="https://www.sec.gov/Archives/edgar/data/1782170/000162828021018524/exhibit107-sx1a1.htm" TargetMode="External"/><Relationship Id="rId131" Type="http://schemas.openxmlformats.org/officeDocument/2006/relationships/hyperlink" Target="https://www.sec.gov/Archives/edgar/data/1782170/000178217025000093/exhibit101-executionversio.htm" TargetMode="External"/><Relationship Id="rId132" Type="http://schemas.openxmlformats.org/officeDocument/2006/relationships/hyperlink" Target="https://www.sec.gov/Archives/edgar/data/1782170/000162828021018524/exhibit1010-sx1a1.htm" TargetMode="External"/><Relationship Id="rId133" Type="http://schemas.openxmlformats.org/officeDocument/2006/relationships/hyperlink" Target="https://www.sec.gov/Archives/edgar/data/1782170/000178217023000075/a103sinharestatedofferlett.htm" TargetMode="External"/><Relationship Id="rId134" Type="http://schemas.openxmlformats.org/officeDocument/2006/relationships/hyperlink" Target="https://www.sec.gov/Archives/edgar/data/1782170/000178217023000145/remitly-jpmrevolvingcredit.htm" TargetMode="External"/><Relationship Id="rId135" Type="http://schemas.openxmlformats.org/officeDocument/2006/relationships/hyperlink" Target="https://www.sec.gov/Archives/edgar/data/1782170/000095010323017845/dp204035_ex1001.htm" TargetMode="External"/><Relationship Id="rId136" Type="http://schemas.openxmlformats.org/officeDocument/2006/relationships/hyperlink" Target="https://www.sec.gov/Archives/edgar/data/1782170/000178217024000223/a2024-07x26xofferletterxme.htm" TargetMode="External"/><Relationship Id="rId137" Type="http://schemas.openxmlformats.org/officeDocument/2006/relationships/hyperlink" Target="https://www.sec.gov/Archives/edgar/data/1782170/000095010325008001/dp230566_ex1001.htm" TargetMode="External"/><Relationship Id="rId140" Type="http://schemas.openxmlformats.org/officeDocument/2006/relationships/hyperlink" Target="https://www.sec.gov/Archives/edgar/data/1782170/000178217025000018/a971-incentivecomp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2026-02-18T15:24:48Z</dcterms:created>
  <dcterms:modified xsi:type="dcterms:W3CDTF">2026-02-18T15:24:48Z</dcterms:modified>
</cp:coreProperties>
</file>