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8952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 NIGEL W</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Remitly Global,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02/25/2026</w:t>
            </w:r>
          </w:p>
        </w:tc>
        <w:tc>
          <w:tcPr>
            <w:tcW w:w="20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REMITLY GLOBAL, INC.</w:t>
            </w:r>
          </w:p>
        </w:tc>
        <w:tc>
          <w:tcPr>
            <w:tcW w:w="120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401 UNION STREET, SUITE 1000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98101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02/25/2026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0"/>
              </w:rPr>
              <w:t>524</w:t>
            </w:r>
            <w:r>
              <w:rPr>
                <w:rFonts w:ascii="Times New Roman" w:cs="Times New Roman" w:eastAsia="Times New Roman" w:hAnsi="Times New Roman"/>
                <w:sz w:val="21"/>
                <w:szCs w:val="21"/>
                <w:color w:val="008000"/>
                <w:w w:val="90"/>
                <w:vertAlign w:val="superscript"/>
              </w:rPr>
              <w:t>(1)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1,861,210</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02/25/2026</w:t>
            </w:r>
          </w:p>
        </w:tc>
        <w:tc>
          <w:tcPr>
            <w:tcW w:w="110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524</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524</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273" w:lineRule="exact"/>
              <w:rPr>
                <w:sz w:val="20"/>
                <w:szCs w:val="20"/>
                <w:color w:val="auto"/>
              </w:rPr>
            </w:pP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(5)</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(RSUs)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vesting of restricted stock units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 upon settlement.</w:t>
      </w:r>
    </w:p>
    <w:p>
      <w:pPr>
        <w:spacing w:after="0" w:line="45" w:lineRule="exact"/>
        <w:rPr>
          <w:rFonts w:ascii="Times New Roman" w:cs="Times New Roman" w:eastAsia="Times New Roman" w:hAnsi="Times New Roman"/>
          <w:sz w:val="13"/>
          <w:szCs w:val="13"/>
          <w:color w:val="008000"/>
        </w:rPr>
      </w:pPr>
    </w:p>
    <w:p>
      <w:pPr>
        <w:ind w:left="40" w:right="1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reported prior awards of RSUs in Table II. The total reported in Table I, Column 5, includes 15,763 unvested RSUs previously reported in Table II and 1,845,447 shares of common stock.</w:t>
      </w:r>
    </w:p>
    <w:p>
      <w:pPr>
        <w:spacing w:after="0" w:line="14" w:lineRule="exact"/>
        <w:rPr>
          <w:rFonts w:ascii="Times New Roman" w:cs="Times New Roman" w:eastAsia="Times New Roman" w:hAnsi="Times New Roman"/>
          <w:sz w:val="13"/>
          <w:szCs w:val="13"/>
          <w:color w:val="008000"/>
        </w:rPr>
      </w:pPr>
    </w:p>
    <w:p>
      <w:pPr>
        <w:ind w:left="40" w:right="3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on June 11, 2025, and will vest in four equal installments on each August 25, November 25, February 25, and May 25 following the grant date and, if not fully vested, shall vest in full on the earlier of (i) the date of the 2026 annual meeting of the Issuer's stockholders or (ii) June 11, 2026, subject to the reporting person's provision of service to the Issuer on each vesting date.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 The total reported in Table I, Column 5, includes 524 unvested RSUs remaining under this RSU award previously reported in Table II.</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Jeff Mason as attorney-in-</w:t>
            </w:r>
          </w:p>
        </w:tc>
        <w:tc>
          <w:tcPr>
            <w:tcW w:w="100" w:type="dxa"/>
            <w:vAlign w:val="bottom"/>
          </w:tcPr>
          <w:p>
            <w:pPr>
              <w:spacing w:after="0"/>
              <w:rPr>
                <w:sz w:val="17"/>
                <w:szCs w:val="17"/>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02/27/2026</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8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8040" TargetMode="External"/><Relationship Id="rId14"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2026-02-27T16:07:13Z</dcterms:created>
  <dcterms:modified xsi:type="dcterms:W3CDTF">2026-02-27T16:07:13Z</dcterms:modified>
</cp:coreProperties>
</file>