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 No. 333-259167</w:t>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12,162,777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24130</wp:posOffset>
            </wp:positionV>
            <wp:extent cx="257175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75565</wp:posOffset>
            </wp:positionV>
            <wp:extent cx="1457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56" w:lineRule="exact"/>
        <w:rPr>
          <w:sz w:val="24"/>
          <w:szCs w:val="24"/>
          <w:color w:val="auto"/>
        </w:rPr>
      </w:pPr>
    </w:p>
    <w:p>
      <w:pPr>
        <w:jc w:val="both"/>
        <w:ind w:right="240" w:firstLine="324"/>
        <w:spacing w:after="0" w:line="261" w:lineRule="auto"/>
        <w:rPr>
          <w:sz w:val="20"/>
          <w:szCs w:val="20"/>
          <w:color w:val="auto"/>
        </w:rPr>
      </w:pPr>
      <w:r>
        <w:rPr>
          <w:rFonts w:ascii="Arial" w:cs="Arial" w:eastAsia="Arial" w:hAnsi="Arial"/>
          <w:sz w:val="17"/>
          <w:szCs w:val="17"/>
          <w:color w:val="auto"/>
        </w:rPr>
        <w:t>This is the initial public offering of our common stock. We are offering 7,000,000 shares of our common stock and the selling stockholders identified in this prospectus, which include members of our board of directors and senior management, are offering an additional 5,162,777 shares of common stock. We will not receive any proceeds from the sale of shares by the selling stockholders.</w:t>
      </w:r>
    </w:p>
    <w:p>
      <w:pPr>
        <w:spacing w:after="0" w:line="24" w:lineRule="exact"/>
        <w:rPr>
          <w:sz w:val="24"/>
          <w:szCs w:val="24"/>
          <w:color w:val="auto"/>
        </w:rPr>
      </w:pPr>
    </w:p>
    <w:p>
      <w:pPr>
        <w:ind w:left="340" w:right="400"/>
        <w:spacing w:after="0" w:line="314" w:lineRule="auto"/>
        <w:rPr>
          <w:sz w:val="20"/>
          <w:szCs w:val="20"/>
          <w:color w:val="auto"/>
        </w:rPr>
      </w:pPr>
      <w:r>
        <w:rPr>
          <w:rFonts w:ascii="Arial" w:cs="Arial" w:eastAsia="Arial" w:hAnsi="Arial"/>
          <w:sz w:val="17"/>
          <w:szCs w:val="17"/>
          <w:color w:val="auto"/>
        </w:rPr>
        <w:t>Prior to this offering, there has been no public market for our shares of common stock. The initial public offering price per share will be $43.00 per share. We have been approved to list our common stock on the Nasdaq Global Select Market under the symbol “RELY.”</w:t>
      </w:r>
    </w:p>
    <w:p>
      <w:pPr>
        <w:spacing w:after="0" w:line="2" w:lineRule="exact"/>
        <w:rPr>
          <w:sz w:val="24"/>
          <w:szCs w:val="24"/>
          <w:color w:val="auto"/>
        </w:rPr>
      </w:pPr>
    </w:p>
    <w:p>
      <w:pPr>
        <w:ind w:right="80" w:firstLine="324"/>
        <w:spacing w:after="0" w:line="261"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and, as such, may elect to comply with certain reduced public company reporting requirements. For more information, see the section titled “Prospectus Summary—Implications of Being an Emerging Growth Company.”</w:t>
      </w:r>
    </w:p>
    <w:p>
      <w:pPr>
        <w:spacing w:after="0" w:line="24" w:lineRule="exact"/>
        <w:rPr>
          <w:sz w:val="24"/>
          <w:szCs w:val="24"/>
          <w:color w:val="auto"/>
        </w:rPr>
      </w:pPr>
    </w:p>
    <w:p>
      <w:pPr>
        <w:ind w:right="20" w:firstLine="324"/>
        <w:spacing w:after="0" w:line="257" w:lineRule="auto"/>
        <w:rPr>
          <w:sz w:val="20"/>
          <w:szCs w:val="20"/>
          <w:color w:val="auto"/>
        </w:rPr>
      </w:pPr>
      <w:r>
        <w:rPr>
          <w:rFonts w:ascii="Arial" w:cs="Arial" w:eastAsia="Arial" w:hAnsi="Arial"/>
          <w:sz w:val="17"/>
          <w:szCs w:val="17"/>
          <w:color w:val="auto"/>
        </w:rPr>
        <w:t>PayU Fintech Investments B.V., an existing stockholder, has separately agreed to purchase a number of shares of our common stock with an aggregate purchase price of up to $25.0 million, at a price per share equal to the initial public offering price in a private placement. Based upon the initial public offering price of $43.00 per share, this would be 581,395 shares of common stock. The private placement is conditioned on the closing of this offering and other conditions to closing. See the section titled “Private Placement.”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11430</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38" w:lineRule="exact"/>
        <w:rPr>
          <w:sz w:val="24"/>
          <w:szCs w:val="24"/>
          <w:color w:val="auto"/>
        </w:rPr>
      </w:pPr>
    </w:p>
    <w:p>
      <w:pPr>
        <w:ind w:left="3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See the section titled “</w:t>
      </w:r>
      <w:hyperlink w:anchor="page32">
        <w:r>
          <w:rPr>
            <w:rFonts w:ascii="Arial" w:cs="Arial" w:eastAsia="Arial" w:hAnsi="Arial"/>
            <w:sz w:val="15"/>
            <w:szCs w:val="15"/>
            <w:b w:val="1"/>
            <w:bCs w:val="1"/>
            <w:u w:val="single" w:color="auto"/>
            <w:color w:val="0000FF"/>
          </w:rPr>
          <w:t>Risk Factors</w:t>
        </w:r>
      </w:hyperlink>
      <w:r>
        <w:rPr>
          <w:rFonts w:ascii="Arial" w:cs="Arial" w:eastAsia="Arial" w:hAnsi="Arial"/>
          <w:sz w:val="15"/>
          <w:szCs w:val="15"/>
          <w:b w:val="1"/>
          <w:bCs w:val="1"/>
          <w:color w:val="auto"/>
        </w:rPr>
        <w:t>” beginning on page 22 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118745</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53" w:lineRule="exact"/>
        <w:rPr>
          <w:sz w:val="24"/>
          <w:szCs w:val="24"/>
          <w:color w:val="auto"/>
        </w:rPr>
      </w:pPr>
    </w:p>
    <w:p>
      <w:pPr>
        <w:ind w:right="160" w:firstLine="324"/>
        <w:spacing w:after="0" w:line="279"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0</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Underwriting Discounts</w:t>
            </w:r>
          </w:p>
        </w:tc>
        <w:tc>
          <w:tcPr>
            <w:tcW w:w="1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Proceeds to Remitly</w:t>
            </w:r>
          </w:p>
        </w:tc>
        <w:tc>
          <w:tcPr>
            <w:tcW w:w="160" w:type="dxa"/>
            <w:vAlign w:val="bottom"/>
          </w:tcPr>
          <w:p>
            <w:pPr>
              <w:spacing w:after="0"/>
              <w:rPr>
                <w:sz w:val="14"/>
                <w:szCs w:val="14"/>
                <w:color w:val="auto"/>
              </w:rPr>
            </w:pPr>
          </w:p>
        </w:tc>
        <w:tc>
          <w:tcPr>
            <w:tcW w:w="136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Proceeds to Selling</w:t>
            </w:r>
          </w:p>
        </w:tc>
      </w:tr>
      <w:tr>
        <w:trPr>
          <w:trHeight w:val="215"/>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 to Public</w:t>
            </w:r>
          </w:p>
        </w:tc>
        <w:tc>
          <w:tcPr>
            <w:tcW w:w="1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Commissions</w:t>
            </w:r>
            <w:r>
              <w:rPr>
                <w:rFonts w:ascii="Arial" w:cs="Arial" w:eastAsia="Arial" w:hAnsi="Arial"/>
                <w:sz w:val="18"/>
                <w:szCs w:val="18"/>
                <w:b w:val="1"/>
                <w:bCs w:val="1"/>
                <w:color w:val="auto"/>
                <w:vertAlign w:val="superscript"/>
              </w:rPr>
              <w:t>(1)</w:t>
            </w: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Global, Inc.</w:t>
            </w:r>
          </w:p>
        </w:tc>
        <w:tc>
          <w:tcPr>
            <w:tcW w:w="160" w:type="dxa"/>
            <w:vAlign w:val="bottom"/>
          </w:tcPr>
          <w:p>
            <w:pPr>
              <w:spacing w:after="0"/>
              <w:rPr>
                <w:sz w:val="18"/>
                <w:szCs w:val="18"/>
                <w:color w:val="auto"/>
              </w:rPr>
            </w:pPr>
          </w:p>
        </w:tc>
        <w:tc>
          <w:tcPr>
            <w:tcW w:w="1360" w:type="dxa"/>
            <w:vAlign w:val="bottom"/>
          </w:tcPr>
          <w:p>
            <w:pPr>
              <w:jc w:val="right"/>
              <w:ind w:right="279"/>
              <w:spacing w:after="0"/>
              <w:rPr>
                <w:sz w:val="20"/>
                <w:szCs w:val="20"/>
                <w:color w:val="auto"/>
              </w:rPr>
            </w:pPr>
            <w:r>
              <w:rPr>
                <w:rFonts w:ascii="Arial" w:cs="Arial" w:eastAsia="Arial" w:hAnsi="Arial"/>
                <w:sz w:val="14"/>
                <w:szCs w:val="14"/>
                <w:b w:val="1"/>
                <w:bCs w:val="1"/>
                <w:color w:val="auto"/>
              </w:rPr>
              <w:t>Stockholders</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Per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w:t>
            </w:r>
          </w:p>
        </w:tc>
      </w:tr>
      <w:tr>
        <w:trPr>
          <w:trHeight w:val="283"/>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522,999,411</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28,764,968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284,445,000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209,789,443</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______________</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of this prospectus for additional information regarding total underwriting compensation.</w:t>
      </w:r>
    </w:p>
    <w:p>
      <w:pPr>
        <w:spacing w:after="0" w:line="159" w:lineRule="exact"/>
        <w:rPr>
          <w:sz w:val="24"/>
          <w:szCs w:val="24"/>
          <w:color w:val="auto"/>
        </w:rPr>
      </w:pPr>
    </w:p>
    <w:p>
      <w:pPr>
        <w:ind w:right="80" w:firstLine="324"/>
        <w:spacing w:after="0" w:line="319" w:lineRule="auto"/>
        <w:rPr>
          <w:sz w:val="20"/>
          <w:szCs w:val="20"/>
          <w:color w:val="auto"/>
        </w:rPr>
      </w:pPr>
      <w:r>
        <w:rPr>
          <w:rFonts w:ascii="Arial" w:cs="Arial" w:eastAsia="Arial" w:hAnsi="Arial"/>
          <w:sz w:val="15"/>
          <w:szCs w:val="15"/>
          <w:color w:val="auto"/>
        </w:rPr>
        <w:t>The underwriters have an option to purchase up to an additional 1,269,627 shares from us and up to an additional 554,790 shares from the selling stockholders at the initial public offering price, less the underwriting discount. We will not receive any proceeds from the sale of shares by the selling stockholders.</w:t>
      </w:r>
    </w:p>
    <w:p>
      <w:pPr>
        <w:ind w:left="340"/>
        <w:spacing w:after="0"/>
        <w:rPr>
          <w:sz w:val="20"/>
          <w:szCs w:val="20"/>
          <w:color w:val="auto"/>
        </w:rPr>
      </w:pPr>
      <w:r>
        <w:rPr>
          <w:rFonts w:ascii="Arial" w:cs="Arial" w:eastAsia="Arial" w:hAnsi="Arial"/>
          <w:sz w:val="17"/>
          <w:szCs w:val="17"/>
          <w:color w:val="auto"/>
        </w:rPr>
        <w:t>The underwriters expect to deliver the shares against payment in New York, New York, on or about September 27, 2021.</w:t>
      </w:r>
    </w:p>
    <w:p>
      <w:pPr>
        <w:spacing w:after="0" w:line="159" w:lineRule="exact"/>
        <w:rPr>
          <w:sz w:val="24"/>
          <w:szCs w:val="24"/>
          <w:color w:val="auto"/>
        </w:rPr>
      </w:pPr>
    </w:p>
    <w:tbl>
      <w:tblPr>
        <w:tblLayout w:type="fixed"/>
        <w:tblInd w:w="20" w:type="dxa"/>
        <w:tblCellMar>
          <w:top w:w="0" w:type="dxa"/>
          <w:left w:w="0" w:type="dxa"/>
          <w:bottom w:w="0" w:type="dxa"/>
          <w:right w:w="0" w:type="dxa"/>
        </w:tblCellMar>
      </w:tblPr>
      <w:tr>
        <w:trPr>
          <w:trHeight w:val="421"/>
        </w:trPr>
        <w:tc>
          <w:tcPr>
            <w:tcW w:w="4040" w:type="dxa"/>
            <w:vAlign w:val="bottom"/>
          </w:tcPr>
          <w:p>
            <w:pPr>
              <w:spacing w:after="0"/>
              <w:rPr>
                <w:sz w:val="20"/>
                <w:szCs w:val="20"/>
                <w:color w:val="auto"/>
              </w:rPr>
            </w:pPr>
            <w:r>
              <w:rPr>
                <w:rFonts w:ascii="Arial" w:cs="Arial" w:eastAsia="Arial" w:hAnsi="Arial"/>
                <w:sz w:val="32"/>
                <w:szCs w:val="32"/>
                <w:b w:val="1"/>
                <w:bCs w:val="1"/>
                <w:color w:val="auto"/>
                <w:w w:val="99"/>
              </w:rPr>
              <w:t>Goldman Sachs &amp; Co. LLC</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32"/>
                <w:szCs w:val="32"/>
                <w:b w:val="1"/>
                <w:bCs w:val="1"/>
                <w:color w:val="auto"/>
              </w:rPr>
              <w:t>J.P. Morgan</w:t>
            </w:r>
          </w:p>
        </w:tc>
      </w:tr>
      <w:tr>
        <w:trPr>
          <w:trHeight w:val="345"/>
        </w:trPr>
        <w:tc>
          <w:tcPr>
            <w:tcW w:w="40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420" w:type="dxa"/>
            <w:vAlign w:val="bottom"/>
          </w:tcPr>
          <w:p>
            <w:pPr>
              <w:spacing w:after="0"/>
              <w:rPr>
                <w:sz w:val="24"/>
                <w:szCs w:val="24"/>
                <w:color w:val="auto"/>
              </w:rPr>
            </w:pPr>
          </w:p>
        </w:tc>
        <w:tc>
          <w:tcPr>
            <w:tcW w:w="3440" w:type="dxa"/>
            <w:vAlign w:val="bottom"/>
            <w:gridSpan w:val="2"/>
          </w:tcPr>
          <w:p>
            <w:pPr>
              <w:jc w:val="center"/>
              <w:ind w:right="1540"/>
              <w:spacing w:after="0"/>
              <w:rPr>
                <w:sz w:val="20"/>
                <w:szCs w:val="20"/>
                <w:color w:val="auto"/>
              </w:rPr>
            </w:pPr>
            <w:r>
              <w:rPr>
                <w:rFonts w:ascii="Arial" w:cs="Arial" w:eastAsia="Arial" w:hAnsi="Arial"/>
                <w:sz w:val="25"/>
                <w:szCs w:val="25"/>
                <w:b w:val="1"/>
                <w:bCs w:val="1"/>
                <w:color w:val="auto"/>
                <w:w w:val="95"/>
              </w:rPr>
              <w:t>Citigroup</w:t>
            </w:r>
          </w:p>
        </w:tc>
        <w:tc>
          <w:tcPr>
            <w:tcW w:w="3300" w:type="dxa"/>
            <w:vAlign w:val="bottom"/>
          </w:tcPr>
          <w:p>
            <w:pPr>
              <w:jc w:val="right"/>
              <w:spacing w:after="0"/>
              <w:rPr>
                <w:sz w:val="20"/>
                <w:szCs w:val="20"/>
                <w:color w:val="auto"/>
              </w:rPr>
            </w:pPr>
            <w:r>
              <w:rPr>
                <w:rFonts w:ascii="Arial" w:cs="Arial" w:eastAsia="Arial" w:hAnsi="Arial"/>
                <w:sz w:val="25"/>
                <w:szCs w:val="25"/>
                <w:b w:val="1"/>
                <w:bCs w:val="1"/>
                <w:color w:val="auto"/>
              </w:rPr>
              <w:t>William Blair</w:t>
            </w:r>
          </w:p>
        </w:tc>
      </w:tr>
      <w:tr>
        <w:trPr>
          <w:trHeight w:val="279"/>
        </w:trPr>
        <w:tc>
          <w:tcPr>
            <w:tcW w:w="4040" w:type="dxa"/>
            <w:vAlign w:val="bottom"/>
          </w:tcPr>
          <w:p>
            <w:pPr>
              <w:spacing w:after="0"/>
              <w:rPr>
                <w:sz w:val="20"/>
                <w:szCs w:val="20"/>
                <w:color w:val="auto"/>
              </w:rPr>
            </w:pPr>
            <w:r>
              <w:rPr>
                <w:rFonts w:ascii="Arial" w:cs="Arial" w:eastAsia="Arial" w:hAnsi="Arial"/>
                <w:sz w:val="20"/>
                <w:szCs w:val="20"/>
                <w:b w:val="1"/>
                <w:bCs w:val="1"/>
                <w:color w:val="auto"/>
              </w:rPr>
              <w:t>JMP Securities</w:t>
            </w:r>
          </w:p>
        </w:tc>
        <w:tc>
          <w:tcPr>
            <w:tcW w:w="3860" w:type="dxa"/>
            <w:vAlign w:val="bottom"/>
            <w:gridSpan w:val="3"/>
          </w:tcPr>
          <w:p>
            <w:pPr>
              <w:jc w:val="center"/>
              <w:ind w:right="1120"/>
              <w:spacing w:after="0"/>
              <w:rPr>
                <w:sz w:val="20"/>
                <w:szCs w:val="20"/>
                <w:color w:val="auto"/>
              </w:rPr>
            </w:pPr>
            <w:r>
              <w:rPr>
                <w:rFonts w:ascii="Arial" w:cs="Arial" w:eastAsia="Arial" w:hAnsi="Arial"/>
                <w:sz w:val="20"/>
                <w:szCs w:val="20"/>
                <w:b w:val="1"/>
                <w:bCs w:val="1"/>
                <w:color w:val="auto"/>
                <w:w w:val="92"/>
              </w:rPr>
              <w:t>KeyBanc Capital Markets</w:t>
            </w:r>
          </w:p>
        </w:tc>
        <w:tc>
          <w:tcPr>
            <w:tcW w:w="3300" w:type="dxa"/>
            <w:vAlign w:val="bottom"/>
          </w:tcPr>
          <w:p>
            <w:pPr>
              <w:jc w:val="right"/>
              <w:spacing w:after="0"/>
              <w:rPr>
                <w:sz w:val="20"/>
                <w:szCs w:val="20"/>
                <w:color w:val="auto"/>
              </w:rPr>
            </w:pPr>
            <w:r>
              <w:rPr>
                <w:rFonts w:ascii="Arial" w:cs="Arial" w:eastAsia="Arial" w:hAnsi="Arial"/>
                <w:sz w:val="20"/>
                <w:szCs w:val="20"/>
                <w:b w:val="1"/>
                <w:bCs w:val="1"/>
                <w:color w:val="auto"/>
              </w:rPr>
              <w:t>Nomura</w:t>
            </w:r>
          </w:p>
        </w:tc>
      </w:tr>
      <w:tr>
        <w:trPr>
          <w:trHeight w:val="266"/>
        </w:trPr>
        <w:tc>
          <w:tcPr>
            <w:tcW w:w="4040" w:type="dxa"/>
            <w:vAlign w:val="bottom"/>
          </w:tcPr>
          <w:p>
            <w:pPr>
              <w:spacing w:after="0"/>
              <w:rPr>
                <w:sz w:val="20"/>
                <w:szCs w:val="20"/>
                <w:color w:val="auto"/>
              </w:rPr>
            </w:pPr>
            <w:r>
              <w:rPr>
                <w:rFonts w:ascii="Arial" w:cs="Arial" w:eastAsia="Arial" w:hAnsi="Arial"/>
                <w:sz w:val="18"/>
                <w:szCs w:val="18"/>
                <w:b w:val="1"/>
                <w:bCs w:val="1"/>
                <w:color w:val="auto"/>
              </w:rPr>
              <w:t>Blaylock Van, LLC</w:t>
            </w:r>
          </w:p>
        </w:tc>
        <w:tc>
          <w:tcPr>
            <w:tcW w:w="4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Cabrera Capital Markets LLC</w:t>
            </w:r>
          </w:p>
        </w:tc>
      </w:tr>
      <w:tr>
        <w:trPr>
          <w:trHeight w:val="243"/>
        </w:trPr>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318"/>
        </w:trPr>
        <w:tc>
          <w:tcPr>
            <w:tcW w:w="4040" w:type="dxa"/>
            <w:vAlign w:val="bottom"/>
          </w:tcPr>
          <w:p>
            <w:pPr>
              <w:spacing w:after="0"/>
              <w:rPr>
                <w:sz w:val="24"/>
                <w:szCs w:val="24"/>
                <w:color w:val="auto"/>
              </w:rPr>
            </w:pPr>
          </w:p>
        </w:tc>
        <w:tc>
          <w:tcPr>
            <w:tcW w:w="3860" w:type="dxa"/>
            <w:vAlign w:val="bottom"/>
            <w:gridSpan w:val="3"/>
          </w:tcPr>
          <w:p>
            <w:pPr>
              <w:ind w:left="220"/>
              <w:spacing w:after="0"/>
              <w:rPr>
                <w:sz w:val="20"/>
                <w:szCs w:val="20"/>
                <w:color w:val="auto"/>
              </w:rPr>
            </w:pPr>
            <w:r>
              <w:rPr>
                <w:rFonts w:ascii="Arial" w:cs="Arial" w:eastAsia="Arial" w:hAnsi="Arial"/>
                <w:sz w:val="18"/>
                <w:szCs w:val="18"/>
                <w:color w:val="auto"/>
              </w:rPr>
              <w:t>Prospectus dated September 22, 2021</w:t>
            </w:r>
          </w:p>
        </w:tc>
        <w:tc>
          <w:tcPr>
            <w:tcW w:w="3300" w:type="dxa"/>
            <w:vAlign w:val="bottom"/>
          </w:tcPr>
          <w:p>
            <w:pPr>
              <w:spacing w:after="0"/>
              <w:rPr>
                <w:sz w:val="24"/>
                <w:szCs w:val="24"/>
                <w:color w:val="auto"/>
              </w:rPr>
            </w:pPr>
          </w:p>
        </w:tc>
      </w:tr>
    </w:tbl>
    <w:p>
      <w:pPr>
        <w:sectPr>
          <w:pgSz w:w="11900" w:h="16838" w:orient="portrait"/>
          <w:cols w:equalWidth="0" w:num="1">
            <w:col w:w="11240"/>
          </w:cols>
          <w:pgMar w:left="320" w:top="1360" w:right="3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4"/>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9940" w:type="dxa"/>
            <w:vAlign w:val="bottom"/>
            <w:gridSpan w:val="2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GLOSSARY OF TERMS USED IN THIS PROSPECTUS</w:t>
              </w:r>
            </w:hyperlink>
          </w:p>
        </w:tc>
        <w:tc>
          <w:tcPr>
            <w:tcW w:w="112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iii</w:t>
              </w:r>
            </w:hyperlink>
          </w:p>
        </w:tc>
      </w:tr>
      <w:tr>
        <w:trPr>
          <w:trHeight w:val="263"/>
        </w:trPr>
        <w:tc>
          <w:tcPr>
            <w:tcW w:w="2100" w:type="dxa"/>
            <w:vAlign w:val="bottom"/>
            <w:tcBorders>
              <w:top w:val="single" w:sz="8" w:color="0000FF"/>
            </w:tcBorders>
            <w:gridSpan w:val="12"/>
          </w:tcPr>
          <w:p>
            <w:pPr>
              <w:spacing w:after="0"/>
              <w:rPr>
                <w:rFonts w:ascii="Arial" w:cs="Arial" w:eastAsia="Arial" w:hAnsi="Arial"/>
                <w:sz w:val="18"/>
                <w:szCs w:val="18"/>
                <w:color w:val="0000FF"/>
                <w:w w:val="94"/>
              </w:rPr>
            </w:pPr>
            <w:hyperlink w:anchor="page11">
              <w:r>
                <w:rPr>
                  <w:rFonts w:ascii="Arial" w:cs="Arial" w:eastAsia="Arial" w:hAnsi="Arial"/>
                  <w:sz w:val="18"/>
                  <w:szCs w:val="18"/>
                  <w:color w:val="0000FF"/>
                  <w:w w:val="94"/>
                </w:rPr>
                <w:t>PROSPECTUS SUMMARY</w:t>
              </w:r>
            </w:hyperlink>
          </w:p>
        </w:tc>
        <w:tc>
          <w:tcPr>
            <w:tcW w:w="2120" w:type="dxa"/>
            <w:vAlign w:val="bottom"/>
            <w:tcBorders>
              <w:top w:val="single" w:sz="8" w:color="0000FF"/>
            </w:tcBorders>
            <w:gridSpan w:val="6"/>
          </w:tcPr>
          <w:p>
            <w:pPr>
              <w:spacing w:after="0"/>
              <w:rPr>
                <w:sz w:val="22"/>
                <w:szCs w:val="22"/>
                <w:color w:val="auto"/>
              </w:rPr>
            </w:pPr>
          </w:p>
        </w:tc>
        <w:tc>
          <w:tcPr>
            <w:tcW w:w="5720" w:type="dxa"/>
            <w:vAlign w:val="bottom"/>
            <w:gridSpan w:val="6"/>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top w:val="single" w:sz="8" w:color="0000FF"/>
            </w:tcBorders>
            <w:gridSpan w:val="2"/>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126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RISK FACTORS</w:t>
              </w:r>
            </w:hyperlink>
          </w:p>
        </w:tc>
        <w:tc>
          <w:tcPr>
            <w:tcW w:w="840" w:type="dxa"/>
            <w:vAlign w:val="bottom"/>
            <w:gridSpan w:val="8"/>
          </w:tcPr>
          <w:p>
            <w:pPr>
              <w:spacing w:after="0"/>
              <w:rPr>
                <w:sz w:val="22"/>
                <w:szCs w:val="22"/>
                <w:color w:val="auto"/>
              </w:rPr>
            </w:pPr>
          </w:p>
        </w:tc>
        <w:tc>
          <w:tcPr>
            <w:tcW w:w="7840" w:type="dxa"/>
            <w:vAlign w:val="bottom"/>
            <w:gridSpan w:val="12"/>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32">
              <w:r>
                <w:rPr>
                  <w:rFonts w:ascii="Arial" w:cs="Arial" w:eastAsia="Arial" w:hAnsi="Arial"/>
                  <w:sz w:val="15"/>
                  <w:szCs w:val="15"/>
                  <w:color w:val="0000FF"/>
                  <w:w w:val="71"/>
                </w:rPr>
                <w:t>22</w:t>
              </w:r>
            </w:hyperlink>
          </w:p>
        </w:tc>
      </w:tr>
      <w:tr>
        <w:trPr>
          <w:trHeight w:val="264"/>
        </w:trPr>
        <w:tc>
          <w:tcPr>
            <w:tcW w:w="5340" w:type="dxa"/>
            <w:vAlign w:val="bottom"/>
            <w:tcBorders>
              <w:bottom w:val="single" w:sz="8" w:color="0000FF"/>
            </w:tcBorders>
            <w:gridSpan w:val="21"/>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SPECIAL NOTE REGARDING FORWARD-LOOKING STATEMENTS</w:t>
              </w:r>
            </w:hyperlink>
          </w:p>
        </w:tc>
        <w:tc>
          <w:tcPr>
            <w:tcW w:w="4600" w:type="dxa"/>
            <w:vAlign w:val="bottom"/>
            <w:gridSpan w:val="3"/>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64</w:t>
              </w:r>
            </w:hyperlink>
          </w:p>
        </w:tc>
      </w:tr>
      <w:tr>
        <w:trPr>
          <w:trHeight w:val="263"/>
        </w:trPr>
        <w:tc>
          <w:tcPr>
            <w:tcW w:w="2660" w:type="dxa"/>
            <w:vAlign w:val="bottom"/>
            <w:tcBorders>
              <w:bottom w:val="single" w:sz="8" w:color="0000FF"/>
            </w:tcBorders>
            <w:gridSpan w:val="14"/>
          </w:tcPr>
          <w:p>
            <w:pPr>
              <w:spacing w:after="0"/>
              <w:rPr>
                <w:rFonts w:ascii="Arial" w:cs="Arial" w:eastAsia="Arial" w:hAnsi="Arial"/>
                <w:sz w:val="18"/>
                <w:szCs w:val="18"/>
                <w:color w:val="0000FF"/>
                <w:w w:val="98"/>
              </w:rPr>
            </w:pPr>
            <w:hyperlink w:anchor="page76">
              <w:r>
                <w:rPr>
                  <w:rFonts w:ascii="Arial" w:cs="Arial" w:eastAsia="Arial" w:hAnsi="Arial"/>
                  <w:sz w:val="18"/>
                  <w:szCs w:val="18"/>
                  <w:color w:val="0000FF"/>
                  <w:w w:val="98"/>
                </w:rPr>
                <w:t>MARKET AND INDUSTRY DATA</w:t>
              </w:r>
            </w:hyperlink>
          </w:p>
        </w:tc>
        <w:tc>
          <w:tcPr>
            <w:tcW w:w="7280" w:type="dxa"/>
            <w:vAlign w:val="bottom"/>
            <w:gridSpan w:val="10"/>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66</w:t>
              </w:r>
            </w:hyperlink>
          </w:p>
        </w:tc>
      </w:tr>
      <w:tr>
        <w:trPr>
          <w:trHeight w:val="263"/>
        </w:trPr>
        <w:tc>
          <w:tcPr>
            <w:tcW w:w="160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USE OF PROCEEDS</w:t>
              </w:r>
            </w:hyperlink>
          </w:p>
        </w:tc>
        <w:tc>
          <w:tcPr>
            <w:tcW w:w="8340" w:type="dxa"/>
            <w:vAlign w:val="bottom"/>
            <w:gridSpan w:val="14"/>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77">
              <w:r>
                <w:rPr>
                  <w:rFonts w:ascii="Arial" w:cs="Arial" w:eastAsia="Arial" w:hAnsi="Arial"/>
                  <w:sz w:val="15"/>
                  <w:szCs w:val="15"/>
                  <w:color w:val="0000FF"/>
                  <w:w w:val="71"/>
                </w:rPr>
                <w:t>67</w:t>
              </w:r>
            </w:hyperlink>
          </w:p>
        </w:tc>
      </w:tr>
      <w:tr>
        <w:trPr>
          <w:trHeight w:val="263"/>
        </w:trPr>
        <w:tc>
          <w:tcPr>
            <w:tcW w:w="9940" w:type="dxa"/>
            <w:vAlign w:val="bottom"/>
            <w:gridSpan w:val="24"/>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DIVIDEND POLICY</w:t>
              </w:r>
            </w:hyperlink>
          </w:p>
        </w:tc>
        <w:tc>
          <w:tcPr>
            <w:tcW w:w="1260" w:type="dxa"/>
            <w:vAlign w:val="bottom"/>
            <w:gridSpan w:val="3"/>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68</w:t>
              </w:r>
            </w:hyperlink>
          </w:p>
        </w:tc>
      </w:tr>
      <w:tr>
        <w:trPr>
          <w:trHeight w:val="263"/>
        </w:trPr>
        <w:tc>
          <w:tcPr>
            <w:tcW w:w="14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9"/>
              </w:rPr>
            </w:pPr>
            <w:hyperlink w:anchor="page79">
              <w:r>
                <w:rPr>
                  <w:rFonts w:ascii="Arial" w:cs="Arial" w:eastAsia="Arial" w:hAnsi="Arial"/>
                  <w:sz w:val="18"/>
                  <w:szCs w:val="18"/>
                  <w:color w:val="0000FF"/>
                  <w:w w:val="99"/>
                </w:rPr>
                <w:t>CAPITALIZATION</w:t>
              </w:r>
            </w:hyperlink>
          </w:p>
        </w:tc>
        <w:tc>
          <w:tcPr>
            <w:tcW w:w="100" w:type="dxa"/>
            <w:vAlign w:val="bottom"/>
            <w:tcBorders>
              <w:top w:val="single" w:sz="8" w:color="0000FF"/>
            </w:tcBorders>
          </w:tcPr>
          <w:p>
            <w:pPr>
              <w:spacing w:after="0"/>
              <w:rPr>
                <w:sz w:val="22"/>
                <w:szCs w:val="22"/>
                <w:color w:val="auto"/>
              </w:rPr>
            </w:pPr>
          </w:p>
        </w:tc>
        <w:tc>
          <w:tcPr>
            <w:tcW w:w="8360" w:type="dxa"/>
            <w:vAlign w:val="bottom"/>
            <w:gridSpan w:val="15"/>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w w:val="71"/>
              </w:rPr>
            </w:pPr>
            <w:hyperlink w:anchor="page79">
              <w:r>
                <w:rPr>
                  <w:rFonts w:ascii="Arial" w:cs="Arial" w:eastAsia="Arial" w:hAnsi="Arial"/>
                  <w:sz w:val="15"/>
                  <w:szCs w:val="15"/>
                  <w:color w:val="0000FF"/>
                  <w:w w:val="71"/>
                </w:rPr>
                <w:t>69</w:t>
              </w:r>
            </w:hyperlink>
          </w:p>
        </w:tc>
      </w:tr>
      <w:tr>
        <w:trPr>
          <w:trHeight w:val="264"/>
        </w:trPr>
        <w:tc>
          <w:tcPr>
            <w:tcW w:w="880" w:type="dxa"/>
            <w:vAlign w:val="bottom"/>
            <w:tcBorders>
              <w:bottom w:val="single" w:sz="8" w:color="0000FF"/>
            </w:tcBorders>
            <w:gridSpan w:val="3"/>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DILUTION</w:t>
              </w:r>
            </w:hyperlink>
          </w:p>
        </w:tc>
        <w:tc>
          <w:tcPr>
            <w:tcW w:w="9060" w:type="dxa"/>
            <w:vAlign w:val="bottom"/>
            <w:gridSpan w:val="21"/>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82">
              <w:r>
                <w:rPr>
                  <w:rFonts w:ascii="Arial" w:cs="Arial" w:eastAsia="Arial" w:hAnsi="Arial"/>
                  <w:sz w:val="15"/>
                  <w:szCs w:val="15"/>
                  <w:color w:val="0000FF"/>
                  <w:w w:val="71"/>
                </w:rPr>
                <w:t>72</w:t>
              </w:r>
            </w:hyperlink>
          </w:p>
        </w:tc>
      </w:tr>
      <w:tr>
        <w:trPr>
          <w:trHeight w:val="263"/>
        </w:trPr>
        <w:tc>
          <w:tcPr>
            <w:tcW w:w="8940" w:type="dxa"/>
            <w:vAlign w:val="bottom"/>
            <w:tcBorders>
              <w:bottom w:val="single" w:sz="8" w:color="0000FF"/>
            </w:tcBorders>
            <w:gridSpan w:val="23"/>
          </w:tcPr>
          <w:p>
            <w:pPr>
              <w:spacing w:after="0"/>
              <w:rPr>
                <w:rFonts w:ascii="Arial" w:cs="Arial" w:eastAsia="Arial" w:hAnsi="Arial"/>
                <w:sz w:val="18"/>
                <w:szCs w:val="18"/>
                <w:color w:val="0000FF"/>
                <w:w w:val="97"/>
              </w:rPr>
            </w:pPr>
            <w:hyperlink w:anchor="page86">
              <w:r>
                <w:rPr>
                  <w:rFonts w:ascii="Arial" w:cs="Arial" w:eastAsia="Arial" w:hAnsi="Arial"/>
                  <w:sz w:val="18"/>
                  <w:szCs w:val="18"/>
                  <w:color w:val="0000FF"/>
                  <w:w w:val="97"/>
                </w:rPr>
                <w:t>MANAGEMENT’S DISCUSSION AND ANALYSIS OF FINANCIAL CONDITION AND RESULTS OF OPERATIONS</w:t>
              </w:r>
            </w:hyperlink>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86">
              <w:r>
                <w:rPr>
                  <w:rFonts w:ascii="Arial" w:cs="Arial" w:eastAsia="Arial" w:hAnsi="Arial"/>
                  <w:sz w:val="15"/>
                  <w:szCs w:val="15"/>
                  <w:color w:val="0000FF"/>
                  <w:w w:val="71"/>
                </w:rPr>
                <w:t>76</w:t>
              </w:r>
            </w:hyperlink>
          </w:p>
        </w:tc>
      </w:tr>
      <w:tr>
        <w:trPr>
          <w:trHeight w:val="263"/>
        </w:trPr>
        <w:tc>
          <w:tcPr>
            <w:tcW w:w="860" w:type="dxa"/>
            <w:vAlign w:val="bottom"/>
            <w:gridSpan w:val="2"/>
          </w:tcPr>
          <w:p>
            <w:pPr>
              <w:spacing w:after="0"/>
              <w:rPr>
                <w:rFonts w:ascii="Arial" w:cs="Arial" w:eastAsia="Arial" w:hAnsi="Arial"/>
                <w:sz w:val="18"/>
                <w:szCs w:val="18"/>
                <w:color w:val="0000FF"/>
                <w:w w:val="92"/>
              </w:rPr>
            </w:pPr>
            <w:hyperlink w:anchor="page117">
              <w:r>
                <w:rPr>
                  <w:rFonts w:ascii="Arial" w:cs="Arial" w:eastAsia="Arial" w:hAnsi="Arial"/>
                  <w:sz w:val="18"/>
                  <w:szCs w:val="18"/>
                  <w:color w:val="0000FF"/>
                  <w:w w:val="92"/>
                </w:rPr>
                <w:t>BUSINESS</w:t>
              </w:r>
            </w:hyperlink>
          </w:p>
        </w:tc>
        <w:tc>
          <w:tcPr>
            <w:tcW w:w="9080" w:type="dxa"/>
            <w:vAlign w:val="bottom"/>
            <w:gridSpan w:val="22"/>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107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940" w:type="dxa"/>
            <w:vAlign w:val="bottom"/>
            <w:gridSpan w:val="24"/>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MANAGEMENT</w:t>
              </w:r>
            </w:hyperlink>
          </w:p>
        </w:tc>
        <w:tc>
          <w:tcPr>
            <w:tcW w:w="1260" w:type="dxa"/>
            <w:vAlign w:val="bottom"/>
            <w:gridSpan w:val="3"/>
          </w:tcPr>
          <w:p>
            <w:pPr>
              <w:jc w:val="right"/>
              <w:spacing w:after="0"/>
              <w:rPr>
                <w:rFonts w:ascii="Arial" w:cs="Arial" w:eastAsia="Arial" w:hAnsi="Arial"/>
                <w:sz w:val="18"/>
                <w:szCs w:val="18"/>
                <w:color w:val="0000FF"/>
              </w:rPr>
            </w:pPr>
            <w:hyperlink w:anchor="page152">
              <w:r>
                <w:rPr>
                  <w:rFonts w:ascii="Arial" w:cs="Arial" w:eastAsia="Arial" w:hAnsi="Arial"/>
                  <w:sz w:val="18"/>
                  <w:szCs w:val="18"/>
                  <w:color w:val="0000FF"/>
                </w:rPr>
                <w:t>142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460" w:type="dxa"/>
            <w:vAlign w:val="bottom"/>
            <w:gridSpan w:val="13"/>
          </w:tcPr>
          <w:p>
            <w:pPr>
              <w:spacing w:after="0"/>
              <w:rPr>
                <w:rFonts w:ascii="Arial" w:cs="Arial" w:eastAsia="Arial" w:hAnsi="Arial"/>
                <w:sz w:val="18"/>
                <w:szCs w:val="18"/>
                <w:color w:val="0000FF"/>
                <w:w w:val="96"/>
              </w:rPr>
            </w:pPr>
            <w:hyperlink w:anchor="page162">
              <w:r>
                <w:rPr>
                  <w:rFonts w:ascii="Arial" w:cs="Arial" w:eastAsia="Arial" w:hAnsi="Arial"/>
                  <w:sz w:val="18"/>
                  <w:szCs w:val="18"/>
                  <w:color w:val="0000FF"/>
                  <w:w w:val="96"/>
                </w:rPr>
                <w:t>EXECUTIVE COMPENSATION</w:t>
              </w:r>
            </w:hyperlink>
          </w:p>
        </w:tc>
        <w:tc>
          <w:tcPr>
            <w:tcW w:w="7480" w:type="dxa"/>
            <w:vAlign w:val="bottom"/>
            <w:gridSpan w:val="11"/>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62">
              <w:r>
                <w:rPr>
                  <w:rFonts w:ascii="Arial" w:cs="Arial" w:eastAsia="Arial" w:hAnsi="Arial"/>
                  <w:sz w:val="18"/>
                  <w:szCs w:val="18"/>
                  <w:color w:val="0000FF"/>
                </w:rPr>
                <w:t>152</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480" w:type="dxa"/>
            <w:vAlign w:val="bottom"/>
            <w:gridSpan w:val="22"/>
          </w:tcPr>
          <w:p>
            <w:pPr>
              <w:spacing w:after="0"/>
              <w:rPr>
                <w:rFonts w:ascii="Arial" w:cs="Arial" w:eastAsia="Arial" w:hAnsi="Arial"/>
                <w:sz w:val="18"/>
                <w:szCs w:val="18"/>
                <w:color w:val="0000FF"/>
                <w:w w:val="95"/>
              </w:rPr>
            </w:pPr>
            <w:hyperlink w:anchor="page173">
              <w:r>
                <w:rPr>
                  <w:rFonts w:ascii="Arial" w:cs="Arial" w:eastAsia="Arial" w:hAnsi="Arial"/>
                  <w:sz w:val="18"/>
                  <w:szCs w:val="18"/>
                  <w:color w:val="0000FF"/>
                  <w:w w:val="95"/>
                </w:rPr>
                <w:t>CERTAIN RELATIONSHIPS AND RELATED PARTY TRANSACTIONS</w:t>
              </w:r>
            </w:hyperlink>
          </w:p>
        </w:tc>
        <w:tc>
          <w:tcPr>
            <w:tcW w:w="4460" w:type="dxa"/>
            <w:vAlign w:val="bottom"/>
            <w:gridSpan w:val="2"/>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73">
              <w:r>
                <w:rPr>
                  <w:rFonts w:ascii="Arial" w:cs="Arial" w:eastAsia="Arial" w:hAnsi="Arial"/>
                  <w:sz w:val="18"/>
                  <w:szCs w:val="18"/>
                  <w:color w:val="0000FF"/>
                </w:rPr>
                <w:t>163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480" w:type="dxa"/>
            <w:vAlign w:val="bottom"/>
            <w:gridSpan w:val="22"/>
          </w:tcPr>
          <w:p>
            <w:pPr>
              <w:spacing w:after="0"/>
              <w:rPr>
                <w:rFonts w:ascii="Arial" w:cs="Arial" w:eastAsia="Arial" w:hAnsi="Arial"/>
                <w:sz w:val="18"/>
                <w:szCs w:val="18"/>
                <w:color w:val="0000FF"/>
              </w:rPr>
            </w:pPr>
            <w:hyperlink w:anchor="page177">
              <w:r>
                <w:rPr>
                  <w:rFonts w:ascii="Arial" w:cs="Arial" w:eastAsia="Arial" w:hAnsi="Arial"/>
                  <w:sz w:val="18"/>
                  <w:szCs w:val="18"/>
                  <w:color w:val="0000FF"/>
                </w:rPr>
                <w:t>PRINCIPAL AND SELLING STOCKHOLDERS</w:t>
              </w:r>
            </w:hyperlink>
          </w:p>
        </w:tc>
        <w:tc>
          <w:tcPr>
            <w:tcW w:w="4460" w:type="dxa"/>
            <w:vAlign w:val="bottom"/>
            <w:gridSpan w:val="2"/>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77">
              <w:r>
                <w:rPr>
                  <w:rFonts w:ascii="Arial" w:cs="Arial" w:eastAsia="Arial" w:hAnsi="Arial"/>
                  <w:sz w:val="18"/>
                  <w:szCs w:val="18"/>
                  <w:color w:val="0000FF"/>
                </w:rPr>
                <w:t>167</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880" w:type="dxa"/>
            <w:vAlign w:val="bottom"/>
            <w:gridSpan w:val="15"/>
          </w:tcPr>
          <w:p>
            <w:pPr>
              <w:spacing w:after="0"/>
              <w:rPr>
                <w:rFonts w:ascii="Arial" w:cs="Arial" w:eastAsia="Arial" w:hAnsi="Arial"/>
                <w:sz w:val="18"/>
                <w:szCs w:val="18"/>
                <w:color w:val="0000FF"/>
                <w:w w:val="95"/>
              </w:rPr>
            </w:pPr>
            <w:hyperlink w:anchor="page180">
              <w:r>
                <w:rPr>
                  <w:rFonts w:ascii="Arial" w:cs="Arial" w:eastAsia="Arial" w:hAnsi="Arial"/>
                  <w:sz w:val="18"/>
                  <w:szCs w:val="18"/>
                  <w:color w:val="0000FF"/>
                  <w:w w:val="95"/>
                </w:rPr>
                <w:t>DESCRIPTION OF CAPITAL STOCK</w:t>
              </w:r>
            </w:hyperlink>
          </w:p>
        </w:tc>
        <w:tc>
          <w:tcPr>
            <w:tcW w:w="720" w:type="dxa"/>
            <w:vAlign w:val="bottom"/>
            <w:gridSpan w:val="2"/>
          </w:tcPr>
          <w:p>
            <w:pPr>
              <w:spacing w:after="0"/>
              <w:rPr>
                <w:sz w:val="22"/>
                <w:szCs w:val="22"/>
                <w:color w:val="auto"/>
              </w:rPr>
            </w:pPr>
          </w:p>
        </w:tc>
        <w:tc>
          <w:tcPr>
            <w:tcW w:w="6340" w:type="dxa"/>
            <w:vAlign w:val="bottom"/>
            <w:gridSpan w:val="7"/>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80">
              <w:r>
                <w:rPr>
                  <w:rFonts w:ascii="Arial" w:cs="Arial" w:eastAsia="Arial" w:hAnsi="Arial"/>
                  <w:sz w:val="18"/>
                  <w:szCs w:val="18"/>
                  <w:color w:val="0000FF"/>
                </w:rPr>
                <w:t>170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940" w:type="dxa"/>
            <w:vAlign w:val="bottom"/>
            <w:gridSpan w:val="24"/>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SHARES ELIGIBLE FOR FUTURE SALE</w:t>
              </w:r>
            </w:hyperlink>
          </w:p>
        </w:tc>
        <w:tc>
          <w:tcPr>
            <w:tcW w:w="1260" w:type="dxa"/>
            <w:vAlign w:val="bottom"/>
            <w:gridSpan w:val="3"/>
          </w:tcPr>
          <w:p>
            <w:pPr>
              <w:jc w:val="right"/>
              <w:spacing w:after="0"/>
              <w:rPr>
                <w:rFonts w:ascii="Arial" w:cs="Arial" w:eastAsia="Arial" w:hAnsi="Arial"/>
                <w:sz w:val="18"/>
                <w:szCs w:val="18"/>
                <w:color w:val="0000FF"/>
              </w:rPr>
            </w:pPr>
            <w:hyperlink w:anchor="page186">
              <w:r>
                <w:rPr>
                  <w:rFonts w:ascii="Arial" w:cs="Arial" w:eastAsia="Arial" w:hAnsi="Arial"/>
                  <w:sz w:val="18"/>
                  <w:szCs w:val="18"/>
                  <w:color w:val="0000FF"/>
                </w:rPr>
                <w:t>176</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8940" w:type="dxa"/>
            <w:vAlign w:val="bottom"/>
            <w:gridSpan w:val="23"/>
          </w:tcPr>
          <w:p>
            <w:pPr>
              <w:spacing w:after="0"/>
              <w:rPr>
                <w:rFonts w:ascii="Arial" w:cs="Arial" w:eastAsia="Arial" w:hAnsi="Arial"/>
                <w:sz w:val="18"/>
                <w:szCs w:val="18"/>
                <w:color w:val="0000FF"/>
                <w:w w:val="95"/>
              </w:rPr>
            </w:pPr>
            <w:hyperlink w:anchor="page190">
              <w:r>
                <w:rPr>
                  <w:rFonts w:ascii="Arial" w:cs="Arial" w:eastAsia="Arial" w:hAnsi="Arial"/>
                  <w:sz w:val="18"/>
                  <w:szCs w:val="18"/>
                  <w:color w:val="0000FF"/>
                  <w:w w:val="95"/>
                </w:rPr>
                <w:t>MATERIAL U.S. FEDERAL INCOME TAX CONSEQUENCES TO NON-U.S. HOLDERS OF OUR COMMON STOCK</w:t>
              </w:r>
            </w:hyperlink>
          </w:p>
        </w:tc>
        <w:tc>
          <w:tcPr>
            <w:tcW w:w="1000" w:type="dxa"/>
            <w:vAlign w:val="bottom"/>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90">
              <w:r>
                <w:rPr>
                  <w:rFonts w:ascii="Arial" w:cs="Arial" w:eastAsia="Arial" w:hAnsi="Arial"/>
                  <w:sz w:val="18"/>
                  <w:szCs w:val="18"/>
                  <w:color w:val="0000FF"/>
                </w:rPr>
                <w:t>180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400" w:type="dxa"/>
            <w:vAlign w:val="bottom"/>
            <w:gridSpan w:val="6"/>
          </w:tcPr>
          <w:p>
            <w:pPr>
              <w:spacing w:after="0"/>
              <w:rPr>
                <w:rFonts w:ascii="Arial" w:cs="Arial" w:eastAsia="Arial" w:hAnsi="Arial"/>
                <w:sz w:val="18"/>
                <w:szCs w:val="18"/>
                <w:color w:val="0000FF"/>
                <w:w w:val="97"/>
              </w:rPr>
            </w:pPr>
            <w:hyperlink w:anchor="page195">
              <w:r>
                <w:rPr>
                  <w:rFonts w:ascii="Arial" w:cs="Arial" w:eastAsia="Arial" w:hAnsi="Arial"/>
                  <w:sz w:val="18"/>
                  <w:szCs w:val="18"/>
                  <w:color w:val="0000FF"/>
                  <w:w w:val="97"/>
                </w:rPr>
                <w:t>UNDERWRITING</w:t>
              </w:r>
            </w:hyperlink>
          </w:p>
        </w:tc>
        <w:tc>
          <w:tcPr>
            <w:tcW w:w="7540" w:type="dxa"/>
            <w:vAlign w:val="bottom"/>
            <w:gridSpan w:val="17"/>
          </w:tcPr>
          <w:p>
            <w:pPr>
              <w:spacing w:after="0"/>
              <w:rPr>
                <w:sz w:val="22"/>
                <w:szCs w:val="22"/>
                <w:color w:val="auto"/>
              </w:rPr>
            </w:pPr>
          </w:p>
        </w:tc>
        <w:tc>
          <w:tcPr>
            <w:tcW w:w="1000" w:type="dxa"/>
            <w:vAlign w:val="bottom"/>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195">
              <w:r>
                <w:rPr>
                  <w:rFonts w:ascii="Arial" w:cs="Arial" w:eastAsia="Arial" w:hAnsi="Arial"/>
                  <w:sz w:val="18"/>
                  <w:szCs w:val="18"/>
                  <w:color w:val="0000FF"/>
                </w:rPr>
                <w:t>185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940" w:type="dxa"/>
            <w:vAlign w:val="bottom"/>
            <w:gridSpan w:val="24"/>
          </w:tcPr>
          <w:p>
            <w:pPr>
              <w:spacing w:after="0"/>
              <w:rPr>
                <w:rFonts w:ascii="Arial" w:cs="Arial" w:eastAsia="Arial" w:hAnsi="Arial"/>
                <w:sz w:val="18"/>
                <w:szCs w:val="18"/>
                <w:color w:val="0000FF"/>
              </w:rPr>
            </w:pPr>
            <w:hyperlink w:anchor="page205">
              <w:r>
                <w:rPr>
                  <w:rFonts w:ascii="Arial" w:cs="Arial" w:eastAsia="Arial" w:hAnsi="Arial"/>
                  <w:sz w:val="18"/>
                  <w:szCs w:val="18"/>
                  <w:color w:val="0000FF"/>
                </w:rPr>
                <w:t>PRIVATE PLACEMENT</w:t>
              </w:r>
            </w:hyperlink>
          </w:p>
        </w:tc>
        <w:tc>
          <w:tcPr>
            <w:tcW w:w="1260" w:type="dxa"/>
            <w:vAlign w:val="bottom"/>
            <w:gridSpan w:val="3"/>
          </w:tcPr>
          <w:p>
            <w:pPr>
              <w:jc w:val="right"/>
              <w:spacing w:after="0"/>
              <w:rPr>
                <w:rFonts w:ascii="Arial" w:cs="Arial" w:eastAsia="Arial" w:hAnsi="Arial"/>
                <w:sz w:val="18"/>
                <w:szCs w:val="18"/>
                <w:color w:val="0000FF"/>
              </w:rPr>
            </w:pPr>
            <w:hyperlink w:anchor="page205">
              <w:r>
                <w:rPr>
                  <w:rFonts w:ascii="Arial" w:cs="Arial" w:eastAsia="Arial" w:hAnsi="Arial"/>
                  <w:sz w:val="18"/>
                  <w:szCs w:val="18"/>
                  <w:color w:val="0000FF"/>
                </w:rPr>
                <w:t>195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1840" w:type="dxa"/>
            <w:vAlign w:val="bottom"/>
            <w:gridSpan w:val="11"/>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LEGAL MATTERS</w:t>
              </w:r>
            </w:hyperlink>
          </w:p>
        </w:tc>
        <w:tc>
          <w:tcPr>
            <w:tcW w:w="8100" w:type="dxa"/>
            <w:vAlign w:val="bottom"/>
            <w:gridSpan w:val="13"/>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206">
              <w:r>
                <w:rPr>
                  <w:rFonts w:ascii="Arial" w:cs="Arial" w:eastAsia="Arial" w:hAnsi="Arial"/>
                  <w:sz w:val="18"/>
                  <w:szCs w:val="18"/>
                  <w:color w:val="0000FF"/>
                </w:rPr>
                <w:t>195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780" w:type="dxa"/>
            <w:vAlign w:val="bottom"/>
          </w:tcPr>
          <w:p>
            <w:pPr>
              <w:spacing w:after="0"/>
              <w:rPr>
                <w:rFonts w:ascii="Arial" w:cs="Arial" w:eastAsia="Arial" w:hAnsi="Arial"/>
                <w:sz w:val="18"/>
                <w:szCs w:val="18"/>
                <w:color w:val="0000FF"/>
                <w:w w:val="90"/>
              </w:rPr>
            </w:pPr>
            <w:hyperlink w:anchor="page206">
              <w:r>
                <w:rPr>
                  <w:rFonts w:ascii="Arial" w:cs="Arial" w:eastAsia="Arial" w:hAnsi="Arial"/>
                  <w:sz w:val="18"/>
                  <w:szCs w:val="18"/>
                  <w:color w:val="0000FF"/>
                  <w:w w:val="90"/>
                </w:rPr>
                <w:t>EXPERTS</w:t>
              </w:r>
            </w:hyperlink>
          </w:p>
        </w:tc>
        <w:tc>
          <w:tcPr>
            <w:tcW w:w="680" w:type="dxa"/>
            <w:vAlign w:val="bottom"/>
            <w:gridSpan w:val="6"/>
          </w:tcPr>
          <w:p>
            <w:pPr>
              <w:spacing w:after="0"/>
              <w:rPr>
                <w:sz w:val="22"/>
                <w:szCs w:val="22"/>
                <w:color w:val="auto"/>
              </w:rPr>
            </w:pPr>
          </w:p>
        </w:tc>
        <w:tc>
          <w:tcPr>
            <w:tcW w:w="8480" w:type="dxa"/>
            <w:vAlign w:val="bottom"/>
            <w:gridSpan w:val="17"/>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206">
              <w:r>
                <w:rPr>
                  <w:rFonts w:ascii="Arial" w:cs="Arial" w:eastAsia="Arial" w:hAnsi="Arial"/>
                  <w:sz w:val="18"/>
                  <w:szCs w:val="18"/>
                  <w:color w:val="0000FF"/>
                </w:rPr>
                <w:t>195</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64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4420" w:type="dxa"/>
            <w:vAlign w:val="bottom"/>
            <w:gridSpan w:val="19"/>
          </w:tcPr>
          <w:p>
            <w:pPr>
              <w:spacing w:after="0"/>
              <w:rPr>
                <w:rFonts w:ascii="Arial" w:cs="Arial" w:eastAsia="Arial" w:hAnsi="Arial"/>
                <w:sz w:val="18"/>
                <w:szCs w:val="18"/>
                <w:color w:val="0000FF"/>
                <w:w w:val="98"/>
              </w:rPr>
            </w:pPr>
            <w:hyperlink w:anchor="page206">
              <w:r>
                <w:rPr>
                  <w:rFonts w:ascii="Arial" w:cs="Arial" w:eastAsia="Arial" w:hAnsi="Arial"/>
                  <w:sz w:val="18"/>
                  <w:szCs w:val="18"/>
                  <w:color w:val="0000FF"/>
                  <w:w w:val="98"/>
                </w:rPr>
                <w:t>WHERE YOU CAN FIND ADDITIONAL INFORMATION</w:t>
              </w:r>
            </w:hyperlink>
          </w:p>
        </w:tc>
        <w:tc>
          <w:tcPr>
            <w:tcW w:w="5520" w:type="dxa"/>
            <w:vAlign w:val="bottom"/>
            <w:gridSpan w:val="5"/>
          </w:tcPr>
          <w:p>
            <w:pPr>
              <w:spacing w:after="0"/>
              <w:rPr>
                <w:sz w:val="22"/>
                <w:szCs w:val="22"/>
                <w:color w:val="auto"/>
              </w:rPr>
            </w:pPr>
          </w:p>
        </w:tc>
        <w:tc>
          <w:tcPr>
            <w:tcW w:w="1260" w:type="dxa"/>
            <w:vAlign w:val="bottom"/>
            <w:gridSpan w:val="3"/>
          </w:tcPr>
          <w:p>
            <w:pPr>
              <w:jc w:val="right"/>
              <w:spacing w:after="0"/>
              <w:rPr>
                <w:rFonts w:ascii="Arial" w:cs="Arial" w:eastAsia="Arial" w:hAnsi="Arial"/>
                <w:sz w:val="18"/>
                <w:szCs w:val="18"/>
                <w:color w:val="0000FF"/>
              </w:rPr>
            </w:pPr>
            <w:hyperlink w:anchor="page206">
              <w:r>
                <w:rPr>
                  <w:rFonts w:ascii="Arial" w:cs="Arial" w:eastAsia="Arial" w:hAnsi="Arial"/>
                  <w:sz w:val="18"/>
                  <w:szCs w:val="18"/>
                  <w:color w:val="0000FF"/>
                </w:rPr>
                <w:t>195</w:t>
              </w:r>
            </w:hyperlink>
          </w:p>
        </w:tc>
      </w:tr>
      <w:tr>
        <w:trPr>
          <w:trHeight w:val="20"/>
        </w:trPr>
        <w:tc>
          <w:tcPr>
            <w:tcW w:w="4420" w:type="dxa"/>
            <w:vAlign w:val="bottom"/>
            <w:gridSpan w:val="1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4460" w:type="dxa"/>
            <w:vAlign w:val="bottom"/>
            <w:tcBorders>
              <w:bottom w:val="single" w:sz="8" w:color="0000FF"/>
            </w:tcBorders>
            <w:gridSpan w:val="20"/>
          </w:tcPr>
          <w:p>
            <w:pPr>
              <w:spacing w:after="0"/>
              <w:rPr>
                <w:rFonts w:ascii="Arial" w:cs="Arial" w:eastAsia="Arial" w:hAnsi="Arial"/>
                <w:sz w:val="18"/>
                <w:szCs w:val="18"/>
                <w:color w:val="0000FF"/>
                <w:w w:val="97"/>
              </w:rPr>
            </w:pPr>
            <w:hyperlink w:anchor="page206">
              <w:r>
                <w:rPr>
                  <w:rFonts w:ascii="Arial" w:cs="Arial" w:eastAsia="Arial" w:hAnsi="Arial"/>
                  <w:sz w:val="18"/>
                  <w:szCs w:val="18"/>
                  <w:color w:val="0000FF"/>
                  <w:w w:val="97"/>
                </w:rPr>
                <w:t>INDEX TO CONSOLIDATED FINANCIAL STATEMENTS</w:t>
              </w:r>
            </w:hyperlink>
          </w:p>
        </w:tc>
        <w:tc>
          <w:tcPr>
            <w:tcW w:w="5480" w:type="dxa"/>
            <w:vAlign w:val="bottom"/>
            <w:gridSpan w:val="4"/>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Borders>
              <w:bottom w:val="single" w:sz="8" w:color="0000FF"/>
            </w:tcBorders>
            <w:gridSpan w:val="2"/>
          </w:tcPr>
          <w:p>
            <w:pPr>
              <w:jc w:val="right"/>
              <w:spacing w:after="0"/>
              <w:rPr>
                <w:rFonts w:ascii="Arial" w:cs="Arial" w:eastAsia="Arial" w:hAnsi="Arial"/>
                <w:sz w:val="11"/>
                <w:szCs w:val="11"/>
                <w:color w:val="0000FF"/>
                <w:w w:val="72"/>
              </w:rPr>
            </w:pPr>
            <w:hyperlink w:anchor="page206">
              <w:r>
                <w:rPr>
                  <w:rFonts w:ascii="Arial" w:cs="Arial" w:eastAsia="Arial" w:hAnsi="Arial"/>
                  <w:sz w:val="11"/>
                  <w:szCs w:val="11"/>
                  <w:color w:val="0000FF"/>
                  <w:w w:val="72"/>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248285</wp:posOffset>
            </wp:positionV>
            <wp:extent cx="1517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0" w:firstLine="324"/>
        <w:spacing w:after="0" w:line="305" w:lineRule="auto"/>
        <w:rPr>
          <w:sz w:val="20"/>
          <w:szCs w:val="20"/>
          <w:color w:val="auto"/>
        </w:rPr>
      </w:pPr>
      <w:r>
        <w:rPr>
          <w:rFonts w:ascii="Arial" w:cs="Arial" w:eastAsia="Arial" w:hAnsi="Arial"/>
          <w:sz w:val="17"/>
          <w:szCs w:val="17"/>
          <w:b w:val="1"/>
          <w:bCs w:val="1"/>
          <w:color w:val="auto"/>
        </w:rPr>
        <w:t>Through and including October 17,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09"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Neither we, nor the selling stockholders, nor any of the underwriters have authorized anyone to provide any information or to make any representations other than those contained in this prospectus or in any free writing prospectuses we have prepared. Neither we, nor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106" w:lineRule="exact"/>
        <w:rPr>
          <w:sz w:val="20"/>
          <w:szCs w:val="20"/>
          <w:color w:val="auto"/>
        </w:rPr>
      </w:pPr>
    </w:p>
    <w:p>
      <w:pPr>
        <w:ind w:right="20" w:firstLine="324"/>
        <w:spacing w:after="0" w:line="296"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Remitly, the Clasped Hand logo, Passbook by Remitly, Hui Mei Yi (Remitly in Chinese characters), Remitly Promises Delivered + Clasped Hand logo, Remitly + Clasped Hand logo are the trademarks and service marks of Remitly. Other trade names, trademarks and service marks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prospectus appear without the ® and ™ symbols, but those references are not intended to indicate, in any way, that we will not assert, to the fullest extent under applicable law, our rights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1440" w:right="359" w:bottom="1440" w:gutter="0" w:footer="0" w:header="0"/>
        </w:sectPr>
      </w:pPr>
    </w:p>
    <w:bookmarkStart w:id="9" w:name="page10"/>
    <w:bookmarkEnd w:id="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TERMS USED IN THIS PROSPECTUS</w:t>
      </w:r>
    </w:p>
    <w:p>
      <w:pPr>
        <w:spacing w:after="0" w:line="189"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Throughout this prospectus, we use a number of key terms and provide a number of key business metrics used by management and other terms commonly used in the industry. Some of these key business metrics are discussed in more detail in the section titled “Management’s Discussion and Analysis of Financial Condition and Results of Operations—Key Business Metrics and Non-GAAP Financial Measure.” We define these terms as follows:</w:t>
      </w:r>
    </w:p>
    <w:p>
      <w:pPr>
        <w:spacing w:after="0" w:line="94" w:lineRule="exact"/>
        <w:rPr>
          <w:sz w:val="20"/>
          <w:szCs w:val="20"/>
          <w:color w:val="auto"/>
        </w:rPr>
      </w:pPr>
    </w:p>
    <w:p>
      <w:pPr>
        <w:ind w:right="320" w:firstLine="324"/>
        <w:spacing w:after="0" w:line="293" w:lineRule="auto"/>
        <w:rPr>
          <w:sz w:val="20"/>
          <w:szCs w:val="20"/>
          <w:color w:val="auto"/>
        </w:rPr>
      </w:pPr>
      <w:r>
        <w:rPr>
          <w:rFonts w:ascii="Arial" w:cs="Arial" w:eastAsia="Arial" w:hAnsi="Arial"/>
          <w:sz w:val="18"/>
          <w:szCs w:val="18"/>
          <w:color w:val="auto"/>
        </w:rPr>
        <w:t>“Active customers” is defined as the number of distinct customers that have successfully completed at least one transaction using Remitly during a given calendar quarter. We identify customers through unique account numbers.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“Corridor” is a pairing of a send country, from which a customer can send a remittance, with a specific receive country to which such remittance can be sent. We analyze our business at the corridor level because customer behavior and needs, fees and exchange rates, distribution partners and a variety of other factors are specific to the pairing of particular countries and cannot be generalized across other broader groupings. When we establish a new send country, we typically enable customers in that send country to send to new corridors representing all the established receive countries in our network; conversely, when we launch a new receive country, we enable customers from any of our established send countries to send to new corridors represented by the new receive country.</w:t>
      </w:r>
    </w:p>
    <w:p>
      <w:pPr>
        <w:spacing w:after="0" w:line="137" w:lineRule="exact"/>
        <w:rPr>
          <w:sz w:val="20"/>
          <w:szCs w:val="20"/>
          <w:color w:val="auto"/>
        </w:rPr>
      </w:pPr>
    </w:p>
    <w:p>
      <w:pPr>
        <w:ind w:right="60" w:firstLine="324"/>
        <w:spacing w:after="0" w:line="279" w:lineRule="auto"/>
        <w:rPr>
          <w:sz w:val="20"/>
          <w:szCs w:val="20"/>
          <w:color w:val="auto"/>
        </w:rPr>
      </w:pPr>
      <w:r>
        <w:rPr>
          <w:rFonts w:ascii="Arial" w:cs="Arial" w:eastAsia="Arial" w:hAnsi="Arial"/>
          <w:sz w:val="18"/>
          <w:szCs w:val="18"/>
          <w:color w:val="auto"/>
        </w:rPr>
        <w:t>“Customer Acquisition Cost” or “CAC” refers to direct marketing expenses deployed to acquire new customers. Direct marketing expenses exclude experimental spend used to test new marketing channels, creative production expenses, endorser costs, customer research expenses, agency fees, personnel costs, or other fixed operating expenses that support the marketing team.</w:t>
      </w:r>
    </w:p>
    <w:p>
      <w:pPr>
        <w:spacing w:after="0" w:line="1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“Customer liabilities” are defined as transactions processed from customers but not yet disbursed to recipients. Customer liabilities are typically funds in-transit and the duration is typically one to two days.</w:t>
      </w:r>
    </w:p>
    <w:p>
      <w:pPr>
        <w:spacing w:after="0" w:line="116" w:lineRule="exact"/>
        <w:rPr>
          <w:sz w:val="20"/>
          <w:szCs w:val="20"/>
          <w:color w:val="auto"/>
        </w:rPr>
      </w:pPr>
    </w:p>
    <w:p>
      <w:pPr>
        <w:ind w:right="320" w:firstLine="324"/>
        <w:spacing w:after="0" w:line="279" w:lineRule="auto"/>
        <w:rPr>
          <w:sz w:val="20"/>
          <w:szCs w:val="20"/>
          <w:color w:val="auto"/>
        </w:rPr>
      </w:pPr>
      <w:r>
        <w:rPr>
          <w:rFonts w:ascii="Arial" w:cs="Arial" w:eastAsia="Arial" w:hAnsi="Arial"/>
          <w:sz w:val="18"/>
          <w:szCs w:val="18"/>
          <w:color w:val="auto"/>
        </w:rPr>
        <w:t>“Lifetime value” or “LTV” is the projected average revenue, net of transaction expenses, during five years of a customer’s relationship with the business, though data suggests customers continue to transact beyond this time. When actual data is not available, future periods are projected based on robust statistical models that source thousands of existing customer observations.</w:t>
      </w:r>
    </w:p>
    <w:p>
      <w:pPr>
        <w:spacing w:after="0" w:line="1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“LTV/CAC” is defined as the ratio of Lifetime value to Customer Acquisition Cost and is calculated as the Lifetime value divided by CAC. We use this metric to assess return on marketing spend. For the customers acquired during the year ended December 31, 2019, the five-year LTV/CAC ratio was over 6x, representing an estimated 5-year LTV of $195.1 million divided by a CAC of $29.7 million. The five-year LTV/CAC ratio for the customers acquired during the year ended December 31, 2020 was higher than that for December 31, 2019; however, customer acquisition costs during the year ended December 31, 2020 were unusually low due to the impacts of the COVID-19 pandemic. We believe that the low levels of customer acquisition costs for the year ended December 31, 2020 were an outlier and not indicative of expected customer acquisition costs in future periods.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“Order completion rate” is defined as the sum of daily unique customers who complete a transaction over the sum of daily unique customers who sign-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 by us.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“Sidelining” is defined as pausing a remittance transaction for further risk review prior to disbursement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440" w:right="359" w:bottom="144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0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This summary highlights selected information that is presented in greater detail elsewhere in this prospectus. This summary does not contain all of the information you should consider before investing in our common stock. You should carefully read this prospectus in its entirety before investing in our common stock, including the sections titled “Risk Factors” and “Management’s Discussion and Analysis of Financial Condition and Results of Operations,” and our consolidated financial statements and the accompanying notes, included elsewhere in this prospectus. Some of the statements in this prospectus constitute forward-looking statements that involve risks and uncertainties. See the section titled “Special Note Regarding Forward-Looking Statements.” Unless the context otherwise requires, the terms “Remitly Global,” “Remitly,” “the Company,” “we,” “us,” and “our” in this prospectus refer to Remitly Global, Inc. and our consolidated subsidiaries, taken as a whole. References in this prospectus to “selling stockholders” refer to those individuals and entities identified as selling stockholders in “Principal and Selling Stockholders.” Unless otherwise stated, all references to “$” in this prospectus refer to U.S. dollars.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Transform the lives of immigrants and their families by providing the most trusted financial services on the planet.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Beginning</w:t>
      </w:r>
    </w:p>
    <w:p>
      <w:pPr>
        <w:spacing w:after="0" w:line="189"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color w:val="auto"/>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13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 Years Later</w:t>
      </w:r>
    </w:p>
    <w:p>
      <w:pPr>
        <w:spacing w:after="0" w:line="189"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13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8"/>
          <w:szCs w:val="18"/>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8"/>
          <w:szCs w:val="18"/>
          <w:color w:val="auto"/>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over $40 billion in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93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79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transaction fees globally. The scale of this industry is an indicator of the essential role remittance plays in our economy and society.</w:t>
      </w:r>
    </w:p>
    <w:p>
      <w:pPr>
        <w:spacing w:after="0" w:line="196" w:lineRule="exact"/>
        <w:rPr>
          <w:sz w:val="20"/>
          <w:szCs w:val="20"/>
          <w:color w:val="auto"/>
        </w:rPr>
      </w:pPr>
    </w:p>
    <w:p>
      <w:pPr>
        <w:ind w:right="20" w:firstLine="324"/>
        <w:spacing w:after="0" w:line="292" w:lineRule="auto"/>
        <w:rPr>
          <w:sz w:val="20"/>
          <w:szCs w:val="20"/>
          <w:color w:val="auto"/>
        </w:rPr>
      </w:pPr>
      <w:r>
        <w:rPr>
          <w:rFonts w:ascii="Arial" w:cs="Arial" w:eastAsia="Arial" w:hAnsi="Arial"/>
          <w:sz w:val="17"/>
          <w:szCs w:val="17"/>
          <w:color w:val="auto"/>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120"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 even when available to them, such as savings, credit, investments, and insurance products, often come with high fees, and can be deceptive.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8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Our core proposition is to bring trust, reliability, and a fair and transparent price to cross-border remittances and broader financial services.</w:t>
      </w:r>
    </w:p>
    <w:p>
      <w:pPr>
        <w:spacing w:after="0" w:line="11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129" w:lineRule="exact"/>
        <w:rPr>
          <w:sz w:val="20"/>
          <w:szCs w:val="20"/>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a simple and reliable way of sending money with our mobile-centric suite of products,</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Conveniently putting money in the hands of our customers’ families, wherever they are, by relying on our global network,</w:t>
      </w:r>
    </w:p>
    <w:p>
      <w:pPr>
        <w:spacing w:after="0" w:line="196" w:lineRule="exact"/>
        <w:rPr>
          <w:rFonts w:ascii="Arial" w:cs="Arial" w:eastAsia="Arial" w:hAnsi="Arial"/>
          <w:sz w:val="17"/>
          <w:szCs w:val="17"/>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Creating trusted and personalized experiences with our localization expertise at scale, and</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Using our data-driven approach to better serve our customers and provide more value.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Providing a Simple and Reliable Way of Sending Money with Our Mobile-Centric Suite of Products</w:t>
      </w:r>
    </w:p>
    <w:p>
      <w:pPr>
        <w:spacing w:after="0" w:line="185" w:lineRule="exact"/>
        <w:rPr>
          <w:sz w:val="20"/>
          <w:szCs w:val="20"/>
          <w:color w:val="auto"/>
        </w:rPr>
      </w:pPr>
    </w:p>
    <w:p>
      <w:pPr>
        <w:ind w:right="260" w:firstLine="324"/>
        <w:spacing w:after="0" w:line="303" w:lineRule="auto"/>
        <w:rPr>
          <w:sz w:val="20"/>
          <w:szCs w:val="20"/>
          <w:color w:val="auto"/>
        </w:rPr>
      </w:pPr>
      <w:r>
        <w:rPr>
          <w:rFonts w:ascii="Arial" w:cs="Arial" w:eastAsia="Arial" w:hAnsi="Arial"/>
          <w:sz w:val="17"/>
          <w:szCs w:val="17"/>
          <w:color w:val="auto"/>
        </w:rPr>
        <w:t>On June 30, 2021, over 85% of our customers engaged with us via our mobile app, shifting what traditionally required waiting in line to speak with an agent to the palm of their hands. Also as of June 30, 2021, our mobile app had a 4.9 iOS App Store rating with more than 450,000 reviewers and a 4.8 Android Google Play rating with more than 170,000 reviewers.</w:t>
      </w:r>
    </w:p>
    <w:p>
      <w:pPr>
        <w:spacing w:after="0" w:line="110" w:lineRule="exact"/>
        <w:rPr>
          <w:sz w:val="20"/>
          <w:szCs w:val="20"/>
          <w:color w:val="auto"/>
        </w:rPr>
      </w:pPr>
    </w:p>
    <w:p>
      <w:pPr>
        <w:ind w:right="380" w:firstLine="324"/>
        <w:spacing w:after="0" w:line="293" w:lineRule="auto"/>
        <w:rPr>
          <w:sz w:val="20"/>
          <w:szCs w:val="20"/>
          <w:color w:val="auto"/>
        </w:rPr>
      </w:pPr>
      <w:r>
        <w:rPr>
          <w:rFonts w:ascii="Arial" w:cs="Arial" w:eastAsia="Arial" w:hAnsi="Arial"/>
          <w:sz w:val="18"/>
          <w:szCs w:val="18"/>
          <w:color w:val="auto"/>
        </w:rPr>
        <w:t>We have achieved this level of engagement and these high ratings by designing mobile-centric products that make the customer experience simple and convenient and give our customers complete peace of mind.</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real-time. This mobile-centric experience enables us to engage beyond the initial transaction, generating strong repeat usage and high customer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80"/>
          </w:cols>
          <w:pgMar w:left="1000" w:top="1440" w:right="10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30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83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features of our services, which fuel our customer value proposition, include:</w:t>
      </w:r>
    </w:p>
    <w:p>
      <w:pPr>
        <w:spacing w:after="0" w:line="181" w:lineRule="exact"/>
        <w:rPr>
          <w:sz w:val="20"/>
          <w:szCs w:val="20"/>
          <w:color w:val="auto"/>
        </w:rPr>
      </w:pPr>
    </w:p>
    <w:p>
      <w:pPr>
        <w:ind w:left="640" w:right="440" w:hanging="322"/>
        <w:spacing w:after="0" w:line="28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Trusted and intuitive digital experience. </w:t>
      </w:r>
      <w:r>
        <w:rPr>
          <w:rFonts w:ascii="Arial" w:cs="Arial" w:eastAsia="Arial" w:hAnsi="Arial"/>
          <w:sz w:val="18"/>
          <w:szCs w:val="18"/>
          <w:color w:val="auto"/>
        </w:rPr>
        <w:t>Our digitally-native app is both easy to use and designed with security in mind.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onboarding and repeat logins are quick and easy, and we strive to keep customer data secure across log-in and transactions by leveraging multiple security layers.</w:t>
      </w:r>
    </w:p>
    <w:p>
      <w:pPr>
        <w:spacing w:after="0" w:line="123" w:lineRule="exact"/>
        <w:rPr>
          <w:rFonts w:ascii="Arial" w:cs="Arial" w:eastAsia="Arial" w:hAnsi="Arial"/>
          <w:sz w:val="18"/>
          <w:szCs w:val="18"/>
          <w:color w:val="auto"/>
        </w:rPr>
      </w:pPr>
    </w:p>
    <w:p>
      <w:pPr>
        <w:ind w:left="640" w:right="300" w:hanging="322"/>
        <w:spacing w:after="0" w:line="27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Simple onboarding process</w:t>
      </w:r>
      <w:r>
        <w:rPr>
          <w:rFonts w:ascii="Arial" w:cs="Arial" w:eastAsia="Arial" w:hAnsi="Arial"/>
          <w:sz w:val="18"/>
          <w:szCs w:val="18"/>
          <w:color w:val="auto"/>
        </w:rPr>
        <w:t>. Our simple step-by-step onboarding flow was designed to minimize friction and ensure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have to enter their profile information only during their first transaction. Our electronic Know Your Customer (“KYC”), machine learning-based fraud scoring and payment authentication processes all take place in real-time to give our customers immediate feedback.</w:t>
      </w:r>
    </w:p>
    <w:p>
      <w:pPr>
        <w:spacing w:after="0" w:line="127" w:lineRule="exact"/>
        <w:rPr>
          <w:rFonts w:ascii="Arial" w:cs="Arial" w:eastAsia="Arial" w:hAnsi="Arial"/>
          <w:sz w:val="18"/>
          <w:szCs w:val="18"/>
          <w:color w:val="auto"/>
        </w:rPr>
      </w:pPr>
    </w:p>
    <w:p>
      <w:pPr>
        <w:ind w:left="640" w:right="200" w:hanging="322"/>
        <w:spacing w:after="0" w:line="28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Centralized portal for easy account management</w:t>
      </w:r>
      <w:r>
        <w:rPr>
          <w:rFonts w:ascii="Arial" w:cs="Arial" w:eastAsia="Arial" w:hAnsi="Arial"/>
          <w:sz w:val="18"/>
          <w:szCs w:val="18"/>
          <w:color w:val="auto"/>
        </w:rPr>
        <w:t>. MyRemitly is a one-stop hub for customers to manage their account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access a consolidated and detailed view of current and past transaction details. Customers can self-serve documentation requirements without contacting us.</w:t>
      </w:r>
    </w:p>
    <w:p>
      <w:pPr>
        <w:spacing w:after="0" w:line="123" w:lineRule="exact"/>
        <w:rPr>
          <w:rFonts w:ascii="Arial" w:cs="Arial" w:eastAsia="Arial" w:hAnsi="Arial"/>
          <w:sz w:val="18"/>
          <w:szCs w:val="18"/>
          <w:color w:val="auto"/>
        </w:rPr>
      </w:pPr>
    </w:p>
    <w:p>
      <w:pPr>
        <w:ind w:left="640" w:right="120" w:hanging="322"/>
        <w:spacing w:after="0" w:line="27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Best-in-class customer support. </w:t>
      </w:r>
      <w:r>
        <w:rPr>
          <w:rFonts w:ascii="Arial" w:cs="Arial" w:eastAsia="Arial" w:hAnsi="Arial"/>
          <w:sz w:val="18"/>
          <w:szCs w:val="18"/>
          <w:color w:val="auto"/>
        </w:rPr>
        <w:t>We offer contextual help, customized for a variety of scenarios that our customers may</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which allows them to self-resolve issues on their own terms. We believe that our multilingual 365x24x7 integrated in-app support combined with our agents and local partner relationships provides our customers with the quality and speed of service that we believe is unique to our customers.</w:t>
      </w:r>
    </w:p>
    <w:p>
      <w:pPr>
        <w:spacing w:after="0" w:line="13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color w:val="auto"/>
        </w:rPr>
        <w:t xml:space="preserve">In 2020, we launched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in partnership with Sunrise Bank N.A. (“Sunrise”), a digital banking service available through a mobile app and uniquely designed for immigrants. With tailored KYC and identity verification processes using our existing technology platform, they can sign up for a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account in under ten minutes. Since the launch of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in February 2020, we have seen encouraging early adoption and we continue to build out our suite of offerings.</w:t>
      </w:r>
    </w:p>
    <w:p>
      <w:pPr>
        <w:spacing w:after="0" w:line="13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 xml:space="preserve">While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is still in early stages, we believe that, over time, we will be able to utilize the data and insights gathered from our remittance customers to tailor meaningful financial services for the needs of our immigrant customers, which will give us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Conveniently Putting Money Safely in the Hands of Our Customers’ Families, Wherever They Are, by Relying on Our Global Network</w:t>
      </w:r>
    </w:p>
    <w:p>
      <w:pPr>
        <w:spacing w:after="0" w:line="13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8"/>
          <w:szCs w:val="18"/>
          <w:color w:val="auto"/>
        </w:rPr>
        <w:t>Our global network of funding and disbursement partnerships enables us to complete money transfers in over 1,700 corridors without the need to deploy local operations in each country. We are able to do this while complying with global and local licensing and regulatory requirements.</w:t>
      </w:r>
    </w:p>
    <w:p>
      <w:pPr>
        <w:spacing w:after="0" w:line="129" w:lineRule="exact"/>
        <w:rPr>
          <w:sz w:val="20"/>
          <w:szCs w:val="20"/>
          <w:color w:val="auto"/>
        </w:rPr>
      </w:pPr>
    </w:p>
    <w:p>
      <w:pPr>
        <w:ind w:right="180" w:firstLine="324"/>
        <w:spacing w:after="0" w:line="309" w:lineRule="auto"/>
        <w:rPr>
          <w:sz w:val="20"/>
          <w:szCs w:val="20"/>
          <w:color w:val="auto"/>
        </w:rPr>
      </w:pPr>
      <w:r>
        <w:rPr>
          <w:rFonts w:ascii="Arial" w:cs="Arial" w:eastAsia="Arial" w:hAnsi="Arial"/>
          <w:sz w:val="16"/>
          <w:szCs w:val="16"/>
          <w:color w:val="auto"/>
        </w:rPr>
        <w:t>We have relationships with more than 15 top tier banks including Barclays, Chase, HSBC, and Wells Fargo, and leading global payment providers including a direct relationship with Visa. These relationships provide our customers an array of payment (or pay-in) options to fund remittances with a bank account, card-based payment, or alternative payment method. Our disbursement network provides our customers with a choice of various digital and traditional delivery methods and enables us to disburse (or pay-out) funds within minutes, or even seconds, to more than 3.5 billion bank accounts, over 630 million mobile wallets and alternative payment methods, and over 355,000 cash pickup locations (including retail outlets and banks). These partner relationships help drive a better customer experience, including faster transfers, higher acceptance rates, and enhanced reliability.</w:t>
      </w:r>
    </w:p>
    <w:p>
      <w:pPr>
        <w:spacing w:after="0" w:line="110"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The map below illustrates the breadth of our global presence. Today, our customers primarily send money from the United States, Canada, the United Kingdom, other countries in Europe, and Australia, and our largest send country by revenue is the United States. Revenue from the United States represented $199.0 million for the year ended December 31, 2020, which was 77% of total revenue for the year. On the other end of our global network, our customers’ recipients are located in over 115 countries around the world; our largest receive countries include India, the Philippines,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quality and diversity of our global network result in the following key advantages:</w:t>
      </w:r>
    </w:p>
    <w:p>
      <w:pPr>
        <w:spacing w:after="0" w:line="181" w:lineRule="exact"/>
        <w:rPr>
          <w:sz w:val="20"/>
          <w:szCs w:val="20"/>
          <w:color w:val="auto"/>
        </w:rPr>
      </w:pPr>
    </w:p>
    <w:p>
      <w:pPr>
        <w:ind w:left="640" w:right="220" w:hanging="322"/>
        <w:spacing w:after="0" w:line="29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Global reach</w:t>
      </w:r>
      <w:r>
        <w:rPr>
          <w:rFonts w:ascii="Arial" w:cs="Arial" w:eastAsia="Arial" w:hAnsi="Arial"/>
          <w:sz w:val="18"/>
          <w:szCs w:val="18"/>
          <w:color w:val="auto"/>
        </w:rPr>
        <w:t>: Today, our network enables us to complete cross-border payments in over 1,700 corridors from 17 countries to</w:t>
      </w:r>
      <w:r>
        <w:rPr>
          <w:rFonts w:ascii="Arial" w:cs="Arial" w:eastAsia="Arial" w:hAnsi="Arial"/>
          <w:sz w:val="18"/>
          <w:szCs w:val="18"/>
          <w:b w:val="1"/>
          <w:bCs w:val="1"/>
          <w:color w:val="auto"/>
        </w:rPr>
        <w:t xml:space="preserve"> </w:t>
      </w:r>
      <w:r>
        <w:rPr>
          <w:rFonts w:ascii="Arial" w:cs="Arial" w:eastAsia="Arial" w:hAnsi="Arial"/>
          <w:sz w:val="18"/>
          <w:szCs w:val="18"/>
          <w:color w:val="auto"/>
        </w:rPr>
        <w:t>over 115 countries, in over 75 currencies.</w:t>
      </w:r>
    </w:p>
    <w:p>
      <w:pPr>
        <w:sectPr>
          <w:pgSz w:w="11900" w:h="16838" w:orient="portrait"/>
          <w:cols w:equalWidth="0" w:num="1">
            <w:col w:w="9900"/>
          </w:cols>
          <w:pgMar w:left="1000" w:top="1440" w:right="999" w:bottom="10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900"/>
          </w:cols>
          <w:pgMar w:left="1000" w:top="1440" w:right="999" w:bottom="1095"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27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82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240" w:hanging="322"/>
        <w:spacing w:after="0" w:line="27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Local expertise</w:t>
      </w:r>
      <w:r>
        <w:rPr>
          <w:rFonts w:ascii="Arial" w:cs="Arial" w:eastAsia="Arial" w:hAnsi="Arial"/>
          <w:sz w:val="18"/>
          <w:szCs w:val="18"/>
          <w:color w:val="auto"/>
        </w:rPr>
        <w:t>: We designed our global network to leverage local relationships for access into some of the hardest-to-reach</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around the world and to serve the unique financial needs of diverse immigrant communities. We help our customers send money and their families receive money in the manner they prefer and to which they are individually or culturally accustomed.</w:t>
      </w:r>
    </w:p>
    <w:p>
      <w:pPr>
        <w:spacing w:after="0" w:line="127" w:lineRule="exact"/>
        <w:rPr>
          <w:rFonts w:ascii="Arial" w:cs="Arial" w:eastAsia="Arial" w:hAnsi="Arial"/>
          <w:sz w:val="18"/>
          <w:szCs w:val="18"/>
          <w:color w:val="auto"/>
        </w:rPr>
      </w:pPr>
    </w:p>
    <w:p>
      <w:pPr>
        <w:jc w:val="both"/>
        <w:ind w:left="640" w:right="180" w:hanging="322"/>
        <w:spacing w:after="0" w:line="29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Control over the transaction lifecycle: </w:t>
      </w:r>
      <w:r>
        <w:rPr>
          <w:rFonts w:ascii="Arial" w:cs="Arial" w:eastAsia="Arial" w:hAnsi="Arial"/>
          <w:sz w:val="17"/>
          <w:szCs w:val="17"/>
          <w:color w:val="auto"/>
        </w:rPr>
        <w:t>Our ability to manage each transaction from pay-in to pay-out is made possible with</w:t>
      </w:r>
      <w:r>
        <w:rPr>
          <w:rFonts w:ascii="Arial" w:cs="Arial" w:eastAsia="Arial" w:hAnsi="Arial"/>
          <w:sz w:val="17"/>
          <w:szCs w:val="17"/>
          <w:b w:val="1"/>
          <w:bCs w:val="1"/>
          <w:color w:val="auto"/>
        </w:rPr>
        <w:t xml:space="preserve"> </w:t>
      </w:r>
      <w:r>
        <w:rPr>
          <w:rFonts w:ascii="Arial" w:cs="Arial" w:eastAsia="Arial" w:hAnsi="Arial"/>
          <w:sz w:val="17"/>
          <w:szCs w:val="17"/>
          <w:color w:val="auto"/>
        </w:rPr>
        <w:t>our direct integrations to 100 partners around the globe. These direct 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116" w:lineRule="exact"/>
        <w:rPr>
          <w:rFonts w:ascii="Arial" w:cs="Arial" w:eastAsia="Arial" w:hAnsi="Arial"/>
          <w:sz w:val="17"/>
          <w:szCs w:val="17"/>
          <w:color w:val="auto"/>
        </w:rPr>
      </w:pPr>
    </w:p>
    <w:p>
      <w:pPr>
        <w:ind w:left="640" w:right="60" w:hanging="322"/>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Security and compliance: </w:t>
      </w:r>
      <w:r>
        <w:rPr>
          <w:rFonts w:ascii="Arial" w:cs="Arial" w:eastAsia="Arial" w:hAnsi="Arial"/>
          <w:sz w:val="18"/>
          <w:szCs w:val="18"/>
          <w:color w:val="auto"/>
        </w:rPr>
        <w:t>Our artificial intelligence (“AI”) and machine learning-driven fraud detection and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is a foundational element that underpins our global network. We apply KYC and anti-money laundering standards that are tailored to meet local requirements of the jurisdictions where we operate. In addition, we leverage our in-depth knowledge of the markets in which we operate to execute tactically while complying with local licensing, compliance, and regulatory requirements.</w:t>
      </w:r>
    </w:p>
    <w:p>
      <w:pPr>
        <w:spacing w:after="0" w:line="132"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 xml:space="preserve">In 2020, we began serving business customers with the launch of </w:t>
      </w:r>
      <w:r>
        <w:rPr>
          <w:rFonts w:ascii="Arial" w:cs="Arial" w:eastAsia="Arial" w:hAnsi="Arial"/>
          <w:sz w:val="18"/>
          <w:szCs w:val="18"/>
          <w:i w:val="1"/>
          <w:iCs w:val="1"/>
          <w:color w:val="auto"/>
        </w:rPr>
        <w:t>Remitly For Developer</w:t>
      </w:r>
      <w:r>
        <w:rPr>
          <w:rFonts w:ascii="Arial" w:cs="Arial" w:eastAsia="Arial" w:hAnsi="Arial"/>
          <w:sz w:val="18"/>
          <w:szCs w:val="18"/>
          <w:color w:val="auto"/>
        </w:rPr>
        <w:t xml:space="preserve">s, our remittance-as-a-service offering that strategically leverages our custom-built global network and compliance and regulatory infrastructure. With </w:t>
      </w:r>
      <w:r>
        <w:rPr>
          <w:rFonts w:ascii="Arial" w:cs="Arial" w:eastAsia="Arial" w:hAnsi="Arial"/>
          <w:sz w:val="18"/>
          <w:szCs w:val="18"/>
          <w:i w:val="1"/>
          <w:iCs w:val="1"/>
          <w:color w:val="auto"/>
        </w:rPr>
        <w:t>Remitly for Developers</w:t>
      </w:r>
      <w:r>
        <w:rPr>
          <w:rFonts w:ascii="Arial" w:cs="Arial" w:eastAsia="Arial" w:hAnsi="Arial"/>
          <w:sz w:val="18"/>
          <w:szCs w:val="18"/>
          <w:color w:val="auto"/>
        </w:rPr>
        <w:t>, businesses and their developers can integrate this network and infrastructure into their existing applications and websites through our Application Programming Interface (“API”). This enables them to offer digital cross-border remittances to their customers and introduce new digital banking solutions in emerging markets.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Creating Trusted and Personalized Experiences with Our Localization Expertise at Scale</w:t>
      </w:r>
    </w:p>
    <w:p>
      <w:pPr>
        <w:spacing w:after="0" w:line="185"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Localization can mean many things. To us, it means speaking with our customers in their preferred language, reaching them through the media channels they frequent, and being culturally relevant throughout their journey.</w:t>
      </w:r>
    </w:p>
    <w:p>
      <w:pPr>
        <w:spacing w:after="0" w:line="11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8"/>
          <w:szCs w:val="18"/>
          <w:color w:val="auto"/>
        </w:rPr>
        <w:t>While our business is global, we recognize the importance of a culturally-relevant experience being delivered to our customers and their families in the over 135 countries we serve.</w:t>
      </w:r>
    </w:p>
    <w:p>
      <w:pPr>
        <w:spacing w:after="0" w:line="11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8"/>
          <w:szCs w:val="18"/>
          <w:color w:val="auto"/>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12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Our localization approach enables us to provide customers with a personalized experience that drives peace of mind. We strive to deliver marketing, product, and support experiences that connect with them in meaningful ways:</w:t>
      </w:r>
    </w:p>
    <w:p>
      <w:pPr>
        <w:spacing w:after="0" w:line="112" w:lineRule="exact"/>
        <w:rPr>
          <w:sz w:val="20"/>
          <w:szCs w:val="20"/>
          <w:color w:val="auto"/>
        </w:rPr>
      </w:pPr>
    </w:p>
    <w:p>
      <w:pPr>
        <w:ind w:left="640" w:hanging="322"/>
        <w:spacing w:after="0" w:line="293"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Localized marketing at scale. </w:t>
      </w:r>
      <w:r>
        <w:rPr>
          <w:rFonts w:ascii="Arial" w:cs="Arial" w:eastAsia="Arial" w:hAnsi="Arial"/>
          <w:sz w:val="17"/>
          <w:szCs w:val="17"/>
          <w:color w:val="auto"/>
        </w:rPr>
        <w:t>We achieve localized marketing at scale through a blend of deep cultural insights, 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branding, rigorous analytics, and sophisticated channel 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60"/>
          </w:cols>
          <w:pgMar w:left="1000" w:top="1440" w:right="10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hanging="322"/>
        <w:spacing w:after="0" w:line="27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Localized remittance product at scale. </w:t>
      </w:r>
      <w:r>
        <w:rPr>
          <w:rFonts w:ascii="Arial" w:cs="Arial" w:eastAsia="Arial" w:hAnsi="Arial"/>
          <w:sz w:val="18"/>
          <w:szCs w:val="18"/>
          <w:color w:val="auto"/>
        </w:rPr>
        <w:t>We strive to deliver an exceptional product experience for not just our customers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send side), but also for their families (on the receive side). For our customers, we localize the experience based on their preferred language, the receive country, and the specific payment options from the send country. Based on those factors, we also tailor promotional offers, delivery speeds, foreign exchange (“FX”) rates, and delivery method preferences. This means understanding local payment and pricing norms, as well as customer and recipient expectations, and incorporating them into our services and prices.</w:t>
      </w:r>
    </w:p>
    <w:p>
      <w:pPr>
        <w:spacing w:after="0" w:line="131" w:lineRule="exact"/>
        <w:rPr>
          <w:rFonts w:ascii="Arial" w:cs="Arial" w:eastAsia="Arial" w:hAnsi="Arial"/>
          <w:sz w:val="18"/>
          <w:szCs w:val="18"/>
          <w:color w:val="auto"/>
        </w:rPr>
      </w:pPr>
    </w:p>
    <w:p>
      <w:pPr>
        <w:ind w:left="640" w:right="120" w:hanging="322"/>
        <w:spacing w:after="0" w:line="315"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Localized customer support at scale. </w:t>
      </w:r>
      <w:r>
        <w:rPr>
          <w:rFonts w:ascii="Arial" w:cs="Arial" w:eastAsia="Arial" w:hAnsi="Arial"/>
          <w:sz w:val="16"/>
          <w:szCs w:val="16"/>
          <w:color w:val="auto"/>
        </w:rPr>
        <w:t>We deliver localized, and effective support and risk management to our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around the world. We have a rich self-help center in-app and on the web with solutions to most customer issues available in 14 languages. Approximately 50% of our customer service questions are handled via self-help and automation. We also serve customers via direct messaging in various social media channels. In order to best localize our support experience, our service centers are located in certain key receive countries or countries with language capabilities that are relevant to our customers.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Using Our Data-Driven Approach to Better Serve Our Customers and Provide More Value</w:t>
      </w:r>
    </w:p>
    <w:p>
      <w:pPr>
        <w:spacing w:after="0" w:line="185"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Leveraging data is at the core of how we grow our business, optimize our customer economics, and prioritize our investments. We possess a unique, rich data asset with over ten years of transaction data. We monitor metrics at each step of the customer journey, and use this data to constantly improve the end-to-end customer experience.</w:t>
      </w:r>
    </w:p>
    <w:p>
      <w:pPr>
        <w:spacing w:after="0" w:line="125" w:lineRule="exact"/>
        <w:rPr>
          <w:sz w:val="20"/>
          <w:szCs w:val="20"/>
          <w:color w:val="auto"/>
        </w:rPr>
      </w:pPr>
    </w:p>
    <w:p>
      <w:pPr>
        <w:ind w:left="640" w:right="120" w:hanging="322"/>
        <w:spacing w:after="0" w:line="27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Data-driven platform</w:t>
      </w:r>
      <w:r>
        <w:rPr>
          <w:rFonts w:ascii="Arial" w:cs="Arial" w:eastAsia="Arial" w:hAnsi="Arial"/>
          <w:sz w:val="18"/>
          <w:szCs w:val="18"/>
          <w:color w:val="auto"/>
        </w:rPr>
        <w:t>. We have built a data platform that fuels analytics and drives meaningful customer insights.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us to aggregate data from multiple sources, including customer interactions on our app and the entire transaction processing life cycle. In addition to a robust data platform, we have a “build-measure-iterate” mentality that further aims to optimize our customer experience.</w:t>
      </w:r>
    </w:p>
    <w:p>
      <w:pPr>
        <w:spacing w:after="0" w:line="127" w:lineRule="exact"/>
        <w:rPr>
          <w:rFonts w:ascii="Arial" w:cs="Arial" w:eastAsia="Arial" w:hAnsi="Arial"/>
          <w:sz w:val="18"/>
          <w:szCs w:val="18"/>
          <w:color w:val="auto"/>
        </w:rPr>
      </w:pPr>
    </w:p>
    <w:p>
      <w:pPr>
        <w:ind w:left="640" w:right="260" w:hanging="322"/>
        <w:spacing w:after="0" w:line="291"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Data-driven approach to customer acquisition. </w:t>
      </w:r>
      <w:r>
        <w:rPr>
          <w:rFonts w:ascii="Arial" w:cs="Arial" w:eastAsia="Arial" w:hAnsi="Arial"/>
          <w:sz w:val="17"/>
          <w:szCs w:val="17"/>
          <w:color w:val="auto"/>
        </w:rPr>
        <w:t>Establishing sustainable and attractive customer economics fuels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acquisition strategy. We manage our Customer Acquisition Costs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0"/>
          </w:cols>
          <w:pgMar w:left="1000" w:top="1440" w:right="10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0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100" w:hanging="322"/>
        <w:spacing w:after="0" w:line="27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Data-driven approach to managing the customer experience</w:t>
      </w:r>
      <w:r>
        <w:rPr>
          <w:rFonts w:ascii="Arial" w:cs="Arial" w:eastAsia="Arial" w:hAnsi="Arial"/>
          <w:sz w:val="18"/>
          <w:szCs w:val="18"/>
          <w:color w:val="auto"/>
        </w:rPr>
        <w:t>. Removing friction and ensuring a smooth onboarding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are key pillars to acquiring new customers and ensuring they become loyal customers who refer others. We utilize machine learning and data science to identify areas of friction, provide fair and transparent corridor-specific pricing, and optimize our compliance process:</w:t>
      </w:r>
    </w:p>
    <w:p>
      <w:pPr>
        <w:spacing w:after="0" w:line="118" w:lineRule="exact"/>
        <w:rPr>
          <w:rFonts w:ascii="Arial" w:cs="Arial" w:eastAsia="Arial" w:hAnsi="Arial"/>
          <w:sz w:val="18"/>
          <w:szCs w:val="18"/>
          <w:color w:val="auto"/>
        </w:rPr>
      </w:pPr>
    </w:p>
    <w:p>
      <w:pPr>
        <w:ind w:left="960" w:right="60" w:hanging="318"/>
        <w:spacing w:after="0" w:line="257" w:lineRule="auto"/>
        <w:tabs>
          <w:tab w:leader="none" w:pos="95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 management. </w:t>
      </w:r>
      <w:r>
        <w:rPr>
          <w:rFonts w:ascii="Arial" w:cs="Arial" w:eastAsia="Arial" w:hAnsi="Arial"/>
          <w:sz w:val="18"/>
          <w:szCs w:val="18"/>
          <w:color w:val="auto"/>
        </w:rPr>
        <w:t>Our sophisticated risk management system enables us to identify and cancel fraudulent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efficiently, often in real-time. This allows us to mitigate our exposure to fraud loss while providing a low-friction customer experience and minimize the sidelining of our good customers. We also constantly evaluate and integrate new risk management tools to provide our immigrant customers with onboarding options that are tailored to their unique circumstances.</w:t>
      </w:r>
    </w:p>
    <w:p>
      <w:pPr>
        <w:spacing w:after="0" w:line="133" w:lineRule="exact"/>
        <w:rPr>
          <w:rFonts w:ascii="Arial" w:cs="Arial" w:eastAsia="Arial" w:hAnsi="Arial"/>
          <w:sz w:val="18"/>
          <w:szCs w:val="18"/>
          <w:color w:val="auto"/>
        </w:rPr>
      </w:pPr>
    </w:p>
    <w:p>
      <w:pPr>
        <w:ind w:left="960" w:right="340" w:hanging="318"/>
        <w:spacing w:after="0" w:line="286" w:lineRule="auto"/>
        <w:tabs>
          <w:tab w:leader="none" w:pos="956" w:val="left"/>
        </w:tabs>
        <w:numPr>
          <w:ilvl w:val="1"/>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Pricing. </w:t>
      </w:r>
      <w:r>
        <w:rPr>
          <w:rFonts w:ascii="Arial" w:cs="Arial" w:eastAsia="Arial" w:hAnsi="Arial"/>
          <w:sz w:val="17"/>
          <w:szCs w:val="17"/>
          <w:color w:val="auto"/>
        </w:rPr>
        <w:t>We strive to set prices that deliver a great value to every single customer, while simultaneously accurately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estimating our customer long term value (“LTV”). To achieve this, we incorporate corridor-specific customer behavior, competitor data, and market dynamics to manage prices through a proprietary pricing engine.</w:t>
      </w:r>
    </w:p>
    <w:p>
      <w:pPr>
        <w:spacing w:after="0" w:line="111" w:lineRule="exact"/>
        <w:rPr>
          <w:rFonts w:ascii="Arial" w:cs="Arial" w:eastAsia="Arial" w:hAnsi="Arial"/>
          <w:sz w:val="17"/>
          <w:szCs w:val="17"/>
          <w:color w:val="auto"/>
        </w:rPr>
      </w:pPr>
    </w:p>
    <w:p>
      <w:pPr>
        <w:ind w:left="960" w:right="40" w:hanging="318"/>
        <w:spacing w:after="0" w:line="311" w:lineRule="auto"/>
        <w:tabs>
          <w:tab w:leader="none" w:pos="956"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Treasury. </w:t>
      </w:r>
      <w:r>
        <w:rPr>
          <w:rFonts w:ascii="Arial" w:cs="Arial" w:eastAsia="Arial" w:hAnsi="Arial"/>
          <w:sz w:val="16"/>
          <w:szCs w:val="16"/>
          <w:color w:val="auto"/>
        </w:rPr>
        <w:t>Our pricing is closely aligned with our robust treasury program, which minimizes our trading costs and mitigates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risk, while ensuring that funds are delivered on time. The treasury program leverages a proprietary platform that incorporates advanced currency-level forecasting algorithms to estimate future demand and optimize our trading.</w:t>
      </w:r>
    </w:p>
    <w:p>
      <w:pPr>
        <w:spacing w:after="0" w:line="94" w:lineRule="exact"/>
        <w:rPr>
          <w:rFonts w:ascii="Arial" w:cs="Arial" w:eastAsia="Arial" w:hAnsi="Arial"/>
          <w:sz w:val="16"/>
          <w:szCs w:val="16"/>
          <w:color w:val="auto"/>
        </w:rPr>
      </w:pPr>
    </w:p>
    <w:p>
      <w:pPr>
        <w:ind w:left="960" w:right="200" w:hanging="318"/>
        <w:spacing w:after="0" w:line="263" w:lineRule="auto"/>
        <w:tabs>
          <w:tab w:leader="none" w:pos="95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support. </w:t>
      </w:r>
      <w:r>
        <w:rPr>
          <w:rFonts w:ascii="Arial" w:cs="Arial" w:eastAsia="Arial" w:hAnsi="Arial"/>
          <w:sz w:val="18"/>
          <w:szCs w:val="18"/>
          <w:color w:val="auto"/>
        </w:rPr>
        <w:t>While maintaining a high-level of multilingual customer support, we measure and set reduction goals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support contacts per transaction, and we analyze that data in detail to prioritize improvements to our policies and services.</w:t>
      </w:r>
    </w:p>
    <w:p>
      <w:pPr>
        <w:spacing w:after="0" w:line="125" w:lineRule="exact"/>
        <w:rPr>
          <w:rFonts w:ascii="Arial" w:cs="Arial" w:eastAsia="Arial" w:hAnsi="Arial"/>
          <w:sz w:val="18"/>
          <w:szCs w:val="18"/>
          <w:color w:val="auto"/>
        </w:rPr>
      </w:pPr>
    </w:p>
    <w:p>
      <w:pPr>
        <w:ind w:left="640" w:hanging="322"/>
        <w:spacing w:after="0" w:line="26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Data-driven approach to customer loyalty. </w:t>
      </w:r>
      <w:r>
        <w:rPr>
          <w:rFonts w:ascii="Arial" w:cs="Arial" w:eastAsia="Arial" w:hAnsi="Arial"/>
          <w:sz w:val="18"/>
          <w:szCs w:val="18"/>
          <w:color w:val="auto"/>
        </w:rPr>
        <w:t>We analyze our customer’s behavior from sign-up to first send to becoming a</w:t>
      </w:r>
      <w:r>
        <w:rPr>
          <w:rFonts w:ascii="Arial" w:cs="Arial" w:eastAsia="Arial" w:hAnsi="Arial"/>
          <w:sz w:val="18"/>
          <w:szCs w:val="18"/>
          <w:b w:val="1"/>
          <w:bCs w:val="1"/>
          <w:color w:val="auto"/>
        </w:rPr>
        <w:t xml:space="preserve"> </w:t>
      </w:r>
      <w:r>
        <w:rPr>
          <w:rFonts w:ascii="Arial" w:cs="Arial" w:eastAsia="Arial" w:hAnsi="Arial"/>
          <w:sz w:val="18"/>
          <w:szCs w:val="18"/>
          <w:color w:val="auto"/>
        </w:rPr>
        <w:t>repeat customer. We manage customers by cohort including sign ups, active customers, inactive customers and lapsed customers to spot trends in behavior.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Benefit from a Powerful Flywheel</w:t>
      </w:r>
    </w:p>
    <w:p>
      <w:pPr>
        <w:spacing w:after="0" w:line="189"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color w:val="auto"/>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880"/>
          </w:cols>
          <w:pgMar w:left="1000" w:top="1440" w:right="101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90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89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324"/>
        <w:spacing w:after="0" w:line="288" w:lineRule="auto"/>
        <w:rPr>
          <w:sz w:val="20"/>
          <w:szCs w:val="20"/>
          <w:color w:val="auto"/>
        </w:rPr>
      </w:pPr>
      <w:r>
        <w:rPr>
          <w:rFonts w:ascii="Arial" w:cs="Arial" w:eastAsia="Arial" w:hAnsi="Arial"/>
          <w:sz w:val="17"/>
          <w:szCs w:val="17"/>
          <w:color w:val="auto"/>
        </w:rPr>
        <w:t>We are in the early stages of capturing our addressable market opportunity. Our send volume of approximately $16.1 billion for the twelve months ended June 30, 2021 represented approximately 1% of the $1.5 trillion in estimated total migrant remittance inflow volume in 2020 (including both formal and informal person-to-person channels) and approximately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127" w:lineRule="exact"/>
        <w:rPr>
          <w:sz w:val="20"/>
          <w:szCs w:val="20"/>
          <w:color w:val="auto"/>
        </w:rPr>
      </w:pPr>
    </w:p>
    <w:p>
      <w:pPr>
        <w:ind w:right="80" w:firstLine="324"/>
        <w:spacing w:after="0" w:line="288" w:lineRule="auto"/>
        <w:rPr>
          <w:sz w:val="20"/>
          <w:szCs w:val="20"/>
          <w:color w:val="auto"/>
        </w:rPr>
      </w:pPr>
      <w:r>
        <w:rPr>
          <w:rFonts w:ascii="Arial" w:cs="Arial" w:eastAsia="Arial" w:hAnsi="Arial"/>
          <w:sz w:val="17"/>
          <w:szCs w:val="17"/>
          <w:color w:val="auto"/>
        </w:rPr>
        <w:t>While we are just getting started, we are proud of the scale we have achieved to date. In 2020 our customers completed approximately 31 million remittance transactions using Remitly. A majority of our active customers send money for non-discretionary needs multiple times per month, providing high customer engagement and a reoccurring revenue stream with high visibility and predictability. We believe our customers consistently return to Remitly and use our services given our relentless focus on fostering long-term, trusted relationships from day one. The combination of our low acquisition costs, overall payback period of approximately 10 months, and high repeat transactions leads to attractive customer economics. For customers acquired during the year ended December 31, 2019, the five-year LTV/CAC ratio was greater than 6x.</w:t>
      </w:r>
    </w:p>
    <w:p>
      <w:pPr>
        <w:spacing w:after="0" w:line="127"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on average grows more than 160% compared to the acquisition year. In subsequent years, cohorts typically retain over 90% of the revenue generated in the preceding year. We believe that this analysis supports our strategy of making the initial investments to build long-term, trusted customer relationships, illustrates that our products and services continue to provide value to our customers on an ongoing basis, and demonstrates our ability to grow our business over time.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0"/>
          </w:cols>
          <w:pgMar w:left="1000" w:top="1440" w:right="10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5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65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89" w:lineRule="exact"/>
        <w:rPr>
          <w:sz w:val="20"/>
          <w:szCs w:val="20"/>
          <w:color w:val="auto"/>
        </w:rPr>
      </w:pPr>
    </w:p>
    <w:p>
      <w:pPr>
        <w:ind w:right="500" w:firstLine="324"/>
        <w:spacing w:after="0" w:line="293" w:lineRule="auto"/>
        <w:rPr>
          <w:sz w:val="20"/>
          <w:szCs w:val="20"/>
          <w:color w:val="auto"/>
        </w:rPr>
      </w:pPr>
      <w:r>
        <w:rPr>
          <w:rFonts w:ascii="Arial" w:cs="Arial" w:eastAsia="Arial" w:hAnsi="Arial"/>
          <w:sz w:val="18"/>
          <w:szCs w:val="18"/>
          <w:color w:val="auto"/>
        </w:rPr>
        <w:t>For our core remittance product, which represents the vast majority of our revenue, we generate revenue from transaction fees charged to customers and foreign exchange spreads applied to the customer’s principal.</w:t>
      </w:r>
    </w:p>
    <w:p>
      <w:pPr>
        <w:spacing w:after="0" w:line="11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8"/>
          <w:szCs w:val="18"/>
          <w:color w:val="auto"/>
        </w:rPr>
        <w:t>For the fiscal years ended December 31, 2019 and 2020, we generated revenue of $126.6 million and $257.0 million, respectively, representing year-over-year growth of approximately 103%. We incurred net losses of $51.4 million and $32.6 million, respectively, for those same years. For the six months ended June 30, 2020 and 2021, we generated revenue of $105.1 million and $202.1 million, respectively, representing year-over-year growth of approximately 92%. We incurred net losses of $21.1 million and $9.2 million, respectively, for those same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Key Secular Trends in Our Favor</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8"/>
          <w:szCs w:val="18"/>
          <w:color w:val="auto"/>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a number of important secular megatrends and market dynamics supporting our growth:</w:t>
      </w:r>
    </w:p>
    <w:p>
      <w:pPr>
        <w:spacing w:after="0" w:line="185" w:lineRule="exact"/>
        <w:rPr>
          <w:sz w:val="20"/>
          <w:szCs w:val="20"/>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global immigrant community is large, growing and critically important.</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money movement is complex.</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Legacy solutions are inadequate, inefficient, and inconvenient.</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Digital offerings proliferate, resulting in better customer propositions.</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Imperative to drive financial inclusion.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00"/>
          </w:cols>
          <w:pgMar w:left="100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Our Long-Term Growth Strategy</w:t>
      </w:r>
    </w:p>
    <w:p>
      <w:pPr>
        <w:spacing w:after="0" w:line="189" w:lineRule="exact"/>
        <w:rPr>
          <w:sz w:val="20"/>
          <w:szCs w:val="20"/>
          <w:color w:val="auto"/>
        </w:rPr>
      </w:pPr>
    </w:p>
    <w:p>
      <w:pPr>
        <w:ind w:left="6" w:right="700" w:firstLine="324"/>
        <w:spacing w:after="0" w:line="293" w:lineRule="auto"/>
        <w:rPr>
          <w:sz w:val="20"/>
          <w:szCs w:val="20"/>
          <w:color w:val="auto"/>
        </w:rPr>
      </w:pPr>
      <w:r>
        <w:rPr>
          <w:rFonts w:ascii="Arial" w:cs="Arial" w:eastAsia="Arial" w:hAnsi="Arial"/>
          <w:sz w:val="18"/>
          <w:szCs w:val="18"/>
          <w:color w:val="auto"/>
        </w:rPr>
        <w:t>Our strategy is designed to invest in our key strengths and create new opportunities that generate even greater value for our customers. The key elements of our strategy include:</w:t>
      </w:r>
    </w:p>
    <w:p>
      <w:pPr>
        <w:spacing w:after="0" w:line="112" w:lineRule="exact"/>
        <w:rPr>
          <w:sz w:val="20"/>
          <w:szCs w:val="20"/>
          <w:color w:val="auto"/>
        </w:rPr>
      </w:pPr>
    </w:p>
    <w:p>
      <w:pPr>
        <w:ind w:left="646" w:hanging="322"/>
        <w:spacing w:after="0"/>
        <w:tabs>
          <w:tab w:leader="none" w:pos="64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Gain share in existing corridors.</w:t>
      </w:r>
    </w:p>
    <w:p>
      <w:pPr>
        <w:spacing w:after="0" w:line="175" w:lineRule="exact"/>
        <w:rPr>
          <w:rFonts w:ascii="Arial" w:cs="Arial" w:eastAsia="Arial" w:hAnsi="Arial"/>
          <w:sz w:val="18"/>
          <w:szCs w:val="18"/>
          <w:b w:val="1"/>
          <w:bCs w:val="1"/>
          <w:color w:val="auto"/>
        </w:rPr>
      </w:pPr>
    </w:p>
    <w:p>
      <w:pPr>
        <w:ind w:left="966" w:right="120" w:hanging="318"/>
        <w:spacing w:after="0" w:line="259" w:lineRule="auto"/>
        <w:tabs>
          <w:tab w:leader="none" w:pos="962" w:val="left"/>
        </w:tabs>
        <w:numPr>
          <w:ilvl w:val="1"/>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customer base. </w:t>
      </w:r>
      <w:r>
        <w:rPr>
          <w:rFonts w:ascii="Arial" w:cs="Arial" w:eastAsia="Arial" w:hAnsi="Arial"/>
          <w:sz w:val="18"/>
          <w:szCs w:val="18"/>
          <w:color w:val="auto"/>
        </w:rPr>
        <w:t>We plan on expanding our marketing efforts across existing corridors to increase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with customers and highlight the value of our products and services. We believe this will attract new customers to try Remitly. As we grow our customer base, we expect to benefit from increased operating leverage in the business and more data and insight to enhance our models.</w:t>
      </w:r>
    </w:p>
    <w:p>
      <w:pPr>
        <w:spacing w:after="0" w:line="132" w:lineRule="exact"/>
        <w:rPr>
          <w:rFonts w:ascii="Arial" w:cs="Arial" w:eastAsia="Arial" w:hAnsi="Arial"/>
          <w:sz w:val="18"/>
          <w:szCs w:val="18"/>
          <w:color w:val="auto"/>
        </w:rPr>
      </w:pPr>
    </w:p>
    <w:p>
      <w:pPr>
        <w:ind w:left="966" w:right="140" w:hanging="318"/>
        <w:spacing w:after="0" w:line="293" w:lineRule="auto"/>
        <w:tabs>
          <w:tab w:leader="none" w:pos="962" w:val="left"/>
        </w:tabs>
        <w:numPr>
          <w:ilvl w:val="1"/>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Increase customer engagement and drive repeat use</w:t>
      </w:r>
      <w:r>
        <w:rPr>
          <w:rFonts w:ascii="Arial" w:cs="Arial" w:eastAsia="Arial" w:hAnsi="Arial"/>
          <w:sz w:val="16"/>
          <w:szCs w:val="16"/>
          <w:color w:val="auto"/>
        </w:rPr>
        <w:t>. The majority of our customers use our products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multiple times per month. To further strengthen our customer 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119" w:lineRule="exact"/>
        <w:rPr>
          <w:rFonts w:ascii="Arial" w:cs="Arial" w:eastAsia="Arial" w:hAnsi="Arial"/>
          <w:sz w:val="16"/>
          <w:szCs w:val="16"/>
          <w:color w:val="auto"/>
        </w:rPr>
      </w:pPr>
    </w:p>
    <w:p>
      <w:pPr>
        <w:ind w:left="646" w:hanging="322"/>
        <w:spacing w:after="0" w:line="271"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Expand to new corridors and partner networks. </w:t>
      </w:r>
      <w:r>
        <w:rPr>
          <w:rFonts w:ascii="Arial" w:cs="Arial" w:eastAsia="Arial" w:hAnsi="Arial"/>
          <w:sz w:val="18"/>
          <w:szCs w:val="18"/>
          <w:color w:val="auto"/>
        </w:rPr>
        <w:t>While our global network spans across 1,700 corridors around the world, we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plans to increase our reach to thousands of additional corridors. We see an opportunity to generate value by expanding our remittance services,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and </w:t>
      </w:r>
      <w:r>
        <w:rPr>
          <w:rFonts w:ascii="Arial" w:cs="Arial" w:eastAsia="Arial" w:hAnsi="Arial"/>
          <w:sz w:val="18"/>
          <w:szCs w:val="18"/>
          <w:i w:val="1"/>
          <w:iCs w:val="1"/>
          <w:color w:val="auto"/>
        </w:rPr>
        <w:t>Remitly For Developers</w:t>
      </w:r>
      <w:r>
        <w:rPr>
          <w:rFonts w:ascii="Arial" w:cs="Arial" w:eastAsia="Arial" w:hAnsi="Arial"/>
          <w:sz w:val="18"/>
          <w:szCs w:val="18"/>
          <w:color w:val="auto"/>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132" w:lineRule="exact"/>
        <w:rPr>
          <w:rFonts w:ascii="Arial" w:cs="Arial" w:eastAsia="Arial" w:hAnsi="Arial"/>
          <w:sz w:val="18"/>
          <w:szCs w:val="18"/>
          <w:color w:val="auto"/>
        </w:rPr>
      </w:pPr>
    </w:p>
    <w:p>
      <w:pPr>
        <w:ind w:left="646" w:right="120" w:hanging="322"/>
        <w:spacing w:after="0" w:line="276"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Continue expanding into broader financial services. </w:t>
      </w:r>
      <w:r>
        <w:rPr>
          <w:rFonts w:ascii="Arial" w:cs="Arial" w:eastAsia="Arial" w:hAnsi="Arial"/>
          <w:sz w:val="18"/>
          <w:szCs w:val="18"/>
          <w:color w:val="auto"/>
        </w:rPr>
        <w:t>We believe there is an enormous opportunity to create a more inclusive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system that not only encompasses, but caters to the needs of immigrants. We believe that the insights we gain about immigrant customers through our data-driven platform will enable us to play an important role in developing products and services that meet this opportunity.</w:t>
      </w:r>
    </w:p>
    <w:p>
      <w:pPr>
        <w:spacing w:after="0" w:line="118" w:lineRule="exact"/>
        <w:rPr>
          <w:rFonts w:ascii="Arial" w:cs="Arial" w:eastAsia="Arial" w:hAnsi="Arial"/>
          <w:sz w:val="18"/>
          <w:szCs w:val="18"/>
          <w:color w:val="auto"/>
        </w:rPr>
      </w:pPr>
    </w:p>
    <w:p>
      <w:pPr>
        <w:ind w:left="646" w:right="280"/>
        <w:spacing w:after="0" w:line="277" w:lineRule="auto"/>
        <w:rPr>
          <w:rFonts w:ascii="Arial" w:cs="Arial" w:eastAsia="Arial" w:hAnsi="Arial"/>
          <w:sz w:val="18"/>
          <w:szCs w:val="18"/>
          <w:color w:val="auto"/>
        </w:rPr>
      </w:pPr>
      <w:r>
        <w:rPr>
          <w:rFonts w:ascii="Arial" w:cs="Arial" w:eastAsia="Arial" w:hAnsi="Arial"/>
          <w:sz w:val="18"/>
          <w:szCs w:val="18"/>
          <w:color w:val="auto"/>
        </w:rPr>
        <w:t>We will continue to invest in our platform, expanding our product and service offerings and our overall technological lead to actualize our opportunities in this area.</w:t>
      </w:r>
    </w:p>
    <w:p>
      <w:pPr>
        <w:spacing w:after="0" w:line="116" w:lineRule="exact"/>
        <w:rPr>
          <w:rFonts w:ascii="Arial" w:cs="Arial" w:eastAsia="Arial" w:hAnsi="Arial"/>
          <w:sz w:val="18"/>
          <w:szCs w:val="18"/>
          <w:color w:val="auto"/>
        </w:rPr>
      </w:pPr>
    </w:p>
    <w:p>
      <w:pPr>
        <w:ind w:left="646"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example, our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app started with deposit services, but we plan to build new products and features within the app in order to provide solutions to a broader array of our customers’ problems.</w:t>
      </w:r>
    </w:p>
    <w:p>
      <w:pPr>
        <w:spacing w:after="0" w:line="116" w:lineRule="exact"/>
        <w:rPr>
          <w:rFonts w:ascii="Arial" w:cs="Arial" w:eastAsia="Arial" w:hAnsi="Arial"/>
          <w:sz w:val="18"/>
          <w:szCs w:val="18"/>
          <w:color w:val="auto"/>
        </w:rPr>
      </w:pPr>
    </w:p>
    <w:p>
      <w:pPr>
        <w:ind w:left="646" w:right="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8"/>
          <w:szCs w:val="18"/>
          <w:i w:val="1"/>
          <w:iCs w:val="1"/>
          <w:color w:val="auto"/>
        </w:rPr>
        <w:t>Remitly For Developers</w:t>
      </w:r>
      <w:r>
        <w:rPr>
          <w:rFonts w:ascii="Arial" w:cs="Arial" w:eastAsia="Arial" w:hAnsi="Arial"/>
          <w:sz w:val="18"/>
          <w:szCs w:val="18"/>
          <w:color w:val="auto"/>
        </w:rPr>
        <w:t>, attracts a new set of potential customers and expands economic opportunities in developing markets.</w:t>
      </w:r>
    </w:p>
    <w:p>
      <w:pPr>
        <w:spacing w:after="0" w:line="139" w:lineRule="exact"/>
        <w:rPr>
          <w:rFonts w:ascii="Arial" w:cs="Arial" w:eastAsia="Arial" w:hAnsi="Arial"/>
          <w:sz w:val="18"/>
          <w:szCs w:val="18"/>
          <w:color w:val="auto"/>
        </w:rPr>
      </w:pPr>
    </w:p>
    <w:p>
      <w:pPr>
        <w:ind w:left="646" w:hanging="322"/>
        <w:spacing w:after="0" w:line="282"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Pursue strategic partnerships and acquisitions. </w:t>
      </w:r>
      <w:r>
        <w:rPr>
          <w:rFonts w:ascii="Arial" w:cs="Arial" w:eastAsia="Arial" w:hAnsi="Arial"/>
          <w:sz w:val="18"/>
          <w:szCs w:val="18"/>
          <w:color w:val="auto"/>
        </w:rPr>
        <w:t>While our main growth strategy has historically been organic, we may</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selectively pursue strategic partnerships and acquisitions to accelerate our growth objectives or to enhance our competitive position within existing and new products and markets. For example, in March 2021, we extended our partnership with Visa and integration of Visa Direct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within our</w:t>
      </w:r>
    </w:p>
    <w:p>
      <w:pPr>
        <w:spacing w:after="0" w:line="138" w:lineRule="exact"/>
        <w:rPr>
          <w:sz w:val="20"/>
          <w:szCs w:val="20"/>
          <w:color w:val="auto"/>
        </w:rPr>
      </w:pPr>
    </w:p>
    <w:p>
      <w:pPr>
        <w:ind w:left="146" w:hanging="146"/>
        <w:spacing w:after="0"/>
        <w:tabs>
          <w:tab w:leader="none" w:pos="146"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Visa Direct capability enabled through Remitly’s financial institution partner.</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86"/>
          </w:cols>
          <w:pgMar w:left="994" w:top="1440" w:right="101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70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17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 w:right="320" w:firstLine="648"/>
        <w:spacing w:after="0" w:line="391" w:lineRule="auto"/>
        <w:rPr>
          <w:sz w:val="20"/>
          <w:szCs w:val="20"/>
          <w:color w:val="auto"/>
        </w:rPr>
      </w:pPr>
      <w:r>
        <w:rPr>
          <w:rFonts w:ascii="Arial" w:cs="Arial" w:eastAsia="Arial" w:hAnsi="Arial"/>
          <w:sz w:val="18"/>
          <w:szCs w:val="18"/>
          <w:color w:val="auto"/>
        </w:rPr>
        <w:t>global network, providing our customers with real-time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cross-border payments options to more countries around the world. </w:t>
      </w:r>
      <w:r>
        <w:rPr>
          <w:rFonts w:ascii="Arial" w:cs="Arial" w:eastAsia="Arial" w:hAnsi="Arial"/>
          <w:sz w:val="18"/>
          <w:szCs w:val="18"/>
          <w:b w:val="1"/>
          <w:bCs w:val="1"/>
          <w:color w:val="auto"/>
        </w:rPr>
        <w:t>Our Culture</w:t>
      </w:r>
    </w:p>
    <w:p>
      <w:pPr>
        <w:spacing w:after="0" w:line="1" w:lineRule="exact"/>
        <w:rPr>
          <w:sz w:val="20"/>
          <w:szCs w:val="20"/>
          <w:color w:val="auto"/>
        </w:rPr>
      </w:pPr>
    </w:p>
    <w:p>
      <w:pPr>
        <w:ind w:left="6" w:firstLine="324"/>
        <w:spacing w:after="0" w:line="293" w:lineRule="auto"/>
        <w:rPr>
          <w:sz w:val="20"/>
          <w:szCs w:val="20"/>
          <w:color w:val="auto"/>
        </w:rPr>
      </w:pPr>
      <w:r>
        <w:rPr>
          <w:rFonts w:ascii="Arial" w:cs="Arial" w:eastAsia="Arial" w:hAnsi="Arial"/>
          <w:sz w:val="18"/>
          <w:szCs w:val="18"/>
          <w:color w:val="auto"/>
        </w:rPr>
        <w:t>Our customer-focused vision gives us purpose and motivates us to consistently think bigger, act more boldly, and deliver exceptional services for our customers. Our ability to deliver on our vision begins with our culture and values.</w:t>
      </w:r>
    </w:p>
    <w:p>
      <w:pPr>
        <w:spacing w:after="0" w:line="116" w:lineRule="exact"/>
        <w:rPr>
          <w:sz w:val="20"/>
          <w:szCs w:val="20"/>
          <w:color w:val="auto"/>
        </w:rPr>
      </w:pPr>
    </w:p>
    <w:p>
      <w:pPr>
        <w:ind w:left="6" w:right="60" w:firstLine="324"/>
        <w:spacing w:after="0" w:line="272" w:lineRule="auto"/>
        <w:rPr>
          <w:sz w:val="20"/>
          <w:szCs w:val="20"/>
          <w:color w:val="auto"/>
        </w:rPr>
      </w:pPr>
      <w:r>
        <w:rPr>
          <w:rFonts w:ascii="Arial" w:cs="Arial" w:eastAsia="Arial" w:hAnsi="Arial"/>
          <w:sz w:val="18"/>
          <w:szCs w:val="18"/>
          <w:color w:val="auto"/>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8"/>
          <w:szCs w:val="18"/>
          <w:b w:val="1"/>
          <w:bCs w:val="1"/>
          <w:i w:val="1"/>
          <w:iCs w:val="1"/>
          <w:color w:val="auto"/>
        </w:rPr>
        <w:t>customer centricity</w:t>
      </w:r>
      <w:r>
        <w:rPr>
          <w:rFonts w:ascii="Arial" w:cs="Arial" w:eastAsia="Arial" w:hAnsi="Arial"/>
          <w:sz w:val="18"/>
          <w:szCs w:val="18"/>
          <w:color w:val="auto"/>
        </w:rPr>
        <w:t>, which serves as our north star in all that we do. Our other core values fall broadly into three categories:</w:t>
      </w:r>
    </w:p>
    <w:p>
      <w:pPr>
        <w:spacing w:after="0" w:line="133" w:lineRule="exact"/>
        <w:rPr>
          <w:sz w:val="20"/>
          <w:szCs w:val="20"/>
          <w:color w:val="auto"/>
        </w:rPr>
      </w:pPr>
    </w:p>
    <w:p>
      <w:pPr>
        <w:ind w:left="646" w:hanging="322"/>
        <w:spacing w:after="0"/>
        <w:tabs>
          <w:tab w:leader="none" w:pos="64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Our purpose</w:t>
      </w:r>
      <w:r>
        <w:rPr>
          <w:rFonts w:ascii="Arial" w:cs="Arial" w:eastAsia="Arial" w:hAnsi="Arial"/>
          <w:sz w:val="17"/>
          <w:szCs w:val="17"/>
          <w:color w:val="auto"/>
        </w:rPr>
        <w:t>: Be joyful, aim for the stars, be an owner, hire and develop exceptional people, and don’t be afraid to fail;</w:t>
      </w:r>
    </w:p>
    <w:p>
      <w:pPr>
        <w:spacing w:after="0" w:line="196" w:lineRule="exact"/>
        <w:rPr>
          <w:rFonts w:ascii="Arial" w:cs="Arial" w:eastAsia="Arial" w:hAnsi="Arial"/>
          <w:sz w:val="17"/>
          <w:szCs w:val="17"/>
          <w:color w:val="auto"/>
        </w:rPr>
      </w:pPr>
    </w:p>
    <w:p>
      <w:pPr>
        <w:ind w:left="646" w:hanging="322"/>
        <w:spacing w:after="0"/>
        <w:tabs>
          <w:tab w:leader="none" w:pos="64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Building relationships: </w:t>
      </w:r>
      <w:r>
        <w:rPr>
          <w:rFonts w:ascii="Arial" w:cs="Arial" w:eastAsia="Arial" w:hAnsi="Arial"/>
          <w:sz w:val="17"/>
          <w:szCs w:val="17"/>
          <w:color w:val="auto"/>
        </w:rPr>
        <w:t>Lead authentically, act with integrity, be constructively direct, and be an empathetic partner; and</w:t>
      </w:r>
    </w:p>
    <w:p>
      <w:pPr>
        <w:spacing w:after="0" w:line="196" w:lineRule="exact"/>
        <w:rPr>
          <w:rFonts w:ascii="Arial" w:cs="Arial" w:eastAsia="Arial" w:hAnsi="Arial"/>
          <w:sz w:val="17"/>
          <w:szCs w:val="17"/>
          <w:color w:val="auto"/>
        </w:rPr>
      </w:pPr>
    </w:p>
    <w:p>
      <w:pPr>
        <w:ind w:left="646" w:hanging="322"/>
        <w:spacing w:after="0"/>
        <w:tabs>
          <w:tab w:leader="none" w:pos="646"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Taking action: </w:t>
      </w:r>
      <w:r>
        <w:rPr>
          <w:rFonts w:ascii="Arial" w:cs="Arial" w:eastAsia="Arial" w:hAnsi="Arial"/>
          <w:sz w:val="17"/>
          <w:szCs w:val="17"/>
          <w:color w:val="auto"/>
        </w:rPr>
        <w:t>Have a bias for action, be data-driven, sweat the details, deliver on promises, and continuously improve.</w:t>
      </w:r>
    </w:p>
    <w:p>
      <w:pPr>
        <w:spacing w:after="0" w:line="200" w:lineRule="exact"/>
        <w:rPr>
          <w:sz w:val="20"/>
          <w:szCs w:val="20"/>
          <w:color w:val="auto"/>
        </w:rPr>
      </w:pPr>
    </w:p>
    <w:p>
      <w:pPr>
        <w:jc w:val="both"/>
        <w:ind w:left="6" w:right="180" w:firstLine="324"/>
        <w:spacing w:after="0" w:line="279" w:lineRule="auto"/>
        <w:rPr>
          <w:sz w:val="20"/>
          <w:szCs w:val="20"/>
          <w:color w:val="auto"/>
        </w:rPr>
      </w:pPr>
      <w:r>
        <w:rPr>
          <w:rFonts w:ascii="Arial" w:cs="Arial" w:eastAsia="Arial" w:hAnsi="Arial"/>
          <w:sz w:val="18"/>
          <w:szCs w:val="18"/>
          <w:color w:val="auto"/>
        </w:rPr>
        <w:t>These values influence our actions every day. They help us attract, inspire and retain a diverse, world-class team. Living up to our values builds customer trust, inspires employee engagement, and makes “Promises Delivered” our fundamental ethos and not merely a tagline.</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ind w:left="326"/>
        <w:spacing w:after="0"/>
        <w:rPr>
          <w:sz w:val="20"/>
          <w:szCs w:val="20"/>
          <w:color w:val="auto"/>
        </w:rPr>
      </w:pPr>
      <w:r>
        <w:rPr>
          <w:rFonts w:ascii="Arial" w:cs="Arial" w:eastAsia="Arial" w:hAnsi="Arial"/>
          <w:sz w:val="18"/>
          <w:szCs w:val="18"/>
          <w:i w:val="1"/>
          <w:iCs w:val="1"/>
          <w:color w:val="auto"/>
        </w:rPr>
        <w:t>New Revolving Credit Facility</w:t>
      </w:r>
    </w:p>
    <w:p>
      <w:pPr>
        <w:spacing w:after="0" w:line="185" w:lineRule="exact"/>
        <w:rPr>
          <w:sz w:val="20"/>
          <w:szCs w:val="20"/>
          <w:color w:val="auto"/>
        </w:rPr>
      </w:pPr>
    </w:p>
    <w:p>
      <w:pPr>
        <w:ind w:left="6" w:right="140" w:firstLine="324"/>
        <w:spacing w:after="0" w:line="271" w:lineRule="auto"/>
        <w:rPr>
          <w:sz w:val="20"/>
          <w:szCs w:val="20"/>
          <w:color w:val="auto"/>
        </w:rPr>
      </w:pPr>
      <w:r>
        <w:rPr>
          <w:rFonts w:ascii="Arial" w:cs="Arial" w:eastAsia="Arial" w:hAnsi="Arial"/>
          <w:sz w:val="18"/>
          <w:szCs w:val="18"/>
          <w:color w:val="auto"/>
        </w:rPr>
        <w:t>On September 13, 2021, we entered into a revolving credit facility (the “New Revolving Credit Facility”) with certain lenders and JPMorgan Chase Bank, N.A. acting as administrative agent and collateral agent, that provides for revolving commitments of $250 million and terminated our existing Revolving Credit Facility. Proceeds under the New Revolving Credit Facility are available to us for working capital and general corporate purposes. For a description of the New Credit Facility, see the section titled “Management’s Discussion and Analysis of Financial Condition and Results of Operations—Liquidity and Capital Resources—New Revolving Credit Facility.”</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6" w:right="860" w:firstLine="324"/>
        <w:spacing w:after="0" w:line="324" w:lineRule="auto"/>
        <w:rPr>
          <w:sz w:val="20"/>
          <w:szCs w:val="20"/>
          <w:color w:val="auto"/>
        </w:rPr>
      </w:pPr>
      <w:r>
        <w:rPr>
          <w:rFonts w:ascii="Arial" w:cs="Arial" w:eastAsia="Arial" w:hAnsi="Arial"/>
          <w:sz w:val="17"/>
          <w:szCs w:val="17"/>
          <w:color w:val="auto"/>
        </w:rPr>
        <w:t>Our business is subject to numerous risks and uncertainties, including those described in the section titled “Risk Factors” immediately following this prospectus summary. These risks include, but are not limited to, the following:</w:t>
      </w:r>
    </w:p>
    <w:p>
      <w:pPr>
        <w:spacing w:after="0" w:line="80"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Business and Strategic Risks</w:t>
      </w:r>
    </w:p>
    <w:p>
      <w:pPr>
        <w:spacing w:after="0" w:line="185" w:lineRule="exact"/>
        <w:rPr>
          <w:sz w:val="20"/>
          <w:szCs w:val="20"/>
          <w:color w:val="auto"/>
        </w:rPr>
      </w:pPr>
    </w:p>
    <w:p>
      <w:pPr>
        <w:ind w:left="646" w:right="620" w:hanging="322"/>
        <w:spacing w:after="0" w:line="293"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retain or grow our customer base, number of payment corridors, or scope of send and receive countries, our business and operating results will be harmed.</w:t>
      </w:r>
    </w:p>
    <w:p>
      <w:pPr>
        <w:spacing w:after="0" w:line="115" w:lineRule="exact"/>
        <w:rPr>
          <w:rFonts w:ascii="Arial" w:cs="Arial" w:eastAsia="Arial" w:hAnsi="Arial"/>
          <w:sz w:val="18"/>
          <w:szCs w:val="18"/>
          <w:color w:val="auto"/>
        </w:rPr>
      </w:pPr>
    </w:p>
    <w:p>
      <w:pPr>
        <w:ind w:left="646" w:right="240" w:hanging="322"/>
        <w:spacing w:after="0" w:line="293" w:lineRule="auto"/>
        <w:tabs>
          <w:tab w:leader="none" w:pos="6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partner with third parties to support fulfillment of our service, including risk management, payment processing, customer support, and disbursement, which exposes us to risks outside our direct control.</w:t>
      </w:r>
    </w:p>
    <w:p>
      <w:pPr>
        <w:spacing w:after="0" w:line="210" w:lineRule="exact"/>
        <w:rPr>
          <w:sz w:val="20"/>
          <w:szCs w:val="20"/>
          <w:color w:val="auto"/>
        </w:rPr>
      </w:pPr>
    </w:p>
    <w:p>
      <w:pPr>
        <w:ind w:left="146" w:hanging="146"/>
        <w:spacing w:after="0"/>
        <w:tabs>
          <w:tab w:leader="none" w:pos="146"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Actual fund availability depends on the receiving financial institution and region.</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86"/>
          </w:cols>
          <w:pgMar w:left="994" w:top="1440" w:right="101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750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22" w:right="560" w:hanging="322"/>
        <w:spacing w:after="0" w:line="359" w:lineRule="auto"/>
        <w:tabs>
          <w:tab w:leader="none" w:pos="3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70" w:lineRule="exact"/>
        <w:rPr>
          <w:rFonts w:ascii="Arial" w:cs="Arial" w:eastAsia="Arial" w:hAnsi="Arial"/>
          <w:sz w:val="16"/>
          <w:szCs w:val="16"/>
          <w:color w:val="auto"/>
        </w:rPr>
      </w:pPr>
    </w:p>
    <w:p>
      <w:pPr>
        <w:ind w:left="322" w:right="60" w:hanging="322"/>
        <w:spacing w:after="0" w:line="324" w:lineRule="auto"/>
        <w:tabs>
          <w:tab w:leader="none" w:pos="317"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93" w:lineRule="exact"/>
        <w:rPr>
          <w:rFonts w:ascii="Arial" w:cs="Arial" w:eastAsia="Arial" w:hAnsi="Arial"/>
          <w:sz w:val="17"/>
          <w:szCs w:val="17"/>
          <w:color w:val="auto"/>
        </w:rPr>
      </w:pPr>
    </w:p>
    <w:p>
      <w:pPr>
        <w:ind w:left="322" w:right="140" w:hanging="322"/>
        <w:spacing w:after="0" w:line="293"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failure to obtain or maintain necessary money transmission licenses across our global footprint could adversely affect our operations.</w:t>
      </w:r>
    </w:p>
    <w:p>
      <w:pPr>
        <w:spacing w:after="0" w:line="115" w:lineRule="exact"/>
        <w:rPr>
          <w:rFonts w:ascii="Arial" w:cs="Arial" w:eastAsia="Arial" w:hAnsi="Arial"/>
          <w:sz w:val="18"/>
          <w:szCs w:val="18"/>
          <w:color w:val="auto"/>
        </w:rPr>
      </w:pPr>
    </w:p>
    <w:p>
      <w:pPr>
        <w:jc w:val="both"/>
        <w:ind w:left="322" w:hanging="322"/>
        <w:spacing w:after="0" w:line="279"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128" w:lineRule="exact"/>
        <w:rPr>
          <w:rFonts w:ascii="Arial" w:cs="Arial" w:eastAsia="Arial" w:hAnsi="Arial"/>
          <w:sz w:val="18"/>
          <w:szCs w:val="18"/>
          <w:color w:val="auto"/>
        </w:rPr>
      </w:pPr>
    </w:p>
    <w:p>
      <w:pPr>
        <w:ind w:left="322" w:right="300" w:hanging="322"/>
        <w:spacing w:after="0" w:line="324" w:lineRule="auto"/>
        <w:tabs>
          <w:tab w:leader="none" w:pos="317"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93" w:lineRule="exact"/>
        <w:rPr>
          <w:rFonts w:ascii="Arial" w:cs="Arial" w:eastAsia="Arial" w:hAnsi="Arial"/>
          <w:sz w:val="17"/>
          <w:szCs w:val="17"/>
          <w:color w:val="auto"/>
        </w:rPr>
      </w:pPr>
    </w:p>
    <w:p>
      <w:pPr>
        <w:ind w:left="322" w:right="60" w:hanging="322"/>
        <w:spacing w:after="0" w:line="279"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128" w:lineRule="exact"/>
        <w:rPr>
          <w:rFonts w:ascii="Arial" w:cs="Arial" w:eastAsia="Arial" w:hAnsi="Arial"/>
          <w:sz w:val="18"/>
          <w:szCs w:val="18"/>
          <w:color w:val="auto"/>
        </w:rPr>
      </w:pPr>
    </w:p>
    <w:p>
      <w:pPr>
        <w:ind w:left="322" w:right="200" w:hanging="322"/>
        <w:spacing w:after="0" w:line="293" w:lineRule="auto"/>
        <w:tabs>
          <w:tab w:leader="none" w:pos="3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history of operating losses and there is no assurance that our business will become profitable or that, if we achieve profitability, we will be able to sustain it.</w:t>
      </w:r>
    </w:p>
    <w:p>
      <w:pPr>
        <w:spacing w:after="0" w:line="115" w:lineRule="exact"/>
        <w:rPr>
          <w:rFonts w:ascii="Arial" w:cs="Arial" w:eastAsia="Arial" w:hAnsi="Arial"/>
          <w:sz w:val="18"/>
          <w:szCs w:val="18"/>
          <w:color w:val="auto"/>
        </w:rPr>
      </w:pPr>
    </w:p>
    <w:p>
      <w:pPr>
        <w:ind w:left="322" w:right="240" w:hanging="322"/>
        <w:spacing w:after="0" w:line="359" w:lineRule="auto"/>
        <w:tabs>
          <w:tab w:leader="none" w:pos="3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57"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Intellectual Property, Technology, Privacy and Security Risks</w:t>
      </w:r>
    </w:p>
    <w:p>
      <w:pPr>
        <w:spacing w:after="0" w:line="185" w:lineRule="exact"/>
        <w:rPr>
          <w:sz w:val="20"/>
          <w:szCs w:val="20"/>
          <w:color w:val="auto"/>
        </w:rPr>
      </w:pPr>
    </w:p>
    <w:p>
      <w:pPr>
        <w:ind w:left="322" w:hanging="322"/>
        <w:spacing w:after="0"/>
        <w:tabs>
          <w:tab w:leader="none" w:pos="3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Cyberattacks or data security breaches could result in serious harm to our business, reputation and financial condition.</w:t>
      </w:r>
    </w:p>
    <w:p>
      <w:pPr>
        <w:spacing w:after="0" w:line="196" w:lineRule="exact"/>
        <w:rPr>
          <w:rFonts w:ascii="Arial" w:cs="Arial" w:eastAsia="Arial" w:hAnsi="Arial"/>
          <w:sz w:val="17"/>
          <w:szCs w:val="17"/>
          <w:color w:val="auto"/>
        </w:rPr>
      </w:pPr>
    </w:p>
    <w:p>
      <w:pPr>
        <w:ind w:left="322" w:right="320" w:hanging="322"/>
        <w:spacing w:after="0" w:line="303" w:lineRule="auto"/>
        <w:tabs>
          <w:tab w:leader="none" w:pos="317"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are subject to privacy and cybersecurity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110" w:lineRule="exact"/>
        <w:rPr>
          <w:rFonts w:ascii="Arial" w:cs="Arial" w:eastAsia="Arial" w:hAnsi="Arial"/>
          <w:sz w:val="17"/>
          <w:szCs w:val="17"/>
          <w:color w:val="auto"/>
        </w:rPr>
      </w:pPr>
    </w:p>
    <w:p>
      <w:pPr>
        <w:ind w:left="322" w:right="200" w:hanging="322"/>
        <w:spacing w:after="0" w:line="324" w:lineRule="auto"/>
        <w:tabs>
          <w:tab w:leader="none" w:pos="317"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80"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Legal and Compliance Risks</w:t>
      </w:r>
    </w:p>
    <w:p>
      <w:pPr>
        <w:spacing w:after="0" w:line="185" w:lineRule="exact"/>
        <w:rPr>
          <w:sz w:val="20"/>
          <w:szCs w:val="20"/>
          <w:color w:val="auto"/>
        </w:rPr>
      </w:pPr>
    </w:p>
    <w:p>
      <w:pPr>
        <w:ind w:left="322" w:right="240" w:hanging="322"/>
        <w:spacing w:after="0" w:line="293"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our platform for illegal or fraudulent activities could harm our business, reputation, financial condition, and operating results.</w:t>
      </w:r>
    </w:p>
    <w:p>
      <w:pPr>
        <w:spacing w:after="0" w:line="115" w:lineRule="exact"/>
        <w:rPr>
          <w:rFonts w:ascii="Arial" w:cs="Arial" w:eastAsia="Arial" w:hAnsi="Arial"/>
          <w:sz w:val="18"/>
          <w:szCs w:val="18"/>
          <w:color w:val="auto"/>
        </w:rPr>
      </w:pPr>
    </w:p>
    <w:p>
      <w:pPr>
        <w:ind w:left="322" w:right="40" w:hanging="322"/>
        <w:spacing w:after="0" w:line="293"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platform is susceptible to fraud and our business, reputation, financial condition and operating results could be harmed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42"/>
          </w:cols>
          <w:pgMar w:left="1318" w:top="1440" w:right="10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96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85" w:lineRule="exact"/>
        <w:rPr>
          <w:sz w:val="20"/>
          <w:szCs w:val="20"/>
          <w:color w:val="auto"/>
        </w:rPr>
      </w:pPr>
    </w:p>
    <w:p>
      <w:pPr>
        <w:ind w:left="640" w:right="40" w:hanging="322"/>
        <w:spacing w:after="0" w:line="359" w:lineRule="auto"/>
        <w:tabs>
          <w:tab w:leader="none" w:pos="6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Risks</w:t>
      </w:r>
    </w:p>
    <w:p>
      <w:pPr>
        <w:spacing w:after="0" w:line="185" w:lineRule="exact"/>
        <w:rPr>
          <w:sz w:val="20"/>
          <w:szCs w:val="20"/>
          <w:color w:val="auto"/>
        </w:rPr>
      </w:pPr>
    </w:p>
    <w:p>
      <w:pPr>
        <w:ind w:left="640" w:hanging="322"/>
        <w:spacing w:after="0" w:line="27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136" w:lineRule="exact"/>
        <w:rPr>
          <w:rFonts w:ascii="Arial" w:cs="Arial" w:eastAsia="Arial" w:hAnsi="Arial"/>
          <w:sz w:val="18"/>
          <w:szCs w:val="18"/>
          <w:color w:val="auto"/>
        </w:rPr>
      </w:pPr>
    </w:p>
    <w:p>
      <w:pPr>
        <w:jc w:val="both"/>
        <w:ind w:left="640" w:right="120" w:hanging="322"/>
        <w:spacing w:after="0" w:line="279"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one or more of our counterparties, including financial institutions, aggregators, and local cash pick-up institutions where we have cash on deposit, our lenders and potential hedging counterparties, default on their financial or performance obligations to us or fail, we may incur significant losses.</w:t>
      </w:r>
    </w:p>
    <w:p>
      <w:pPr>
        <w:spacing w:after="0" w:line="128"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could harm our operating results and financial condition.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Risks</w:t>
      </w:r>
    </w:p>
    <w:p>
      <w:pPr>
        <w:spacing w:after="0" w:line="185" w:lineRule="exact"/>
        <w:rPr>
          <w:sz w:val="20"/>
          <w:szCs w:val="20"/>
          <w:color w:val="auto"/>
        </w:rPr>
      </w:pPr>
    </w:p>
    <w:p>
      <w:pPr>
        <w:ind w:left="640" w:right="60" w:hanging="322"/>
        <w:spacing w:after="0" w:line="324"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85" w:lineRule="exact"/>
        <w:rPr>
          <w:sz w:val="20"/>
          <w:szCs w:val="20"/>
          <w:color w:val="auto"/>
        </w:rPr>
      </w:pPr>
    </w:p>
    <w:p>
      <w:pPr>
        <w:ind w:left="640" w:right="40" w:hanging="322"/>
        <w:spacing w:after="0" w:line="279"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128" w:lineRule="exact"/>
        <w:rPr>
          <w:rFonts w:ascii="Arial" w:cs="Arial" w:eastAsia="Arial" w:hAnsi="Arial"/>
          <w:sz w:val="18"/>
          <w:szCs w:val="18"/>
          <w:color w:val="auto"/>
        </w:rPr>
      </w:pPr>
    </w:p>
    <w:p>
      <w:pPr>
        <w:ind w:left="640" w:right="160" w:hanging="322"/>
        <w:spacing w:after="0" w:line="293"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Concentration of ownership of our common stock among our existing executive officers, directors, and principal stockholders may prevent new investors from influencing significant corporate decisions.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89"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Securities and Exchange Commission (the “SEC”), the investor relations page on our website (www.remitly.com), blog posts on our website, press releases, public conference calls, public webcasts, our Twitter feed (@Remitly) and our LinkedIn page (https://www.linkedin.com/company/remitly). 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3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1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8"/>
          <w:szCs w:val="18"/>
          <w:color w:val="auto"/>
        </w:rPr>
        <w:t>The information contained on, or that can be accessed through, our website is not a part of this prospectus. Investors should not rely on any such information in deciding whether to purchase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Remitly Global, Inc., a Delaware corporation, was formed in October 2018. Remitly Global, Inc. is a holding company and holds all of the equity interests of Remitly, Inc. and our other operating subsidiaries. Beamit, Inc. was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860"/>
          </w:cols>
          <w:pgMar w:left="1000" w:top="1440" w:right="10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13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initially formed in May 2011 as an Idaho corporation, reincorporated in Delaware in October 2011 and subsequently changed its name to Remitly, Inc. in December 2012. In October 2018, we completed a corporate reorganization whereby Remitly, Inc. became a subsidiary of Remitly Global, Inc., which became effective January 1, 2019. Our principal executive offices are located at 1111 Third Avenue, Suite 2100, Seattle, WA 98101. Our telephone number is (888) 736-4859. Our website address is www.remitly.com. The information contained on, or that can be accessed through, our website is not a part of this prospectus. Investors should not rely on any such information in deciding whether to purchase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89" w:lineRule="exact"/>
        <w:rPr>
          <w:sz w:val="20"/>
          <w:szCs w:val="20"/>
          <w:color w:val="auto"/>
        </w:rPr>
      </w:pPr>
    </w:p>
    <w:p>
      <w:pPr>
        <w:ind w:right="200" w:firstLine="324"/>
        <w:spacing w:after="0" w:line="272"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37" w:lineRule="exact"/>
        <w:rPr>
          <w:sz w:val="20"/>
          <w:szCs w:val="20"/>
          <w:color w:val="auto"/>
        </w:rPr>
      </w:pPr>
    </w:p>
    <w:p>
      <w:pPr>
        <w:ind w:left="640" w:right="60" w:hanging="322"/>
        <w:spacing w:after="0" w:line="279"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128" w:lineRule="exact"/>
        <w:rPr>
          <w:rFonts w:ascii="Arial" w:cs="Arial" w:eastAsia="Arial" w:hAnsi="Arial"/>
          <w:sz w:val="18"/>
          <w:szCs w:val="18"/>
          <w:color w:val="auto"/>
        </w:rPr>
      </w:pPr>
    </w:p>
    <w:p>
      <w:pPr>
        <w:ind w:left="640" w:right="680" w:hanging="322"/>
        <w:spacing w:after="0" w:line="293"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 (“Sarbanes-Oxley Act”);</w:t>
      </w:r>
    </w:p>
    <w:p>
      <w:pPr>
        <w:spacing w:after="0" w:line="115" w:lineRule="exact"/>
        <w:rPr>
          <w:rFonts w:ascii="Arial" w:cs="Arial" w:eastAsia="Arial" w:hAnsi="Arial"/>
          <w:sz w:val="18"/>
          <w:szCs w:val="18"/>
          <w:color w:val="auto"/>
        </w:rPr>
      </w:pPr>
    </w:p>
    <w:p>
      <w:pPr>
        <w:ind w:left="640" w:right="80" w:hanging="322"/>
        <w:spacing w:after="0" w:line="279"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28" w:lineRule="exact"/>
        <w:rPr>
          <w:rFonts w:ascii="Arial" w:cs="Arial" w:eastAsia="Arial" w:hAnsi="Arial"/>
          <w:sz w:val="18"/>
          <w:szCs w:val="18"/>
          <w:color w:val="auto"/>
        </w:rPr>
      </w:pPr>
    </w:p>
    <w:p>
      <w:pPr>
        <w:ind w:left="640" w:right="220" w:hanging="322"/>
        <w:spacing w:after="0" w:line="293"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including this prospectus;</w:t>
      </w:r>
    </w:p>
    <w:p>
      <w:pPr>
        <w:spacing w:after="0" w:line="115" w:lineRule="exact"/>
        <w:rPr>
          <w:rFonts w:ascii="Arial" w:cs="Arial" w:eastAsia="Arial" w:hAnsi="Arial"/>
          <w:sz w:val="18"/>
          <w:szCs w:val="18"/>
          <w:color w:val="auto"/>
        </w:rPr>
      </w:pPr>
    </w:p>
    <w:p>
      <w:pPr>
        <w:ind w:left="640" w:right="160" w:hanging="322"/>
        <w:spacing w:after="0" w:line="293"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115" w:lineRule="exact"/>
        <w:rPr>
          <w:rFonts w:ascii="Arial" w:cs="Arial" w:eastAsia="Arial" w:hAnsi="Arial"/>
          <w:sz w:val="18"/>
          <w:szCs w:val="18"/>
          <w:color w:val="auto"/>
        </w:rPr>
      </w:pPr>
    </w:p>
    <w:p>
      <w:pPr>
        <w:ind w:left="640" w:hanging="32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last day of the fiscal year in which the market value of our common stock held by non-affiliates exceeds $700 million as of June 30th, our second fiscal quarter, of such fiscal year; (3) the date on which we have issued, in any three-year period, more than $1.0 billion in non-convertible debt securities; and (4) the last day of the fiscal year ending after the fifth anniversary of the completion of this offering.</w:t>
      </w:r>
    </w:p>
    <w:p>
      <w:pPr>
        <w:spacing w:after="0" w:line="137"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00"/>
          </w:cols>
          <w:pgMar w:left="1000" w:top="1440" w:right="9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39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9" w:firstLine="324"/>
        <w:spacing w:after="0" w:line="329" w:lineRule="auto"/>
        <w:rPr>
          <w:sz w:val="20"/>
          <w:szCs w:val="20"/>
          <w:color w:val="auto"/>
        </w:rPr>
      </w:pPr>
      <w:r>
        <w:rPr>
          <w:rFonts w:ascii="Arial" w:cs="Arial" w:eastAsia="Arial" w:hAnsi="Arial"/>
          <w:sz w:val="16"/>
          <w:szCs w:val="16"/>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459"/>
          </w:cols>
          <w:pgMar w:left="100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22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43" w:lineRule="exact"/>
        <w:rPr>
          <w:sz w:val="20"/>
          <w:szCs w:val="20"/>
          <w:color w:val="auto"/>
        </w:rPr>
      </w:pPr>
    </w:p>
    <w:p>
      <w:pPr>
        <w:spacing w:after="0"/>
        <w:tabs>
          <w:tab w:leader="none" w:pos="492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6"/>
          <w:szCs w:val="16"/>
          <w:color w:val="auto"/>
        </w:rPr>
        <w:t>7,000,000 shares (8,269,627 shares if the underwriters exercise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their option to purchase additional shares from us in full)</w:t>
      </w:r>
    </w:p>
    <w:p>
      <w:pPr>
        <w:sectPr>
          <w:pgSz w:w="11900" w:h="16838" w:orient="portrait"/>
          <w:cols w:equalWidth="0" w:num="1">
            <w:col w:w="9860"/>
          </w:cols>
          <w:pgMar w:left="1020" w:top="1440" w:right="101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the selling stockholders</w:t>
      </w:r>
    </w:p>
    <w:p>
      <w:pPr>
        <w:spacing w:after="0" w:line="200" w:lineRule="exact"/>
        <w:rPr>
          <w:sz w:val="20"/>
          <w:szCs w:val="20"/>
          <w:color w:val="auto"/>
        </w:rPr>
      </w:pPr>
    </w:p>
    <w:p>
      <w:pPr>
        <w:spacing w:after="0" w:line="33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Option to purchase additional shares of common stock by us and the selling stockholders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60"/>
        <w:spacing w:after="0" w:line="279" w:lineRule="auto"/>
        <w:rPr>
          <w:sz w:val="20"/>
          <w:szCs w:val="20"/>
          <w:color w:val="auto"/>
        </w:rPr>
      </w:pPr>
      <w:r>
        <w:rPr>
          <w:rFonts w:ascii="Arial" w:cs="Arial" w:eastAsia="Arial" w:hAnsi="Arial"/>
          <w:sz w:val="18"/>
          <w:szCs w:val="18"/>
          <w:color w:val="auto"/>
        </w:rPr>
        <w:t>5,162,777 shares of common stock (5,717,567 shares if the underwriters exercise their option to purchase additional shares from the selling stockholders in full)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an option to purchase an</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additional 1,824,417 shares of common stock, consisting of 1,269,627 shares from us and 554,790 shares from the selling stockholders. The underwriters can exercise this option at any time within 30 days from the date of this prospectus.</w:t>
      </w:r>
    </w:p>
    <w:p>
      <w:pPr>
        <w:spacing w:after="0" w:line="64" w:lineRule="exact"/>
        <w:rPr>
          <w:sz w:val="20"/>
          <w:szCs w:val="20"/>
          <w:color w:val="auto"/>
        </w:rPr>
      </w:pPr>
    </w:p>
    <w:p>
      <w:pPr>
        <w:sectPr>
          <w:pgSz w:w="11900" w:h="16838" w:orient="portrait"/>
          <w:cols w:equalWidth="0" w:num="2">
            <w:col w:w="4660" w:space="280"/>
            <w:col w:w="4920"/>
          </w:cols>
          <w:pgMar w:left="1020" w:top="1440" w:right="1019" w:bottom="1440" w:gutter="0" w:footer="0" w:header="0"/>
          <w:type w:val="continuous"/>
        </w:sectPr>
      </w:pPr>
    </w:p>
    <w:p>
      <w:pPr>
        <w:spacing w:after="0"/>
        <w:tabs>
          <w:tab w:leader="none" w:pos="4920" w:val="left"/>
        </w:tabs>
        <w:rPr>
          <w:sz w:val="20"/>
          <w:szCs w:val="20"/>
          <w:color w:val="auto"/>
        </w:rPr>
      </w:pPr>
      <w:r>
        <w:rPr>
          <w:rFonts w:ascii="Arial" w:cs="Arial" w:eastAsia="Arial" w:hAnsi="Arial"/>
          <w:sz w:val="18"/>
          <w:szCs w:val="18"/>
          <w:color w:val="auto"/>
        </w:rPr>
        <w:t>Common Stock offered in the private placement</w:t>
      </w:r>
      <w:r>
        <w:rPr>
          <w:sz w:val="20"/>
          <w:szCs w:val="20"/>
          <w:color w:val="auto"/>
        </w:rPr>
        <w:tab/>
      </w:r>
      <w:r>
        <w:rPr>
          <w:rFonts w:ascii="Arial" w:cs="Arial" w:eastAsia="Arial" w:hAnsi="Arial"/>
          <w:sz w:val="16"/>
          <w:szCs w:val="16"/>
          <w:color w:val="auto"/>
        </w:rPr>
        <w:t>PayU Fintech Investments B.V., an existing stockholder (the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“private placement investor”), has agreed to purchase a number of</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shares of common stock with an aggregate purchase price equal to</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(1) approximately $25.0 million or (2) if a $25.0 million purchase</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of shares of our common stock results in the private placement</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investor possessing the right to vote securities that in the aggregate</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represents more than 24.99% of the outstanding voting power of the</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company immediately after the closing of the initial public offering</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and the private placement (the “ownership threshold”), then the</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dollar amount below $25.0 million that results in the private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placement investor purchasing shares of our common stock up to</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the ownership threshold, at a price per share equal to the initial</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public offering price. Based upon the initial public offering price of</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$43.00 per share, and assuming the private placement investor</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purchases shares of common stock equal to approximately $25.0</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million, this would be 581,395 shares of common stock. The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private placement is conditioned upon the closing of this offering</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and other conditions to closing.</w:t>
      </w:r>
    </w:p>
    <w:p>
      <w:pPr>
        <w:spacing w:after="0" w:line="13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Accordingly, this offering is not contingent upon the closing of the</w:t>
      </w:r>
    </w:p>
    <w:p>
      <w:pPr>
        <w:spacing w:after="0" w:line="35"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private placement and there can be no assurance that the private</w:t>
      </w:r>
    </w:p>
    <w:p>
      <w:pPr>
        <w:spacing w:after="0" w:line="34"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placement will be consummated. Sales of these shares to the private</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placement investor will not be registered in this offering. In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addition, the private placement investor has entered into a lock-up</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agreement with the underwriters. We refer to the private placement</w:t>
      </w:r>
    </w:p>
    <w:p>
      <w:pPr>
        <w:spacing w:after="0" w:line="4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of these shares of common stock as the private placement.</w:t>
      </w:r>
    </w:p>
    <w:p>
      <w:pPr>
        <w:sectPr>
          <w:pgSz w:w="11900" w:h="16838" w:orient="portrait"/>
          <w:cols w:equalWidth="0" w:num="1">
            <w:col w:w="986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860"/>
          </w:cols>
          <w:pgMar w:left="1020" w:top="1440" w:right="101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line="293" w:lineRule="auto"/>
        <w:rPr>
          <w:sz w:val="20"/>
          <w:szCs w:val="20"/>
          <w:color w:val="auto"/>
        </w:rPr>
      </w:pPr>
      <w:r>
        <w:rPr>
          <w:rFonts w:ascii="Arial" w:cs="Arial" w:eastAsia="Arial" w:hAnsi="Arial"/>
          <w:sz w:val="18"/>
          <w:szCs w:val="18"/>
          <w:color w:val="auto"/>
        </w:rPr>
        <w:t>Common stock to be outstanding immediately after this offering and the private placement</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Nasdaq Global Select Market (“Nasdaq”)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161,377,669 shares (162,647,296 if the underwriters exercise their option to purchase additional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-922020</wp:posOffset>
            </wp:positionV>
            <wp:extent cx="7136130" cy="6922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spacing w:after="0" w:line="42"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We estimate that the net proceeds from the sale of shares of our common stock in this offering and the private placement will be approximately $304.5 million (or approximately $356.0 million if the underwriters exercise their over-allotment option in full), based upon the initial public offering price of $43.00 per share, after deducting the underwriting discount and estimated offering expenses. We will not receive any proceeds from the sale of shares by the selling stockholders.</w:t>
      </w:r>
    </w:p>
    <w:p>
      <w:pPr>
        <w:spacing w:after="0" w:line="195"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We currently intend to use the net proceeds we receive from this offering and the private placement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See the section titled “Use of Proceeds” for additional information.</w:t>
      </w:r>
    </w:p>
    <w:p>
      <w:pPr>
        <w:spacing w:after="0" w:line="6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some of the risk factors you should consider before deciding to purchase shares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“RELY”</w:t>
      </w:r>
    </w:p>
    <w:p>
      <w:pPr>
        <w:spacing w:after="0" w:line="200" w:lineRule="exact"/>
        <w:rPr>
          <w:sz w:val="20"/>
          <w:szCs w:val="20"/>
          <w:color w:val="auto"/>
        </w:rPr>
      </w:pPr>
    </w:p>
    <w:p>
      <w:pPr>
        <w:sectPr>
          <w:pgSz w:w="11900" w:h="16838" w:orient="portrait"/>
          <w:cols w:equalWidth="0" w:num="2">
            <w:col w:w="4640" w:space="320"/>
            <w:col w:w="4900"/>
          </w:cols>
          <w:pgMar w:left="1000" w:top="1440" w:right="1039" w:bottom="1440" w:gutter="0" w:footer="0" w:header="0"/>
        </w:sectPr>
      </w:pPr>
    </w:p>
    <w:p>
      <w:pPr>
        <w:spacing w:after="0" w:line="10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8"/>
          <w:szCs w:val="18"/>
          <w:color w:val="auto"/>
        </w:rPr>
        <w:t>The number of shares of our common stock to be outstanding after this offering and the private placement is based on 153,796,274 shares of our common stock outstanding as of June 30, 2021 and excludes:</w:t>
      </w:r>
    </w:p>
    <w:p>
      <w:pPr>
        <w:spacing w:after="0" w:line="116" w:lineRule="exact"/>
        <w:rPr>
          <w:sz w:val="20"/>
          <w:szCs w:val="20"/>
          <w:color w:val="auto"/>
        </w:rPr>
      </w:pPr>
    </w:p>
    <w:p>
      <w:pPr>
        <w:ind w:left="640" w:right="360" w:hanging="322"/>
        <w:spacing w:after="0" w:line="32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25,355,906 shares of our common stock issuable upon the exercise of stock options outstanding as of June 30, 2021, with a weighted-average exercise price of $3.13 per share under our 2011 Equity Incentive Plan (the “2011 Plan”);</w:t>
      </w:r>
    </w:p>
    <w:p>
      <w:pPr>
        <w:spacing w:after="0" w:line="93" w:lineRule="exact"/>
        <w:rPr>
          <w:rFonts w:ascii="Arial" w:cs="Arial" w:eastAsia="Arial" w:hAnsi="Arial"/>
          <w:sz w:val="17"/>
          <w:szCs w:val="17"/>
          <w:color w:val="auto"/>
        </w:rPr>
      </w:pPr>
    </w:p>
    <w:p>
      <w:pPr>
        <w:ind w:left="640" w:right="160" w:hanging="322"/>
        <w:spacing w:after="0" w:line="293"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1,040,500 shares of our common stock issuable upon the exercise of stock options granted between June 30, 2021 and August 31, 2021 under our 2011 Plan, with a weighted average exercise price of $13.12 per share;</w:t>
      </w:r>
    </w:p>
    <w:p>
      <w:pPr>
        <w:spacing w:after="0" w:line="115" w:lineRule="exact"/>
        <w:rPr>
          <w:rFonts w:ascii="Arial" w:cs="Arial" w:eastAsia="Arial" w:hAnsi="Arial"/>
          <w:sz w:val="18"/>
          <w:szCs w:val="18"/>
          <w:color w:val="auto"/>
        </w:rPr>
      </w:pPr>
    </w:p>
    <w:p>
      <w:pPr>
        <w:ind w:left="640" w:right="40" w:hanging="322"/>
        <w:spacing w:after="0" w:line="293"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617,696 shares of our common stock issuable upon the settlement of restricted stock units (“RSUs”), outstanding as of June 30, 2021 under our 2011 Plan;</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860"/>
          </w:cols>
          <w:pgMar w:left="1000" w:top="1440" w:right="1039"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13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31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right="20" w:hanging="322"/>
        <w:spacing w:after="0" w:line="29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683,388 shares of our common stock issuable upon the settlement of RSUs granted between June 30, 2021 and August 31, 2021 under our 2011 Plan;</w:t>
      </w:r>
    </w:p>
    <w:p>
      <w:pPr>
        <w:spacing w:after="0" w:line="115" w:lineRule="exact"/>
        <w:rPr>
          <w:rFonts w:ascii="Arial" w:cs="Arial" w:eastAsia="Arial" w:hAnsi="Arial"/>
          <w:sz w:val="18"/>
          <w:szCs w:val="18"/>
          <w:color w:val="auto"/>
        </w:rPr>
      </w:pPr>
    </w:p>
    <w:p>
      <w:pPr>
        <w:ind w:left="640" w:right="60" w:hanging="322"/>
        <w:spacing w:after="0" w:line="29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256,250 shares of our common stock issuable upon the exercise of outstanding warrants to purchase common stock outstanding as of June 30, 2021, with a weighted-average exercise price of $0.42 per share;</w:t>
      </w:r>
    </w:p>
    <w:p>
      <w:pPr>
        <w:spacing w:after="0" w:line="115" w:lineRule="exact"/>
        <w:rPr>
          <w:rFonts w:ascii="Arial" w:cs="Arial" w:eastAsia="Arial" w:hAnsi="Arial"/>
          <w:sz w:val="18"/>
          <w:szCs w:val="18"/>
          <w:color w:val="auto"/>
        </w:rPr>
      </w:pPr>
    </w:p>
    <w:p>
      <w:pPr>
        <w:ind w:left="640" w:hanging="322"/>
        <w:spacing w:after="0" w:line="288"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30,434,742 shares of our common stock reserved for future issuance under our equity compensation plans, consisting of (1) 1,934,742 shares of our common stock reserved for future issuance under our 2011 Plan, as of June 30, 2021 (which number of shares does not include the stock options to purchase shares of our common stock or restricted stock units granted after June 30, 2021), (2) 25,000,000 shares of our common stock reserved for future issuance under our 2021 Equity Incentive Plan (the “2021 Plan”), which will become effective on the date immediately prior to the date of this prospectus, and (3) 3,500,000 shares of our common stock reserved for issuance under our 2021 Employee Stock Purchase Plan (the “ESPP”), which will become effective on the date of this prospectus; and</w:t>
      </w:r>
    </w:p>
    <w:p>
      <w:pPr>
        <w:spacing w:after="0" w:line="126" w:lineRule="exact"/>
        <w:rPr>
          <w:rFonts w:ascii="Arial" w:cs="Arial" w:eastAsia="Arial" w:hAnsi="Arial"/>
          <w:sz w:val="17"/>
          <w:szCs w:val="17"/>
          <w:color w:val="auto"/>
        </w:rPr>
      </w:pPr>
    </w:p>
    <w:p>
      <w:pPr>
        <w:ind w:left="640" w:right="160" w:hanging="322"/>
        <w:spacing w:after="0" w:line="303"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1,819,609 shares of our common stock reserved to be issued pursuant to the Pledge 1% campaign, of which we will issue approximately 181,961 shares of our common stock on the day after the completion of this offering pursuant to the Pledge 1% campaign. See the section titled “Business—Corporate Philanthropy” for more information.</w:t>
      </w:r>
    </w:p>
    <w:p>
      <w:pPr>
        <w:spacing w:after="0" w:line="110" w:lineRule="exact"/>
        <w:rPr>
          <w:sz w:val="20"/>
          <w:szCs w:val="20"/>
          <w:color w:val="auto"/>
        </w:rPr>
      </w:pPr>
    </w:p>
    <w:p>
      <w:pPr>
        <w:ind w:right="20" w:firstLine="324"/>
        <w:spacing w:after="0" w:line="296" w:lineRule="auto"/>
        <w:rPr>
          <w:sz w:val="20"/>
          <w:szCs w:val="20"/>
          <w:color w:val="auto"/>
        </w:rPr>
      </w:pPr>
      <w:r>
        <w:rPr>
          <w:rFonts w:ascii="Arial" w:cs="Arial" w:eastAsia="Arial" w:hAnsi="Arial"/>
          <w:sz w:val="17"/>
          <w:szCs w:val="17"/>
          <w:color w:val="auto"/>
        </w:rPr>
        <w:t>On the date immediately prior to the date of this prospectus, any remaining shares available for issuance under our 2011 Plan will be added to the shares of our common stock reserved for issuance under our 2021 Plan, and we will cease granting awards under the 2011 Plan. Our 2021 Plan and ESPP also provide for automatic annual increases in the number of shares reserved thereunder. See the section titled “Executive Compensation—Employee Benefit and Stock Plans” for additional information.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85" w:lineRule="exact"/>
        <w:rPr>
          <w:sz w:val="20"/>
          <w:szCs w:val="20"/>
          <w:color w:val="auto"/>
        </w:rPr>
      </w:pPr>
    </w:p>
    <w:p>
      <w:pPr>
        <w:ind w:left="640" w:right="320" w:hanging="322"/>
        <w:spacing w:after="0" w:line="324"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automatic conversion of all shares of our redeemable convertible preferred stock outstanding as of June 30, 2021 into an aggregate of 127,410,631 shares of common stock in connection with the completion of this offering;</w:t>
      </w:r>
    </w:p>
    <w:p>
      <w:pPr>
        <w:spacing w:after="0" w:line="93" w:lineRule="exact"/>
        <w:rPr>
          <w:rFonts w:ascii="Arial" w:cs="Arial" w:eastAsia="Arial" w:hAnsi="Arial"/>
          <w:sz w:val="17"/>
          <w:szCs w:val="17"/>
          <w:color w:val="auto"/>
        </w:rPr>
      </w:pPr>
    </w:p>
    <w:p>
      <w:pPr>
        <w:ind w:left="640" w:right="100" w:hanging="322"/>
        <w:spacing w:after="0" w:line="293"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and sale by us in the private placement of 581,395 shares of common stock to the private placement investor upon the closing of the private placement, at the initial public offering price of $43.00 per share;</w:t>
      </w:r>
    </w:p>
    <w:p>
      <w:pPr>
        <w:spacing w:after="0" w:line="115" w:lineRule="exact"/>
        <w:rPr>
          <w:rFonts w:ascii="Arial" w:cs="Arial" w:eastAsia="Arial" w:hAnsi="Arial"/>
          <w:sz w:val="18"/>
          <w:szCs w:val="18"/>
          <w:color w:val="auto"/>
        </w:rPr>
      </w:pPr>
    </w:p>
    <w:p>
      <w:pPr>
        <w:ind w:left="640" w:right="240" w:hanging="322"/>
        <w:spacing w:after="0" w:line="293"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restated bylaws, each of which will occur immediately prior to the completion of this offering;</w:t>
      </w:r>
    </w:p>
    <w:p>
      <w:pPr>
        <w:spacing w:after="0" w:line="115" w:lineRule="exact"/>
        <w:rPr>
          <w:rFonts w:ascii="Arial" w:cs="Arial" w:eastAsia="Arial" w:hAnsi="Arial"/>
          <w:sz w:val="18"/>
          <w:szCs w:val="18"/>
          <w:color w:val="auto"/>
        </w:rPr>
      </w:pPr>
    </w:p>
    <w:p>
      <w:pPr>
        <w:ind w:left="640" w:hanging="32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June 30, 2021;</w:t>
      </w:r>
    </w:p>
    <w:p>
      <w:pPr>
        <w:spacing w:after="0" w:line="184" w:lineRule="exact"/>
        <w:rPr>
          <w:rFonts w:ascii="Arial" w:cs="Arial" w:eastAsia="Arial" w:hAnsi="Arial"/>
          <w:sz w:val="18"/>
          <w:szCs w:val="18"/>
          <w:color w:val="auto"/>
        </w:rPr>
      </w:pPr>
    </w:p>
    <w:p>
      <w:pPr>
        <w:ind w:left="640" w:hanging="32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settlement of outstanding RSUs subsequent to June 30, 2021; and</w:t>
      </w:r>
    </w:p>
    <w:p>
      <w:pPr>
        <w:spacing w:after="0" w:line="184" w:lineRule="exact"/>
        <w:rPr>
          <w:rFonts w:ascii="Arial" w:cs="Arial" w:eastAsia="Arial" w:hAnsi="Arial"/>
          <w:sz w:val="18"/>
          <w:szCs w:val="18"/>
          <w:color w:val="auto"/>
        </w:rPr>
      </w:pPr>
    </w:p>
    <w:p>
      <w:pPr>
        <w:ind w:left="640" w:right="40" w:hanging="322"/>
        <w:spacing w:after="0" w:line="293"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in this offering from us or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880"/>
          </w:cols>
          <w:pgMar w:left="1000" w:top="1440" w:right="10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338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333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89" w:lineRule="exact"/>
        <w:rPr>
          <w:sz w:val="20"/>
          <w:szCs w:val="20"/>
          <w:color w:val="auto"/>
        </w:rPr>
      </w:pPr>
    </w:p>
    <w:p>
      <w:pPr>
        <w:ind w:firstLine="324"/>
        <w:spacing w:after="0" w:line="285" w:lineRule="auto"/>
        <w:rPr>
          <w:sz w:val="20"/>
          <w:szCs w:val="20"/>
          <w:color w:val="auto"/>
        </w:rPr>
      </w:pPr>
      <w:r>
        <w:rPr>
          <w:rFonts w:ascii="Arial" w:cs="Arial" w:eastAsia="Arial" w:hAnsi="Arial"/>
          <w:sz w:val="17"/>
          <w:szCs w:val="17"/>
          <w:color w:val="auto"/>
        </w:rPr>
        <w:t>The following tables summarize our consolidated financial and other data. We derived our summary statements of operations data for the years ended December 31, 2019 and 2020 from our audited consolidated financial statements included elsewhere in this prospectus. Our audited consolidated financial statements have been prepared in accordance with U.S. generally accepted accounting principles (“GAAP”). We derived our summary statements of operations data for the six months ended June 30, 2020 and 2021, and our summary balance sheet data as of June 30, 2021 from our unaudited interim condensed consolidated financial statements included elsewhere in this prospectus. Our unaudited interim condensed consolidated financial statements were prepared in accordance with U.S. generally accepted accounting principles. Our unaudited interim condensed consolidated financial statements have been prepared on the same basis as our audited consolidated financial statements and reflect, in the opinion of management, all adjustments of a normal and recurring nature that are necessary for the fair statements of our financial position and the results for the interim periods presented. Our historical results are not necessarily indicative of the results that may be expected in any future period and results for the six months ended June 30, 2021 are not necessarily indicative of the results to be expected for the full year ended December 31, 2021 or any other period. The following summary consolidated financial and other data should be read in conjunction with the section titled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780"/>
          </w:cols>
          <w:pgMar w:left="1000" w:top="1440" w:right="1119" w:bottom="1440" w:gutter="0" w:footer="0" w:header="0"/>
        </w:sectPr>
      </w:pPr>
    </w:p>
    <w:bookmarkStart w:id="30" w:name="page31"/>
    <w:bookmarkEnd w:id="30"/>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96"/>
        </w:trPr>
        <w:tc>
          <w:tcPr>
            <w:tcW w:w="68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7"/>
          </w:tcPr>
          <w:p>
            <w:pPr>
              <w:jc w:val="right"/>
              <w:ind w:right="513"/>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60" w:type="dxa"/>
            <w:vAlign w:val="bottom"/>
            <w:tcBorders>
              <w:top w:val="single" w:sz="8" w:color="auto"/>
              <w:right w:val="single" w:sz="8" w:color="auto"/>
            </w:tcBorders>
            <w:gridSpan w:val="7"/>
          </w:tcPr>
          <w:p>
            <w:pPr>
              <w:jc w:val="center"/>
              <w:ind w:right="114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198"/>
        </w:trPr>
        <w:tc>
          <w:tcPr>
            <w:tcW w:w="6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6"/>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197"/>
        </w:trPr>
        <w:tc>
          <w:tcPr>
            <w:tcW w:w="6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gridSpan w:val="13"/>
          </w:tcPr>
          <w:p>
            <w:pPr>
              <w:ind w:left="100"/>
              <w:spacing w:after="0"/>
              <w:rPr>
                <w:sz w:val="20"/>
                <w:szCs w:val="20"/>
                <w:color w:val="auto"/>
              </w:rPr>
            </w:pPr>
            <w:r>
              <w:rPr>
                <w:rFonts w:ascii="Arial" w:cs="Arial" w:eastAsia="Arial" w:hAnsi="Arial"/>
                <w:sz w:val="14"/>
                <w:szCs w:val="14"/>
                <w:b w:val="1"/>
                <w:bCs w:val="1"/>
                <w:color w:val="auto"/>
                <w:w w:val="92"/>
              </w:rPr>
              <w:t>(in thousands, except share and per share data)</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6"/>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63"/>
        </w:trPr>
        <w:tc>
          <w:tcPr>
            <w:tcW w:w="680" w:type="dxa"/>
            <w:vAlign w:val="bottom"/>
            <w:tcBorders>
              <w:left w:val="single" w:sz="8" w:color="auto"/>
            </w:tcBorders>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r>
      <w:tr>
        <w:trPr>
          <w:trHeight w:val="257"/>
        </w:trPr>
        <w:tc>
          <w:tcPr>
            <w:tcW w:w="680" w:type="dxa"/>
            <w:vAlign w:val="bottom"/>
            <w:tcBorders>
              <w:left w:val="single" w:sz="8" w:color="auto"/>
            </w:tcBorders>
          </w:tcPr>
          <w:p>
            <w:pPr>
              <w:spacing w:after="0"/>
              <w:rPr>
                <w:sz w:val="22"/>
                <w:szCs w:val="22"/>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126,567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256,956</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202,106</w:t>
            </w:r>
          </w:p>
        </w:tc>
        <w:tc>
          <w:tcPr>
            <w:tcW w:w="660" w:type="dxa"/>
            <w:vAlign w:val="bottom"/>
            <w:tcBorders>
              <w:right w:val="single" w:sz="8" w:color="auto"/>
            </w:tcBorders>
          </w:tcPr>
          <w:p>
            <w:pPr>
              <w:spacing w:after="0"/>
              <w:rPr>
                <w:sz w:val="22"/>
                <w:szCs w:val="22"/>
                <w:color w:val="auto"/>
              </w:rPr>
            </w:pPr>
          </w:p>
        </w:tc>
      </w:tr>
      <w:tr>
        <w:trPr>
          <w:trHeight w:val="27"/>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63"/>
        </w:trPr>
        <w:tc>
          <w:tcPr>
            <w:tcW w:w="680" w:type="dxa"/>
            <w:vAlign w:val="bottom"/>
            <w:tcBorders>
              <w:left w:val="single" w:sz="8" w:color="auto"/>
            </w:tcBorders>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55,858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110,414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87,615</w:t>
            </w:r>
          </w:p>
        </w:tc>
        <w:tc>
          <w:tcPr>
            <w:tcW w:w="660" w:type="dxa"/>
            <w:vAlign w:val="bottom"/>
            <w:tcBorders>
              <w:right w:val="single" w:sz="8" w:color="auto"/>
            </w:tcBorders>
          </w:tcPr>
          <w:p>
            <w:pPr>
              <w:spacing w:after="0"/>
              <w:rPr>
                <w:sz w:val="24"/>
                <w:szCs w:val="24"/>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Support and Operations</w:t>
            </w:r>
            <w:r>
              <w:rPr>
                <w:rFonts w:ascii="Arial" w:cs="Arial" w:eastAsia="Arial" w:hAnsi="Arial"/>
                <w:sz w:val="23"/>
                <w:szCs w:val="23"/>
                <w:color w:val="auto"/>
                <w:vertAlign w:val="superscript"/>
              </w:rPr>
              <w:t>(1) (2)</w:t>
            </w: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660" w:type="dxa"/>
            <w:vAlign w:val="bottom"/>
            <w:tcBorders>
              <w:right w:val="single" w:sz="8" w:color="auto"/>
            </w:tcBorders>
          </w:tcPr>
          <w:p>
            <w:pPr>
              <w:spacing w:after="0"/>
              <w:rPr>
                <w:sz w:val="24"/>
                <w:szCs w:val="24"/>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Marketing</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43,542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52,274</w:t>
            </w:r>
          </w:p>
        </w:tc>
        <w:tc>
          <w:tcPr>
            <w:tcW w:w="660" w:type="dxa"/>
            <w:vAlign w:val="bottom"/>
            <w:tcBorders>
              <w:right w:val="single" w:sz="8" w:color="auto"/>
            </w:tcBorders>
          </w:tcPr>
          <w:p>
            <w:pPr>
              <w:spacing w:after="0"/>
              <w:rPr>
                <w:sz w:val="24"/>
                <w:szCs w:val="24"/>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r>
              <w:rPr>
                <w:rFonts w:ascii="Arial" w:cs="Arial" w:eastAsia="Arial" w:hAnsi="Arial"/>
                <w:sz w:val="23"/>
                <w:szCs w:val="23"/>
                <w:color w:val="auto"/>
                <w:vertAlign w:val="superscript"/>
              </w:rPr>
              <w:t>(1) (2)</w:t>
            </w: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660" w:type="dxa"/>
            <w:vAlign w:val="bottom"/>
            <w:tcBorders>
              <w:right w:val="single" w:sz="8" w:color="auto"/>
            </w:tcBorders>
          </w:tcPr>
          <w:p>
            <w:pPr>
              <w:spacing w:after="0"/>
              <w:rPr>
                <w:sz w:val="24"/>
                <w:szCs w:val="24"/>
                <w:color w:val="auto"/>
              </w:rPr>
            </w:pPr>
          </w:p>
        </w:tc>
      </w:tr>
      <w:tr>
        <w:trPr>
          <w:trHeight w:val="284"/>
        </w:trPr>
        <w:tc>
          <w:tcPr>
            <w:tcW w:w="680" w:type="dxa"/>
            <w:vAlign w:val="bottom"/>
            <w:tcBorders>
              <w:left w:val="single" w:sz="8" w:color="auto"/>
            </w:tcBorders>
          </w:tcPr>
          <w:p>
            <w:pPr>
              <w:spacing w:after="0"/>
              <w:rPr>
                <w:sz w:val="24"/>
                <w:szCs w:val="24"/>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22,890</w:t>
            </w:r>
          </w:p>
        </w:tc>
        <w:tc>
          <w:tcPr>
            <w:tcW w:w="660" w:type="dxa"/>
            <w:vAlign w:val="bottom"/>
            <w:tcBorders>
              <w:right w:val="single" w:sz="8" w:color="auto"/>
            </w:tcBorders>
          </w:tcPr>
          <w:p>
            <w:pPr>
              <w:spacing w:after="0"/>
              <w:rPr>
                <w:sz w:val="24"/>
                <w:szCs w:val="24"/>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660" w:type="dxa"/>
            <w:vAlign w:val="bottom"/>
            <w:tcBorders>
              <w:right w:val="single" w:sz="8" w:color="auto"/>
            </w:tcBorders>
          </w:tcPr>
          <w:p>
            <w:pPr>
              <w:spacing w:after="0"/>
              <w:rPr>
                <w:sz w:val="24"/>
                <w:szCs w:val="24"/>
                <w:color w:val="auto"/>
              </w:rPr>
            </w:pPr>
          </w:p>
        </w:tc>
      </w:tr>
      <w:tr>
        <w:trPr>
          <w:trHeight w:val="250"/>
        </w:trPr>
        <w:tc>
          <w:tcPr>
            <w:tcW w:w="6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177,169</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286,139</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123,737</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212,622</w:t>
            </w:r>
          </w:p>
        </w:tc>
        <w:tc>
          <w:tcPr>
            <w:tcW w:w="660" w:type="dxa"/>
            <w:vAlign w:val="bottom"/>
            <w:tcBorders>
              <w:right w:val="single" w:sz="8" w:color="auto"/>
            </w:tcBorders>
          </w:tcPr>
          <w:p>
            <w:pPr>
              <w:spacing w:after="0"/>
              <w:rPr>
                <w:sz w:val="21"/>
                <w:szCs w:val="21"/>
                <w:color w:val="auto"/>
              </w:rPr>
            </w:pPr>
          </w:p>
        </w:tc>
      </w:tr>
      <w:tr>
        <w:trPr>
          <w:trHeight w:val="27"/>
        </w:trPr>
        <w:tc>
          <w:tcPr>
            <w:tcW w:w="680" w:type="dxa"/>
            <w:vAlign w:val="bottom"/>
            <w:tcBorders>
              <w:left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57"/>
        </w:trPr>
        <w:tc>
          <w:tcPr>
            <w:tcW w:w="680" w:type="dxa"/>
            <w:vAlign w:val="bottom"/>
            <w:tcBorders>
              <w:left w:val="single" w:sz="8" w:color="auto"/>
            </w:tcBorders>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(29,183)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660" w:type="dxa"/>
            <w:vAlign w:val="bottom"/>
            <w:tcBorders>
              <w:right w:val="single" w:sz="8" w:color="auto"/>
            </w:tcBorders>
          </w:tcPr>
          <w:p>
            <w:pPr>
              <w:spacing w:after="0"/>
              <w:rPr>
                <w:sz w:val="22"/>
                <w:szCs w:val="22"/>
                <w:color w:val="auto"/>
              </w:rPr>
            </w:pPr>
          </w:p>
        </w:tc>
      </w:tr>
      <w:tr>
        <w:trPr>
          <w:trHeight w:val="257"/>
        </w:trPr>
        <w:tc>
          <w:tcPr>
            <w:tcW w:w="680" w:type="dxa"/>
            <w:vAlign w:val="bottom"/>
            <w:tcBorders>
              <w:left w:val="single" w:sz="8" w:color="auto"/>
            </w:tcBorders>
          </w:tcPr>
          <w:p>
            <w:pPr>
              <w:spacing w:after="0"/>
              <w:rPr>
                <w:sz w:val="22"/>
                <w:szCs w:val="22"/>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r>
      <w:tr>
        <w:trPr>
          <w:trHeight w:val="27"/>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63"/>
        </w:trPr>
        <w:tc>
          <w:tcPr>
            <w:tcW w:w="680" w:type="dxa"/>
            <w:vAlign w:val="bottom"/>
            <w:tcBorders>
              <w:left w:val="single" w:sz="8" w:color="auto"/>
            </w:tcBorders>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tcBorders>
              <w:right w:val="single" w:sz="8" w:color="auto"/>
            </w:tcBorders>
          </w:tcPr>
          <w:p>
            <w:pPr>
              <w:spacing w:after="0"/>
              <w:rPr>
                <w:sz w:val="22"/>
                <w:szCs w:val="22"/>
                <w:color w:val="auto"/>
              </w:rPr>
            </w:pPr>
          </w:p>
        </w:tc>
      </w:tr>
      <w:tr>
        <w:trPr>
          <w:trHeight w:val="257"/>
        </w:trPr>
        <w:tc>
          <w:tcPr>
            <w:tcW w:w="680" w:type="dxa"/>
            <w:vAlign w:val="bottom"/>
            <w:tcBorders>
              <w:left w:val="single" w:sz="8" w:color="auto"/>
            </w:tcBorders>
          </w:tcPr>
          <w:p>
            <w:pPr>
              <w:spacing w:after="0"/>
              <w:rPr>
                <w:sz w:val="22"/>
                <w:szCs w:val="22"/>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660" w:type="dxa"/>
            <w:vAlign w:val="bottom"/>
            <w:tcBorders>
              <w:right w:val="single" w:sz="8" w:color="auto"/>
            </w:tcBorders>
          </w:tcPr>
          <w:p>
            <w:pPr>
              <w:spacing w:after="0"/>
              <w:rPr>
                <w:sz w:val="22"/>
                <w:szCs w:val="22"/>
                <w:color w:val="auto"/>
              </w:rPr>
            </w:pPr>
          </w:p>
        </w:tc>
      </w:tr>
      <w:tr>
        <w:trPr>
          <w:trHeight w:val="27"/>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660" w:type="dxa"/>
            <w:vAlign w:val="bottom"/>
            <w:tcBorders>
              <w:right w:val="single" w:sz="8" w:color="auto"/>
            </w:tcBorders>
          </w:tcPr>
          <w:p>
            <w:pPr>
              <w:spacing w:after="0"/>
              <w:rPr>
                <w:sz w:val="24"/>
                <w:szCs w:val="24"/>
                <w:color w:val="auto"/>
              </w:rPr>
            </w:pPr>
          </w:p>
        </w:tc>
      </w:tr>
      <w:tr>
        <w:trPr>
          <w:trHeight w:val="250"/>
        </w:trPr>
        <w:tc>
          <w:tcPr>
            <w:tcW w:w="6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(51,133)</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(31,401)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(20,690)</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(8,394)</w:t>
            </w:r>
          </w:p>
        </w:tc>
        <w:tc>
          <w:tcPr>
            <w:tcW w:w="660" w:type="dxa"/>
            <w:vAlign w:val="bottom"/>
            <w:tcBorders>
              <w:right w:val="single" w:sz="8" w:color="auto"/>
            </w:tcBorders>
          </w:tcPr>
          <w:p>
            <w:pPr>
              <w:spacing w:after="0"/>
              <w:rPr>
                <w:sz w:val="21"/>
                <w:szCs w:val="21"/>
                <w:color w:val="auto"/>
              </w:rPr>
            </w:pPr>
          </w:p>
        </w:tc>
      </w:tr>
      <w:tr>
        <w:trPr>
          <w:trHeight w:val="27"/>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60" w:type="dxa"/>
            <w:vAlign w:val="bottom"/>
            <w:tcBorders>
              <w:right w:val="single" w:sz="8" w:color="auto"/>
            </w:tcBorders>
          </w:tcPr>
          <w:p>
            <w:pPr>
              <w:spacing w:after="0"/>
              <w:rPr>
                <w:sz w:val="24"/>
                <w:szCs w:val="24"/>
                <w:color w:val="auto"/>
              </w:rPr>
            </w:pPr>
          </w:p>
        </w:tc>
      </w:tr>
      <w:tr>
        <w:trPr>
          <w:trHeight w:val="250"/>
        </w:trPr>
        <w:tc>
          <w:tcPr>
            <w:tcW w:w="6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(51,392)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(32,564)</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(21,130)</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(9,218)</w:t>
            </w:r>
          </w:p>
        </w:tc>
        <w:tc>
          <w:tcPr>
            <w:tcW w:w="660" w:type="dxa"/>
            <w:vAlign w:val="bottom"/>
            <w:tcBorders>
              <w:right w:val="single" w:sz="8" w:color="auto"/>
            </w:tcBorders>
          </w:tcPr>
          <w:p>
            <w:pPr>
              <w:spacing w:after="0"/>
              <w:rPr>
                <w:sz w:val="21"/>
                <w:szCs w:val="21"/>
                <w:color w:val="auto"/>
              </w:rPr>
            </w:pPr>
          </w:p>
        </w:tc>
      </w:tr>
      <w:tr>
        <w:trPr>
          <w:trHeight w:val="27"/>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29"/>
        </w:trPr>
        <w:tc>
          <w:tcPr>
            <w:tcW w:w="680" w:type="dxa"/>
            <w:vAlign w:val="bottom"/>
            <w:tcBorders>
              <w:left w:val="single" w:sz="8" w:color="auto"/>
            </w:tcBorders>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Deemed dividend on redeemable convertible</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57"/>
        </w:trPr>
        <w:tc>
          <w:tcPr>
            <w:tcW w:w="680" w:type="dxa"/>
            <w:vAlign w:val="bottom"/>
            <w:tcBorders>
              <w:left w:val="single" w:sz="8" w:color="auto"/>
            </w:tcBorders>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auto"/>
            </w:tcBorders>
          </w:tcPr>
          <w:p>
            <w:pPr>
              <w:spacing w:after="0"/>
              <w:rPr>
                <w:sz w:val="22"/>
                <w:szCs w:val="22"/>
                <w:color w:val="auto"/>
              </w:rPr>
            </w:pPr>
          </w:p>
        </w:tc>
      </w:tr>
      <w:tr>
        <w:trPr>
          <w:trHeight w:val="277"/>
        </w:trPr>
        <w:tc>
          <w:tcPr>
            <w:tcW w:w="6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w w:val="99"/>
              </w:rPr>
              <w:t>Net loss attributable to common stockholders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(63,526)</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(32,564)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(9,218)</w:t>
            </w:r>
          </w:p>
        </w:tc>
        <w:tc>
          <w:tcPr>
            <w:tcW w:w="660" w:type="dxa"/>
            <w:vAlign w:val="bottom"/>
            <w:tcBorders>
              <w:right w:val="single" w:sz="8" w:color="auto"/>
            </w:tcBorders>
          </w:tcPr>
          <w:p>
            <w:pPr>
              <w:spacing w:after="0"/>
              <w:rPr>
                <w:sz w:val="24"/>
                <w:szCs w:val="24"/>
                <w:color w:val="auto"/>
              </w:rPr>
            </w:pPr>
          </w:p>
        </w:tc>
      </w:tr>
      <w:tr>
        <w:trPr>
          <w:trHeight w:val="20"/>
        </w:trPr>
        <w:tc>
          <w:tcPr>
            <w:tcW w:w="680" w:type="dxa"/>
            <w:vAlign w:val="bottom"/>
            <w:tcBorders>
              <w:left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r>
      <w:tr>
        <w:trPr>
          <w:trHeight w:val="230"/>
        </w:trPr>
        <w:tc>
          <w:tcPr>
            <w:tcW w:w="680" w:type="dxa"/>
            <w:vAlign w:val="bottom"/>
            <w:tcBorders>
              <w:left w:val="single" w:sz="8" w:color="auto"/>
            </w:tcBorders>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Net loss per share attributable to common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84"/>
        </w:trPr>
        <w:tc>
          <w:tcPr>
            <w:tcW w:w="6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660" w:type="dxa"/>
            <w:vAlign w:val="bottom"/>
            <w:tcBorders>
              <w:right w:val="single" w:sz="8" w:color="auto"/>
            </w:tcBorders>
          </w:tcPr>
          <w:p>
            <w:pPr>
              <w:spacing w:after="0"/>
              <w:rPr>
                <w:sz w:val="24"/>
                <w:szCs w:val="24"/>
                <w:color w:val="auto"/>
              </w:rPr>
            </w:pPr>
          </w:p>
        </w:tc>
      </w:tr>
      <w:tr>
        <w:trPr>
          <w:trHeight w:val="236"/>
        </w:trPr>
        <w:tc>
          <w:tcPr>
            <w:tcW w:w="680" w:type="dxa"/>
            <w:vAlign w:val="bottom"/>
            <w:tcBorders>
              <w:left w:val="single" w:sz="8" w:color="auto"/>
            </w:tcBorders>
          </w:tcPr>
          <w:p>
            <w:pPr>
              <w:spacing w:after="0"/>
              <w:rPr>
                <w:sz w:val="20"/>
                <w:szCs w:val="20"/>
                <w:color w:val="auto"/>
              </w:rPr>
            </w:pPr>
          </w:p>
        </w:tc>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8"/>
              </w:rPr>
              <w:t>Weighted-average shares used in computing net loss per</w:t>
            </w:r>
          </w:p>
        </w:tc>
        <w:tc>
          <w:tcPr>
            <w:tcW w:w="3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37"/>
        </w:trPr>
        <w:tc>
          <w:tcPr>
            <w:tcW w:w="680" w:type="dxa"/>
            <w:vAlign w:val="bottom"/>
            <w:tcBorders>
              <w:left w:val="single" w:sz="8" w:color="auto"/>
            </w:tcBorders>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 attributable to common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83"/>
        </w:trPr>
        <w:tc>
          <w:tcPr>
            <w:tcW w:w="680" w:type="dxa"/>
            <w:vAlign w:val="bottom"/>
            <w:tcBorders>
              <w:left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21,290,784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21,459,062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20,840,834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23,216,865</w:t>
            </w:r>
          </w:p>
        </w:tc>
        <w:tc>
          <w:tcPr>
            <w:tcW w:w="660" w:type="dxa"/>
            <w:vAlign w:val="bottom"/>
            <w:tcBorders>
              <w:right w:val="single" w:sz="8" w:color="auto"/>
            </w:tcBorders>
          </w:tcPr>
          <w:p>
            <w:pPr>
              <w:spacing w:after="0"/>
              <w:rPr>
                <w:sz w:val="24"/>
                <w:szCs w:val="24"/>
                <w:color w:val="auto"/>
              </w:rPr>
            </w:pPr>
          </w:p>
        </w:tc>
      </w:tr>
      <w:tr>
        <w:trPr>
          <w:trHeight w:val="236"/>
        </w:trPr>
        <w:tc>
          <w:tcPr>
            <w:tcW w:w="680" w:type="dxa"/>
            <w:vAlign w:val="bottom"/>
            <w:tcBorders>
              <w:left w:val="single" w:sz="8" w:color="auto"/>
            </w:tcBorders>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Pro forma net loss per share attributable to common</w:t>
            </w: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257"/>
        </w:trPr>
        <w:tc>
          <w:tcPr>
            <w:tcW w:w="680" w:type="dxa"/>
            <w:vAlign w:val="bottom"/>
            <w:tcBorders>
              <w:left w:val="single" w:sz="8" w:color="auto"/>
            </w:tcBorders>
          </w:tcPr>
          <w:p>
            <w:pPr>
              <w:spacing w:after="0"/>
              <w:rPr>
                <w:sz w:val="22"/>
                <w:szCs w:val="22"/>
                <w:color w:val="auto"/>
              </w:rPr>
            </w:pPr>
          </w:p>
        </w:tc>
        <w:tc>
          <w:tcPr>
            <w:tcW w:w="408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stockholders, basic and diluted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60" w:type="dxa"/>
            <w:vAlign w:val="bottom"/>
            <w:tcBorders>
              <w:right w:val="single" w:sz="8" w:color="auto"/>
            </w:tcBorders>
          </w:tcPr>
          <w:p>
            <w:pPr>
              <w:spacing w:after="0"/>
              <w:rPr>
                <w:sz w:val="22"/>
                <w:szCs w:val="22"/>
                <w:color w:val="auto"/>
              </w:rPr>
            </w:pPr>
          </w:p>
        </w:tc>
      </w:tr>
      <w:tr>
        <w:trPr>
          <w:trHeight w:val="256"/>
        </w:trPr>
        <w:tc>
          <w:tcPr>
            <w:tcW w:w="680" w:type="dxa"/>
            <w:vAlign w:val="bottom"/>
            <w:tcBorders>
              <w:left w:val="single" w:sz="8" w:color="auto"/>
            </w:tcBorders>
          </w:tcPr>
          <w:p>
            <w:pPr>
              <w:spacing w:after="0"/>
              <w:rPr>
                <w:sz w:val="22"/>
                <w:szCs w:val="22"/>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Pro forma weighted-average common shares</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4080" w:type="dxa"/>
            <w:vAlign w:val="bottom"/>
            <w:gridSpan w:val="2"/>
          </w:tcPr>
          <w:p>
            <w:pPr>
              <w:ind w:left="180"/>
              <w:spacing w:after="0" w:line="252" w:lineRule="exact"/>
              <w:rPr>
                <w:sz w:val="20"/>
                <w:szCs w:val="20"/>
                <w:color w:val="auto"/>
              </w:rPr>
            </w:pPr>
            <w:r>
              <w:rPr>
                <w:rFonts w:ascii="Arial" w:cs="Arial" w:eastAsia="Arial" w:hAnsi="Arial"/>
                <w:sz w:val="18"/>
                <w:szCs w:val="18"/>
                <w:color w:val="auto"/>
              </w:rPr>
              <w:t xml:space="preserve">outstanding, basic and diluted </w:t>
            </w:r>
            <w:r>
              <w:rPr>
                <w:rFonts w:ascii="Arial" w:cs="Arial" w:eastAsia="Arial" w:hAnsi="Arial"/>
                <w:sz w:val="23"/>
                <w:szCs w:val="23"/>
                <w:color w:val="auto"/>
                <w:vertAlign w:val="superscript"/>
              </w:rPr>
              <w:t>(4)</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150,015,556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152,030,340</w:t>
            </w:r>
          </w:p>
        </w:tc>
        <w:tc>
          <w:tcPr>
            <w:tcW w:w="660" w:type="dxa"/>
            <w:vAlign w:val="bottom"/>
            <w:tcBorders>
              <w:right w:val="single" w:sz="8" w:color="auto"/>
            </w:tcBorders>
          </w:tcPr>
          <w:p>
            <w:pPr>
              <w:spacing w:after="0"/>
              <w:rPr>
                <w:sz w:val="21"/>
                <w:szCs w:val="21"/>
                <w:color w:val="auto"/>
              </w:rPr>
            </w:pPr>
          </w:p>
        </w:tc>
      </w:tr>
      <w:tr>
        <w:trPr>
          <w:trHeight w:val="175"/>
        </w:trPr>
        <w:tc>
          <w:tcPr>
            <w:tcW w:w="4760" w:type="dxa"/>
            <w:vAlign w:val="bottom"/>
            <w:tcBorders>
              <w:left w:val="single" w:sz="8" w:color="auto"/>
            </w:tcBorders>
            <w:gridSpan w:val="3"/>
          </w:tcPr>
          <w:p>
            <w:pPr>
              <w:ind w:left="680"/>
              <w:spacing w:after="0"/>
              <w:rPr>
                <w:sz w:val="20"/>
                <w:szCs w:val="20"/>
                <w:color w:val="auto"/>
              </w:rPr>
            </w:pPr>
            <w:r>
              <w:rPr>
                <w:rFonts w:ascii="Arial" w:cs="Arial" w:eastAsia="Arial" w:hAnsi="Arial"/>
                <w:sz w:val="14"/>
                <w:szCs w:val="14"/>
                <w:color w:val="auto"/>
              </w:rPr>
              <w:t>_______________</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r>
      <w:tr>
        <w:trPr>
          <w:trHeight w:val="175"/>
        </w:trPr>
        <w:tc>
          <w:tcPr>
            <w:tcW w:w="5080" w:type="dxa"/>
            <w:vAlign w:val="bottom"/>
            <w:tcBorders>
              <w:left w:val="single" w:sz="8" w:color="auto"/>
            </w:tcBorders>
            <w:gridSpan w:val="4"/>
          </w:tcPr>
          <w:p>
            <w:pPr>
              <w:ind w:left="680"/>
              <w:spacing w:after="0"/>
              <w:rPr>
                <w:sz w:val="20"/>
                <w:szCs w:val="20"/>
                <w:color w:val="auto"/>
              </w:rPr>
            </w:pPr>
            <w:r>
              <w:rPr>
                <w:rFonts w:ascii="Arial" w:cs="Arial" w:eastAsia="Arial" w:hAnsi="Arial"/>
                <w:sz w:val="14"/>
                <w:szCs w:val="14"/>
                <w:color w:val="auto"/>
                <w:w w:val="97"/>
              </w:rPr>
              <w:t>(1)  Exclusive of depreciation and amortization, shown separately, above</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r>
      <w:tr>
        <w:trPr>
          <w:trHeight w:val="182"/>
        </w:trPr>
        <w:tc>
          <w:tcPr>
            <w:tcW w:w="4760" w:type="dxa"/>
            <w:vAlign w:val="bottom"/>
            <w:tcBorders>
              <w:left w:val="single" w:sz="8" w:color="auto"/>
            </w:tcBorders>
            <w:gridSpan w:val="3"/>
          </w:tcPr>
          <w:p>
            <w:pPr>
              <w:ind w:left="680"/>
              <w:spacing w:after="0"/>
              <w:rPr>
                <w:sz w:val="20"/>
                <w:szCs w:val="20"/>
                <w:color w:val="auto"/>
              </w:rPr>
            </w:pPr>
            <w:r>
              <w:rPr>
                <w:rFonts w:ascii="Arial" w:cs="Arial" w:eastAsia="Arial" w:hAnsi="Arial"/>
                <w:sz w:val="14"/>
                <w:szCs w:val="14"/>
                <w:color w:val="auto"/>
              </w:rPr>
              <w:t>(2)  Includes stock-based compensation expense as follows:</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r>
      <w:tr>
        <w:trPr>
          <w:trHeight w:val="212"/>
        </w:trPr>
        <w:tc>
          <w:tcPr>
            <w:tcW w:w="6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9"/>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8"/>
                <w:szCs w:val="18"/>
                <w:color w:val="auto"/>
              </w:rPr>
            </w:pPr>
          </w:p>
        </w:tc>
        <w:tc>
          <w:tcPr>
            <w:tcW w:w="3060" w:type="dxa"/>
            <w:vAlign w:val="bottom"/>
            <w:tcBorders>
              <w:right w:val="single" w:sz="8" w:color="auto"/>
            </w:tcBorders>
            <w:gridSpan w:val="7"/>
          </w:tcPr>
          <w:p>
            <w:pPr>
              <w:jc w:val="center"/>
              <w:ind w:right="1140"/>
              <w:spacing w:after="0"/>
              <w:rPr>
                <w:sz w:val="20"/>
                <w:szCs w:val="20"/>
                <w:color w:val="auto"/>
              </w:rPr>
            </w:pPr>
            <w:r>
              <w:rPr>
                <w:rFonts w:ascii="Arial" w:cs="Arial" w:eastAsia="Arial" w:hAnsi="Arial"/>
                <w:sz w:val="13"/>
                <w:szCs w:val="13"/>
                <w:b w:val="1"/>
                <w:bCs w:val="1"/>
                <w:color w:val="auto"/>
                <w:w w:val="87"/>
              </w:rPr>
              <w:t>Six Months Ended June 30,</w:t>
            </w:r>
          </w:p>
        </w:tc>
      </w:tr>
      <w:tr>
        <w:trPr>
          <w:trHeight w:val="30"/>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180"/>
        </w:trPr>
        <w:tc>
          <w:tcPr>
            <w:tcW w:w="68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3"/>
                <w:szCs w:val="13"/>
                <w:b w:val="1"/>
                <w:bCs w:val="1"/>
                <w:color w:val="auto"/>
                <w:w w:val="82"/>
              </w:rPr>
              <w:t>2019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315"/>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r>
      <w:tr>
        <w:trPr>
          <w:trHeight w:val="30"/>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7"/>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180"/>
        </w:trPr>
        <w:tc>
          <w:tcPr>
            <w:tcW w:w="68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tcPr>
          <w:p>
            <w:pPr>
              <w:ind w:left="4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r>
      <w:tr>
        <w:trPr>
          <w:trHeight w:val="30"/>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10"/>
        </w:trPr>
        <w:tc>
          <w:tcPr>
            <w:tcW w:w="6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support and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3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r>
      <w:tr>
        <w:trPr>
          <w:trHeight w:val="204"/>
        </w:trPr>
        <w:tc>
          <w:tcPr>
            <w:tcW w:w="6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Marketing</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w:t>
            </w:r>
          </w:p>
        </w:tc>
        <w:tc>
          <w:tcPr>
            <w:tcW w:w="3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5"/>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10"/>
        </w:trPr>
        <w:tc>
          <w:tcPr>
            <w:tcW w:w="68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1,486</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85"/>
              </w:rPr>
              <w:t>2,130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3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r>
      <w:tr>
        <w:trPr>
          <w:trHeight w:val="204"/>
        </w:trPr>
        <w:tc>
          <w:tcPr>
            <w:tcW w:w="6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1,596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w w:val="85"/>
              </w:rPr>
              <w:t>2,243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1,643</w:t>
            </w:r>
          </w:p>
        </w:tc>
        <w:tc>
          <w:tcPr>
            <w:tcW w:w="3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25"/>
        </w:trPr>
        <w:tc>
          <w:tcPr>
            <w:tcW w:w="6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r>
      <w:tr>
        <w:trPr>
          <w:trHeight w:val="203"/>
        </w:trPr>
        <w:tc>
          <w:tcPr>
            <w:tcW w:w="6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3,648</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85"/>
              </w:rPr>
              <w:t>5,264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3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r>
      <w:tr>
        <w:trPr>
          <w:trHeight w:val="766"/>
        </w:trPr>
        <w:tc>
          <w:tcPr>
            <w:tcW w:w="68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-7142480</wp:posOffset>
            </wp:positionV>
            <wp:extent cx="628332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18034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-6782435</wp:posOffset>
            </wp:positionV>
            <wp:extent cx="628332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-6422390</wp:posOffset>
            </wp:positionV>
            <wp:extent cx="628332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-6062345</wp:posOffset>
            </wp:positionV>
            <wp:extent cx="628332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18034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-5702300</wp:posOffset>
            </wp:positionV>
            <wp:extent cx="62833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-5325110</wp:posOffset>
            </wp:positionV>
            <wp:extent cx="628332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18034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-4965065</wp:posOffset>
            </wp:positionV>
            <wp:extent cx="628332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-4605020</wp:posOffset>
            </wp:positionV>
            <wp:extent cx="62833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-4236085</wp:posOffset>
            </wp:positionV>
            <wp:extent cx="62833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-3738880</wp:posOffset>
            </wp:positionV>
            <wp:extent cx="628332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20574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-3353435</wp:posOffset>
            </wp:positionV>
            <wp:extent cx="628332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18034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-2847340</wp:posOffset>
            </wp:positionV>
            <wp:extent cx="628332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17970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-2341880</wp:posOffset>
            </wp:positionV>
            <wp:extent cx="6283325"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3257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-1090295</wp:posOffset>
            </wp:positionV>
            <wp:extent cx="585470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54700" cy="14541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-798830</wp:posOffset>
            </wp:positionV>
            <wp:extent cx="585470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54700" cy="145415"/>
                    </a:xfrm>
                    <a:prstGeom prst="rect">
                      <a:avLst/>
                    </a:prstGeom>
                    <a:noFill/>
                  </pic:spPr>
                </pic:pic>
              </a:graphicData>
            </a:graphic>
          </wp:anchor>
        </w:drawing>
      </w:r>
    </w:p>
    <w:p>
      <w:pPr>
        <w:sectPr>
          <w:pgSz w:w="11900" w:h="16838" w:orient="portrait"/>
          <w:cols w:equalWidth="0" w:num="1">
            <w:col w:w="11240"/>
          </w:cols>
          <w:pgMar w:left="320" w:top="1440" w:right="339"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40" w:right="339" w:bottom="655"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19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right="240" w:hanging="326"/>
        <w:spacing w:after="0" w:line="266"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 Notes 2 and 7 to our audited consolidated financial statements and Note 7 to our unaudited condensed consolidated financial statements included elsewhere in this prospectus for an explanation of the calculations of our net loss per share attributable to common stockholders, basic and diluted.</w:t>
      </w:r>
    </w:p>
    <w:p>
      <w:pPr>
        <w:ind w:left="340" w:right="60" w:hanging="326"/>
        <w:spacing w:after="0" w:line="265"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unaudited pro forma net loss per share attributable to common stockholders and pro forma weighted-average common shares outstanding have been computed to give effect to the automatic conversion of our redeemable convertible preferred stock outstanding as of June 30, 2021 into an aggregate of 127,410,631 shares of common stock in connection with the completion of this offering as if such conversion had occurred at the beginning of the most recent annual period, as well as stock-based compensation expense of approximately $0.7 million associated with restricted stock units subject to service-based and performance-based vesting conditions, which we will recognize upon the completion of this offering, as further described in Note 10 in the notes to our consolidated financial statements, included elsewhere in this prospectus.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As of June 30, 2021</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7"/>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Pro Forma As</w:t>
            </w:r>
          </w:p>
        </w:tc>
      </w:tr>
      <w:tr>
        <w:trPr>
          <w:trHeight w:val="186"/>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 xml:space="preserve">Pro Forma </w:t>
            </w:r>
            <w:r>
              <w:rPr>
                <w:rFonts w:ascii="Arial" w:cs="Arial" w:eastAsia="Arial" w:hAnsi="Arial"/>
                <w:sz w:val="9"/>
                <w:szCs w:val="9"/>
                <w:b w:val="1"/>
                <w:bCs w:val="1"/>
                <w:color w:val="auto"/>
                <w:w w:val="94"/>
              </w:rPr>
              <w:t>(1)</w:t>
            </w:r>
          </w:p>
        </w:tc>
        <w:tc>
          <w:tcPr>
            <w:tcW w:w="280" w:type="dxa"/>
            <w:vAlign w:val="bottom"/>
          </w:tcPr>
          <w:p>
            <w:pPr>
              <w:spacing w:after="0"/>
              <w:rPr>
                <w:sz w:val="16"/>
                <w:szCs w:val="16"/>
                <w:color w:val="auto"/>
              </w:rPr>
            </w:pPr>
          </w:p>
        </w:tc>
        <w:tc>
          <w:tcPr>
            <w:tcW w:w="1220" w:type="dxa"/>
            <w:vAlign w:val="bottom"/>
          </w:tcPr>
          <w:p>
            <w:pPr>
              <w:jc w:val="right"/>
              <w:ind w:right="275"/>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9"/>
                <w:szCs w:val="9"/>
                <w:b w:val="1"/>
                <w:bCs w:val="1"/>
                <w:color w:val="auto"/>
              </w:rPr>
              <w:t>(2)</w:t>
            </w:r>
          </w:p>
        </w:tc>
      </w:tr>
      <w:tr>
        <w:trPr>
          <w:trHeight w:val="26"/>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7"/>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233"/>
              <w:spacing w:after="0"/>
              <w:rPr>
                <w:sz w:val="20"/>
                <w:szCs w:val="20"/>
                <w:color w:val="auto"/>
              </w:rPr>
            </w:pPr>
            <w:r>
              <w:rPr>
                <w:rFonts w:ascii="Arial" w:cs="Arial" w:eastAsia="Arial" w:hAnsi="Arial"/>
                <w:sz w:val="18"/>
                <w:szCs w:val="18"/>
                <w:color w:val="auto"/>
                <w:w w:val="89"/>
              </w:rPr>
              <w:t>173,363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173,363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477,817</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165,880</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165,880</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471,565</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2"/>
                <w:szCs w:val="22"/>
                <w:color w:val="auto"/>
              </w:rPr>
            </w:pPr>
          </w:p>
        </w:tc>
        <w:tc>
          <w:tcPr>
            <w:tcW w:w="1140" w:type="dxa"/>
            <w:vAlign w:val="bottom"/>
          </w:tcPr>
          <w:p>
            <w:pPr>
              <w:jc w:val="center"/>
              <w:ind w:left="233"/>
              <w:spacing w:after="0"/>
              <w:rPr>
                <w:sz w:val="20"/>
                <w:szCs w:val="20"/>
                <w:color w:val="auto"/>
              </w:rPr>
            </w:pPr>
            <w:r>
              <w:rPr>
                <w:rFonts w:ascii="Arial" w:cs="Arial" w:eastAsia="Arial" w:hAnsi="Arial"/>
                <w:sz w:val="18"/>
                <w:szCs w:val="18"/>
                <w:color w:val="auto"/>
                <w:w w:val="89"/>
              </w:rPr>
              <w:t>312,633</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312,633</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615,856</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9"/>
              </w:rPr>
              <w:t>390,687</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213"/>
              <w:spacing w:after="0"/>
              <w:rPr>
                <w:sz w:val="20"/>
                <w:szCs w:val="20"/>
                <w:color w:val="auto"/>
              </w:rPr>
            </w:pPr>
            <w:r>
              <w:rPr>
                <w:rFonts w:ascii="Arial" w:cs="Arial" w:eastAsia="Arial" w:hAnsi="Arial"/>
                <w:sz w:val="18"/>
                <w:szCs w:val="18"/>
                <w:color w:val="auto"/>
                <w:w w:val="93"/>
              </w:rPr>
              <w:t>(212,135)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178,552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483,006</w:t>
            </w:r>
          </w:p>
        </w:tc>
      </w:tr>
      <w:tr>
        <w:trPr>
          <w:trHeight w:val="204"/>
        </w:trPr>
        <w:tc>
          <w:tcPr>
            <w:tcW w:w="5500" w:type="dxa"/>
            <w:vAlign w:val="bottom"/>
          </w:tcPr>
          <w:p>
            <w:pPr>
              <w:spacing w:after="0"/>
              <w:rPr>
                <w:sz w:val="20"/>
                <w:szCs w:val="20"/>
                <w:color w:val="auto"/>
              </w:rPr>
            </w:pPr>
            <w:r>
              <w:rPr>
                <w:rFonts w:ascii="Arial" w:cs="Arial" w:eastAsia="Arial" w:hAnsi="Arial"/>
                <w:sz w:val="14"/>
                <w:szCs w:val="14"/>
                <w:color w:val="auto"/>
              </w:rPr>
              <w:t>_________________</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ind w:left="340" w:right="40" w:hanging="326"/>
        <w:spacing w:after="0" w:line="26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pro forma column reflects (i) the automatic conversion of all outstanding shares of our redeemable convertible preferred stock as of June 30, 2021 into 127,410,631 shares of our common stock, (ii) stock based compensation expense of approximately $0.7 million associated with restricted stock units subject to service-based and performance-based vesting conditions, which we will recognize upon the completion of this offering, as further described in Note 10 in the notes to our consolidated financial statements, included elsewhere in this prospectus, and (iii) the filing and effectiveness of our amended and restated certificate of incorporation.</w:t>
      </w:r>
    </w:p>
    <w:p>
      <w:pPr>
        <w:spacing w:after="0" w:line="2" w:lineRule="exact"/>
        <w:rPr>
          <w:rFonts w:ascii="Arial" w:cs="Arial" w:eastAsia="Arial" w:hAnsi="Arial"/>
          <w:sz w:val="14"/>
          <w:szCs w:val="14"/>
          <w:color w:val="auto"/>
        </w:rPr>
      </w:pPr>
    </w:p>
    <w:p>
      <w:pPr>
        <w:ind w:left="340" w:right="500" w:hanging="326"/>
        <w:spacing w:after="0" w:line="323" w:lineRule="auto"/>
        <w:tabs>
          <w:tab w:leader="none" w:pos="3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pro forma as adjusted column reflects the items described in footnote (1) and the sale by us of shares of our common stock in this offering and the private placement at the initial public offering price of $43.00 per share, after deducting the underwriting discount and estimated offering expenses payable by us.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Business Metrics</w:t>
      </w:r>
    </w:p>
    <w:p>
      <w:pPr>
        <w:spacing w:after="0" w:line="189" w:lineRule="exact"/>
        <w:rPr>
          <w:sz w:val="20"/>
          <w:szCs w:val="20"/>
          <w:color w:val="auto"/>
        </w:rPr>
      </w:pPr>
    </w:p>
    <w:p>
      <w:pPr>
        <w:ind w:left="20" w:right="40" w:firstLine="324"/>
        <w:spacing w:after="0" w:line="275" w:lineRule="auto"/>
        <w:rPr>
          <w:sz w:val="20"/>
          <w:szCs w:val="20"/>
          <w:color w:val="auto"/>
        </w:rPr>
      </w:pPr>
      <w:r>
        <w:rPr>
          <w:rFonts w:ascii="Arial" w:cs="Arial" w:eastAsia="Arial" w:hAnsi="Arial"/>
          <w:sz w:val="18"/>
          <w:szCs w:val="18"/>
          <w:color w:val="auto"/>
        </w:rPr>
        <w:t>We monitor the following key business metrics to help us measure our business and our performance, identify trends affecting our business, formulate business plans, and make strategic decisions. We believe these key business metrics enhance the overall understanding of our past performance and future prospects, and allow for greater transparency with respect to important metrics used by our management for financial and operational decision-making.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active customers for the periods presented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December 31,</w:t>
            </w:r>
          </w:p>
        </w:tc>
        <w:tc>
          <w:tcPr>
            <w:tcW w:w="242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w w:val="95"/>
              </w:rPr>
              <w:t>Three Months Ended June 30,</w:t>
            </w:r>
          </w:p>
        </w:tc>
      </w:tr>
      <w:tr>
        <w:trPr>
          <w:trHeight w:val="25"/>
        </w:trPr>
        <w:tc>
          <w:tcPr>
            <w:tcW w:w="4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50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7"/>
                <w:szCs w:val="17"/>
                <w:color w:val="auto"/>
              </w:rPr>
            </w:pPr>
          </w:p>
        </w:tc>
        <w:tc>
          <w:tcPr>
            <w:tcW w:w="1200" w:type="dxa"/>
            <w:vAlign w:val="bottom"/>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ind w:right="742"/>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25"/>
        </w:trPr>
        <w:tc>
          <w:tcPr>
            <w:tcW w:w="4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gridSpan w:val="3"/>
          </w:tcPr>
          <w:p>
            <w:pPr>
              <w:ind w:left="800"/>
              <w:spacing w:after="0"/>
              <w:rPr>
                <w:sz w:val="20"/>
                <w:szCs w:val="20"/>
                <w:color w:val="auto"/>
              </w:rPr>
            </w:pPr>
            <w:r>
              <w:rPr>
                <w:rFonts w:ascii="Arial" w:cs="Arial" w:eastAsia="Arial" w:hAnsi="Arial"/>
                <w:sz w:val="14"/>
                <w:szCs w:val="14"/>
                <w:b w:val="1"/>
                <w:bCs w:val="1"/>
                <w:color w:val="auto"/>
                <w:w w:val="93"/>
              </w:rPr>
              <w:t>(in thousands)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
        </w:trPr>
        <w:tc>
          <w:tcPr>
            <w:tcW w:w="4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5020" w:type="dxa"/>
            <w:vAlign w:val="bottom"/>
            <w:gridSpan w:val="2"/>
            <w:shd w:val="clear" w:color="auto" w:fill="CCEEFF"/>
          </w:tcPr>
          <w:p>
            <w:pPr>
              <w:jc w:val="right"/>
              <w:ind w:right="3688"/>
              <w:spacing w:after="0"/>
              <w:rPr>
                <w:sz w:val="20"/>
                <w:szCs w:val="20"/>
                <w:color w:val="auto"/>
              </w:rPr>
            </w:pPr>
            <w:r>
              <w:rPr>
                <w:rFonts w:ascii="Arial" w:cs="Arial" w:eastAsia="Arial" w:hAnsi="Arial"/>
                <w:sz w:val="18"/>
                <w:szCs w:val="18"/>
                <w:color w:val="auto"/>
                <w:w w:val="90"/>
              </w:rPr>
              <w:t>Active customers</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948</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1,891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1,525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7"/>
        </w:trPr>
        <w:tc>
          <w:tcPr>
            <w:tcW w:w="4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send volume for the periods presented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6"/>
                <w:szCs w:val="16"/>
                <w:color w:val="auto"/>
              </w:rPr>
            </w:pPr>
          </w:p>
        </w:tc>
        <w:tc>
          <w:tcPr>
            <w:tcW w:w="244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8"/>
        </w:trPr>
        <w:tc>
          <w:tcPr>
            <w:tcW w:w="4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1060" w:type="dxa"/>
            <w:vAlign w:val="bottom"/>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25"/>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8"/>
        </w:trPr>
        <w:tc>
          <w:tcPr>
            <w:tcW w:w="4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
        </w:trPr>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Send volume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7,087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12,055</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5,185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r>
      <w:tr>
        <w:trPr>
          <w:trHeight w:val="27"/>
        </w:trPr>
        <w:tc>
          <w:tcPr>
            <w:tcW w:w="4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920"/>
          </w:cols>
          <w:pgMar w:left="980" w:top="1440" w:right="999" w:bottom="1440" w:gutter="0" w:footer="0" w:header="0"/>
          <w:type w:val="continuous"/>
        </w:sectPr>
      </w:pPr>
    </w:p>
    <w:bookmarkStart w:id="32" w:name="page33"/>
    <w:bookmarkEnd w:id="3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prospectus,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Strategic Risks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retain or grow our customer base, number of payment corridors, or scope of send and receive countries, our business and operating results will be harmed.</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 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11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We partner with third parties to support fulfillment of our service, including risk management, payment processing, customer support, and disbursement, which exposes us to risks outside our direct control.</w:t>
      </w:r>
    </w:p>
    <w:p>
      <w:pPr>
        <w:spacing w:after="0" w:line="130" w:lineRule="exact"/>
        <w:rPr>
          <w:sz w:val="20"/>
          <w:szCs w:val="20"/>
          <w:color w:val="auto"/>
        </w:rPr>
      </w:pPr>
    </w:p>
    <w:p>
      <w:pPr>
        <w:ind w:right="120" w:firstLine="324"/>
        <w:spacing w:after="0" w:line="309" w:lineRule="auto"/>
        <w:rPr>
          <w:sz w:val="20"/>
          <w:szCs w:val="20"/>
          <w:color w:val="auto"/>
        </w:rPr>
      </w:pPr>
      <w:r>
        <w:rPr>
          <w:rFonts w:ascii="Arial" w:cs="Arial" w:eastAsia="Arial" w:hAnsi="Arial"/>
          <w:sz w:val="16"/>
          <w:szCs w:val="16"/>
          <w:color w:val="auto"/>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11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8"/>
          <w:szCs w:val="18"/>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131"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In addition, some of these third parties process personally identifiable information and customer payments subject to our security requirements. Any failure of these parties to implement and operate adequate cybersecurity, data privacy,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57"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customer experience management. In many cases, we may elect to correct such errors even where not legally or contractually required to do so in order to retain customer loyalty and maintain our brand.</w:t>
      </w:r>
    </w:p>
    <w:p>
      <w:pPr>
        <w:spacing w:after="0" w:line="1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30"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 xml:space="preserve">Our solution is a technology-driven platform that relies on innovation to remain competitive. Our process of developing new features and products is complex and relies upon both internally developed and third-party technologies and services, including AI and machine learning, and cloud-based technologies. We may not be able to make product or technological improvements as quickly as demanded by our customers, or to market them effectively, which could harm our ability to attract or retain customers. For example, we have recently launched new products such as </w:t>
      </w:r>
      <w:r>
        <w:rPr>
          <w:rFonts w:ascii="Arial" w:cs="Arial" w:eastAsia="Arial" w:hAnsi="Arial"/>
          <w:sz w:val="16"/>
          <w:szCs w:val="16"/>
          <w:i w:val="1"/>
          <w:iCs w:val="1"/>
          <w:color w:val="auto"/>
        </w:rPr>
        <w:t>Passbook</w:t>
      </w:r>
      <w:r>
        <w:rPr>
          <w:rFonts w:ascii="Arial" w:cs="Arial" w:eastAsia="Arial" w:hAnsi="Arial"/>
          <w:sz w:val="16"/>
          <w:szCs w:val="16"/>
          <w:color w:val="auto"/>
        </w:rPr>
        <w:t xml:space="preserve"> and </w:t>
      </w:r>
      <w:r>
        <w:rPr>
          <w:rFonts w:ascii="Arial" w:cs="Arial" w:eastAsia="Arial" w:hAnsi="Arial"/>
          <w:sz w:val="16"/>
          <w:szCs w:val="16"/>
          <w:i w:val="1"/>
          <w:iCs w:val="1"/>
          <w:color w:val="auto"/>
        </w:rPr>
        <w:t>Remitly for</w:t>
      </w:r>
      <w:r>
        <w:rPr>
          <w:rFonts w:ascii="Arial" w:cs="Arial" w:eastAsia="Arial" w:hAnsi="Arial"/>
          <w:sz w:val="16"/>
          <w:szCs w:val="16"/>
          <w:color w:val="auto"/>
        </w:rPr>
        <w:t xml:space="preserve"> </w:t>
      </w:r>
      <w:r>
        <w:rPr>
          <w:rFonts w:ascii="Arial" w:cs="Arial" w:eastAsia="Arial" w:hAnsi="Arial"/>
          <w:sz w:val="16"/>
          <w:szCs w:val="16"/>
          <w:i w:val="1"/>
          <w:iCs w:val="1"/>
          <w:color w:val="auto"/>
        </w:rPr>
        <w:t>Developers</w:t>
      </w:r>
      <w:r>
        <w:rPr>
          <w:rFonts w:ascii="Arial" w:cs="Arial" w:eastAsia="Arial" w:hAnsi="Arial"/>
          <w:sz w:val="16"/>
          <w:szCs w:val="16"/>
          <w:color w:val="auto"/>
        </w:rPr>
        <w:t>, each of which required investments by us, and may continue to require investments. It is possible that these new products may not result in a</w:t>
      </w:r>
      <w:r>
        <w:rPr>
          <w:rFonts w:ascii="Arial" w:cs="Arial" w:eastAsia="Arial" w:hAnsi="Arial"/>
          <w:sz w:val="16"/>
          <w:szCs w:val="16"/>
          <w:i w:val="1"/>
          <w:iCs w:val="1"/>
          <w:color w:val="auto"/>
        </w:rPr>
        <w:t xml:space="preserve"> </w:t>
      </w:r>
      <w:r>
        <w:rPr>
          <w:rFonts w:ascii="Arial" w:cs="Arial" w:eastAsia="Arial" w:hAnsi="Arial"/>
          <w:sz w:val="16"/>
          <w:szCs w:val="16"/>
          <w:color w:val="auto"/>
        </w:rPr>
        <w:t>return of our investment or be profitable, which may have an adverse effect on our business and financial results. 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spacing w:after="0" w:line="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130"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137" w:lineRule="exact"/>
        <w:rPr>
          <w:sz w:val="20"/>
          <w:szCs w:val="20"/>
          <w:color w:val="auto"/>
        </w:rPr>
      </w:pPr>
    </w:p>
    <w:p>
      <w:pPr>
        <w:ind w:right="200" w:firstLine="324"/>
        <w:spacing w:after="0" w:line="272" w:lineRule="auto"/>
        <w:rPr>
          <w:sz w:val="20"/>
          <w:szCs w:val="20"/>
          <w:color w:val="auto"/>
        </w:rPr>
      </w:pPr>
      <w:r>
        <w:rPr>
          <w:rFonts w:ascii="Arial" w:cs="Arial" w:eastAsia="Arial" w:hAnsi="Arial"/>
          <w:sz w:val="18"/>
          <w:szCs w:val="18"/>
          <w:color w:val="auto"/>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gross profits, and operating results.</w:t>
      </w:r>
    </w:p>
    <w:p>
      <w:pPr>
        <w:spacing w:after="0" w:line="137" w:lineRule="exact"/>
        <w:rPr>
          <w:sz w:val="20"/>
          <w:szCs w:val="20"/>
          <w:color w:val="auto"/>
        </w:rPr>
      </w:pPr>
    </w:p>
    <w:p>
      <w:pPr>
        <w:ind w:right="60" w:firstLine="324"/>
        <w:spacing w:after="0" w:line="314" w:lineRule="auto"/>
        <w:rPr>
          <w:sz w:val="20"/>
          <w:szCs w:val="20"/>
          <w:color w:val="auto"/>
        </w:rPr>
      </w:pPr>
      <w:r>
        <w:rPr>
          <w:rFonts w:ascii="Arial" w:cs="Arial" w:eastAsia="Arial" w:hAnsi="Arial"/>
          <w:sz w:val="16"/>
          <w:szCs w:val="16"/>
          <w:color w:val="auto"/>
        </w:rPr>
        <w:t>In addition, the broader financial services sector is also experiencing rapid evolution in technologies and there has recently been significant advancement in the development of neobanking and the exchange of digital assets, or cryptocurrency, that could materially impact the financial services industry in the future. The advancement in the development of cryptocurrencies has led to new entrants in the market for remittances and financial services more generally, including companies that have traditionally focused on social networks. Although still in early stages, cryptocurrency usage is growing, and, if we are unable to integrate cryptocurrency or other new financial technologies into our services, we may be unable to compete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obtain or maintain necessary money transmission licenses across our global footprint could adversely affect our operations.</w:t>
      </w:r>
    </w:p>
    <w:p>
      <w:pPr>
        <w:spacing w:after="0" w:line="196"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8"/>
          <w:szCs w:val="18"/>
          <w:color w:val="auto"/>
        </w:rPr>
        <w:t>The provision of money transfer services is highly regulated, and the requirements vary from jurisdiction to jurisdiction. In the U.S., we are registered as a Money Services Business with the Financial Crimes Enforcement Network of the U.S. Department of the Treasury (“FinCEN”), and are also licensed to operate as a money transmitter in 48 U.S. states and the District of Columbia.</w:t>
      </w:r>
    </w:p>
    <w:p>
      <w:pPr>
        <w:spacing w:after="0" w:line="1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Outside the U.S., we provide services to our customers in a variety of ways. In several key jurisdictions, we have obtained licenses to operate as a money services business or payment institution, as applicable. In the United Kingdom, we have obtained a payment institution license from the Financial Conduct Authority. In Ireland, we have obtained a payment institution license from the Central Bank of Ireland, and such license is recognized across the European Economic Area. In Singapore, we are licensed by the Monetary Authority of Singapore as a major payment institution. In Canada, we are registered with the Financial Transactions and Reports Analysis Centre of Canada as a money services business. In Australia, we are registered as a remittance service provider. We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 If these disbursement partners fail to comply with local laws, we could be required to seek an alternate solution, which could impact our service and our business.</w:t>
      </w:r>
    </w:p>
    <w:p>
      <w:pPr>
        <w:spacing w:after="0" w:line="12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As a licensed money transmitter, we are subject to net worth requirements, bonding requirements, liquidity requirements,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1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143"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57"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this growth. For example, our headcount grew from over 750 employees as of the beginning of 2019 to over 1,600 global employees as of June 30, 2021,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1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137"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For example,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business is largely driven by and reliant on customer trust in our handling of money remittances. The pricing and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breach, or reported breach, of information security policies or legal requirements that result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11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143" w:lineRule="exact"/>
        <w:rPr>
          <w:sz w:val="20"/>
          <w:szCs w:val="20"/>
          <w:color w:val="auto"/>
        </w:rPr>
      </w:pPr>
    </w:p>
    <w:p>
      <w:pPr>
        <w:ind w:right="40" w:firstLine="324"/>
        <w:spacing w:after="0" w:line="279" w:lineRule="auto"/>
        <w:rPr>
          <w:sz w:val="20"/>
          <w:szCs w:val="20"/>
          <w:color w:val="auto"/>
        </w:rPr>
      </w:pPr>
      <w:r>
        <w:rPr>
          <w:rFonts w:ascii="Arial" w:cs="Arial" w:eastAsia="Arial" w:hAnsi="Arial"/>
          <w:sz w:val="18"/>
          <w:szCs w:val="18"/>
          <w:color w:val="auto"/>
        </w:rPr>
        <w:t>Our business is subject to the risk of financial losses as a result of operational errors, fraudulent activity, employee misconduct, or other similar actions or errors on our platform. We have been in the past, and will continue to be, subject to losses due to software errors in our platform, operational errors by our employees or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$7.6 million, or 0.11%, $17.2 million, or 0.14%, and $15.5 million, or 0.17% of total send volume in connection with such errors, fraud, and misconduct in the years ended December 31, 2019 and December 31, 2020 and in the six month period ended June 30, 2021, respectively. We expect that losses of similar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1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there is no assurance that our business will become profitable or that, if we achieve profitability, we will be able to sustain it.</w:t>
      </w:r>
    </w:p>
    <w:p>
      <w:pPr>
        <w:spacing w:after="0" w:line="130" w:lineRule="exact"/>
        <w:rPr>
          <w:sz w:val="20"/>
          <w:szCs w:val="20"/>
          <w:color w:val="auto"/>
        </w:rPr>
      </w:pPr>
    </w:p>
    <w:p>
      <w:pPr>
        <w:ind w:firstLine="324"/>
        <w:spacing w:after="0" w:line="284" w:lineRule="auto"/>
        <w:rPr>
          <w:sz w:val="20"/>
          <w:szCs w:val="20"/>
          <w:color w:val="auto"/>
        </w:rPr>
      </w:pPr>
      <w:r>
        <w:rPr>
          <w:rFonts w:ascii="Arial" w:cs="Arial" w:eastAsia="Arial" w:hAnsi="Arial"/>
          <w:sz w:val="17"/>
          <w:szCs w:val="17"/>
          <w:color w:val="auto"/>
        </w:rPr>
        <w:t>We were incorporated in 2011 and we have experienced net losses since inception. We generated net losses of $51.4 million and $32.6 million for the fiscal years ended December 31, 2019 and December 31, 2020 and net losses of $21.1 million and $9.2 million for the six months ended June 30, 2020 and June 30, 2021.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caused us to at times draw on our then-outstanding revolving lines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12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30"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color w:val="auto"/>
        </w:rPr>
        <w:t>Our revenue was $126.6 million and $257.0 million, and our send volume was $7.1 billion and $12.1 billion, for the fiscal years ended December 31, 2019 and 2020, respectively. Our revenue was $105.1 million and $202.1 million, and our send volume was $5.2 billion and $9.2 billion, for the six months ended June 30, 2020 and 2021, respectively. Although a large market share for remittance services remains untapped by us, we have recently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57"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9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the rates at which customers transact on our platform;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the functionality and scope of the products we offer on our platform;</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our services competitively;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high quality, highly available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trust with our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send volume;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our customers with high-quality customer support that meets their needs;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introduce our services in new payment corridors and markets, including maintaining existing and obtaining new money transmitter licenses;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localize our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successfully identify and acquire or invest in businesses, products, or technologies that we believe could complement or expand our platform;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or payment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185"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We expect our revenue mix to vary over time, particularly if our recently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 but not limited to, fluctuations in the demand for our services, the pricing of our services and our corridor mix. Any one of these factors or the cumulative effects of certain of these factors may result in significant fluctuations in our results of operations. This variability and unpredictability could result in our failure to meet internal expectations or those of securities analysts or investors for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320" w:top="1440" w:right="419" w:bottom="1440" w:gutter="0" w:footer="0" w:header="0"/>
        </w:sectPr>
      </w:pPr>
    </w:p>
    <w:bookmarkStart w:id="38" w:name="page39"/>
    <w:bookmarkEnd w:id="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Technology, Privacy and Security Risks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or data security breaches could result in serious harm to our business, reputation and financial condition.</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As our business continues to rapidly grow, so does the scope of risk associated with cyberattacks and data or other information security breaches. Numerous and evolving cybersecurity threats, including advanced and persisting cyberattacks, cyber extortion, spear phishing and social engineering schemes, the introduction of computer viruses or other malware, and the physical destruction of all or portions of our information technology (“IT”) and infrastructure and those of third parties with whom we partner could compromise the confidentiality, availability, and integrity of the data in our systems. We have experienced from time to time, and may experience in the future, breaches of our systems due to human error, malfeasance, insider threats, system errors or vulnerabilities, or other irregularities.</w:t>
      </w:r>
    </w:p>
    <w:p>
      <w:pPr>
        <w:spacing w:after="0" w:line="13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particular, because we rely on third-party technology providers in our business, we rely on the cybersecurity practices and policies adopted by these third parties. Our ability to monitor our third-party technology providers’ cybersecurity practices is limited. Our disbursement partners and other third parties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 security breach could result in monetary and other losses for us or our customers, identify theft for our customers, our inability to expand our business, additional scrutiny and restrictions and fines or penalties from regulatory or governmental authorities, loss of customers and customer confidence in our services, exposure to civil litigation, a breach of our contracts with lenders or other third parties, liquidity risks or a negative impact on our relationships with our financial services providers, including payment processors, disbursement partners, and other third parties, all which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security breach, including repairing system damage, increasing security protection costs, investigating and remediating any information security vulnerabilities, complying with data breach notification obligations, and defending against and resolving legal and regulatory claims, all of which could divert resources and the attention of our management and key personnel away from our business operations and materially and adversely affect our business, financial condition, and operating results. 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24" w:lineRule="exact"/>
        <w:rPr>
          <w:sz w:val="20"/>
          <w:szCs w:val="20"/>
          <w:color w:val="auto"/>
        </w:rPr>
      </w:pPr>
    </w:p>
    <w:p>
      <w:pPr>
        <w:ind w:right="160" w:firstLine="324"/>
        <w:spacing w:after="0" w:line="329" w:lineRule="auto"/>
        <w:rPr>
          <w:sz w:val="20"/>
          <w:szCs w:val="20"/>
          <w:color w:val="auto"/>
        </w:rPr>
      </w:pPr>
      <w:r>
        <w:rPr>
          <w:rFonts w:ascii="Arial" w:cs="Arial" w:eastAsia="Arial" w:hAnsi="Arial"/>
          <w:sz w:val="16"/>
          <w:szCs w:val="16"/>
          <w:color w:val="auto"/>
        </w:rPr>
        <w:t>In addition, 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have the same robust security measures deployed in our physical offices.</w:t>
      </w:r>
    </w:p>
    <w:p>
      <w:pPr>
        <w:spacing w:after="0" w:line="9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color w:val="auto"/>
        </w:rPr>
        <w:t>For additional information, see the section titled “Risk Factors—Our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are subject to privacy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143" w:lineRule="exact"/>
        <w:rPr>
          <w:sz w:val="20"/>
          <w:szCs w:val="20"/>
          <w:color w:val="auto"/>
        </w:rPr>
      </w:pPr>
    </w:p>
    <w:p>
      <w:pPr>
        <w:ind w:right="80" w:firstLine="324"/>
        <w:spacing w:after="0" w:line="304" w:lineRule="auto"/>
        <w:rPr>
          <w:sz w:val="20"/>
          <w:szCs w:val="20"/>
          <w:color w:val="auto"/>
        </w:rPr>
      </w:pPr>
      <w:r>
        <w:rPr>
          <w:rFonts w:ascii="Arial" w:cs="Arial" w:eastAsia="Arial" w:hAnsi="Arial"/>
          <w:sz w:val="16"/>
          <w:szCs w:val="16"/>
          <w:color w:val="auto"/>
        </w:rPr>
        <w:t>The legal and regulatory environment relating to “privacy and data protection laws” (as discussed in “Business—Regulatory Environment”) continues to develop and evolve in ways we cannot predict, including with respect to technologies such as cloud computing, AI, cryptocurrency, and blockchain technology. We have internal and publicly posted policies regarding our collection, processing, use, disclosure, and security of information. Although we endeavor to comply with our policies and documentation, we may at times fail to do so or be accused of having failed to do so. The publication of our privacy policy and other documentation that provide promises and assurances about data privacy and security can subject us to potential actions if they are found to be deceptive, unfair, or otherwise misrepresent our actual practices, which could materially and adversely affect our business, financial condition and results of operations. Any failure, or perceived failure, by us to comply with our privacy or cybersecurity policies as communicated to users or with privacy and data protection laws could result in proceedings or actions against us by data protection authorities, government entities, or others. Such proceedings or actions could subject us to significant fines, penalties, judgments, and negative publicity which may require us to change our business practices, increase the costs and complexity of compliance, and materially harm our business. In addition, compliance with inconsistent privacy and cybersecurity laws may restrict our ability to provide products and services to our customers. For additional discussion about the regulatory environment that we operate in, please see the section titled “Business—Regulatory Environment”.</w:t>
      </w:r>
    </w:p>
    <w:p>
      <w:pPr>
        <w:spacing w:after="0" w:line="1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security or privacy breach of our system could breach our agreements with significant partners that we use to deliver our services and expose us to significant loss.</w:t>
      </w:r>
    </w:p>
    <w:p>
      <w:pPr>
        <w:spacing w:after="0" w:line="130" w:lineRule="exact"/>
        <w:rPr>
          <w:sz w:val="20"/>
          <w:szCs w:val="20"/>
          <w:color w:val="auto"/>
        </w:rPr>
      </w:pPr>
    </w:p>
    <w:p>
      <w:pPr>
        <w:ind w:right="160" w:firstLine="324"/>
        <w:spacing w:after="0" w:line="309" w:lineRule="auto"/>
        <w:rPr>
          <w:sz w:val="20"/>
          <w:szCs w:val="20"/>
          <w:color w:val="auto"/>
        </w:rPr>
      </w:pPr>
      <w:r>
        <w:rPr>
          <w:rFonts w:ascii="Arial" w:cs="Arial" w:eastAsia="Arial" w:hAnsi="Arial"/>
          <w:sz w:val="16"/>
          <w:szCs w:val="16"/>
          <w:color w:val="auto"/>
        </w:rPr>
        <w:t>Our agreements with third parties, including without limitation those with payment processors, credit card and debit card issuers and bank partners, include mutual contractual commitments on information security and data privacy compliance. If we experience an incident that creates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For example, if we experience any information security or data privacy breach with respect to credit card or debit card information that we store, we could be liable to the issuing banks for their cost of issuing new cards and related expenses. In addition, a significant breach could result in our being prohibited from processing transactions for any of the relevant network organizations, such as Visa or MasterCard, which would harm our business.</w:t>
      </w:r>
    </w:p>
    <w:p>
      <w:pPr>
        <w:spacing w:after="0" w:line="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130"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efficient and uninterrupted operation of technologies that we use to deliver our services is important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distributed denial-of-service and other cyberattacks, insider threats, hardware and software defects or malfunctions, human error, earthquakes, hurricanes, floods, fires, and other natural disasters, public health crises (including pandemics), power losses, disruptions in telecommunications services, fraud, military or political conflicts, terrorist attacks, computer viruses or other malware,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57"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This would harm our ability to attract customers and could decrease the frequency with which they use our website and mobile solutions. As a result, our business, financial results and operating results may be harmed.</w:t>
      </w:r>
    </w:p>
    <w:p>
      <w:pPr>
        <w:spacing w:after="0" w:line="116" w:lineRule="exact"/>
        <w:rPr>
          <w:sz w:val="20"/>
          <w:szCs w:val="20"/>
          <w:color w:val="auto"/>
        </w:rPr>
      </w:pPr>
    </w:p>
    <w:p>
      <w:pPr>
        <w:ind w:right="200" w:firstLine="324"/>
        <w:spacing w:after="0" w:line="275" w:lineRule="auto"/>
        <w:rPr>
          <w:sz w:val="20"/>
          <w:szCs w:val="20"/>
          <w:color w:val="auto"/>
        </w:rPr>
      </w:pPr>
      <w:r>
        <w:rPr>
          <w:rFonts w:ascii="Arial" w:cs="Arial" w:eastAsia="Arial" w:hAnsi="Arial"/>
          <w:sz w:val="18"/>
          <w:szCs w:val="18"/>
          <w:color w:val="auto"/>
        </w:rPr>
        <w:t>In addition, our platform is currently vulnerable to downtime should a major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11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Public scrutiny of internet privacy and security issues may result in increased regulation and different industry standards, which could deter or prevent us from providing our current services to our customers, thereby harming our business.</w:t>
      </w:r>
    </w:p>
    <w:p>
      <w:pPr>
        <w:spacing w:after="0" w:line="130"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The regulatory framework for privacy and security issues worldwide is currently in flux and is likely to remain so for the foreseeable future. Practices regarding the collection, processing, use, storage, transmission, disclosure, and security of personal information by companies operating over the internet have recently come under increased public scrutiny. Due to the amount of personal information we process and handle as a part of our business, currently applicable laws and the implementation of new laws or amendments have a substantial impact on our operations both outside and in the United States, either directly as a data controller or indirectly through our partnerships and service providers. State, federal and foreign lawmakers and regulatory authorities have increased their attention on the collection and use of consumer data. In addition, many jurisdictions in which we operate have or are developing laws that protect the privacy and security of sensitive and personal information, including, but not limited to, the Gramm-Leach-Bliley Act (“GLBA”), the California Consumer Privacy Act of 2018 (“CCPA”), the California Privacy Rights Act of 2020 (“CPRA”), the United Kingdom’s Data Protection Act 2018 (the “Data Protection Act”), and the European General Data Protection Regulation (“GDPR”).</w:t>
      </w:r>
    </w:p>
    <w:p>
      <w:pPr>
        <w:spacing w:after="0" w:line="116" w:lineRule="exact"/>
        <w:rPr>
          <w:sz w:val="20"/>
          <w:szCs w:val="20"/>
          <w:color w:val="auto"/>
        </w:rPr>
      </w:pPr>
    </w:p>
    <w:p>
      <w:pPr>
        <w:ind w:right="80" w:firstLine="324"/>
        <w:spacing w:after="0" w:line="290" w:lineRule="auto"/>
        <w:rPr>
          <w:sz w:val="20"/>
          <w:szCs w:val="20"/>
          <w:color w:val="auto"/>
        </w:rPr>
      </w:pPr>
      <w:r>
        <w:rPr>
          <w:rFonts w:ascii="Arial" w:cs="Arial" w:eastAsia="Arial" w:hAnsi="Arial"/>
          <w:sz w:val="17"/>
          <w:szCs w:val="17"/>
          <w:color w:val="auto"/>
        </w:rPr>
        <w:t>In addition, we rely on the standard contractual clauses (as promulgated and recently substantially revised by the European Commission) for intercompany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For additional discussion about the cybersecurity and privacy regulatory environment that we operate in, see the section titled “Business—Privacy and Cybersecurity”.</w:t>
      </w:r>
    </w:p>
    <w:p>
      <w:pPr>
        <w:spacing w:after="0" w:line="12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7"/>
          <w:szCs w:val="17"/>
          <w:color w:val="auto"/>
        </w:rPr>
        <w:t>The various privacy and cybersecurity laws and regulations with which we must comply are complex and evolving. Compliance with such laws and regulations require we expend significant resources, and we cannot guarantee that we will be able to successfully comply with all such privacy and cybersecurity laws and regulations,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Furthermore, any data breach or a failure by us to comply with the cybersecurity and privacy regulations and laws which we are subject to could result in penalties and fines, or in civil litigation against us, which could have a material adverse effect on our business, including on how we use personal data, on our financial condition, and our operating results.</w:t>
      </w:r>
    </w:p>
    <w:p>
      <w:pPr>
        <w:spacing w:after="0" w:line="128"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We believe our policies and practices comply with applicable privacy guidelines and other applicable laws and regulations under which we are regulated. However, if our belief proves incorrect, if there are changes to the guidelines, laws, or regulations, or their interpretation, or if new regulations are enacted that are inconsistent with our current business practices, our business could be harmed. We may be required to change our business practices, services, or privacy policy, reconsider any plans to expand internationally, or obtain additional consents from our customers before collecting or using their information, among other changes. Changes like these could increase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potentially make it more difficult for customers to use our services, resulting in less revenue or slower growth.</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or enforce our intellectual property rights, our business, prospects, financial condition, and operating results could be harmed.</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Remitly brand and the trademarks, service marks, trade names, copyrights, domain names, trade dress, patents and trade secrets, and other intellectual property and proprietary rights (collectively, “IP Rights”) that support that brand are important to our business. We rely on, and expect to continue to rely on, a combination of intellectual property laws, as well as confidentiality, invention assignment, and license agreements with our employees, contractors, consultants, and other third parties with whom we work, to establish and protect our brand, proprietary technology, and other IP Rights. However, 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If we are unable to prevent third parties from using or offering technologies or services that infringe on, misappropriate or otherwise violate our IP Rights, our business results could be adversely affected.</w:t>
      </w:r>
    </w:p>
    <w:p>
      <w:pPr>
        <w:spacing w:after="0" w:line="142" w:lineRule="exact"/>
        <w:rPr>
          <w:sz w:val="20"/>
          <w:szCs w:val="20"/>
          <w:color w:val="auto"/>
        </w:rPr>
      </w:pPr>
    </w:p>
    <w:p>
      <w:pPr>
        <w:ind w:right="60" w:firstLine="324"/>
        <w:spacing w:after="0" w:line="269" w:lineRule="auto"/>
        <w:rPr>
          <w:sz w:val="20"/>
          <w:szCs w:val="20"/>
          <w:color w:val="auto"/>
        </w:rPr>
      </w:pPr>
      <w:r>
        <w:rPr>
          <w:rFonts w:ascii="Arial" w:cs="Arial" w:eastAsia="Arial" w:hAnsi="Arial"/>
          <w:sz w:val="18"/>
          <w:szCs w:val="18"/>
          <w:color w:val="auto"/>
        </w:rPr>
        <w:t>In addition,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 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142"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137" w:lineRule="exact"/>
        <w:rPr>
          <w:sz w:val="20"/>
          <w:szCs w:val="20"/>
          <w:color w:val="auto"/>
        </w:rPr>
      </w:pPr>
    </w:p>
    <w:p>
      <w:pPr>
        <w:ind w:right="100" w:firstLine="324"/>
        <w:spacing w:after="0" w:line="305" w:lineRule="auto"/>
        <w:rPr>
          <w:sz w:val="20"/>
          <w:szCs w:val="20"/>
          <w:color w:val="auto"/>
        </w:rPr>
      </w:pPr>
      <w:r>
        <w:rPr>
          <w:rFonts w:ascii="Arial" w:cs="Arial" w:eastAsia="Arial" w:hAnsi="Arial"/>
          <w:sz w:val="16"/>
          <w:szCs w:val="16"/>
          <w:color w:val="auto"/>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5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also rely on our proprietary technology and trade secrets. Despite our efforts to protect our proprietary technology and trade secrets, unauthorized parties may attempt to misappropriate, reverse engineer, independently develop, or otherwise obtain and use them. The contractual provisions that we enter into with employees, consultants, disbursement partners, vendors, and customers may not prevent unauthorized use or disclosure of our proprietary technology or trade secrets and may not provide an adequate remedy in the event of such unauthorized use or disclosure. We also cannot guarantee that we have entered into such agreements with each party that may have or has had access to our trade secrets or proprietary technology or that our invention assignment agreements will be effective. Moreover, policing unauthorized use of our technologies, services, and intellectual property is difficult, expensive, and time consuming, particularly in international countries where the laws and enforcement of said laws may not effectively protect our IP Rights. In addition, we may be unable to determine the extent of any unauthorized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128" w:lineRule="exact"/>
        <w:rPr>
          <w:sz w:val="20"/>
          <w:szCs w:val="20"/>
          <w:color w:val="auto"/>
        </w:rPr>
      </w:pPr>
    </w:p>
    <w:p>
      <w:pPr>
        <w:ind w:right="80" w:firstLine="324"/>
        <w:spacing w:after="0" w:line="319" w:lineRule="auto"/>
        <w:rPr>
          <w:sz w:val="20"/>
          <w:szCs w:val="20"/>
          <w:color w:val="auto"/>
        </w:rPr>
      </w:pPr>
      <w:r>
        <w:rPr>
          <w:rFonts w:ascii="Arial" w:cs="Arial" w:eastAsia="Arial" w:hAnsi="Arial"/>
          <w:sz w:val="16"/>
          <w:szCs w:val="16"/>
          <w:color w:val="auto"/>
        </w:rPr>
        <w:t>We also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services, or inhibit our ability to commercialize current or future services.</w:t>
      </w:r>
    </w:p>
    <w:p>
      <w:pPr>
        <w:spacing w:after="0" w:line="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or other proprietary rights could result in significant costs and substantially harm our business and operating results.</w:t>
      </w:r>
    </w:p>
    <w:p>
      <w:pPr>
        <w:spacing w:after="0" w:line="130" w:lineRule="exact"/>
        <w:rPr>
          <w:sz w:val="20"/>
          <w:szCs w:val="20"/>
          <w:color w:val="auto"/>
        </w:rPr>
      </w:pPr>
    </w:p>
    <w:p>
      <w:pPr>
        <w:ind w:firstLine="324"/>
        <w:spacing w:after="0" w:line="285" w:lineRule="auto"/>
        <w:rPr>
          <w:sz w:val="20"/>
          <w:szCs w:val="20"/>
          <w:color w:val="auto"/>
        </w:rPr>
      </w:pPr>
      <w:r>
        <w:rPr>
          <w:rFonts w:ascii="Arial" w:cs="Arial" w:eastAsia="Arial" w:hAnsi="Arial"/>
          <w:sz w:val="17"/>
          <w:szCs w:val="17"/>
          <w:color w:val="auto"/>
        </w:rPr>
        <w:t>Intellectual property disputes are common in the payments and digital financial services industries. We may become involved in lawsuits to protect or enforce our intellectual property rights, and we may be subject to claims 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intellectual property rights against us. As the number of services and competitors in our market increases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or misappropriate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and third-party technology could impose limitations on our ability to offer our services to customers.</w:t>
      </w:r>
    </w:p>
    <w:p>
      <w:pPr>
        <w:spacing w:after="0" w:line="18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7"/>
          <w:szCs w:val="17"/>
          <w:color w:val="auto"/>
        </w:rPr>
        <w:t>We use open source software in our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services to conditions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57"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services, to make our proprietary code generally available in source code form, to re-engineer our services, or to discontinue our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spacing w:after="0" w:line="1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platform with the most popular mobile devices, desktop browsers, and tablet devices, our revenue and growth prospects may decline.</w:t>
      </w:r>
    </w:p>
    <w:p>
      <w:pPr>
        <w:spacing w:after="0" w:line="130" w:lineRule="exact"/>
        <w:rPr>
          <w:sz w:val="20"/>
          <w:szCs w:val="20"/>
          <w:color w:val="auto"/>
        </w:rPr>
      </w:pPr>
    </w:p>
    <w:p>
      <w:pPr>
        <w:ind w:right="200" w:firstLine="324"/>
        <w:spacing w:after="0" w:line="319" w:lineRule="auto"/>
        <w:rPr>
          <w:sz w:val="20"/>
          <w:szCs w:val="20"/>
          <w:color w:val="auto"/>
        </w:rPr>
      </w:pPr>
      <w:r>
        <w:rPr>
          <w:rFonts w:ascii="Arial" w:cs="Arial" w:eastAsia="Arial" w:hAnsi="Arial"/>
          <w:sz w:val="16"/>
          <w:szCs w:val="16"/>
          <w:color w:val="auto"/>
        </w:rPr>
        <w:t>Our customers access our product offerings increasingly through mobile phones and also through the use of various other hardware devices and software programs. If any of the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102" w:lineRule="exact"/>
        <w:rPr>
          <w:sz w:val="20"/>
          <w:szCs w:val="20"/>
          <w:color w:val="auto"/>
        </w:rPr>
      </w:pPr>
    </w:p>
    <w:p>
      <w:pPr>
        <w:ind w:firstLine="324"/>
        <w:spacing w:after="0" w:line="270" w:lineRule="auto"/>
        <w:rPr>
          <w:sz w:val="20"/>
          <w:szCs w:val="20"/>
          <w:color w:val="auto"/>
        </w:rPr>
      </w:pPr>
      <w:r>
        <w:rPr>
          <w:rFonts w:ascii="Arial" w:cs="Arial" w:eastAsia="Arial" w:hAnsi="Arial"/>
          <w:sz w:val="18"/>
          <w:szCs w:val="18"/>
          <w:color w:val="auto"/>
        </w:rPr>
        <w:t>The functionality and popularity of our platform depends, in part, on our ability to integrate our platform with the offerings of our strategic partners. Critically, our financial institution strategic partners must be able to integrate our platform into their existing offerings. These strategic partners periodically update and change their systems, and although we have been able to adapt our platform to their evolving needs in the past, there can be no guarantee that we will be able to do so in the future. While we have multiple API integrations and partner redundancies built into our platform, if we are unable to adapt to the needs of our strategic partners’ platforms,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ind w:right="180" w:firstLine="324"/>
        <w:spacing w:after="0" w:line="287" w:lineRule="auto"/>
        <w:rPr>
          <w:sz w:val="20"/>
          <w:szCs w:val="20"/>
          <w:color w:val="auto"/>
        </w:rPr>
      </w:pPr>
      <w:r>
        <w:rPr>
          <w:rFonts w:ascii="Arial" w:cs="Arial" w:eastAsia="Arial" w:hAnsi="Arial"/>
          <w:sz w:val="17"/>
          <w:szCs w:val="17"/>
          <w:color w:val="auto"/>
        </w:rPr>
        <w:t>We may be required to protect our proprietary technology in an increasing number of jurisdictions, a process that is expensive and may not be successful, or which we may not pursue in every location due to costs, complexities or other reasons. Filing, prosecuting, maintaining, defending, and enforcing intellectual property rights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U.S. These products and services may compete with our products and services, and our intellectual property rights may not be effective or sufficient to prevent them from competing.</w:t>
      </w:r>
    </w:p>
    <w:p>
      <w:pPr>
        <w:spacing w:after="0" w:line="128"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color w:val="auto"/>
        </w:rPr>
        <w:t>In addition, the laws of some foreign countries do not protect proprietary rights to the same extent as U.S. laws,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Compliance Risks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1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7"/>
          <w:szCs w:val="17"/>
          <w:color w:val="auto"/>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127" w:lineRule="exact"/>
        <w:rPr>
          <w:sz w:val="20"/>
          <w:szCs w:val="20"/>
          <w:color w:val="auto"/>
        </w:rPr>
      </w:pPr>
    </w:p>
    <w:p>
      <w:pPr>
        <w:ind w:right="60" w:firstLine="324"/>
        <w:spacing w:after="0" w:line="308" w:lineRule="auto"/>
        <w:rPr>
          <w:sz w:val="20"/>
          <w:szCs w:val="20"/>
          <w:color w:val="auto"/>
        </w:rPr>
      </w:pPr>
      <w:r>
        <w:rPr>
          <w:rFonts w:ascii="Arial" w:cs="Arial" w:eastAsia="Arial" w:hAnsi="Arial"/>
          <w:sz w:val="16"/>
          <w:szCs w:val="16"/>
          <w:color w:val="auto"/>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with sanctioned persons or jurisdictions subject to comprehensive sanctions, including Cuba, North Korea, Syria, Iran, and the Crimea region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jurisdiction subject to comprehensive sanctions or an embargo by the United States, and such services may not be in compliance with the economic sanctions regulations administered by OFAC.</w:t>
      </w:r>
    </w:p>
    <w:p>
      <w:pPr>
        <w:spacing w:after="0" w:line="109"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our platform for illegal or fraudulent activities could harm our business, reputation, financial condition, and operating results.</w:t>
      </w:r>
    </w:p>
    <w:p>
      <w:pPr>
        <w:spacing w:after="0" w:line="196" w:lineRule="exact"/>
        <w:rPr>
          <w:sz w:val="20"/>
          <w:szCs w:val="20"/>
          <w:color w:val="auto"/>
        </w:rPr>
      </w:pPr>
    </w:p>
    <w:p>
      <w:pPr>
        <w:ind w:right="80" w:firstLine="324"/>
        <w:spacing w:after="0" w:line="303" w:lineRule="auto"/>
        <w:rPr>
          <w:sz w:val="20"/>
          <w:szCs w:val="20"/>
          <w:color w:val="auto"/>
        </w:rPr>
      </w:pPr>
      <w:r>
        <w:rPr>
          <w:rFonts w:ascii="Arial" w:cs="Arial" w:eastAsia="Arial" w:hAnsi="Arial"/>
          <w:sz w:val="16"/>
          <w:szCs w:val="16"/>
          <w:color w:val="auto"/>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12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8"/>
          <w:szCs w:val="18"/>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platform is susceptible to fraud, and our business, reputation, financial condition and operating results could be harmed as a result.</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offer our customers the ability to fund transactions utilizing their credit card or debit card. We also offer alternative payment methods. Because these are card-not-present/online transactions, they involve a greater risk of fraud. We also release a small percentage of funded transactions for disbursement prior to our receiving funds from our customers, which exposes us to repayment risk in the event that these customers have insufficient funds in their bank account. Additionally, we carry chargeback liability for a large portion of disputed card payment transactions. If we are unable to effectively manage our payment and fraud risks, we may be placed on fraud monitoring programs put in place by various payment scheme networks, banking partners, and our business and financial results may be harmed.</w:t>
      </w:r>
    </w:p>
    <w:p>
      <w:pPr>
        <w:spacing w:after="0" w:line="1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Governments and regulators have been and will continue to be pressured to adopt greater protections for consumers which could require us to change our business model and harm our financial and operating results.</w:t>
      </w:r>
    </w:p>
    <w:p>
      <w:pPr>
        <w:spacing w:after="0" w:line="130"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Globally, governmental agencies have been under increasing pressure to implement greater protections for consumers, which could result in enhanced requirements and obligations for services providers like us. The Consumer Financial Protection Bureau (“CFPB”) and similar regulatory agencies in other jurisdictions we serve have broad consumer protection mandates that could result in the promulgation and interpretation of rules and regulations that may affect our business. The CFPB’s Remittance Rule, for example, establishes threshold requirements for all money remittances involving U.S. participants, including, among other things, disclosure requirements regarding certain transaction details, receipts, refunds within statutory periods and error resolution.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57"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were found to be in violation of any of these regulations, our business or reputation could be harmed and we could face penalties and enforcement action by the CFPB.</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6"/>
          <w:szCs w:val="16"/>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Finally, as a larger participant in the market for international money transfers, we are subject to the CFPB’s direct supervisory and examination authority. Any weaknesses in our compliance management system or Remittance Rule program may also subject us to penalties or enforcement action by the CFPB.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many of which are unsettled and still developing, and many of which may contradict one another due to conflicting regulatory goals. Failure to comply with these laws could subject us to regulatory action, claims or otherwise harm our business.</w:t>
      </w:r>
    </w:p>
    <w:p>
      <w:pPr>
        <w:spacing w:after="0" w:line="143"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Our service is subject to a variety of laws and regulations worldwide, primarily from our key send jurisdictions in the United States, Canada, the EEA, the United Kingdom, Australia, and Singapore. We also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137"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color w:val="auto"/>
        </w:rPr>
        <w:t>From time to time, additional regulatory agencies may also attempt to assert jurisdiction over our international business activities. These laws are complex, extensive, and continuously evolving and developing, including laws regarding money laundering, terrorist financing, fraud, data use and retention, theft and misappropriation, cybersecurity, privacy, anti-spam, consumer disclosure and protection, advertising and marketing, payment processing, money transmission, financial services, currency controls, and escheatment. These requirements vary from jurisdiction to jurisdiction and are subject to continued interpretation by regulatory bodies, judicial branches, and enforcement agencies in each such jurisdiction. These changes can happen quickly and with little notice and, in addition, the scope and interpretation of these laws is often uncertain and may be conflicting. We or our disbursement partners are subject to reporting, recordkeeping, and anti-money laundering provisions of the laws of each of the jurisdictions in which we do business. In the United States, for example, the Bank Secrecy Act, as amended by the USA PATRIOT Act of 2001 (the “BSA”), and its implementing regulations, subjects our business to regulatory oversight by the Financial Crimes Enforcement Network and state regulators. We have implemented an anti-money laundering compliance program, including transaction monitoring procedures, to identify and address, among other things, use of our platform by prospective or existing customers that appears to constitute money laundering or other illegal activity. The BSA, among other laws and regulatory requirements, requires businesses such as ours to develop and implement a risk-based compliance program designed to prevent and identify money laundering schemes, report large cash transactions and suspicious activity, and maintain records, such as records about customers who use our services and other transaction records. Regulatory agencies continue to scrutinize compliance with these obligations, which may require us to revise or expand our compliance program, including the procedures we use to verify the identity of our customers or monitor international and domestic transactions.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57" w:lineRule="exact"/>
        <w:rPr>
          <w:sz w:val="20"/>
          <w:szCs w:val="20"/>
          <w:color w:val="auto"/>
        </w:rPr>
      </w:pPr>
    </w:p>
    <w:p>
      <w:pPr>
        <w:ind w:right="40" w:firstLine="324"/>
        <w:spacing w:after="0" w:line="287" w:lineRule="auto"/>
        <w:rPr>
          <w:sz w:val="20"/>
          <w:szCs w:val="20"/>
          <w:color w:val="auto"/>
        </w:rPr>
      </w:pPr>
      <w:r>
        <w:rPr>
          <w:rFonts w:ascii="Arial" w:cs="Arial" w:eastAsia="Arial" w:hAnsi="Arial"/>
          <w:sz w:val="17"/>
          <w:szCs w:val="17"/>
          <w:color w:val="auto"/>
        </w:rPr>
        <w:t>Similarly, in the European Union, we operate through our Irish subsidiary, which is licensed under the EU Payment Services Directive (“PSD”) Under the PSD, as amended by a revised Payment Services Directive known as PSD2, and the 4th and 5th Anti-Money Laundering Directive in the EU, our EU operating company has increasingly become directly subject to reporting, recordkeeping, and anti-money laundering regulations, agent oversight and monitoring requirements, as well as broader supervision by EU member states. Additionally, the financial penalties associated with the failure to comply with anti-money laundering laws have increased in recent regulation, including the 4th Anti-Money Laundering Directive in the EU. Legislation that has been enacted or proposed in other jurisdictions could have similar effects. These laws and other similar legislation enacted or proposed in the United States and other countries have increased and will continue to increase our costs, and in the event that we or our agents are unable to comply, could harm our business, financial condition, results of operations, and cash flows.</w:t>
      </w:r>
    </w:p>
    <w:p>
      <w:pPr>
        <w:spacing w:after="0" w:line="128"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We are also required to comply with all economic sanctions imposed by the United States, which are overseen by the U.S. Department of the Treasury’s Office of Foreign Assets Control (“OFAC”), and by those imposed in the international jurisdictions in which we operate, including the European Union and the United Kingdom. Moreover, we are also subject to the Foreign Corrupt Practices Act, (“FCPA”) in the United States and similar laws in other countries that generally prohibit companies and those acting on their behalf from making improper payments to foreign government officials for the purpose of obtaining or retaining business.</w:t>
      </w:r>
    </w:p>
    <w:p>
      <w:pPr>
        <w:spacing w:after="0" w:line="137" w:lineRule="exact"/>
        <w:rPr>
          <w:sz w:val="20"/>
          <w:szCs w:val="20"/>
          <w:color w:val="auto"/>
        </w:rPr>
      </w:pPr>
    </w:p>
    <w:p>
      <w:pPr>
        <w:ind w:right="40" w:firstLine="324"/>
        <w:spacing w:after="0" w:line="292" w:lineRule="auto"/>
        <w:rPr>
          <w:sz w:val="20"/>
          <w:szCs w:val="20"/>
          <w:color w:val="auto"/>
        </w:rPr>
      </w:pPr>
      <w:r>
        <w:rPr>
          <w:rFonts w:ascii="Arial" w:cs="Arial" w:eastAsia="Arial" w:hAnsi="Arial"/>
          <w:sz w:val="17"/>
          <w:szCs w:val="17"/>
          <w:color w:val="auto"/>
        </w:rPr>
        <w:t>Although we maintain policies and procedures that are designed to comply with these laws, any real or perceived failure to comply with them, and any future laws and regulations, could result in fines, sanctions, penalties, litigation, enforcement orders, loss of customer confidence, or other harmful consequences, or adversely affect our relationship with our customers, partner banks and other commercial counterparties, any of which could harm our business, financial condition, and operating results. In addition, governmental agencies both in the United States and worldwide may impose new or additional rules on money transfers affecting us, our agents, partner banks or commercial counterparties, including regulations that:</w:t>
      </w:r>
    </w:p>
    <w:p>
      <w:pPr>
        <w:spacing w:after="0" w:line="120" w:lineRule="exact"/>
        <w:rPr>
          <w:sz w:val="20"/>
          <w:szCs w:val="20"/>
          <w:color w:val="auto"/>
        </w:rPr>
      </w:pPr>
    </w:p>
    <w:p>
      <w:pPr>
        <w:ind w:left="660" w:right="120" w:hanging="328"/>
        <w:spacing w:after="0" w:line="29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restrict, and/or impose taxes or fees on remittance transactions in, to, or from certain countries or with certain governments, individuals, and entities;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agent, subagent due diligence, and vendor management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4" w:lineRule="exact"/>
        <w:rPr>
          <w:rFonts w:ascii="Arial" w:cs="Arial" w:eastAsia="Arial" w:hAnsi="Arial"/>
          <w:sz w:val="18"/>
          <w:szCs w:val="18"/>
          <w:color w:val="auto"/>
        </w:rPr>
      </w:pPr>
    </w:p>
    <w:p>
      <w:pPr>
        <w:ind w:left="660" w:right="200" w:hanging="328"/>
        <w:spacing w:after="0" w:line="324"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93"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 on us or our agents and their subagents;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 or restrict the revenue which may be generated from money transfers, including transaction fees and revenue derived from foreign exchange;</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enhanced disclosures to our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the principal amount of money originated in a country to be invested in that country or held in a trust until they are paid;</w:t>
      </w:r>
    </w:p>
    <w:p>
      <w:pPr>
        <w:spacing w:after="0" w:line="184"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number or principal amount of remittances, which may be sent to or from a jurisdiction, whether by an individual, through one agent, or in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57" w:lineRule="exact"/>
        <w:rPr>
          <w:sz w:val="20"/>
          <w:szCs w:val="20"/>
          <w:color w:val="auto"/>
        </w:rPr>
      </w:pPr>
    </w:p>
    <w:p>
      <w:pPr>
        <w:ind w:left="660" w:right="100" w:hanging="328"/>
        <w:spacing w:after="0" w:line="29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more stringent information technology, cybersecurity, data, and operational security requirements on us or our agents and their subagents, including relating to data transfers and the use of cloud infrastructure;</w:t>
      </w:r>
    </w:p>
    <w:p>
      <w:pPr>
        <w:spacing w:after="0" w:line="115" w:lineRule="exact"/>
        <w:rPr>
          <w:rFonts w:ascii="Arial" w:cs="Arial" w:eastAsia="Arial" w:hAnsi="Arial"/>
          <w:sz w:val="18"/>
          <w:szCs w:val="18"/>
          <w:color w:val="auto"/>
        </w:rPr>
      </w:pPr>
    </w:p>
    <w:p>
      <w:pPr>
        <w:ind w:left="660" w:right="240" w:hanging="328"/>
        <w:spacing w:after="0" w:line="29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additional risk management and related governance and oversight requirements, including relating to the outsources of services to other group companies or to third parties;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or limit exclusive arrangements with our agents and subagents.</w:t>
      </w:r>
    </w:p>
    <w:p>
      <w:pPr>
        <w:spacing w:after="0" w:line="185"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color w:val="auto"/>
        </w:rPr>
        <w:t>For example, the Central Bank of Nigeria recently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3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7"/>
          <w:szCs w:val="17"/>
          <w:color w:val="auto"/>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anti-corruption laws and regulations, and failure to comply with such laws could harm our business.</w:t>
      </w:r>
    </w:p>
    <w:p>
      <w:pPr>
        <w:spacing w:after="0" w:line="18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We are subject to the FCPA, the U.S. Travel Act, and the U.K. Bribery Act 2010, and may be subject to other anti-bribery laws in countries in which we conduct activities or have customers. We face significant risks if we cannot comply with the FCPA and other anti-corruption laws that prohibit companies and their agents and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5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13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color w:val="auto"/>
        </w:rPr>
        <w:t>Any violation of the FCPA, other applicable anti-corruption laws, and other similar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2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are subject to regulations that limit the use of customer funds that we hold at any particular point in time and thus subject to additional regulatory requirements that could have a material adverse impact on our business, financial condition, operating results, and cash flows.</w:t>
      </w:r>
    </w:p>
    <w:p>
      <w:pPr>
        <w:spacing w:after="0" w:line="83" w:lineRule="exact"/>
        <w:rPr>
          <w:sz w:val="20"/>
          <w:szCs w:val="20"/>
          <w:color w:val="auto"/>
        </w:rPr>
      </w:pPr>
    </w:p>
    <w:p>
      <w:pPr>
        <w:ind w:right="80" w:firstLine="324"/>
        <w:spacing w:after="0" w:line="270" w:lineRule="auto"/>
        <w:rPr>
          <w:sz w:val="20"/>
          <w:szCs w:val="20"/>
          <w:color w:val="auto"/>
        </w:rPr>
      </w:pPr>
      <w:r>
        <w:rPr>
          <w:rFonts w:ascii="Arial" w:cs="Arial" w:eastAsia="Arial" w:hAnsi="Arial"/>
          <w:sz w:val="18"/>
          <w:szCs w:val="18"/>
          <w:color w:val="auto"/>
        </w:rPr>
        <w:t>Our regulators expect us to possess sufficient financial soundness and strength to adequately support our business. Licensing requirements generally include minimum net worth requirements, provision of surety bonds, compliance with limitations on receivables from our affiliates or third parties and the maintenance of reserves in an amount equivalent to outstanding payment obligations, as defined by our various regulators. Also, our regulators specify the amount and composition of eligible assets that we or certain of our regulated subsidiaries must hold to satisfy outstanding settlement obligations. These regulators could further restrict the type of instruments that qualify as permissible investments or require our regulated subsidiaries to maintain higher levels of eligible assets. Any change or increase in these regulatory requirements could have a material adverse effect on our business, financial condition,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global and evolving marketing laws could subject us to claims or otherwise harm our business.</w:t>
      </w:r>
    </w:p>
    <w:p>
      <w:pPr>
        <w:spacing w:after="0" w:line="185" w:lineRule="exact"/>
        <w:rPr>
          <w:sz w:val="20"/>
          <w:szCs w:val="20"/>
          <w:color w:val="auto"/>
        </w:rPr>
      </w:pPr>
    </w:p>
    <w:p>
      <w:pPr>
        <w:ind w:right="80" w:firstLine="324"/>
        <w:spacing w:after="0" w:line="288" w:lineRule="auto"/>
        <w:rPr>
          <w:sz w:val="20"/>
          <w:szCs w:val="20"/>
          <w:color w:val="auto"/>
        </w:rPr>
      </w:pPr>
      <w:r>
        <w:rPr>
          <w:rFonts w:ascii="Arial" w:cs="Arial" w:eastAsia="Arial" w:hAnsi="Arial"/>
          <w:sz w:val="17"/>
          <w:szCs w:val="17"/>
          <w:color w:val="auto"/>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includes the CAN-SPAM Act of 2003, the U.S. Federal Trade Commission guidelines with respect to misleading or deceptive advertising or marketing practices; the Telephone Consumer Protection Act of 1991 (the “TCPA”), state banking laws that prohibit non-banks, including licensed money transmitters, from holding themselves out as banks or providing banking services; and the California Consumer Privacy Act (the “CCPA”), and, the CPRA, which expands upon the CCPA.</w:t>
      </w:r>
    </w:p>
    <w:p>
      <w:pPr>
        <w:spacing w:after="0" w:line="127"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These laws are continuously evolving and developing in light of technological change and regulatory objectives. These laws are overseen by regulators at the national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57"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practices or customer experience, our business could be harmed or our relationship with our partner banks and other commercial counterparties, could be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social media, endorsers, emails, and text messages may adversely impact our reputation or subject us to fines or other penalties.</w:t>
      </w:r>
    </w:p>
    <w:p>
      <w:pPr>
        <w:spacing w:after="0" w:line="196" w:lineRule="exact"/>
        <w:rPr>
          <w:sz w:val="20"/>
          <w:szCs w:val="20"/>
          <w:color w:val="auto"/>
        </w:rPr>
      </w:pPr>
    </w:p>
    <w:p>
      <w:pPr>
        <w:ind w:right="40" w:firstLine="324"/>
        <w:spacing w:after="0" w:line="288" w:lineRule="auto"/>
        <w:rPr>
          <w:sz w:val="20"/>
          <w:szCs w:val="20"/>
          <w:color w:val="auto"/>
        </w:rPr>
      </w:pPr>
      <w:r>
        <w:rPr>
          <w:rFonts w:ascii="Arial" w:cs="Arial" w:eastAsia="Arial" w:hAnsi="Arial"/>
          <w:sz w:val="17"/>
          <w:szCs w:val="17"/>
          <w:color w:val="auto"/>
        </w:rPr>
        <w:t>We use social media, emails, and text messages as part of our approach to marketing. As social media rules and policies, and laws and regulations rapidly evolve to govern the use of these channels, the failure by us, our 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intellectual property and other proprietary rights, as well as the public disclosure of proprietary, confidential, or sensitive personal information of our business, employees, customers, or others. Any such inappropriate use of social media, emails, and text messages could also cause reputational damage.</w:t>
      </w:r>
    </w:p>
    <w:p>
      <w:pPr>
        <w:spacing w:after="0" w:line="127" w:lineRule="exact"/>
        <w:rPr>
          <w:sz w:val="20"/>
          <w:szCs w:val="20"/>
          <w:color w:val="auto"/>
        </w:rPr>
      </w:pPr>
    </w:p>
    <w:p>
      <w:pPr>
        <w:ind w:firstLine="324"/>
        <w:spacing w:after="0" w:line="319" w:lineRule="auto"/>
        <w:rPr>
          <w:sz w:val="20"/>
          <w:szCs w:val="20"/>
          <w:color w:val="auto"/>
        </w:rPr>
      </w:pPr>
      <w:r>
        <w:rPr>
          <w:rFonts w:ascii="Arial" w:cs="Arial" w:eastAsia="Arial" w:hAnsi="Arial"/>
          <w:sz w:val="16"/>
          <w:szCs w:val="16"/>
          <w:color w:val="auto"/>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disbursement partners fail to comply with applicable laws, it could harm our business.</w:t>
      </w:r>
    </w:p>
    <w:p>
      <w:pPr>
        <w:spacing w:after="0" w:line="185" w:lineRule="exact"/>
        <w:rPr>
          <w:sz w:val="20"/>
          <w:szCs w:val="20"/>
          <w:color w:val="auto"/>
        </w:rPr>
      </w:pPr>
    </w:p>
    <w:p>
      <w:pPr>
        <w:ind w:right="60" w:firstLine="324"/>
        <w:spacing w:after="0" w:line="308" w:lineRule="auto"/>
        <w:rPr>
          <w:sz w:val="20"/>
          <w:szCs w:val="20"/>
          <w:color w:val="auto"/>
        </w:rPr>
      </w:pPr>
      <w:r>
        <w:rPr>
          <w:rFonts w:ascii="Arial" w:cs="Arial" w:eastAsia="Arial" w:hAnsi="Arial"/>
          <w:sz w:val="16"/>
          <w:szCs w:val="16"/>
          <w:color w:val="auto"/>
        </w:rPr>
        <w:t>Our services are regulated by state, federal, and international governments.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10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8"/>
          <w:szCs w:val="18"/>
          <w:color w:val="auto"/>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115"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60" w:lineRule="exact"/>
        <w:rPr>
          <w:sz w:val="20"/>
          <w:szCs w:val="20"/>
          <w:color w:val="auto"/>
        </w:rPr>
      </w:pPr>
    </w:p>
    <w:p>
      <w:pPr>
        <w:ind w:right="100" w:firstLine="324"/>
        <w:spacing w:after="0" w:line="270" w:lineRule="auto"/>
        <w:rPr>
          <w:sz w:val="20"/>
          <w:szCs w:val="20"/>
          <w:color w:val="auto"/>
        </w:rPr>
      </w:pPr>
      <w:r>
        <w:rPr>
          <w:rFonts w:ascii="Arial" w:cs="Arial" w:eastAsia="Arial" w:hAnsi="Arial"/>
          <w:sz w:val="18"/>
          <w:szCs w:val="18"/>
          <w:color w:val="auto"/>
        </w:rPr>
        <w:t>From time to time, we may be subject to claims, lawsuits (including class actions), government investigations, disciplinary actions, administrative proceedings, arbitrations, and other proceedings involving competition and antitrust, intellectual property, privacy, cybersecurity, consumer protection, regulatory compliance, securities, tax, labor and employment, commercial disputes, money transmission, and other matters that could adversely affect our business operations and financial condition. The outcome of any legal or administrative proceeding,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1440" w:right="399" w:bottom="1440" w:gutter="0" w:footer="0" w:header="0"/>
        </w:sectPr>
      </w:pPr>
    </w:p>
    <w:bookmarkStart w:id="51" w:name="page52"/>
    <w:bookmarkEnd w:id="51"/>
    <w:p>
      <w:pPr>
        <w:spacing w:after="0" w:line="157"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rights. If we do not prevail in litigation, we could incur substantial liabilities. We may also determine in certain instances that a settlement may be a more cost-effective and efficient resolution for a dispute.</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 administrative, and regulatory proceedings is a complex, fact-intensive process that is subject to judgment calls. The 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85" w:lineRule="exact"/>
        <w:rPr>
          <w:sz w:val="20"/>
          <w:szCs w:val="20"/>
          <w:color w:val="auto"/>
        </w:rPr>
      </w:pPr>
    </w:p>
    <w:p>
      <w:pPr>
        <w:ind w:right="20" w:firstLine="324"/>
        <w:spacing w:after="0" w:line="308" w:lineRule="auto"/>
        <w:rPr>
          <w:sz w:val="20"/>
          <w:szCs w:val="20"/>
          <w:color w:val="auto"/>
        </w:rPr>
      </w:pPr>
      <w:r>
        <w:rPr>
          <w:rFonts w:ascii="Arial" w:cs="Arial" w:eastAsia="Arial" w:hAnsi="Arial"/>
          <w:sz w:val="16"/>
          <w:szCs w:val="16"/>
          <w:color w:val="auto"/>
        </w:rPr>
        <w:t>In addition to intellectual property litigation, we have in the past and may in the future become subject to legal proceedings and claims that arise in the ordinary course of business, such as claims brought by our customers in connection with commercial disputes, employment claims made by our current or former employees, or claims for reimbursement following theft or misappropriation of customer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In addition, we expect the costs of insurance to increase generally over time, which may have an impact on our financial results. A claim brought against us that is uninsured or underinsured could result in unanticipated costs, thereby reducing our operating results and leading analysts or potential investors to reduce their expectations of our performance, which could reduce the trading price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7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 .</w:t>
      </w:r>
    </w:p>
    <w:p>
      <w:pPr>
        <w:spacing w:after="0" w:line="106" w:lineRule="exact"/>
        <w:rPr>
          <w:sz w:val="20"/>
          <w:szCs w:val="20"/>
          <w:color w:val="auto"/>
        </w:rPr>
      </w:pPr>
    </w:p>
    <w:p>
      <w:pPr>
        <w:ind w:right="60" w:firstLine="324"/>
        <w:spacing w:after="0" w:line="309" w:lineRule="auto"/>
        <w:rPr>
          <w:sz w:val="20"/>
          <w:szCs w:val="20"/>
          <w:color w:val="auto"/>
        </w:rPr>
      </w:pPr>
      <w:r>
        <w:rPr>
          <w:rFonts w:ascii="Arial" w:cs="Arial" w:eastAsia="Arial" w:hAnsi="Arial"/>
          <w:sz w:val="16"/>
          <w:szCs w:val="16"/>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there is any material change of service terms or loss of coverage in our payment processors and disbursement network, our business could be harmed.</w:t>
      </w:r>
    </w:p>
    <w:p>
      <w:pPr>
        <w:spacing w:after="0" w:line="130" w:lineRule="exact"/>
        <w:rPr>
          <w:sz w:val="20"/>
          <w:szCs w:val="20"/>
          <w:color w:val="auto"/>
        </w:rPr>
      </w:pPr>
    </w:p>
    <w:p>
      <w:pPr>
        <w:ind w:right="360" w:firstLine="324"/>
        <w:spacing w:after="0" w:line="293" w:lineRule="auto"/>
        <w:rPr>
          <w:sz w:val="20"/>
          <w:szCs w:val="20"/>
          <w:color w:val="auto"/>
        </w:rPr>
      </w:pPr>
      <w:r>
        <w:rPr>
          <w:rFonts w:ascii="Arial" w:cs="Arial" w:eastAsia="Arial" w:hAnsi="Arial"/>
          <w:sz w:val="18"/>
          <w:szCs w:val="18"/>
          <w:color w:val="auto"/>
        </w:rPr>
        <w:t>Our third-party payment processors and disbursement partners are critical components of our business. We partner with payment processors in our send jurisdictions to provide clearing, processing, and settlement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109" w:lineRule="exact"/>
        <w:rPr>
          <w:sz w:val="20"/>
          <w:szCs w:val="20"/>
          <w:color w:val="auto"/>
        </w:rPr>
      </w:pPr>
    </w:p>
    <w:p>
      <w:pPr>
        <w:ind w:right="80" w:firstLine="324"/>
        <w:spacing w:after="0" w:line="290" w:lineRule="auto"/>
        <w:rPr>
          <w:sz w:val="20"/>
          <w:szCs w:val="20"/>
          <w:color w:val="auto"/>
        </w:rPr>
      </w:pPr>
      <w:r>
        <w:rPr>
          <w:rFonts w:ascii="Arial" w:cs="Arial" w:eastAsia="Arial" w:hAnsi="Arial"/>
          <w:sz w:val="17"/>
          <w:szCs w:val="17"/>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disbursement partners do not provide a positive recipient experience, our business would be harmed.</w:t>
      </w:r>
    </w:p>
    <w:p>
      <w:pPr>
        <w:spacing w:after="0" w:line="185" w:lineRule="exact"/>
        <w:rPr>
          <w:sz w:val="20"/>
          <w:szCs w:val="20"/>
          <w:color w:val="auto"/>
        </w:rPr>
      </w:pPr>
    </w:p>
    <w:p>
      <w:pPr>
        <w:ind w:right="40" w:firstLine="324"/>
        <w:spacing w:after="0" w:line="290" w:lineRule="auto"/>
        <w:rPr>
          <w:sz w:val="20"/>
          <w:szCs w:val="20"/>
          <w:color w:val="auto"/>
        </w:rPr>
      </w:pPr>
      <w:r>
        <w:rPr>
          <w:rFonts w:ascii="Arial" w:cs="Arial" w:eastAsia="Arial" w:hAnsi="Arial"/>
          <w:sz w:val="17"/>
          <w:szCs w:val="17"/>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 If the experience delivered by our disbursement partners to a recipient is deemed unsatisfactory for any reason, customers may choose to not use our services in the future and our business would be harmed.</w:t>
      </w:r>
    </w:p>
    <w:p>
      <w:pPr>
        <w:spacing w:after="0" w:line="10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1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5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significant costs, 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w:t>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Interruptions or delays in the services provided by critical data centers or internet service providers could impair the delivery of our platform and our business could suffer.</w:t>
      </w:r>
    </w:p>
    <w:p>
      <w:pPr>
        <w:spacing w:after="0" w:line="130" w:lineRule="exact"/>
        <w:rPr>
          <w:sz w:val="20"/>
          <w:szCs w:val="20"/>
          <w:color w:val="auto"/>
        </w:rPr>
      </w:pPr>
    </w:p>
    <w:p>
      <w:pPr>
        <w:ind w:firstLine="324"/>
        <w:spacing w:after="0" w:line="284" w:lineRule="auto"/>
        <w:rPr>
          <w:sz w:val="20"/>
          <w:szCs w:val="20"/>
          <w:color w:val="auto"/>
        </w:rPr>
      </w:pPr>
      <w:r>
        <w:rPr>
          <w:rFonts w:ascii="Arial" w:cs="Arial" w:eastAsia="Arial" w:hAnsi="Arial"/>
          <w:sz w:val="17"/>
          <w:szCs w:val="17"/>
          <w:color w:val="auto"/>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 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cybersecurity attacks,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128"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122" w:lineRule="exact"/>
        <w:rPr>
          <w:sz w:val="20"/>
          <w:szCs w:val="20"/>
          <w:color w:val="auto"/>
        </w:rPr>
      </w:pPr>
    </w:p>
    <w:p>
      <w:pPr>
        <w:ind w:right="300" w:firstLine="324"/>
        <w:spacing w:after="0" w:line="329" w:lineRule="auto"/>
        <w:rPr>
          <w:sz w:val="20"/>
          <w:szCs w:val="20"/>
          <w:color w:val="auto"/>
        </w:rPr>
      </w:pPr>
      <w:r>
        <w:rPr>
          <w:rFonts w:ascii="Arial" w:cs="Arial" w:eastAsia="Arial" w:hAnsi="Arial"/>
          <w:sz w:val="16"/>
          <w:szCs w:val="16"/>
          <w:color w:val="auto"/>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1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Sustained financial market illiquidity, or illiquidity at our partner financial institutions, could harm our business, financial condition, and operating results.</w:t>
      </w:r>
    </w:p>
    <w:p>
      <w:pPr>
        <w:spacing w:after="0" w:line="13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129" w:lineRule="exact"/>
        <w:rPr>
          <w:sz w:val="20"/>
          <w:szCs w:val="20"/>
          <w:color w:val="auto"/>
        </w:rPr>
      </w:pPr>
    </w:p>
    <w:p>
      <w:pPr>
        <w:jc w:val="both"/>
        <w:ind w:left="660" w:right="200" w:hanging="328"/>
        <w:spacing w:after="0" w:line="27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128" w:lineRule="exact"/>
        <w:rPr>
          <w:rFonts w:ascii="Arial" w:cs="Arial" w:eastAsia="Arial" w:hAnsi="Arial"/>
          <w:sz w:val="18"/>
          <w:szCs w:val="18"/>
          <w:color w:val="auto"/>
        </w:rPr>
      </w:pPr>
    </w:p>
    <w:p>
      <w:pPr>
        <w:ind w:left="660" w:right="40" w:hanging="328"/>
        <w:spacing w:after="0" w:line="311"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108" w:lineRule="exact"/>
        <w:rPr>
          <w:rFonts w:ascii="Arial" w:cs="Arial" w:eastAsia="Arial" w:hAnsi="Arial"/>
          <w:sz w:val="16"/>
          <w:szCs w:val="16"/>
          <w:color w:val="auto"/>
        </w:rPr>
      </w:pPr>
    </w:p>
    <w:p>
      <w:pPr>
        <w:ind w:left="660" w:right="120" w:hanging="328"/>
        <w:spacing w:after="0" w:line="27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financial liquidity deteriorates, our ability to access capital may be harmed and we could become insolvent.</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83" w:lineRule="exact"/>
        <w:rPr>
          <w:sz w:val="20"/>
          <w:szCs w:val="20"/>
          <w:color w:val="auto"/>
        </w:rPr>
      </w:pPr>
    </w:p>
    <w:p>
      <w:pPr>
        <w:ind w:firstLine="324"/>
        <w:spacing w:after="0" w:line="308" w:lineRule="auto"/>
        <w:rPr>
          <w:sz w:val="20"/>
          <w:szCs w:val="20"/>
          <w:color w:val="auto"/>
        </w:rPr>
      </w:pPr>
      <w:r>
        <w:rPr>
          <w:rFonts w:ascii="Arial" w:cs="Arial" w:eastAsia="Arial" w:hAnsi="Arial"/>
          <w:sz w:val="16"/>
          <w:szCs w:val="16"/>
          <w:color w:val="auto"/>
        </w:rPr>
        <w:t>We have in the past,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10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8"/>
          <w:szCs w:val="18"/>
          <w:color w:val="auto"/>
        </w:rPr>
        <w:t xml:space="preserve">We may also make significant investments in new products, marketing campaigns, technologies, or services developed solely by us or in conjunction with strategic partners we identify. For example, in February 2020 we launched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in partnership with Sunrise, an app-based banking service developed by us and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jc w:val="both"/>
        <w:ind w:right="140"/>
        <w:spacing w:after="0" w:line="279" w:lineRule="auto"/>
        <w:rPr>
          <w:sz w:val="20"/>
          <w:szCs w:val="20"/>
          <w:color w:val="auto"/>
        </w:rPr>
      </w:pPr>
      <w:r>
        <w:rPr>
          <w:rFonts w:ascii="Arial" w:cs="Arial" w:eastAsia="Arial" w:hAnsi="Arial"/>
          <w:sz w:val="18"/>
          <w:szCs w:val="18"/>
          <w:color w:val="auto"/>
        </w:rPr>
        <w:t>partner with other financial institutions for money management specifically for multinational customers. We invested significant time and resources in the project. It is possible that our strategic investments may not become profitable and fail to return our initial investment, and this may have a harmful effect on our business and financial results.</w:t>
      </w:r>
    </w:p>
    <w:p>
      <w:pPr>
        <w:spacing w:after="0" w:line="1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Remitly Global is a holding company with no operations of its own and manages a network of local subsidiaries, each of which is subject to different local regulations. In the future, we may depend on our subsidiaries to fund our operations and expenses.</w:t>
      </w:r>
    </w:p>
    <w:p>
      <w:pPr>
        <w:spacing w:after="0" w:line="130" w:lineRule="exact"/>
        <w:rPr>
          <w:sz w:val="20"/>
          <w:szCs w:val="20"/>
          <w:color w:val="auto"/>
        </w:rPr>
      </w:pPr>
    </w:p>
    <w:p>
      <w:pPr>
        <w:ind w:right="180" w:firstLine="324"/>
        <w:spacing w:after="0" w:line="292" w:lineRule="auto"/>
        <w:rPr>
          <w:sz w:val="20"/>
          <w:szCs w:val="20"/>
          <w:color w:val="auto"/>
        </w:rPr>
      </w:pPr>
      <w:r>
        <w:rPr>
          <w:rFonts w:ascii="Arial" w:cs="Arial" w:eastAsia="Arial" w:hAnsi="Arial"/>
          <w:sz w:val="17"/>
          <w:szCs w:val="17"/>
          <w:color w:val="auto"/>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However, we cannot guarantee that we will be able to keep abreast of the changing legal and regulatory landscapes for each of the jurisdictions in which our subsidiaries exist. If any of the regulatory environments applicable to our subsidiaries change materially, and we fail to adapt to such change, our business and financial results may be harmed.</w:t>
      </w:r>
    </w:p>
    <w:p>
      <w:pPr>
        <w:spacing w:after="0" w:line="12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1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30"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significant costs and risks inherent in conducting business in international markets, including:</w:t>
      </w:r>
    </w:p>
    <w:p>
      <w:pPr>
        <w:spacing w:after="0" w:line="18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and maintaining effective controls at international locations and the associated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local providers;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international laws and regulations, including data privacy frameworks similar to the GDPR;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adapting to doing business in other languages or cultures;</w:t>
      </w:r>
    </w:p>
    <w:p>
      <w:pPr>
        <w:spacing w:after="0" w:line="184" w:lineRule="exact"/>
        <w:rPr>
          <w:rFonts w:ascii="Arial" w:cs="Arial" w:eastAsia="Arial" w:hAnsi="Arial"/>
          <w:sz w:val="18"/>
          <w:szCs w:val="18"/>
          <w:color w:val="auto"/>
        </w:rPr>
      </w:pPr>
    </w:p>
    <w:p>
      <w:pPr>
        <w:ind w:left="660" w:right="60" w:hanging="328"/>
        <w:spacing w:after="0" w:line="29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local tax regimes, including potential double taxation of our international earnings, and potentially adverse tax consequences due to U.S. and international tax laws as they relate to our international operations;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anti-bribery laws, such as the FCPA and the U.K. Bribery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exchange rate fluctuations and related effects on our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w:t>
      </w:r>
    </w:p>
    <w:p>
      <w:pPr>
        <w:spacing w:after="0" w:line="184" w:lineRule="exact"/>
        <w:rPr>
          <w:rFonts w:ascii="Arial" w:cs="Arial" w:eastAsia="Arial" w:hAnsi="Arial"/>
          <w:sz w:val="18"/>
          <w:szCs w:val="18"/>
          <w:color w:val="auto"/>
        </w:rPr>
      </w:pPr>
    </w:p>
    <w:p>
      <w:pPr>
        <w:ind w:left="660" w:right="700" w:hanging="328"/>
        <w:spacing w:after="0" w:line="29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and other proprietary rights in some countries and practical difficulties of obtaining, maintaining, protecting, and enforcing rights abroad;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costs of doing business internationally.</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131" w:lineRule="exact"/>
        <w:rPr>
          <w:sz w:val="20"/>
          <w:szCs w:val="20"/>
          <w:color w:val="auto"/>
        </w:rPr>
      </w:pPr>
    </w:p>
    <w:p>
      <w:pPr>
        <w:ind w:right="540" w:firstLine="324"/>
        <w:spacing w:after="0" w:line="293" w:lineRule="auto"/>
        <w:rPr>
          <w:sz w:val="20"/>
          <w:szCs w:val="20"/>
          <w:color w:val="auto"/>
        </w:rPr>
      </w:pPr>
      <w:r>
        <w:rPr>
          <w:rFonts w:ascii="Arial" w:cs="Arial" w:eastAsia="Arial" w:hAnsi="Arial"/>
          <w:sz w:val="18"/>
          <w:szCs w:val="18"/>
          <w:color w:val="auto"/>
        </w:rPr>
        <w:t>These factors and other factors could harm our international operations and, consequently, materially impact our business, operating results, and financial condition.</w:t>
      </w:r>
    </w:p>
    <w:p>
      <w:pPr>
        <w:spacing w:after="0" w:line="11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8"/>
          <w:szCs w:val="18"/>
          <w:color w:val="auto"/>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12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substantial amount of our revenue is derived from remittances to India, the Philippines and Mexico and our business could be significantly affected by any adverse changes in these regions.</w:t>
      </w:r>
    </w:p>
    <w:p>
      <w:pPr>
        <w:spacing w:after="0" w:line="130"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Historically, our revenue has been substantially derived from remittances to India, the Philippines and Mexico. Remittances sent to these three countries represented approximately 75% of our revenue and send volume in the year ended December 31, 2020 and approximately 70% of our revenue and send volume in the six months ended June 30, 2021. Because these countries account for a substantial portion of our revenue and send volume,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13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December 31, 2020, two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are as follows:</w:t>
      </w:r>
    </w:p>
    <w:p>
      <w:pPr>
        <w:spacing w:after="0" w:line="131" w:lineRule="exact"/>
        <w:rPr>
          <w:sz w:val="20"/>
          <w:szCs w:val="20"/>
          <w:color w:val="auto"/>
        </w:rPr>
      </w:pPr>
    </w:p>
    <w:p>
      <w:pPr>
        <w:ind w:left="660" w:right="200" w:hanging="328"/>
        <w:spacing w:after="0" w:line="329"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IT, general controls for information systems that are relevant to the preparation of our financial statements. Specifically, we did not design and maintain:(1) program change management controls for certain financial systems to ensure that IT program and data changes affecting financial IT applications and underlying accounting records are identified, tested,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7" w:lineRule="exact"/>
        <w:rPr>
          <w:sz w:val="20"/>
          <w:szCs w:val="20"/>
          <w:color w:val="auto"/>
        </w:rPr>
      </w:pPr>
    </w:p>
    <w:p>
      <w:pPr>
        <w:ind w:left="660"/>
        <w:spacing w:after="0" w:line="293" w:lineRule="auto"/>
        <w:rPr>
          <w:sz w:val="20"/>
          <w:szCs w:val="20"/>
          <w:color w:val="auto"/>
        </w:rPr>
      </w:pPr>
      <w:r>
        <w:rPr>
          <w:rFonts w:ascii="Arial" w:cs="Arial" w:eastAsia="Arial" w:hAnsi="Arial"/>
          <w:sz w:val="18"/>
          <w:szCs w:val="18"/>
          <w:color w:val="auto"/>
        </w:rPr>
        <w:t>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material weakness contributed to the following material weakness:</w:t>
      </w:r>
    </w:p>
    <w:p>
      <w:pPr>
        <w:spacing w:after="0" w:line="185" w:lineRule="exact"/>
        <w:rPr>
          <w:sz w:val="20"/>
          <w:szCs w:val="20"/>
          <w:color w:val="auto"/>
        </w:rPr>
      </w:pPr>
    </w:p>
    <w:p>
      <w:pPr>
        <w:ind w:left="660" w:right="100" w:hanging="328"/>
        <w:spacing w:after="0" w:line="29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116"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106"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 While we are undertaking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designed and operating effectively. We are working to remediate the material weaknesses as efficiently and effectively as possible but expect that full remediation could potentially go beyond December 31, 2021.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spacing w:after="0" w:line="111"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w:t>
      </w:r>
    </w:p>
    <w:p>
      <w:pPr>
        <w:spacing w:after="0" w:line="123" w:lineRule="exact"/>
        <w:rPr>
          <w:sz w:val="20"/>
          <w:szCs w:val="20"/>
          <w:color w:val="auto"/>
        </w:rPr>
      </w:pPr>
    </w:p>
    <w:p>
      <w:pPr>
        <w:ind w:right="660"/>
        <w:spacing w:after="0" w:line="381" w:lineRule="auto"/>
        <w:rPr>
          <w:sz w:val="20"/>
          <w:szCs w:val="20"/>
          <w:color w:val="auto"/>
        </w:rPr>
      </w:pPr>
      <w:r>
        <w:rPr>
          <w:rFonts w:ascii="Arial" w:cs="Arial" w:eastAsia="Arial" w:hAnsi="Arial"/>
          <w:sz w:val="15"/>
          <w:szCs w:val="15"/>
          <w:b w:val="1"/>
          <w:bCs w:val="1"/>
          <w:i w:val="1"/>
          <w:iCs w:val="1"/>
          <w:color w:val="auto"/>
        </w:rPr>
        <w:t>We have built proprietary financial systems as part of our technology platform. Such systems could become unstable as we grow, bugs could be introduced, and nonperformance, system interruptions and undetected errors could adversely affect our business and financial results.</w:t>
      </w:r>
    </w:p>
    <w:p>
      <w:pPr>
        <w:spacing w:after="0" w:line="60" w:lineRule="exact"/>
        <w:rPr>
          <w:sz w:val="20"/>
          <w:szCs w:val="20"/>
          <w:color w:val="auto"/>
        </w:rPr>
      </w:pPr>
    </w:p>
    <w:p>
      <w:pPr>
        <w:ind w:right="40" w:firstLine="324"/>
        <w:spacing w:after="0" w:line="270" w:lineRule="auto"/>
        <w:rPr>
          <w:sz w:val="20"/>
          <w:szCs w:val="20"/>
          <w:color w:val="auto"/>
        </w:rPr>
      </w:pPr>
      <w:r>
        <w:rPr>
          <w:rFonts w:ascii="Arial" w:cs="Arial" w:eastAsia="Arial" w:hAnsi="Arial"/>
          <w:sz w:val="18"/>
          <w:szCs w:val="18"/>
          <w:color w:val="auto"/>
        </w:rPr>
        <w:t>Our proprietary financial systems are an integral part of our technology platform, which is a complex system composed of many interoperating components and which incorporates other third-party software that is highly complex. Our business is dependent upon our ability to prevent system interruption on our proprietary financial systems.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domestic and international regulatory financial reporting obligations, or could cause downtime that would impact the timeliness of meeting these regulatory reporting requirements. We have from time to time found defects or errors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limitations. If sustained or repeated, any of these outages could impact the accuracy and completeness of our financial information over several reporting periods. In addition, our release of new software may in the future cause interruptions in the availability of our financial information. Any errors, bugs, or vulnerabilities discovered in our code or systems after release could result in an interruption in the availability of our financial information, and could result in inaccurate and incomplete financial information which could adversely affect our business and financial results.</w:t>
      </w:r>
    </w:p>
    <w:p>
      <w:pPr>
        <w:spacing w:after="0" w:line="10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60"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harm our operating results and financial condition.</w:t>
      </w:r>
    </w:p>
    <w:p>
      <w:pPr>
        <w:spacing w:after="0" w:line="185" w:lineRule="exact"/>
        <w:rPr>
          <w:sz w:val="20"/>
          <w:szCs w:val="20"/>
          <w:color w:val="auto"/>
        </w:rPr>
      </w:pPr>
    </w:p>
    <w:p>
      <w:pPr>
        <w:ind w:right="40" w:firstLine="324"/>
        <w:spacing w:after="0" w:line="308" w:lineRule="auto"/>
        <w:rPr>
          <w:sz w:val="20"/>
          <w:szCs w:val="20"/>
          <w:color w:val="auto"/>
        </w:rPr>
      </w:pPr>
      <w:r>
        <w:rPr>
          <w:rFonts w:ascii="Arial" w:cs="Arial" w:eastAsia="Arial" w:hAnsi="Arial"/>
          <w:sz w:val="16"/>
          <w:szCs w:val="16"/>
          <w:color w:val="auto"/>
        </w:rPr>
        <w:t>Our revenue is derived primarily by the transference of currency between countries for our customer base and is thus reliant on the exchange rates of various currencies relative to one another, including the U.S. dollar. We have seen increased money transfer volume if the U.S. dollar strengthens against certain currencies, especially the Indian rupee, the Philippine peso or the Mexican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Additionally, with respect to our revenue which is denominated in currencies other than the U.S. dollar, we may be adversely affected if such currencies weakened against the U.S. dollar because it would result in lower levels of reported revenue on our U.S. dollar denominated financial statements.</w:t>
      </w:r>
    </w:p>
    <w:p>
      <w:pPr>
        <w:spacing w:after="0" w:line="109"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color w:val="auto"/>
        </w:rPr>
        <w:t>Macroeconomics factors, including inflation, that weaken the U.S. dollar could harm our operating results and financial condition. Additionally, while the majority of our revenue and expenses are denominated in the U.S. dollar, certain of our international operations are conducted in foreign currencies, a significant portion of which occur in the currencies of Canada, the United Kingdom, Australia and the Philippines. Changes in the relative value of the U.S. dollar to other currencies may negatively affect revenue and other operating results as expressed in U.S. dollars.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common stock could be adversely impacted. 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activities may not offset the adverse financial effects of unfavorable movements in foreign exchange rates over the limited time the hedges are in place, and may introduce additional risks if we are unable to structure effective hedges with such instruments.</w:t>
      </w:r>
    </w:p>
    <w:p>
      <w:pPr>
        <w:spacing w:after="0" w:line="1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0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8"/>
          <w:szCs w:val="18"/>
          <w:color w:val="auto"/>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operating results include the following:</w:t>
      </w:r>
    </w:p>
    <w:p>
      <w:pPr>
        <w:spacing w:after="0" w:line="12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demand for our services or pricing of our fees associated with our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retain and grow engagement with our existing customers;</w:t>
      </w:r>
    </w:p>
    <w:p>
      <w:pPr>
        <w:spacing w:after="0" w:line="184" w:lineRule="exact"/>
        <w:rPr>
          <w:rFonts w:ascii="Arial" w:cs="Arial" w:eastAsia="Arial" w:hAnsi="Arial"/>
          <w:sz w:val="18"/>
          <w:szCs w:val="18"/>
          <w:color w:val="auto"/>
        </w:rPr>
      </w:pPr>
    </w:p>
    <w:p>
      <w:pPr>
        <w:ind w:left="660" w:right="220" w:hanging="328"/>
        <w:spacing w:after="0" w:line="29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expand our relationships with our marketing, payment processing, disbursement, and banking partners, or identify and attract new strategic partners;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growth rates and the revenue derived from and quantity of existing customers retained;</w:t>
      </w:r>
    </w:p>
    <w:p>
      <w:pPr>
        <w:spacing w:after="0" w:line="184" w:lineRule="exact"/>
        <w:rPr>
          <w:rFonts w:ascii="Arial" w:cs="Arial" w:eastAsia="Arial" w:hAnsi="Arial"/>
          <w:sz w:val="18"/>
          <w:szCs w:val="18"/>
          <w:color w:val="auto"/>
        </w:rPr>
      </w:pPr>
    </w:p>
    <w:p>
      <w:pPr>
        <w:ind w:left="660" w:right="240" w:hanging="328"/>
        <w:spacing w:after="0" w:line="29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customer preference for mobile-first services as a result of security breaches in the industry or privacy concerns, or other security or reliability concerns regarding our services;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money transfer decisions;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and existing strategic partners choosing our competitors’ products or developing their own solutions in-house;</w:t>
      </w:r>
    </w:p>
    <w:p>
      <w:pPr>
        <w:spacing w:after="0" w:line="184"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development or introduction of new platforms or services by our competitors that are easier to use or more advanced than our current suite of services, especially in respect of the application of AI-based services;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adapt to new forms of payment that become widely accepted, including cryptocurrency;</w:t>
      </w:r>
    </w:p>
    <w:p>
      <w:pPr>
        <w:spacing w:after="0" w:line="184" w:lineRule="exact"/>
        <w:rPr>
          <w:rFonts w:ascii="Arial" w:cs="Arial" w:eastAsia="Arial" w:hAnsi="Arial"/>
          <w:sz w:val="18"/>
          <w:szCs w:val="18"/>
          <w:color w:val="auto"/>
        </w:rPr>
      </w:pPr>
    </w:p>
    <w:p>
      <w:pPr>
        <w:ind w:left="660" w:right="420" w:hanging="328"/>
        <w:spacing w:after="0" w:line="29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security breaches of, technical difficulties with, or interruptions to, the delivery and use of our platform which may result in data theft and/or misappropriation;</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international markets where we compete;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technology and development and sales and marketing expenses;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and timing of non-cash expenses, including stock-based compensation, depreciation and amortization, and other non-cash charges;</w:t>
      </w:r>
    </w:p>
    <w:p>
      <w:pPr>
        <w:spacing w:after="0" w:line="207" w:lineRule="exact"/>
        <w:rPr>
          <w:rFonts w:ascii="Arial" w:cs="Arial" w:eastAsia="Arial" w:hAnsi="Arial"/>
          <w:sz w:val="16"/>
          <w:szCs w:val="16"/>
          <w:color w:val="auto"/>
        </w:rPr>
      </w:pPr>
    </w:p>
    <w:p>
      <w:pPr>
        <w:ind w:left="660" w:right="720" w:hanging="328"/>
        <w:spacing w:after="0" w:line="29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 in market interest rates, which impacts interest earned on funds held for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440" w:right="379" w:bottom="1440" w:gutter="0" w:footer="0" w:header="0"/>
        </w:sectPr>
      </w:pPr>
    </w:p>
    <w:bookmarkStart w:id="60" w:name="page61"/>
    <w:bookmarkEnd w:id="60"/>
    <w:p>
      <w:pPr>
        <w:spacing w:after="0" w:line="15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 in currency exchange rates;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84" w:lineRule="exact"/>
        <w:rPr>
          <w:rFonts w:ascii="Arial" w:cs="Arial" w:eastAsia="Arial" w:hAnsi="Arial"/>
          <w:sz w:val="18"/>
          <w:szCs w:val="18"/>
          <w:color w:val="auto"/>
        </w:rPr>
      </w:pPr>
    </w:p>
    <w:p>
      <w:pPr>
        <w:ind w:left="660" w:right="180" w:hanging="328"/>
        <w:spacing w:after="0" w:line="29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185"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11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cash flows may be significantly affected by the day of the week on which a quarter ends. As a result, you should not rely on quarter-to-quarter comparisons of our cash flows.</w:t>
      </w:r>
    </w:p>
    <w:p>
      <w:pPr>
        <w:spacing w:after="0" w:line="13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Inaccurate forecasts of our customer growth and retention could result in higher operating expenses relative to actual revenue and ultimately harm our business.</w:t>
      </w:r>
    </w:p>
    <w:p>
      <w:pPr>
        <w:spacing w:after="0" w:line="130"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Our customer growth forecast is a key driver in our business plan which affects our ability to accurately forecast revenue and expenses. In addition, we plan our operating expenses, including our marketing expenses and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the revenue generated by new customers differs significantly from our expectations, or if our CAC or costs associated with servicing our customers increase, we may not be able to recover our CAC or generate profits from this investment.</w:t>
      </w:r>
    </w:p>
    <w:p>
      <w:pPr>
        <w:spacing w:after="0" w:line="130" w:lineRule="exact"/>
        <w:rPr>
          <w:sz w:val="20"/>
          <w:szCs w:val="20"/>
          <w:color w:val="auto"/>
        </w:rPr>
      </w:pPr>
    </w:p>
    <w:p>
      <w:pPr>
        <w:ind w:right="340" w:firstLine="324"/>
        <w:spacing w:after="0" w:line="279" w:lineRule="auto"/>
        <w:rPr>
          <w:sz w:val="20"/>
          <w:szCs w:val="20"/>
          <w:color w:val="auto"/>
        </w:rPr>
      </w:pPr>
      <w:r>
        <w:rPr>
          <w:rFonts w:ascii="Arial" w:cs="Arial" w:eastAsia="Arial" w:hAnsi="Arial"/>
          <w:sz w:val="18"/>
          <w:szCs w:val="18"/>
          <w:color w:val="auto"/>
        </w:rPr>
        <w:t>We invest significant resources in marketing with the aim to acquire new customers and expect to continue to spend significant amounts to acquire additional customers, primarily through online advertising, marketing promotions, and television advertising. When making decisions regarding investments in customer acquisition,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5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analyze the transactional profit we have historically generated per customer over the expected lifetime value of the customer. Our analysis of the transactional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transactional profits may be subject to greater variance in corridors in which we presently have low penetration rates than in our more established corridors.</w:t>
      </w:r>
    </w:p>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 which could harm our operating and financial results.</w:t>
      </w:r>
    </w:p>
    <w:p>
      <w:pPr>
        <w:spacing w:after="0" w:line="130"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Coronavirus Aid, Relief, and Economic Security Act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Changes and evolving requirements in tax laws or their interpretation, including as applied to us and our customers, could adversely affect our business.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137"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color w:val="auto"/>
        </w:rPr>
        <w:t>Many of the jurisdictions in which we conduct business have detailed transfer pricing rules or may comply with the Organization for Economic Cooperation and Development (the “OECD”) guidelines,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122" w:lineRule="exact"/>
        <w:rPr>
          <w:sz w:val="20"/>
          <w:szCs w:val="20"/>
          <w:color w:val="auto"/>
        </w:rPr>
      </w:pPr>
    </w:p>
    <w:p>
      <w:pPr>
        <w:ind w:right="160" w:firstLine="324"/>
        <w:spacing w:after="0" w:line="292" w:lineRule="auto"/>
        <w:rPr>
          <w:sz w:val="20"/>
          <w:szCs w:val="20"/>
          <w:color w:val="auto"/>
        </w:rPr>
      </w:pPr>
      <w:r>
        <w:rPr>
          <w:rFonts w:ascii="Arial" w:cs="Arial" w:eastAsia="Arial" w:hAnsi="Arial"/>
          <w:sz w:val="17"/>
          <w:szCs w:val="17"/>
          <w:color w:val="auto"/>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ind w:right="440" w:firstLine="324"/>
        <w:spacing w:after="0" w:line="293" w:lineRule="auto"/>
        <w:rPr>
          <w:sz w:val="20"/>
          <w:szCs w:val="20"/>
          <w:color w:val="auto"/>
        </w:rPr>
      </w:pPr>
      <w:r>
        <w:rPr>
          <w:rFonts w:ascii="Arial" w:cs="Arial" w:eastAsia="Arial" w:hAnsi="Arial"/>
          <w:sz w:val="18"/>
          <w:szCs w:val="18"/>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116"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1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30" w:lineRule="exact"/>
        <w:rPr>
          <w:sz w:val="20"/>
          <w:szCs w:val="20"/>
          <w:color w:val="auto"/>
        </w:rPr>
      </w:pPr>
    </w:p>
    <w:p>
      <w:pPr>
        <w:ind w:right="100" w:firstLine="324"/>
        <w:spacing w:after="0" w:line="292" w:lineRule="auto"/>
        <w:rPr>
          <w:sz w:val="20"/>
          <w:szCs w:val="20"/>
          <w:color w:val="auto"/>
        </w:rPr>
      </w:pPr>
      <w:r>
        <w:rPr>
          <w:rFonts w:ascii="Arial" w:cs="Arial" w:eastAsia="Arial" w:hAnsi="Arial"/>
          <w:sz w:val="17"/>
          <w:szCs w:val="17"/>
          <w:color w:val="auto"/>
        </w:rPr>
        <w:t>We believe that our existing cash, cash equivalents, short-term investments, available borrowing under our New Revolving Credit Facility, and expected cash flow from operations will be sufficient to meet our operating and capital requirements for at least the next 12 months. However,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120" w:lineRule="exact"/>
        <w:rPr>
          <w:sz w:val="20"/>
          <w:szCs w:val="20"/>
          <w:color w:val="auto"/>
        </w:rPr>
      </w:pPr>
    </w:p>
    <w:p>
      <w:pPr>
        <w:ind w:right="40" w:firstLine="324"/>
        <w:spacing w:after="0" w:line="285" w:lineRule="auto"/>
        <w:rPr>
          <w:sz w:val="20"/>
          <w:szCs w:val="20"/>
          <w:color w:val="auto"/>
        </w:rPr>
      </w:pPr>
      <w:r>
        <w:rPr>
          <w:rFonts w:ascii="Arial" w:cs="Arial" w:eastAsia="Arial" w:hAnsi="Arial"/>
          <w:sz w:val="17"/>
          <w:szCs w:val="17"/>
          <w:color w:val="auto"/>
        </w:rPr>
        <w:t>We have a $250.0 million revolving credit facility with certain lenders and JPMorgan Chase Bank, N.A. acting as administrative agent and collateral agent. We may incur additional indebtedness in the future. We expect to rely on the New Revolving Credit Facility to finance a substantial portion of the capital requirements and obligations we are subject to in connection with our remittance business.Additionally, if the interest rate on our line of credit or any alternative financing were to increase, our operating results could be harmed, particularly because we rely on drawings under our line of credit to satisfy regulatory compliance requirements with respect to maintaining sufficient capital. The credit agreement governing our New Revolving Credit Facility contains conditions to borrowing and covenants; any failure to satisfy these conditions to borrowing or covenants could result in us being unable to borrow additional amounts under the New Revolving Credit Facility or having to repay outstanding amounts. If we were unable to refinance the New Revolving Credit Facility or enter into an alternative facility on similar terms, we may be unable to meet regulatory compliance requirements with respect to maintaining sufficient capital.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sufficient capital could harm our business, financial condition,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 working capital requirements driven by:</w:t>
      </w:r>
    </w:p>
    <w:p>
      <w:pPr>
        <w:spacing w:after="0" w:line="185" w:lineRule="exact"/>
        <w:rPr>
          <w:sz w:val="20"/>
          <w:szCs w:val="20"/>
          <w:color w:val="auto"/>
        </w:rPr>
      </w:pPr>
    </w:p>
    <w:p>
      <w:pPr>
        <w:ind w:left="660" w:right="460" w:hanging="328"/>
        <w:spacing w:after="0" w:line="324"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delay between when we release funds for disbursement and when we receive customer funds from our payment processors, which can be exacerbated by time zone differences, bank holidays, national or governmental holidays, and weekends;</w:t>
      </w:r>
    </w:p>
    <w:p>
      <w:pPr>
        <w:spacing w:after="0" w:line="93"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capital requirements pertaining to net worth;</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requirements pertaining to permissible investments and safeguarding of customer funds;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contained in the credit agreement governing our New Revolving Credit Facility;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collateral requirements imposed on us by our payment processors;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collateral requirements imposed on us by our disbursement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57" w:lineRule="exact"/>
        <w:rPr>
          <w:sz w:val="20"/>
          <w:szCs w:val="20"/>
          <w:color w:val="auto"/>
        </w:rPr>
      </w:pPr>
    </w:p>
    <w:p>
      <w:pPr>
        <w:ind w:right="440" w:firstLine="324"/>
        <w:spacing w:after="0" w:line="359" w:lineRule="auto"/>
        <w:rPr>
          <w:sz w:val="20"/>
          <w:szCs w:val="20"/>
          <w:color w:val="auto"/>
        </w:rPr>
      </w:pPr>
      <w:r>
        <w:rPr>
          <w:rFonts w:ascii="Arial" w:cs="Arial" w:eastAsia="Arial" w:hAnsi="Arial"/>
          <w:sz w:val="16"/>
          <w:szCs w:val="16"/>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71"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137"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In addition, we may not be able to meet new capital requirements introduced or required by our regulators and payment processors. We currently have the New Revolving Credit Facility to mitigate capital fluctuations, but there can be no assurance that the New Revolving Credit Facility will be sufficient or renewed at favorable rates or that we will have access to additional capital as needed, or at all.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tax treatment of companies engaged in online money transfer may harm the commercial use of our services and our financial results.</w:t>
      </w:r>
    </w:p>
    <w:p>
      <w:pPr>
        <w:spacing w:after="0" w:line="196" w:lineRule="exact"/>
        <w:rPr>
          <w:sz w:val="20"/>
          <w:szCs w:val="20"/>
          <w:color w:val="auto"/>
        </w:rPr>
      </w:pPr>
    </w:p>
    <w:p>
      <w:pPr>
        <w:ind w:right="200" w:firstLine="324"/>
        <w:spacing w:after="0" w:line="288" w:lineRule="auto"/>
        <w:rPr>
          <w:sz w:val="20"/>
          <w:szCs w:val="20"/>
          <w:color w:val="auto"/>
        </w:rPr>
      </w:pPr>
      <w:r>
        <w:rPr>
          <w:rFonts w:ascii="Arial" w:cs="Arial" w:eastAsia="Arial" w:hAnsi="Arial"/>
          <w:sz w:val="17"/>
          <w:szCs w:val="17"/>
          <w:color w:val="auto"/>
        </w:rPr>
        <w:t>Due to the global nature of the internet, it is possible that various states or foreign countries might attempt to regulate our transactions or levy sales, income, or other taxes relating to our activities.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We cannot predict the effect of current attempts to impose sales, income, or other taxes on commerce over the internet. New or revised taxes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reported financial results may be materially and adversely affected by changes in accounting principles generally accepted in the United States.</w:t>
      </w:r>
    </w:p>
    <w:p>
      <w:pPr>
        <w:spacing w:after="0" w:line="21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08"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Operating Results—Critical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the valuation of the stock-based awards, including the determination of fair value of our common stock,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4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14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customer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13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majority of our total revenue is currently derived from remittances being sent from the United States, Canada, the EEA, the United Kingdom, Australia and Singapore to India, the Philippines, and Mexico and other locations in Latin America, Africa and Asia. In particular, a substantial portion of our send volume is derived from remittances being sent to India, the Philippines and Mexico. As a result, any macroeconomic or geopolitical trends that disrupt these regions or alter their immigration patterns, economic conditions or cultural norms could have an impact on the demand for our services or our ability to provide such services. Any economic or political instability, civil unrest, natural disasters, public health crises, or other similar circumstances affecting these regions could have a disproportionately harmful impact on our business, financial position, and operating results.</w:t>
      </w:r>
    </w:p>
    <w:p>
      <w:pPr>
        <w:spacing w:after="0" w:line="109"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137" w:lineRule="exact"/>
        <w:rPr>
          <w:sz w:val="20"/>
          <w:szCs w:val="20"/>
          <w:color w:val="auto"/>
        </w:rPr>
      </w:pPr>
    </w:p>
    <w:p>
      <w:pPr>
        <w:ind w:right="20" w:firstLine="324"/>
        <w:spacing w:after="0" w:line="292" w:lineRule="auto"/>
        <w:rPr>
          <w:sz w:val="20"/>
          <w:szCs w:val="20"/>
          <w:color w:val="auto"/>
        </w:rPr>
      </w:pPr>
      <w:r>
        <w:rPr>
          <w:rFonts w:ascii="Arial" w:cs="Arial" w:eastAsia="Arial" w:hAnsi="Arial"/>
          <w:sz w:val="17"/>
          <w:szCs w:val="17"/>
          <w:color w:val="auto"/>
        </w:rPr>
        <w:t>Changes in U.S. immigration laws or changes in the emigration laws of other jurisdictions that discourage international migration, and political or other events, such as war, terrorism, or public health crises, that make it 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1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computer viruses, computer denial-of-service attacks,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124" w:lineRule="exact"/>
        <w:rPr>
          <w:sz w:val="20"/>
          <w:szCs w:val="20"/>
          <w:color w:val="auto"/>
        </w:rPr>
      </w:pPr>
    </w:p>
    <w:p>
      <w:pPr>
        <w:ind w:right="280" w:firstLine="324"/>
        <w:spacing w:after="0" w:line="275" w:lineRule="auto"/>
        <w:rPr>
          <w:sz w:val="20"/>
          <w:szCs w:val="20"/>
          <w:color w:val="auto"/>
        </w:rPr>
      </w:pPr>
      <w:r>
        <w:rPr>
          <w:rFonts w:ascii="Arial" w:cs="Arial" w:eastAsia="Arial" w:hAnsi="Arial"/>
          <w:sz w:val="18"/>
          <w:szCs w:val="18"/>
          <w:color w:val="auto"/>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13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Cybersecurity attacks continue to increase, evolve in nature, and become more sophisticated, and providers of digital products and services have been and are expected to continue to be targeted. As computer malware, viruses, computer hacking, fraudulent use attempts, phishing attacks, ransomware, and other data security incidents have become more commonplace, we face increased risk from these activities to maintain the performance, reliability, security, and availability of our solutions and related services and technical infrastructure to the satisfaction of our customers. Threats to our computer systems and those of our third-party technology providers or clients may result from human error, fraud, or malice on the part of employees or third parties, including state-sponsored organizations with significant financial and technological resources, or from accidental technological failure. Any such computer malware, viruses, computer hacking, fraudulent use attempts, phishing attacks, ransomware, or other data security breaches to our network infrastructure or IT systems or to computer hardware we lease from third parties, could, among other things, harm our reputation and our ability to retain existing customers and attract new customers. The insurance we maintain may be insufficient to cover our losses resulting from disasters, cyber-attacks, or other business interruptions, and any incidents may result in loss of, or increased costs of, such insurance.</w:t>
      </w:r>
    </w:p>
    <w:p>
      <w:pPr>
        <w:spacing w:after="0" w:line="11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color w:val="auto"/>
        </w:rPr>
        <w:t>For additional information regarding risks associated with cyber-attacks, see the section titled “Risk Factors—Cyberattacks or data security breaches could result in serious harm to our business, reputation and financial condition.”</w:t>
      </w:r>
    </w:p>
    <w:p>
      <w:pPr>
        <w:spacing w:after="0" w:line="1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While the digital financial services industry and our business has seen accelerated growth as a result of the COVID-19 pandemic, it has also adversely affected some aspects of our business and could have an adverse effect on our business in the future.</w:t>
      </w:r>
    </w:p>
    <w:p>
      <w:pPr>
        <w:spacing w:after="0" w:line="130"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As a result of the COVID-19 pandemic, our business, and the digital financial services industry in general, has seen accelerated growth, but we have also experienced disruptions, such as the impact on the ability of our customer support and operations teams, both internal and third-party, to service customer needs quickly due to longer wait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57"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times and the impact on our ability to hire personnel quickly, that could severely impact our business, our services, global currency exchange rates, local and global labor markets, and the global economy.</w:t>
      </w:r>
    </w:p>
    <w:p>
      <w:pPr>
        <w:spacing w:after="0" w:line="116" w:lineRule="exact"/>
        <w:rPr>
          <w:sz w:val="20"/>
          <w:szCs w:val="20"/>
          <w:color w:val="auto"/>
        </w:rPr>
      </w:pPr>
    </w:p>
    <w:p>
      <w:pPr>
        <w:ind w:right="260" w:firstLine="324"/>
        <w:spacing w:after="0" w:line="275" w:lineRule="auto"/>
        <w:rPr>
          <w:sz w:val="20"/>
          <w:szCs w:val="20"/>
          <w:color w:val="auto"/>
        </w:rPr>
      </w:pPr>
      <w:r>
        <w:rPr>
          <w:rFonts w:ascii="Arial" w:cs="Arial" w:eastAsia="Arial" w:hAnsi="Arial"/>
          <w:sz w:val="18"/>
          <w:szCs w:val="18"/>
          <w:color w:val="auto"/>
        </w:rPr>
        <w:t>The COVID-19 pandemic has created and is likely to continue to create significant uncertainty in global financial markets. To date, with travel restrictions and shelter-in-place policies, the demand for digital remittances has increased, and this has driven a significant acceleration in our new customer growth. As the pandemic continues, we may experience volatility in customer demand and delayed customer money transfer decisions, which could materially harm our business, operating results, and overall financial performance.</w:t>
      </w:r>
    </w:p>
    <w:p>
      <w:pPr>
        <w:spacing w:after="0" w:line="131" w:lineRule="exact"/>
        <w:rPr>
          <w:sz w:val="20"/>
          <w:szCs w:val="20"/>
          <w:color w:val="auto"/>
        </w:rPr>
      </w:pPr>
    </w:p>
    <w:p>
      <w:pPr>
        <w:ind w:firstLine="324"/>
        <w:spacing w:after="0" w:line="285" w:lineRule="auto"/>
        <w:rPr>
          <w:sz w:val="20"/>
          <w:szCs w:val="20"/>
          <w:color w:val="auto"/>
        </w:rPr>
      </w:pPr>
      <w:r>
        <w:rPr>
          <w:rFonts w:ascii="Arial" w:cs="Arial" w:eastAsia="Arial" w:hAnsi="Arial"/>
          <w:sz w:val="17"/>
          <w:szCs w:val="17"/>
          <w:color w:val="auto"/>
        </w:rPr>
        <w:t>While we have experienced accelerated growth partially driven by the COVID-19 pandemic, the long-term impact of a volatile or worsening COVID-19 pandemic is impossible to predict and may adversely impact the purchasing and money transfer habits of our customers and the operations of our business partners in the future, and may adversely impact our operating results as a result. Cross-border and domestic commerce may be adversely impacted by measures taken by government authorities and businesses globally to contain and limit the pandemic, including travel restrictions, border closures, quarantines, shelter in place and lockdown orders, mask and social distancing requirements, and business limitations and shutdowns. In addition, while we have rapidly expanded our business and improved our operating results during the COVID-19 pandemic, many of our customers, who are primarily immigrants, have also suffered negative financial consequences, including wage and job loss, and have thus had less need for our services. There is no guarantee that those customers who have had less need of our service during the COVID-19 pandemic will return to our platform in the future. To the extent that mitigation measures remain in place or are reinstated for significant periods of time, they may adversely affect our business, financial condition, and operating results. In addition, actions that we have taken or may take in the future intended to assist customers impacted by the COVID-19 pandemic may negatively impact our operating results. In particular, we have experienced and may continue to experience adverse financial impacts from a number of operational factors, including, but not limited to:</w:t>
      </w:r>
    </w:p>
    <w:p>
      <w:pPr>
        <w:spacing w:after="0" w:line="131" w:lineRule="exact"/>
        <w:rPr>
          <w:sz w:val="20"/>
          <w:szCs w:val="20"/>
          <w:color w:val="auto"/>
        </w:rPr>
      </w:pPr>
    </w:p>
    <w:p>
      <w:pPr>
        <w:ind w:left="660" w:right="900" w:hanging="328"/>
        <w:spacing w:after="0" w:line="324"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Increased cybersecurity and payment fraud risk related to the COVID-19 pandemic, as cybercriminals attempt to profit from stolen or misappropriated data and the disruption in light of increased online banking, e-commerce, and other online activity;</w:t>
      </w:r>
    </w:p>
    <w:p>
      <w:pPr>
        <w:spacing w:after="0" w:line="93" w:lineRule="exact"/>
        <w:rPr>
          <w:rFonts w:ascii="Arial" w:cs="Arial" w:eastAsia="Arial" w:hAnsi="Arial"/>
          <w:sz w:val="17"/>
          <w:szCs w:val="17"/>
          <w:color w:val="auto"/>
        </w:rPr>
      </w:pPr>
    </w:p>
    <w:p>
      <w:pPr>
        <w:ind w:left="660" w:hanging="328"/>
        <w:spacing w:after="0" w:line="329"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Challenges to the availability and reliability of our services resulting from changes to our normal operations, including due to one or more clusters of COVID-19 cases occurring at our (or our service providers’) sites or mandatory local lock-down requirements, which have impacted, and may continue to impact our employees, our level of customer service, and/or the systems or employees of our customers and business partners; and</w:t>
      </w:r>
    </w:p>
    <w:p>
      <w:pPr>
        <w:spacing w:after="0" w:line="93" w:lineRule="exact"/>
        <w:rPr>
          <w:rFonts w:ascii="Arial" w:cs="Arial" w:eastAsia="Arial" w:hAnsi="Arial"/>
          <w:sz w:val="16"/>
          <w:szCs w:val="16"/>
          <w:color w:val="auto"/>
        </w:rPr>
      </w:pPr>
    </w:p>
    <w:p>
      <w:pPr>
        <w:ind w:left="660" w:right="340" w:hanging="328"/>
        <w:spacing w:after="0" w:line="29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volume of customer requests for support and regulatory requests for information and support or additional regulatory requirements, which could require additional resources and costs to address.</w:t>
      </w:r>
    </w:p>
    <w:p>
      <w:pPr>
        <w:spacing w:after="0" w:line="11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These and other factors arising from the COVID-19 pandemic could worsen in countries that have been or are in the future afflicted with COVID-19, each of which could further adversely impact the use of our services by our customers, the ability of our employees to perform work, and our business generally, and could have a material adverse impact on our operating and financial results.</w:t>
      </w:r>
    </w:p>
    <w:p>
      <w:pPr>
        <w:spacing w:after="0" w:line="1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The significant increase in the number of our employees who are working remotely as a result of the pandemic could introduce operational risk, increase cybersecurity risk, strain our business continuity plans, negatively impact productivity, give rise to claims by employees, or otherwise adversely affect our business. Additionally, we may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320" w:top="1440" w:right="399" w:bottom="1440" w:gutter="0" w:footer="0" w:header="0"/>
        </w:sectPr>
      </w:pPr>
    </w:p>
    <w:bookmarkStart w:id="67" w:name="page68"/>
    <w:bookmarkEnd w:id="67"/>
    <w:p>
      <w:pPr>
        <w:spacing w:after="0" w:line="15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COVID-19 pandemic continues to rapidly evolve. The extent to which the pandemic continues to affect our business will depend on future developments, which are highly uncertain and cannot be predicted with confidence. Such developments include the ultimate geographic spread of COVID-19, the distribution and long-term efficacy of vaccines, the effects of more contagious and virulent variants of COVID-19, the duration of the pandemic, travel restrictions and actions taken to contain the pandemic or treat its impact, such as social distancing and quarantines or lock-downs, business closures or business disruptions, and the effectiveness of actions taken to contain and treat the disease. To the extent the COVID-19 pandemic continues to adversely affect our business and financial results, it is likely to also have the effect of heightening many of the other risks described in this “Risk Factors” section.</w:t>
      </w:r>
    </w:p>
    <w:p>
      <w:pPr>
        <w:spacing w:after="0" w:line="9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83" w:lineRule="exact"/>
        <w:rPr>
          <w:sz w:val="20"/>
          <w:szCs w:val="20"/>
          <w:color w:val="auto"/>
        </w:rPr>
      </w:pPr>
    </w:p>
    <w:p>
      <w:pPr>
        <w:ind w:right="20" w:firstLine="324"/>
        <w:spacing w:after="0" w:line="279" w:lineRule="auto"/>
        <w:rPr>
          <w:sz w:val="20"/>
          <w:szCs w:val="20"/>
          <w:color w:val="auto"/>
        </w:rPr>
      </w:pPr>
      <w:r>
        <w:rPr>
          <w:rFonts w:ascii="Arial" w:cs="Arial" w:eastAsia="Arial" w:hAnsi="Arial"/>
          <w:sz w:val="18"/>
          <w:szCs w:val="18"/>
          <w:color w:val="auto"/>
        </w:rPr>
        <w:t>Provisions in our amended and restated certificate of incorporation and restated bylaws, as they will be in effect upon the completion of this offering, may have the effect of delaying or preventing a change of control or changes in our management. Our amended and restated certificate of incorporation and restated bylaws will include provisions that:</w:t>
      </w:r>
    </w:p>
    <w:p>
      <w:pPr>
        <w:spacing w:after="0" w:line="129" w:lineRule="exact"/>
        <w:rPr>
          <w:sz w:val="20"/>
          <w:szCs w:val="20"/>
          <w:color w:val="auto"/>
        </w:rPr>
      </w:pPr>
    </w:p>
    <w:p>
      <w:pPr>
        <w:ind w:left="660" w:right="100" w:hanging="328"/>
        <w:spacing w:after="0" w:line="29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affected at a duly called annual or special meeting and not by written consent;</w:t>
      </w:r>
    </w:p>
    <w:p>
      <w:pPr>
        <w:spacing w:after="0" w:line="196" w:lineRule="exact"/>
        <w:rPr>
          <w:rFonts w:ascii="Arial" w:cs="Arial" w:eastAsia="Arial" w:hAnsi="Arial"/>
          <w:sz w:val="17"/>
          <w:szCs w:val="17"/>
          <w:color w:val="auto"/>
        </w:rPr>
      </w:pPr>
    </w:p>
    <w:p>
      <w:pPr>
        <w:ind w:left="660" w:right="380" w:hanging="328"/>
        <w:spacing w:after="0" w:line="29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15" w:lineRule="exact"/>
        <w:rPr>
          <w:rFonts w:ascii="Arial" w:cs="Arial" w:eastAsia="Arial" w:hAnsi="Arial"/>
          <w:sz w:val="18"/>
          <w:szCs w:val="18"/>
          <w:color w:val="auto"/>
        </w:rPr>
      </w:pPr>
    </w:p>
    <w:p>
      <w:pPr>
        <w:ind w:left="660" w:right="520" w:hanging="328"/>
        <w:spacing w:after="0" w:line="29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84" w:lineRule="exact"/>
        <w:rPr>
          <w:rFonts w:ascii="Arial" w:cs="Arial" w:eastAsia="Arial" w:hAnsi="Arial"/>
          <w:sz w:val="18"/>
          <w:szCs w:val="18"/>
          <w:color w:val="auto"/>
        </w:rPr>
      </w:pPr>
    </w:p>
    <w:p>
      <w:pPr>
        <w:ind w:left="660" w:right="80" w:hanging="328"/>
        <w:spacing w:after="0" w:line="29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common stock;</w:t>
      </w:r>
    </w:p>
    <w:p>
      <w:pPr>
        <w:spacing w:after="0" w:line="115" w:lineRule="exact"/>
        <w:rPr>
          <w:rFonts w:ascii="Arial" w:cs="Arial" w:eastAsia="Arial" w:hAnsi="Arial"/>
          <w:sz w:val="18"/>
          <w:szCs w:val="18"/>
          <w:color w:val="auto"/>
        </w:rPr>
      </w:pPr>
    </w:p>
    <w:p>
      <w:pPr>
        <w:ind w:left="660" w:right="140" w:hanging="328"/>
        <w:spacing w:after="0" w:line="29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vote of directors then in office, even though less than a quorum; and</w:t>
      </w:r>
    </w:p>
    <w:p>
      <w:pPr>
        <w:spacing w:after="0" w:line="115" w:lineRule="exact"/>
        <w:rPr>
          <w:rFonts w:ascii="Arial" w:cs="Arial" w:eastAsia="Arial" w:hAnsi="Arial"/>
          <w:sz w:val="18"/>
          <w:szCs w:val="18"/>
          <w:color w:val="auto"/>
        </w:rPr>
      </w:pPr>
    </w:p>
    <w:p>
      <w:pPr>
        <w:ind w:left="660" w:right="400" w:hanging="328"/>
        <w:spacing w:after="0" w:line="29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1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3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28" w:lineRule="exact"/>
        <w:rPr>
          <w:sz w:val="20"/>
          <w:szCs w:val="20"/>
          <w:color w:val="auto"/>
        </w:rPr>
      </w:pPr>
    </w:p>
    <w:p>
      <w:pPr>
        <w:ind w:right="180" w:firstLine="324"/>
        <w:spacing w:after="0" w:line="296" w:lineRule="auto"/>
        <w:rPr>
          <w:sz w:val="20"/>
          <w:szCs w:val="20"/>
          <w:color w:val="auto"/>
        </w:rPr>
      </w:pPr>
      <w:r>
        <w:rPr>
          <w:rFonts w:ascii="Arial" w:cs="Arial" w:eastAsia="Arial" w:hAnsi="Arial"/>
          <w:sz w:val="17"/>
          <w:szCs w:val="17"/>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or (4) the last day of the fiscal year in which the market value of our common stock held by non-affiliates exceeds $700 million as of June 30th, our second fiscal quarter, of such fiscal year.</w:t>
      </w:r>
    </w:p>
    <w:p>
      <w:pPr>
        <w:spacing w:after="0" w:line="11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1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0"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securities analysts, and complying with the increasingly complex laws pertaining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1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30"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We do not intend to pay any cash dividends in the foreseeable future. In addition, our New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3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30" w:lineRule="exact"/>
        <w:rPr>
          <w:sz w:val="20"/>
          <w:szCs w:val="20"/>
          <w:color w:val="auto"/>
        </w:rPr>
      </w:pPr>
    </w:p>
    <w:p>
      <w:pPr>
        <w:ind w:right="80" w:firstLine="324"/>
        <w:spacing w:after="0" w:line="296" w:lineRule="auto"/>
        <w:rPr>
          <w:sz w:val="20"/>
          <w:szCs w:val="20"/>
          <w:color w:val="auto"/>
        </w:rPr>
      </w:pPr>
      <w:r>
        <w:rPr>
          <w:rFonts w:ascii="Arial" w:cs="Arial" w:eastAsia="Arial" w:hAnsi="Arial"/>
          <w:sz w:val="17"/>
          <w:szCs w:val="17"/>
          <w:color w:val="auto"/>
        </w:rPr>
        <w:t>Our amended and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116" w:lineRule="exact"/>
        <w:rPr>
          <w:sz w:val="20"/>
          <w:szCs w:val="20"/>
          <w:color w:val="auto"/>
        </w:rPr>
      </w:pPr>
    </w:p>
    <w:p>
      <w:pPr>
        <w:ind w:right="20" w:firstLine="324"/>
        <w:spacing w:after="0" w:line="304"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143"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us, the selling stockholders and the underwriters and may vary from the market price of our common stock following this offering. An active trading market for our common stock may not develop or, if developed, any market may not be sustained. The market prices of the securities of newly public companies such as ours have historically been highly volatile. The market price of our common stock may fluctuate significantly in response to numerous factors, many of which are beyond our control, including:</w:t>
      </w:r>
    </w:p>
    <w:p>
      <w:pPr>
        <w:spacing w:after="0" w:line="13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84" w:lineRule="exact"/>
        <w:rPr>
          <w:rFonts w:ascii="Arial" w:cs="Arial" w:eastAsia="Arial" w:hAnsi="Arial"/>
          <w:sz w:val="18"/>
          <w:szCs w:val="18"/>
          <w:color w:val="auto"/>
        </w:rPr>
      </w:pPr>
    </w:p>
    <w:p>
      <w:pPr>
        <w:ind w:left="660" w:right="160" w:hanging="328"/>
        <w:spacing w:after="0" w:line="29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us, or our failure to meet these estimates or the expectations of investors;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84" w:lineRule="exact"/>
        <w:rPr>
          <w:rFonts w:ascii="Arial" w:cs="Arial" w:eastAsia="Arial" w:hAnsi="Arial"/>
          <w:sz w:val="18"/>
          <w:szCs w:val="18"/>
          <w:color w:val="auto"/>
        </w:rPr>
      </w:pPr>
    </w:p>
    <w:p>
      <w:pPr>
        <w:ind w:left="660" w:right="340" w:hanging="328"/>
        <w:spacing w:after="0" w:line="29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related to the real or perceived quality of our platform, as well as the failure to timely launch new products and services that gain market acceptance;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by us or our competitors of new products or services, commercial relationships, or significant technical innovations;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or capital commitments;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or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lawsuits threatened or filed against us, litigation involving our industry, or both;</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our or other parties’ products, services, or intellectual property and other proprietary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57" w:lineRule="exact"/>
        <w:rPr>
          <w:sz w:val="20"/>
          <w:szCs w:val="20"/>
          <w:color w:val="auto"/>
        </w:rPr>
      </w:pPr>
    </w:p>
    <w:p>
      <w:pPr>
        <w:ind w:left="660" w:right="380" w:hanging="328"/>
        <w:spacing w:after="0" w:line="29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interpretations of any of the above or other factors by trading algorithms, including those that employ natural language processing and related methods to evaluate our public disclosures;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natural disasters, pandemics, or responses to those events;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85"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2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30"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Based upon shares outstanding as of August 31, 2021, upon the completion of this offering and the private placement (assuming the underwriters do not exercise their option to purchase additional shares in full), our executive officers, directors, and current beneficial owners of 5% or more of our common stock will, in the aggregate, beneficially own approximately 65.1%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decline.</w:t>
      </w:r>
    </w:p>
    <w:p>
      <w:pPr>
        <w:spacing w:after="0" w:line="185" w:lineRule="exact"/>
        <w:rPr>
          <w:sz w:val="20"/>
          <w:szCs w:val="20"/>
          <w:color w:val="auto"/>
        </w:rPr>
      </w:pPr>
    </w:p>
    <w:p>
      <w:pPr>
        <w:ind w:firstLine="324"/>
        <w:spacing w:after="0" w:line="303" w:lineRule="auto"/>
        <w:rPr>
          <w:sz w:val="20"/>
          <w:szCs w:val="20"/>
          <w:color w:val="auto"/>
        </w:rPr>
      </w:pPr>
      <w:r>
        <w:rPr>
          <w:rFonts w:ascii="Arial" w:cs="Arial" w:eastAsia="Arial" w:hAnsi="Arial"/>
          <w:sz w:val="17"/>
          <w:szCs w:val="17"/>
          <w:color w:val="auto"/>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10" w:lineRule="exact"/>
        <w:rPr>
          <w:sz w:val="20"/>
          <w:szCs w:val="20"/>
          <w:color w:val="auto"/>
        </w:rPr>
      </w:pPr>
    </w:p>
    <w:p>
      <w:pPr>
        <w:ind w:right="220" w:firstLine="324"/>
        <w:spacing w:after="0" w:line="275" w:lineRule="auto"/>
        <w:rPr>
          <w:sz w:val="20"/>
          <w:szCs w:val="20"/>
          <w:color w:val="auto"/>
        </w:rPr>
      </w:pPr>
      <w:r>
        <w:rPr>
          <w:rFonts w:ascii="Arial" w:cs="Arial" w:eastAsia="Arial" w:hAnsi="Arial"/>
          <w:sz w:val="18"/>
          <w:szCs w:val="18"/>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earlier termination if such date would occur during a blackout period under our insider trading policy as described under the section titled “Underwriting”, provided that:</w:t>
      </w:r>
    </w:p>
    <w:p>
      <w:pPr>
        <w:spacing w:after="0" w:line="131" w:lineRule="exact"/>
        <w:rPr>
          <w:sz w:val="20"/>
          <w:szCs w:val="20"/>
          <w:color w:val="auto"/>
        </w:rPr>
      </w:pPr>
    </w:p>
    <w:p>
      <w:pPr>
        <w:ind w:left="660" w:hanging="328"/>
        <w:spacing w:after="0" w:line="319"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First Release: on the first trading day on which our common stock is traded on Nasdaq, up to 15% of the shares of our common stock (including shares issuable upon exercise of options and 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101" w:lineRule="exact"/>
        <w:rPr>
          <w:rFonts w:ascii="Arial" w:cs="Arial" w:eastAsia="Arial" w:hAnsi="Arial"/>
          <w:sz w:val="16"/>
          <w:szCs w:val="16"/>
          <w:color w:val="auto"/>
        </w:rPr>
      </w:pPr>
    </w:p>
    <w:p>
      <w:pPr>
        <w:ind w:left="660" w:right="320" w:hanging="328"/>
        <w:spacing w:after="0" w:line="293"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Second Release: if the conditions to the Second Release described under the section titled “Underwriting” are satisfied, then beginning on November 24, 2021:</w:t>
      </w:r>
    </w:p>
    <w:p>
      <w:pPr>
        <w:spacing w:after="0" w:line="102" w:lineRule="exact"/>
        <w:rPr>
          <w:rFonts w:ascii="Arial" w:cs="Arial" w:eastAsia="Arial" w:hAnsi="Arial"/>
          <w:sz w:val="18"/>
          <w:szCs w:val="18"/>
          <w:color w:val="auto"/>
        </w:rPr>
      </w:pPr>
    </w:p>
    <w:p>
      <w:pPr>
        <w:ind w:left="980" w:right="420" w:hanging="324"/>
        <w:spacing w:after="0" w:line="277" w:lineRule="auto"/>
        <w:tabs>
          <w:tab w:leader="none" w:pos="976" w:val="left"/>
        </w:tabs>
        <w:numPr>
          <w:ilvl w:val="1"/>
          <w:numId w:val="44"/>
        </w:numPr>
        <w:rPr>
          <w:rFonts w:ascii="Arial" w:cs="Arial" w:eastAsia="Arial" w:hAnsi="Arial"/>
          <w:sz w:val="18"/>
          <w:szCs w:val="18"/>
          <w:color w:val="auto"/>
        </w:rPr>
      </w:pPr>
      <w:r>
        <w:rPr>
          <w:rFonts w:ascii="Arial" w:cs="Arial" w:eastAsia="Arial" w:hAnsi="Arial"/>
          <w:sz w:val="18"/>
          <w:szCs w:val="18"/>
          <w:color w:val="auto"/>
        </w:rPr>
        <w:t>current or former employees, consultants and advisors (excluding our current executive officers and directors) may sell up to 15% of the shares of common stock held as of November 19, 2021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44" w:lineRule="exact"/>
        <w:rPr>
          <w:sz w:val="20"/>
          <w:szCs w:val="20"/>
          <w:color w:val="auto"/>
        </w:rPr>
      </w:pPr>
    </w:p>
    <w:p>
      <w:pPr>
        <w:ind w:left="980" w:right="280"/>
        <w:spacing w:after="0" w:line="308" w:lineRule="auto"/>
        <w:rPr>
          <w:sz w:val="20"/>
          <w:szCs w:val="20"/>
          <w:color w:val="auto"/>
        </w:rPr>
      </w:pPr>
      <w:r>
        <w:rPr>
          <w:rFonts w:ascii="Arial" w:cs="Arial" w:eastAsia="Arial" w:hAnsi="Arial"/>
          <w:sz w:val="17"/>
          <w:szCs w:val="17"/>
          <w:color w:val="auto"/>
        </w:rPr>
        <w:t>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92" w:lineRule="exact"/>
        <w:rPr>
          <w:sz w:val="20"/>
          <w:szCs w:val="20"/>
          <w:color w:val="auto"/>
        </w:rPr>
      </w:pPr>
    </w:p>
    <w:p>
      <w:pPr>
        <w:ind w:left="980" w:right="240" w:hanging="324"/>
        <w:spacing w:after="0" w:line="263" w:lineRule="auto"/>
        <w:tabs>
          <w:tab w:leader="none" w:pos="9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143" w:lineRule="exact"/>
        <w:rPr>
          <w:sz w:val="20"/>
          <w:szCs w:val="20"/>
          <w:color w:val="auto"/>
        </w:rPr>
      </w:pPr>
    </w:p>
    <w:p>
      <w:pPr>
        <w:ind w:right="300" w:firstLine="324"/>
        <w:spacing w:after="0" w:line="314" w:lineRule="auto"/>
        <w:rPr>
          <w:sz w:val="20"/>
          <w:szCs w:val="20"/>
          <w:color w:val="auto"/>
        </w:rPr>
      </w:pPr>
      <w:r>
        <w:rPr>
          <w:rFonts w:ascii="Arial" w:cs="Arial" w:eastAsia="Arial" w:hAnsi="Arial"/>
          <w:sz w:val="16"/>
          <w:szCs w:val="16"/>
          <w:color w:val="auto"/>
        </w:rPr>
        <w:t>We currently expect that the number of shares eligible to be sold in the First Release would equal approximately 3.2 million shares, which includes shares issuable upon exercise of vested options. We currently expect that the number of shares eligible to be sold in the Second Release would equal approximately 23.6 million shares, which includes shares issuable upon exercise of vested options and settlement of RSUs and assuming all shares that were eligible to be sold on the First Release were sold during such period. Any shares of common stock sold in the private placement to the private placement investor will be subject to the restrictions under the applicable securities laws and the lock-up agreement with the underwriters.</w:t>
      </w:r>
    </w:p>
    <w:p>
      <w:pPr>
        <w:spacing w:after="0" w:line="106"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color w:val="auto"/>
        </w:rPr>
        <w:t>If not earlier released, all of our shares of common stock, other than those sold in this offering which are freely tradable, will become eligible for sale upon expiration of the lock-up period, except for any shares held by our affiliates as defined in Rule 144 under the Securities Act of 1933, as amended (the “Securities Act”). Goldman Sachs &amp; Co. LLC and J.P. Morgan Securities LLC may, in their sole discretion, permit our stockholders who are subject to these lock-up agreements to sell shares prior to the expiration of the lock-up agreements.</w:t>
      </w:r>
    </w:p>
    <w:p>
      <w:pPr>
        <w:spacing w:after="0" w:line="131" w:lineRule="exact"/>
        <w:rPr>
          <w:sz w:val="20"/>
          <w:szCs w:val="20"/>
          <w:color w:val="auto"/>
        </w:rPr>
      </w:pPr>
    </w:p>
    <w:p>
      <w:pPr>
        <w:ind w:right="20" w:firstLine="324"/>
        <w:spacing w:after="0" w:line="319" w:lineRule="auto"/>
        <w:rPr>
          <w:sz w:val="20"/>
          <w:szCs w:val="20"/>
          <w:color w:val="auto"/>
        </w:rPr>
      </w:pPr>
      <w:r>
        <w:rPr>
          <w:rFonts w:ascii="Arial" w:cs="Arial" w:eastAsia="Arial" w:hAnsi="Arial"/>
          <w:sz w:val="16"/>
          <w:szCs w:val="16"/>
          <w:color w:val="auto"/>
        </w:rPr>
        <w:t>In addition, there were 25,973,602 shares of common stock issuable upon the exercise of options or the settlement of RSUs outstanding as of June 30, 2021. We intend to register all of the shares of common stock issuable upon exercise of outstanding options, RSUs, or other equity incentives we may grant in the future, for public resale under the Securities Act. The shares of common stock will become eligible for sale in the public market to the extent such options are exercised or such RSUs are settled, subject to the lock-up agreements described above and compliance with applicable securities laws.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shares outstanding as of June 30, 2021, upon completion of this offering and the private placement, holders of approximately 141.9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or 87.9%, of our common stock will have rights, subject to some conditions, to require us to file registration statements covering the sale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their shares or to include their shares in registration statements that we may file for ourselves or other stockholders.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have broad discretion in the use of the net proceeds to us from this offering and the private placement and may not use them effectively.</w:t>
      </w:r>
    </w:p>
    <w:p>
      <w:pPr>
        <w:spacing w:after="0" w:line="208"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We will have broad discretion in the application of the net proceeds to us from this offering and the private placement,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the private placement, their ultimate use may vary substantially from their currently intended use. If we do not use the net proceeds that we receive in this offering and the private placement effectively, our business, financial condition, operating results, and prospects could be harmed, and the market price of our common stock could decline. Pending their use, we may invest the net proceeds from this offering and the private placement in short-term, investment-grade, interest-bearing securities, such as money market accounts, certificates of deposit, commercial paper, and guaranteed obligations of the U.S. government that may not generate a high yield for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common stock you purchase in this offering and the private placement.</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The initial public offering price of our common stock will be substantially higher than the pro forma net tangible book value per share of our common stock immediately after this offering and the private placement. If you purchase shares of our common stock in this offering, you will suffer immediate dilution of $40.01 per share, or $39.72 per share if the underwriters exercise their over-allotment option in full, representing the difference between our pro forma as adjusted net tangible book value per share after giving effect to the sale of common stock in this offering and the private placement and the initial public offering price of $43.00 per share. For more information, see the section titled “Dilution.” If outstanding options or warrants to purchase our common stock are exercised in the future, you will experience additional dilution.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Participation in the private placement by the private placement investor could reduce the public float for our shares of common stock.</w:t>
      </w:r>
    </w:p>
    <w:p>
      <w:pPr>
        <w:spacing w:after="0" w:line="196" w:lineRule="exact"/>
        <w:rPr>
          <w:sz w:val="20"/>
          <w:szCs w:val="20"/>
          <w:color w:val="auto"/>
        </w:rPr>
      </w:pPr>
    </w:p>
    <w:p>
      <w:pPr>
        <w:jc w:val="both"/>
        <w:ind w:right="20" w:firstLine="324"/>
        <w:spacing w:after="0" w:line="329" w:lineRule="auto"/>
        <w:rPr>
          <w:sz w:val="20"/>
          <w:szCs w:val="20"/>
          <w:color w:val="auto"/>
        </w:rPr>
      </w:pPr>
      <w:r>
        <w:rPr>
          <w:rFonts w:ascii="Arial" w:cs="Arial" w:eastAsia="Arial" w:hAnsi="Arial"/>
          <w:sz w:val="16"/>
          <w:szCs w:val="16"/>
          <w:color w:val="auto"/>
        </w:rPr>
        <w:t>The private placement investor has agreed to purchase a number of shares of common stock with an aggregate purchase price of approximately $25.0 million, at a price per share equal to the initial public offering price. Based upon the initial public offering price of $43.00 per share, this would be 581,395 shares of common stock. This purchase could reduce the available public float or our shares if the private placement investor holds these shares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320" w:top="1440" w:right="399" w:bottom="1440" w:gutter="0" w:footer="0" w:header="0"/>
        </w:sectPr>
      </w:pPr>
    </w:p>
    <w:bookmarkStart w:id="74" w:name="page75"/>
    <w:bookmarkEnd w:id="74"/>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9" w:lineRule="exact"/>
        <w:rPr>
          <w:sz w:val="20"/>
          <w:szCs w:val="20"/>
          <w:color w:val="auto"/>
        </w:rPr>
      </w:pPr>
    </w:p>
    <w:p>
      <w:pPr>
        <w:ind w:right="300" w:firstLine="324"/>
        <w:spacing w:after="0" w:line="319" w:lineRule="auto"/>
        <w:rPr>
          <w:sz w:val="20"/>
          <w:szCs w:val="20"/>
          <w:color w:val="auto"/>
        </w:rPr>
      </w:pPr>
      <w:r>
        <w:rPr>
          <w:rFonts w:ascii="Arial" w:cs="Arial" w:eastAsia="Arial" w:hAnsi="Arial"/>
          <w:sz w:val="16"/>
          <w:szCs w:val="16"/>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185" w:lineRule="exact"/>
        <w:rPr>
          <w:sz w:val="20"/>
          <w:szCs w:val="20"/>
          <w:color w:val="auto"/>
        </w:rPr>
      </w:pPr>
    </w:p>
    <w:p>
      <w:pPr>
        <w:ind w:left="660" w:right="220" w:hanging="328"/>
        <w:spacing w:after="0" w:line="279"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operating expenses, including changes in technology and development, sales and marketing, and general and administrative expenses (including any components of the foregoing) and our ability to achieve, and maintain, future profitability;</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market opportunity, including our total addressable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grow and retain our customer base and share in existing corridors;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expand into new corridors;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expand into broader financial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bring them to market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banking and disbursement partners;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maintain, protect, and enhance our intellectual property and other proprietary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keep data and our infrastructure secure;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84" w:lineRule="exact"/>
        <w:rPr>
          <w:rFonts w:ascii="Arial" w:cs="Arial" w:eastAsia="Arial" w:hAnsi="Arial"/>
          <w:sz w:val="18"/>
          <w:szCs w:val="18"/>
          <w:color w:val="auto"/>
        </w:rPr>
      </w:pPr>
    </w:p>
    <w:p>
      <w:pPr>
        <w:ind w:left="660" w:right="380" w:hanging="328"/>
        <w:spacing w:after="0" w:line="29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15"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stay in compliance with laws, policies and regulations that currently apply or become applicable to our business, including consumer protection laws and trade policies, as well as our ability to attract new customers under such compliance;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buy foreign currency at generally advantageous rates;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and timing to remediate our material weaknesses in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320" w:top="1440" w:right="399" w:bottom="1440" w:gutter="0" w:footer="0" w:header="0"/>
        </w:sectPr>
      </w:pPr>
    </w:p>
    <w:bookmarkStart w:id="75" w:name="page76"/>
    <w:bookmarkEnd w:id="75"/>
    <w:p>
      <w:pPr>
        <w:spacing w:after="0" w:line="15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and maintain adequate disclosure controls and internal control over financial reporting;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effects of changes to immigration laws, macroeconomic conditions and geopolitical forces on our customers and business operations;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effects of the ongoing COVID-19 pandemic in the countries in which we operate;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estimates and methodologies used in preparing our consolidated financial statements and determining stock option exercise prices;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future market prices of our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37" w:lineRule="exact"/>
        <w:rPr>
          <w:sz w:val="20"/>
          <w:szCs w:val="20"/>
          <w:color w:val="auto"/>
        </w:rPr>
      </w:pPr>
    </w:p>
    <w:p>
      <w:pPr>
        <w:ind w:right="100" w:firstLine="324"/>
        <w:spacing w:after="0" w:line="319"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1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7" w:lineRule="exact"/>
        <w:rPr>
          <w:sz w:val="20"/>
          <w:szCs w:val="20"/>
          <w:color w:val="auto"/>
        </w:rPr>
      </w:pPr>
    </w:p>
    <w:p>
      <w:pPr>
        <w:ind w:right="440" w:firstLine="324"/>
        <w:spacing w:after="0" w:line="27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89"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services.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 The information contained on, or that can be accessed through, any website listed below is not a part of this prospectus.</w:t>
      </w:r>
    </w:p>
    <w:p>
      <w:pPr>
        <w:spacing w:after="0" w:line="116"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This prospectus contains statistical data, estimates, and forecasts that are based on industry publications or reports generated by third parties or other publicly available information, as well as other information based on our internal sources.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We estimate that the net proceeds from our sale of shares of common stock in this offering and the private placement at the initial public offering price of $43.00 per share, after deducting the underwriting discount and estimated offering expenses, will be approximately $304.5 million, or $356.0 million if the underwriters’ exercise their option to purchase additional shares in full. We will not receive any proceeds from the sale of shares of common stock by the selling stockholders.</w:t>
      </w:r>
    </w:p>
    <w:p>
      <w:pPr>
        <w:spacing w:after="0" w:line="131"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principal purposes of this offering are to create a public market for our common stock, increase our visibility in the marketplace, obtain additional capital, and increase our capitalization and financial flexibility. We currently intend to use the net proceeds we receive from this offering and the private placement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At this time, we have not specifically identified a material single use for which we intend to use the net proceeds, and, accordingly, we are not able to allocate the net proceeds among any of these potential uses in light of the variety of factors that will impact how such net proceeds are ultimately utilized by us.</w:t>
      </w:r>
    </w:p>
    <w:p>
      <w:pPr>
        <w:spacing w:after="0" w:line="12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We will have broad discretion over the uses of the net proceeds of this offering and the private placement. Pending these uses, we intend to invest the net proceeds from this offering and the private placement in short-term, investment-grade interest-bearing securities such as money market accounts, certificates of deposit, commercial paper, and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60"/>
          </w:cols>
          <w:pgMar w:left="320" w:top="1440" w:right="419" w:bottom="1440" w:gutter="0" w:footer="0" w:header="0"/>
        </w:sectPr>
      </w:pPr>
    </w:p>
    <w:bookmarkStart w:id="78" w:name="page79"/>
    <w:bookmarkEnd w:id="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New Revolving Credit Facility contains restrictions on our ability to pay cash dividends on our capital stock. Further, several of our operating subsidiaries are subject to financial services regulations and their ability to pay dividends and distribute cash may be restricted. See the section titled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as well as our capitalization, as of June 30, 2021, on:</w:t>
      </w:r>
    </w:p>
    <w:p>
      <w:pPr>
        <w:spacing w:after="0" w:line="18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84"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 forma basis, which reflects (1) the automatic conversion of all outstanding shares of our convertible preferred stock as of June 30, 2021 into 127,410,631 shares of our common stock, (2) stock-based compensation expense associated with restricted stock units subject to service-based and performance-based vesting conditions, which we will recognize upon the completion of this offering, and (3) the filing and effectiveness of our amended and restated certificate of incorporation; and</w:t>
      </w:r>
    </w:p>
    <w:p>
      <w:pPr>
        <w:spacing w:after="0" w:line="131" w:lineRule="exact"/>
        <w:rPr>
          <w:rFonts w:ascii="Arial" w:cs="Arial" w:eastAsia="Arial" w:hAnsi="Arial"/>
          <w:sz w:val="18"/>
          <w:szCs w:val="18"/>
          <w:color w:val="auto"/>
        </w:rPr>
      </w:pPr>
    </w:p>
    <w:p>
      <w:pPr>
        <w:ind w:left="660" w:right="40" w:hanging="328"/>
        <w:spacing w:after="0" w:line="279"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 forma as adjusted basis, which reflects (1) all adjustments included in the pro forma column and (2) the sale of shares of our common stock in this offering and the private placement at the initial public offering price of $43.00 per share, after deducting the underwriting discount and estimated offering expenses.</w:t>
      </w:r>
    </w:p>
    <w:p>
      <w:pPr>
        <w:spacing w:after="0" w:line="129" w:lineRule="exact"/>
        <w:rPr>
          <w:sz w:val="20"/>
          <w:szCs w:val="20"/>
          <w:color w:val="auto"/>
        </w:rPr>
      </w:pPr>
    </w:p>
    <w:p>
      <w:pPr>
        <w:ind w:right="340" w:firstLine="324"/>
        <w:spacing w:after="0" w:line="329" w:lineRule="auto"/>
        <w:rPr>
          <w:sz w:val="20"/>
          <w:szCs w:val="20"/>
          <w:color w:val="auto"/>
        </w:rPr>
      </w:pPr>
      <w:r>
        <w:rPr>
          <w:rFonts w:ascii="Arial" w:cs="Arial" w:eastAsia="Arial" w:hAnsi="Arial"/>
          <w:sz w:val="16"/>
          <w:szCs w:val="16"/>
          <w:color w:val="auto"/>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and “Management’s Discussion and Analysis of Financial Condition and Results of Operations,”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1440" w:right="439" w:bottom="1440" w:gutter="0" w:footer="0" w:header="0"/>
        </w:sectPr>
      </w:pPr>
    </w:p>
    <w:bookmarkStart w:id="80" w:name="page81"/>
    <w:bookmarkEnd w:id="80"/>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June 30, 2021</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40" w:type="dxa"/>
            <w:vAlign w:val="bottom"/>
          </w:tcPr>
          <w:p>
            <w:pPr>
              <w:spacing w:after="0"/>
              <w:rPr>
                <w:sz w:val="18"/>
                <w:szCs w:val="18"/>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8"/>
                <w:szCs w:val="18"/>
                <w:color w:val="auto"/>
              </w:rPr>
            </w:pPr>
          </w:p>
        </w:tc>
        <w:tc>
          <w:tcPr>
            <w:tcW w:w="1340" w:type="dxa"/>
            <w:vAlign w:val="bottom"/>
          </w:tcPr>
          <w:p>
            <w:pPr>
              <w:jc w:val="right"/>
              <w:ind w:right="353"/>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302"/>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477,817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32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Redeemable convertible preferred stock, $0.0001 par value per share; 132,674,735</w:t>
            </w:r>
          </w:p>
        </w:tc>
        <w:tc>
          <w:tcPr>
            <w:tcW w:w="3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shares authorized; 127,410,631 shares issued and outstanding, actual; no shares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Preferred stock; $0.0001 par value per share; no shares authorized, issued, and</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outstanding, actual; 50,000,000 shares authorized, no shares issued and outstanding,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and pro forma as adjusted</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320" w:type="dxa"/>
            <w:vAlign w:val="bottom"/>
          </w:tcPr>
          <w:p>
            <w:pPr>
              <w:ind w:left="20"/>
              <w:spacing w:after="0"/>
              <w:rPr>
                <w:sz w:val="20"/>
                <w:szCs w:val="20"/>
                <w:color w:val="auto"/>
              </w:rPr>
            </w:pPr>
            <w:r>
              <w:rPr>
                <w:rFonts w:ascii="Arial" w:cs="Arial" w:eastAsia="Arial" w:hAnsi="Arial"/>
                <w:sz w:val="18"/>
                <w:szCs w:val="18"/>
                <w:color w:val="auto"/>
              </w:rPr>
              <w:t>Common stock, $0.0001 par value per share; 190,000,000 shares authorized;</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26,385,643 shares issued and outstanding, actual; 725,000,000 shares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Arial" w:cs="Arial" w:eastAsia="Arial" w:hAnsi="Arial"/>
                <w:sz w:val="18"/>
                <w:szCs w:val="18"/>
                <w:color w:val="auto"/>
              </w:rPr>
              <w:t>authorized, 153,796,274 shares issued and outstanding, pro forma;</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w w:val="95"/>
              </w:rPr>
              <w:t>725,000,000 shares authorized, 161,377,669 shares issued and outstanding, pro</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forma as adjusted</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713,269</w:t>
            </w:r>
          </w:p>
        </w:tc>
        <w:tc>
          <w:tcPr>
            <w:tcW w:w="0" w:type="dxa"/>
            <w:vAlign w:val="bottom"/>
          </w:tcPr>
          <w:p>
            <w:pPr>
              <w:spacing w:after="0"/>
              <w:rPr>
                <w:sz w:val="1"/>
                <w:szCs w:val="1"/>
                <w:color w:val="auto"/>
              </w:rPr>
            </w:pPr>
          </w:p>
        </w:tc>
      </w:tr>
      <w:tr>
        <w:trPr>
          <w:trHeight w:val="25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(229,906)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(230,641)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(230,855)</w:t>
            </w:r>
          </w:p>
        </w:tc>
        <w:tc>
          <w:tcPr>
            <w:tcW w:w="0" w:type="dxa"/>
            <w:vAlign w:val="bottom"/>
          </w:tcPr>
          <w:p>
            <w:pPr>
              <w:spacing w:after="0"/>
              <w:rPr>
                <w:sz w:val="1"/>
                <w:szCs w:val="1"/>
                <w:color w:val="auto"/>
              </w:rPr>
            </w:pPr>
          </w:p>
        </w:tc>
      </w:tr>
      <w:tr>
        <w:trPr>
          <w:trHeight w:val="250"/>
        </w:trPr>
        <w:tc>
          <w:tcPr>
            <w:tcW w:w="6320" w:type="dxa"/>
            <w:vAlign w:val="bottom"/>
          </w:tcPr>
          <w:p>
            <w:pPr>
              <w:ind w:left="180"/>
              <w:spacing w:after="0"/>
              <w:rPr>
                <w:sz w:val="20"/>
                <w:szCs w:val="20"/>
                <w:color w:val="auto"/>
              </w:rPr>
            </w:pPr>
            <w:r>
              <w:rPr>
                <w:rFonts w:ascii="Arial" w:cs="Arial" w:eastAsia="Arial" w:hAnsi="Arial"/>
                <w:sz w:val="18"/>
                <w:szCs w:val="18"/>
                <w:color w:val="auto"/>
              </w:rPr>
              <w:t>Total stockholders’ deficit</w:t>
            </w: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(212,135)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178,552</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483,006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483,006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420" w:hanging="332"/>
        <w:spacing w:after="0" w:line="262"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the underwriters exercise their option to purchase additional shares in full, the pro forma as adjusted amount of each of cash and cash equivalents, additional paid-in capital, total stockholders’ deficit, and total capitalization would increase by approximately $51.6 million, after deducting the underwriting discount, and we would have 162,647,296 shares of our common stock issued and outstanding, pro forma as adjusted.</w:t>
      </w:r>
    </w:p>
    <w:p>
      <w:pPr>
        <w:ind w:left="340" w:right="580" w:hanging="332"/>
        <w:spacing w:after="0" w:line="283"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entered in the New Revolving Credit Facility on September 13, 2021 and terminated the Revolving Credit Facility in connection therewith. See “Prospectus Summary—Recent Developments—New Revolving Credit Facility.”</w:t>
      </w:r>
    </w:p>
    <w:p>
      <w:pPr>
        <w:spacing w:after="0" w:line="131" w:lineRule="exact"/>
        <w:rPr>
          <w:sz w:val="20"/>
          <w:szCs w:val="20"/>
          <w:color w:val="auto"/>
        </w:rPr>
      </w:pPr>
    </w:p>
    <w:p>
      <w:pPr>
        <w:ind w:right="520" w:firstLine="324"/>
        <w:spacing w:after="0" w:line="293" w:lineRule="auto"/>
        <w:rPr>
          <w:sz w:val="20"/>
          <w:szCs w:val="20"/>
          <w:color w:val="auto"/>
        </w:rPr>
      </w:pPr>
      <w:r>
        <w:rPr>
          <w:rFonts w:ascii="Arial" w:cs="Arial" w:eastAsia="Arial" w:hAnsi="Arial"/>
          <w:sz w:val="18"/>
          <w:szCs w:val="18"/>
          <w:color w:val="auto"/>
        </w:rPr>
        <w:t>The number of shares of our common stock to be outstanding after this offering and the private placement is based on 153,796,274 shares of our common stock outstanding as of June 30, 2021 and excludes:</w:t>
      </w:r>
    </w:p>
    <w:p>
      <w:pPr>
        <w:spacing w:after="0" w:line="116" w:lineRule="exact"/>
        <w:rPr>
          <w:sz w:val="20"/>
          <w:szCs w:val="20"/>
          <w:color w:val="auto"/>
        </w:rPr>
      </w:pPr>
    </w:p>
    <w:p>
      <w:pPr>
        <w:ind w:left="660" w:right="400" w:hanging="328"/>
        <w:spacing w:after="0" w:line="29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25,355,906 shares of our common stock issuable upon the exercise of stock options outstanding as of June 30, 2021, with a weighted-average exercise price of $3.13 per share under our 2011 Plan;</w:t>
      </w:r>
    </w:p>
    <w:p>
      <w:pPr>
        <w:spacing w:after="0" w:line="115" w:lineRule="exact"/>
        <w:rPr>
          <w:rFonts w:ascii="Arial" w:cs="Arial" w:eastAsia="Arial" w:hAnsi="Arial"/>
          <w:sz w:val="18"/>
          <w:szCs w:val="18"/>
          <w:color w:val="auto"/>
        </w:rPr>
      </w:pPr>
    </w:p>
    <w:p>
      <w:pPr>
        <w:ind w:left="660" w:right="100" w:hanging="328"/>
        <w:spacing w:after="0" w:line="29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1,040,500 shares of our common stock issuable upon the exercise of stock options granted between June 30, 2021 and August 31, 2021 under our 2011 Plan, with a weighted average exercise price of $13.12 per share;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617,696 shares of our common stock issuable upon the settlement of RSUs, outstanding as of June 30, 2021 under our 2011 Plan;</w:t>
      </w:r>
    </w:p>
    <w:p>
      <w:pPr>
        <w:spacing w:after="0" w:line="184" w:lineRule="exact"/>
        <w:rPr>
          <w:rFonts w:ascii="Arial" w:cs="Arial" w:eastAsia="Arial" w:hAnsi="Arial"/>
          <w:sz w:val="18"/>
          <w:szCs w:val="18"/>
          <w:color w:val="auto"/>
        </w:rPr>
      </w:pPr>
    </w:p>
    <w:p>
      <w:pPr>
        <w:ind w:left="660" w:right="240" w:hanging="328"/>
        <w:spacing w:after="0" w:line="29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683,388 shares of our common stock issuable upon the settlement of RSUs granted between June 30, 2021 and August 31, 2021 under our 2011 Plan;</w:t>
      </w:r>
    </w:p>
    <w:p>
      <w:pPr>
        <w:spacing w:after="0" w:line="115" w:lineRule="exact"/>
        <w:rPr>
          <w:rFonts w:ascii="Arial" w:cs="Arial" w:eastAsia="Arial" w:hAnsi="Arial"/>
          <w:sz w:val="18"/>
          <w:szCs w:val="18"/>
          <w:color w:val="auto"/>
        </w:rPr>
      </w:pPr>
    </w:p>
    <w:p>
      <w:pPr>
        <w:ind w:left="660" w:right="360" w:hanging="328"/>
        <w:spacing w:after="0" w:line="29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256,250 shares of our common stock issuable upon the exercise of outstanding warrants to purchase common stock outstanding as of June 30, 2021, with a weighted-average exercise price of $0.42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57" w:lineRule="exact"/>
        <w:rPr>
          <w:sz w:val="20"/>
          <w:szCs w:val="20"/>
          <w:color w:val="auto"/>
        </w:rPr>
      </w:pPr>
    </w:p>
    <w:p>
      <w:pPr>
        <w:ind w:left="328" w:hanging="328"/>
        <w:spacing w:after="0" w:line="299" w:lineRule="auto"/>
        <w:tabs>
          <w:tab w:leader="none" w:pos="3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30,434,742 shares of our common stock reserved for future issuance under our equity compensation plans, consisting of (1) 1,934,742 shares of our common stock reserved for future issuance under our 2011 Plan, as of June 30, 2021 (which number of shares does not include the stock options to purchase shares of our common stock or restricted stock units granted after June 30, 2021), (2) 25,000,000 shares of our common stock reserved for future issuance under our 2021 Plan, which will become effective on the date immediately prior to the date of this prospectus, and</w:t>
      </w:r>
    </w:p>
    <w:p>
      <w:pPr>
        <w:spacing w:after="0" w:line="1"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color w:val="auto"/>
        </w:rPr>
        <w:t>(3) 3,500,000 shares of our common stock reserved for issuance under our ESPP, which will become effective on the date of this prospectus; and</w:t>
      </w:r>
    </w:p>
    <w:p>
      <w:pPr>
        <w:spacing w:after="0" w:line="206" w:lineRule="exact"/>
        <w:rPr>
          <w:rFonts w:ascii="Arial" w:cs="Arial" w:eastAsia="Arial" w:hAnsi="Arial"/>
          <w:sz w:val="16"/>
          <w:szCs w:val="16"/>
          <w:color w:val="auto"/>
        </w:rPr>
      </w:pPr>
    </w:p>
    <w:p>
      <w:pPr>
        <w:ind w:left="328" w:right="60" w:hanging="328"/>
        <w:spacing w:after="0" w:line="279" w:lineRule="auto"/>
        <w:tabs>
          <w:tab w:leader="none" w:pos="3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1,819,609 shares of our common stock reserved to be issued pursuant to the Pledge 1% campaign, of which we will issue approximately 181,961 shares of our common stock on the day after the completion of this offering pursuant to the Pledge 1% campaign. For more information, see the section titled “Business—Corporate Philanthropy”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28"/>
          </w:cols>
          <w:pgMar w:left="652" w:top="1440" w:right="419" w:bottom="1440" w:gutter="0" w:footer="0" w:header="0"/>
        </w:sectPr>
      </w:pPr>
    </w:p>
    <w:bookmarkStart w:id="82" w:name="page83"/>
    <w:bookmarkEnd w:id="8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 and the private placement.</w:t>
      </w:r>
    </w:p>
    <w:p>
      <w:pPr>
        <w:spacing w:after="0" w:line="1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As of June 30, 2021, our pro forma net tangible book value was approximately $176.6 million, or $1.15 per share of common stock. Our pro forma net tangible book value per share represents the amount of our total tangible assets reduced by the amount of our total liabilities and divided by the total number of shares of our common stock outstanding as of June 30, 2021, after giving effect to (1) the automatic conversion of all outstanding shares of our convertible preferred stock into 127,410,631 shares of our common stock and (2) the filing and effectiveness of our amended and restated certificate of incorporation.</w:t>
      </w:r>
    </w:p>
    <w:p>
      <w:pPr>
        <w:spacing w:after="0" w:line="137" w:lineRule="exact"/>
        <w:rPr>
          <w:sz w:val="20"/>
          <w:szCs w:val="20"/>
          <w:color w:val="auto"/>
        </w:rPr>
      </w:pPr>
    </w:p>
    <w:p>
      <w:pPr>
        <w:ind w:right="60" w:firstLine="324"/>
        <w:spacing w:after="0" w:line="292" w:lineRule="auto"/>
        <w:rPr>
          <w:sz w:val="20"/>
          <w:szCs w:val="20"/>
          <w:color w:val="auto"/>
        </w:rPr>
      </w:pPr>
      <w:r>
        <w:rPr>
          <w:rFonts w:ascii="Arial" w:cs="Arial" w:eastAsia="Arial" w:hAnsi="Arial"/>
          <w:sz w:val="17"/>
          <w:szCs w:val="17"/>
          <w:color w:val="auto"/>
        </w:rPr>
        <w:t>After giving effect to the pro forma adjustments set forth above and our sale in this offering and the private placement of shares of our common stock, at the initial public offering price of $43.00 per share, after deducting the underwriting discount and estimated offering expenses, our pro forma as adjusted net tangible book value as of June 30, 2021 would have been approximately $482.3 million, or $2.99 per share. This represents an immediate increase in pro forma net tangible book value of $1.84 per share to our existing stockholders and an immediate dilution of $40.01 per share to investors purchasing common stock in this offering and the private placement at the assumed initial public offering price.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this dilution on a per share basis to new investors and the private placement investor: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public offering price per share</w:t>
            </w:r>
          </w:p>
        </w:tc>
        <w:tc>
          <w:tcPr>
            <w:tcW w:w="6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57"/>
        </w:trPr>
        <w:tc>
          <w:tcPr>
            <w:tcW w:w="802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June 30, 2021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Increase in pro forma net tangible book value per share attributable to new investors in this offering and the</w:t>
            </w:r>
          </w:p>
        </w:tc>
        <w:tc>
          <w:tcPr>
            <w:tcW w:w="6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private placement investor</w:t>
            </w:r>
          </w:p>
        </w:tc>
        <w:tc>
          <w:tcPr>
            <w:tcW w:w="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w:t>
            </w: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Dilution in pro forma as adjusted net tangible book value per share to new investors in this offering and the</w:t>
            </w: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placement investor</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8"/>
          <w:szCs w:val="18"/>
          <w:color w:val="auto"/>
        </w:rPr>
        <w:t>If the underwriters exercise their option to purchase additional shares in full, the pro forma as adjusted tangible book value per share of our common stock after giving effect to this offering and the private placement would be $3.28 per share, and the dilution in pro forma as adjusted net tangible book value per share to investors in this offering and the private placement would be $39.72 per share.</w:t>
      </w:r>
    </w:p>
    <w:p>
      <w:pPr>
        <w:spacing w:after="0" w:line="12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7"/>
          <w:szCs w:val="17"/>
          <w:color w:val="auto"/>
        </w:rPr>
        <w:t>Sales of shares of common stock by the selling stockholders in our initial public offering will reduce the number of shares of common stock held by existing stockholders to 148,633,497, or approximately 92.1% of the total shares of common stock outstanding after our initial public offering and the private placement, and will increase the number of shares held by new investors and the private placement investor to 12,744,172, or approximately 7.9% of the total shares of common stock outstanding after our initial public offering and the private placement.</w:t>
      </w:r>
    </w:p>
    <w:p>
      <w:pPr>
        <w:spacing w:after="0" w:line="116"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color w:val="auto"/>
        </w:rPr>
        <w:t>The following table summarizes, on a pro forma as adjusted basis as of June 30, 2021, after giving effect to the pro forma adjustments described above, the difference between existing stockholders and new investors purchasing shares of common stock in this offering and the private placement with respect to the number of shares purchased from us, the total consideration paid to us, and the average price per share paid by our existing stockholders or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57"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paid by investors purchasing shares in this offering and the private placement at the offering price of $43.00 per share, before deducting the underwriting discount and estimated offering expenses: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200" w:type="dxa"/>
            <w:vAlign w:val="bottom"/>
            <w:gridSpan w:val="3"/>
          </w:tcPr>
          <w:p>
            <w:pPr>
              <w:ind w:left="1100"/>
              <w:spacing w:after="0"/>
              <w:rPr>
                <w:sz w:val="20"/>
                <w:szCs w:val="20"/>
                <w:color w:val="auto"/>
              </w:rPr>
            </w:pPr>
            <w:r>
              <w:rPr>
                <w:rFonts w:ascii="Arial" w:cs="Arial" w:eastAsia="Arial" w:hAnsi="Arial"/>
                <w:sz w:val="14"/>
                <w:szCs w:val="14"/>
                <w:b w:val="1"/>
                <w:bCs w:val="1"/>
                <w:color w:val="auto"/>
                <w:w w:val="88"/>
              </w:rPr>
              <w:t>Shares Purchased</w:t>
            </w: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3"/>
          </w:tcPr>
          <w:p>
            <w:pPr>
              <w:ind w:left="720"/>
              <w:spacing w:after="0"/>
              <w:rPr>
                <w:sz w:val="20"/>
                <w:szCs w:val="20"/>
                <w:color w:val="auto"/>
              </w:rPr>
            </w:pPr>
            <w:r>
              <w:rPr>
                <w:rFonts w:ascii="Arial" w:cs="Arial" w:eastAsia="Arial" w:hAnsi="Arial"/>
                <w:sz w:val="14"/>
                <w:szCs w:val="14"/>
                <w:b w:val="1"/>
                <w:bCs w:val="1"/>
                <w:color w:val="auto"/>
              </w:rPr>
              <w:t>Total Consideration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5"/>
              </w:rPr>
              <w:t>Average Price Per</w:t>
            </w: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200" w:type="dxa"/>
            <w:vAlign w:val="bottom"/>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3"/>
              </w:rPr>
              <w:t>Percent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ind w:left="580"/>
              <w:spacing w:after="0"/>
              <w:rPr>
                <w:sz w:val="20"/>
                <w:szCs w:val="20"/>
                <w:color w:val="auto"/>
              </w:rPr>
            </w:pPr>
            <w:r>
              <w:rPr>
                <w:rFonts w:ascii="Arial" w:cs="Arial" w:eastAsia="Arial" w:hAnsi="Arial"/>
                <w:sz w:val="14"/>
                <w:szCs w:val="14"/>
                <w:b w:val="1"/>
                <w:bCs w:val="1"/>
                <w:color w:val="auto"/>
                <w:w w:val="93"/>
              </w:rPr>
              <w:t>Percent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49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6"/>
        </w:trPr>
        <w:tc>
          <w:tcPr>
            <w:tcW w:w="29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153,796,274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95.3 %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415,193,382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56.0 %</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color w:val="auto"/>
              </w:rPr>
              <w:t>New public investors</w:t>
            </w:r>
          </w:p>
        </w:tc>
        <w:tc>
          <w:tcPr>
            <w:tcW w:w="154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301,000,000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40.6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placement investor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581,395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77"/>
        </w:trPr>
        <w:tc>
          <w:tcPr>
            <w:tcW w:w="2960" w:type="dxa"/>
            <w:vAlign w:val="bottom"/>
          </w:tcPr>
          <w:p>
            <w:pPr>
              <w:ind w:left="1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161,377,669</w:t>
            </w:r>
          </w:p>
        </w:tc>
        <w:tc>
          <w:tcPr>
            <w:tcW w:w="100" w:type="dxa"/>
            <w:vAlign w:val="bottom"/>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741,193,382</w:t>
            </w:r>
          </w:p>
        </w:tc>
        <w:tc>
          <w:tcPr>
            <w:tcW w:w="100" w:type="dxa"/>
            <w:vAlign w:val="bottom"/>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324"/>
        <w:spacing w:after="0" w:line="324" w:lineRule="auto"/>
        <w:rPr>
          <w:sz w:val="20"/>
          <w:szCs w:val="20"/>
          <w:color w:val="auto"/>
        </w:rPr>
      </w:pPr>
      <w:r>
        <w:rPr>
          <w:rFonts w:ascii="Arial" w:cs="Arial" w:eastAsia="Arial" w:hAnsi="Arial"/>
          <w:sz w:val="17"/>
          <w:szCs w:val="17"/>
          <w:color w:val="auto"/>
        </w:rPr>
        <w:t>The total number of shares reflected in the discussion and tables above is based on 153,796,274 shares of our common stock outstanding as of June 30, 2021 on an as adjusted pro forma basis, and does not reflect the shares purchased by new investors from the selling stockholders.</w:t>
      </w:r>
    </w:p>
    <w:p>
      <w:pPr>
        <w:spacing w:after="0" w:line="93"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common stock from us or the selling shareholders. If the underwriters exercise their option to purchase additional shares from us, our existing stockholders would own 94.6%%, our new investors would own 5.1% and the private placement investor would own 0.4% of the total number of shares of our common stock outstanding after this offering and the private placement.</w:t>
      </w:r>
    </w:p>
    <w:p>
      <w:pPr>
        <w:spacing w:after="0" w:line="131" w:lineRule="exact"/>
        <w:rPr>
          <w:sz w:val="20"/>
          <w:szCs w:val="20"/>
          <w:color w:val="auto"/>
        </w:rPr>
      </w:pPr>
    </w:p>
    <w:p>
      <w:pPr>
        <w:ind w:right="520" w:firstLine="324"/>
        <w:spacing w:after="0" w:line="293" w:lineRule="auto"/>
        <w:rPr>
          <w:sz w:val="20"/>
          <w:szCs w:val="20"/>
          <w:color w:val="auto"/>
        </w:rPr>
      </w:pPr>
      <w:r>
        <w:rPr>
          <w:rFonts w:ascii="Arial" w:cs="Arial" w:eastAsia="Arial" w:hAnsi="Arial"/>
          <w:sz w:val="18"/>
          <w:szCs w:val="18"/>
          <w:color w:val="auto"/>
        </w:rPr>
        <w:t>The number of shares of our common stock to be outstanding after this offering and the private placement is based on 153,796,274 shares of our common stock outstanding as of June 30, 2021 and excludes:</w:t>
      </w:r>
    </w:p>
    <w:p>
      <w:pPr>
        <w:spacing w:after="0" w:line="116" w:lineRule="exact"/>
        <w:rPr>
          <w:sz w:val="20"/>
          <w:szCs w:val="20"/>
          <w:color w:val="auto"/>
        </w:rPr>
      </w:pPr>
    </w:p>
    <w:p>
      <w:pPr>
        <w:ind w:left="660" w:right="400" w:hanging="328"/>
        <w:spacing w:after="0" w:line="29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25,355,906 shares of our common stock issuable upon the exercise of stock options outstanding as of June 30, 2021, with a weighted-average exercise price of $3.13 per share under our 2011 Plan;</w:t>
      </w:r>
    </w:p>
    <w:p>
      <w:pPr>
        <w:spacing w:after="0" w:line="115" w:lineRule="exact"/>
        <w:rPr>
          <w:rFonts w:ascii="Arial" w:cs="Arial" w:eastAsia="Arial" w:hAnsi="Arial"/>
          <w:sz w:val="18"/>
          <w:szCs w:val="18"/>
          <w:color w:val="auto"/>
        </w:rPr>
      </w:pPr>
    </w:p>
    <w:p>
      <w:pPr>
        <w:ind w:left="660" w:right="100" w:hanging="328"/>
        <w:spacing w:after="0" w:line="29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1,040,500 shares of our common stock issuable upon the exercise of stock options granted between June 30, 2021 and August 31, 2021 under our 2011 Plan, with a weighted average exercise price of $13.12 per share;</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617,696 shares of our common stock issuable upon the settlement of RSUs, outstanding as of June 30, 2021 under our 2011 Plan;</w:t>
      </w:r>
    </w:p>
    <w:p>
      <w:pPr>
        <w:spacing w:after="0" w:line="184" w:lineRule="exact"/>
        <w:rPr>
          <w:rFonts w:ascii="Arial" w:cs="Arial" w:eastAsia="Arial" w:hAnsi="Arial"/>
          <w:sz w:val="18"/>
          <w:szCs w:val="18"/>
          <w:color w:val="auto"/>
        </w:rPr>
      </w:pPr>
    </w:p>
    <w:p>
      <w:pPr>
        <w:ind w:left="660" w:right="240" w:hanging="328"/>
        <w:spacing w:after="0" w:line="29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638,388 shares of our common stock issuable upon the settlement of RSUs granted between June 30, 2021 and August 31, 2021 under our 2011 Plan;</w:t>
      </w:r>
    </w:p>
    <w:p>
      <w:pPr>
        <w:spacing w:after="0" w:line="115" w:lineRule="exact"/>
        <w:rPr>
          <w:rFonts w:ascii="Arial" w:cs="Arial" w:eastAsia="Arial" w:hAnsi="Arial"/>
          <w:sz w:val="18"/>
          <w:szCs w:val="18"/>
          <w:color w:val="auto"/>
        </w:rPr>
      </w:pPr>
    </w:p>
    <w:p>
      <w:pPr>
        <w:ind w:left="660" w:right="360" w:hanging="328"/>
        <w:spacing w:after="0" w:line="29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256,250 shares of our common stock issuable upon the exercise of outstanding warrants to purchase common stock outstanding as of June 30, 2021, with a weighted-average exercise price of $0.42 per share;</w:t>
      </w:r>
    </w:p>
    <w:p>
      <w:pPr>
        <w:spacing w:after="0" w:line="115" w:lineRule="exact"/>
        <w:rPr>
          <w:rFonts w:ascii="Arial" w:cs="Arial" w:eastAsia="Arial" w:hAnsi="Arial"/>
          <w:sz w:val="18"/>
          <w:szCs w:val="18"/>
          <w:color w:val="auto"/>
        </w:rPr>
      </w:pPr>
    </w:p>
    <w:p>
      <w:pPr>
        <w:ind w:left="660" w:right="80" w:hanging="328"/>
        <w:spacing w:after="0" w:line="299"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30,434,742 shares of our common stock reserved for future issuance under our equity compensation plans, consisting of (1) 1,934,742 shares of our common stock reserved for future issuance under our 2011 Plan, as of June 30, 2021 (which number of shares does not include the stock options to purchase shares of our common stock or restricted stock units granted after June 30, 2021), (2) 25,000,000 shares of our common stock reserved for future issuance under our 2021 Plan, which will become effective on the date immediately prior to the date of this prospectus,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(3) 3,500,000 shares of our common stock reserved for issuance under our ESPP, which will become effective on the date of this prospectus; and</w:t>
      </w:r>
    </w:p>
    <w:p>
      <w:pPr>
        <w:spacing w:after="0" w:line="206" w:lineRule="exact"/>
        <w:rPr>
          <w:rFonts w:ascii="Arial" w:cs="Arial" w:eastAsia="Arial" w:hAnsi="Arial"/>
          <w:sz w:val="16"/>
          <w:szCs w:val="16"/>
          <w:color w:val="auto"/>
        </w:rPr>
      </w:pPr>
    </w:p>
    <w:p>
      <w:pPr>
        <w:ind w:left="660" w:right="140" w:hanging="328"/>
        <w:spacing w:after="0" w:line="279"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1,819,609 shares of our common stock reserved to be issued pursuant to the Pledge 1% campaign, of which we will issue approximately 181,961 shares of our common stock on the day after the completion of this offering to the Pledge 1% campaign. For more information, see the section titled “Business—Corporate Philanthropy”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To the extent that any outstanding options described above are exercised, new options or RSUs are issued under our stock-based compensation plans, or we issue additional shares of common stock or other equity or convertible debt securities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1440" w:right="499" w:bottom="1440"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0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320" w:firstLine="324"/>
        <w:spacing w:after="0" w:line="27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Remitly is a leading digital financial services provider for immigrants and their families in over 135 countries around the world.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differentiated approach to addressing the complexity of cross-border remittances and financial services is comprised of four core elements:</w:t>
      </w:r>
    </w:p>
    <w:p>
      <w:pPr>
        <w:spacing w:after="0" w:line="192" w:lineRule="exact"/>
        <w:rPr>
          <w:sz w:val="20"/>
          <w:szCs w:val="20"/>
          <w:color w:val="auto"/>
        </w:rPr>
      </w:pPr>
    </w:p>
    <w:p>
      <w:pPr>
        <w:ind w:left="660" w:hanging="328"/>
        <w:spacing w:after="0" w:line="315"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Providing a simple and reliable way of sending money with our mobile-centric suite of products</w:t>
      </w:r>
      <w:r>
        <w:rPr>
          <w:rFonts w:ascii="Arial" w:cs="Arial" w:eastAsia="Arial" w:hAnsi="Arial"/>
          <w:sz w:val="16"/>
          <w:szCs w:val="16"/>
          <w:color w:val="auto"/>
        </w:rPr>
        <w:t>. On June 30, 2021, over 85%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engaged with Remitly on their mobile phones, shifting what traditionally required waiting in line to speak with an agent to the palm of their hands. Also as of June 30, 2021, our mobile app had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102" w:lineRule="exact"/>
        <w:rPr>
          <w:rFonts w:ascii="Arial" w:cs="Arial" w:eastAsia="Arial" w:hAnsi="Arial"/>
          <w:sz w:val="16"/>
          <w:szCs w:val="16"/>
          <w:color w:val="auto"/>
        </w:rPr>
      </w:pPr>
    </w:p>
    <w:p>
      <w:pPr>
        <w:ind w:left="660" w:hanging="328"/>
        <w:spacing w:after="0" w:line="310" w:lineRule="auto"/>
        <w:tabs>
          <w:tab w:leader="none" w:pos="655"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Conveniently putting money safely in the hands of our customers’ families, wherever they are, by relying on our global network</w:t>
      </w:r>
      <w:r>
        <w:rPr>
          <w:rFonts w:ascii="Arial" w:cs="Arial" w:eastAsia="Arial" w:hAnsi="Arial"/>
          <w:sz w:val="16"/>
          <w:szCs w:val="16"/>
          <w:color w:val="auto"/>
        </w:rPr>
        <w:t>. Our</w:t>
      </w:r>
      <w:r>
        <w:rPr>
          <w:rFonts w:ascii="Arial" w:cs="Arial" w:eastAsia="Arial" w:hAnsi="Arial"/>
          <w:sz w:val="16"/>
          <w:szCs w:val="16"/>
          <w:b w:val="1"/>
          <w:bCs w:val="1"/>
          <w:color w:val="auto"/>
        </w:rPr>
        <w:t xml:space="preserve"> </w:t>
      </w:r>
      <w:r>
        <w:rPr>
          <w:rFonts w:ascii="Arial" w:cs="Arial" w:eastAsia="Arial" w:hAnsi="Arial"/>
          <w:sz w:val="16"/>
          <w:szCs w:val="16"/>
          <w:color w:val="auto"/>
        </w:rPr>
        <w:t>global network of funding and disbursement partnerships enables us to complete money transfers in over 1,700 corridors without the need to deploy local operations in each country. We have partner relationships with top tier banks and leading global payment providers to give our customers an array of payment (or pay-in) options, including with a bank account, credit card or debit card, and alternative payment methods. Our disbursement network provides our customers with a choice of delivery and enables us to send (or pay-out) funds within minutes, to more than 3.5 billion bank accounts, over 630 million mobile wallets, and over 355,000 cash pickup locations (including retail outlets and banks). These partner relationships help drive a better customer experience, including faster transfers, higher acceptance rates, and enhanced reliability.</w:t>
      </w:r>
    </w:p>
    <w:p>
      <w:pPr>
        <w:spacing w:after="0" w:line="104" w:lineRule="exact"/>
        <w:rPr>
          <w:rFonts w:ascii="Arial" w:cs="Arial" w:eastAsia="Arial" w:hAnsi="Arial"/>
          <w:sz w:val="16"/>
          <w:szCs w:val="16"/>
          <w:color w:val="auto"/>
        </w:rPr>
      </w:pPr>
    </w:p>
    <w:p>
      <w:pPr>
        <w:ind w:left="660" w:right="120" w:hanging="328"/>
        <w:spacing w:after="0" w:line="297"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Creating trusted and personalized experiences with our localization expertise at scale</w:t>
      </w:r>
      <w:r>
        <w:rPr>
          <w:rFonts w:ascii="Arial" w:cs="Arial" w:eastAsia="Arial" w:hAnsi="Arial"/>
          <w:sz w:val="17"/>
          <w:szCs w:val="17"/>
          <w:color w:val="auto"/>
        </w:rPr>
        <w:t>. We believe our expertise in localizing our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customer support at scale is a key differentiator. For example, we tailor our customer experience with over 14 native languages and we drive peace of mind with our global customer support team. Additionally, for disbursement of funds, we partner with local brands that are among the most trusted and recognized by our customers, their families, and their other recipients.</w:t>
      </w:r>
    </w:p>
    <w:p>
      <w:pPr>
        <w:spacing w:after="0" w:line="112" w:lineRule="exact"/>
        <w:rPr>
          <w:rFonts w:ascii="Arial" w:cs="Arial" w:eastAsia="Arial" w:hAnsi="Arial"/>
          <w:sz w:val="17"/>
          <w:szCs w:val="17"/>
          <w:color w:val="auto"/>
        </w:rPr>
      </w:pPr>
    </w:p>
    <w:p>
      <w:pPr>
        <w:ind w:left="660" w:hanging="328"/>
        <w:spacing w:after="0" w:line="274"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Using our data-driven approach to better serve our customers and provide more value</w:t>
      </w:r>
      <w:r>
        <w:rPr>
          <w:rFonts w:ascii="Arial" w:cs="Arial" w:eastAsia="Arial" w:hAnsi="Arial"/>
          <w:sz w:val="18"/>
          <w:szCs w:val="18"/>
          <w:color w:val="auto"/>
        </w:rPr>
        <w:t>. We have a data-driven approach to how we grow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1440" w:right="379" w:bottom="1440" w:gutter="0" w:footer="0" w:header="0"/>
        </w:sectPr>
      </w:pPr>
    </w:p>
    <w:bookmarkStart w:id="87" w:name="page88"/>
    <w:bookmarkEnd w:id="87"/>
    <w:p>
      <w:pPr>
        <w:spacing w:after="0" w:line="157"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81915</wp:posOffset>
            </wp:positionV>
            <wp:extent cx="5332095" cy="4200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32095"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660" w:right="360" w:hanging="328"/>
        <w:spacing w:after="0" w:line="332"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Significant customer growth</w:t>
      </w:r>
      <w:r>
        <w:rPr>
          <w:rFonts w:ascii="Arial" w:cs="Arial" w:eastAsia="Arial" w:hAnsi="Arial"/>
          <w:sz w:val="16"/>
          <w:szCs w:val="16"/>
          <w:color w:val="auto"/>
        </w:rPr>
        <w:t>. As of June 30, 2021, more than 5 million customers have completed at least one transaction with Remitly.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our active customers grew approximately 57% for the three month period ended June 30, 2021 compared to the three month period ended June 30, 2020, while the number of transactions per active customers has increased each year for the past five years.</w:t>
      </w:r>
    </w:p>
    <w:p>
      <w:pPr>
        <w:spacing w:after="0" w:line="86" w:lineRule="exact"/>
        <w:rPr>
          <w:rFonts w:ascii="Arial" w:cs="Arial" w:eastAsia="Arial" w:hAnsi="Arial"/>
          <w:sz w:val="16"/>
          <w:szCs w:val="16"/>
          <w:color w:val="auto"/>
        </w:rPr>
      </w:pPr>
    </w:p>
    <w:p>
      <w:pPr>
        <w:ind w:left="660" w:right="160" w:hanging="328"/>
        <w:spacing w:after="0" w:line="29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High customer engagement</w:t>
      </w:r>
      <w:r>
        <w:rPr>
          <w:rFonts w:ascii="Arial" w:cs="Arial" w:eastAsia="Arial" w:hAnsi="Arial"/>
          <w:sz w:val="18"/>
          <w:szCs w:val="18"/>
          <w:color w:val="auto"/>
        </w:rPr>
        <w:t>. The majority of our active customers send money for non-discretionary needs multiple times per month,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strong customer engagement and a reoccurring revenue stream with high visibility and predictability.</w:t>
      </w:r>
    </w:p>
    <w:p>
      <w:pPr>
        <w:spacing w:after="0" w:line="108" w:lineRule="exact"/>
        <w:rPr>
          <w:rFonts w:ascii="Arial" w:cs="Arial" w:eastAsia="Arial" w:hAnsi="Arial"/>
          <w:sz w:val="18"/>
          <w:szCs w:val="18"/>
          <w:color w:val="auto"/>
        </w:rPr>
      </w:pPr>
    </w:p>
    <w:p>
      <w:pPr>
        <w:ind w:left="660" w:right="140" w:hanging="328"/>
        <w:spacing w:after="0" w:line="276"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Rapid send volume growth</w:t>
      </w:r>
      <w:r>
        <w:rPr>
          <w:rFonts w:ascii="Arial" w:cs="Arial" w:eastAsia="Arial" w:hAnsi="Arial"/>
          <w:sz w:val="18"/>
          <w:szCs w:val="18"/>
          <w:color w:val="auto"/>
        </w:rPr>
        <w:t>. Driven by our customer growth and high repeat transactions, our send volume increased 78% to $9.2 billion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2021, compared to $5.2 billion for the six months ended June 30, 2020. Looking at a longer period of time, our send volume increased at a compounded annual growth rate of 92% between 2015 and 2020. In addition, in 2020 we completed over 30.6 million transactions, representing total send volume of $12.1 billion.</w:t>
      </w:r>
    </w:p>
    <w:p>
      <w:pPr>
        <w:spacing w:after="0" w:line="127"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Attractive customer economics</w:t>
      </w:r>
      <w:r>
        <w:rPr>
          <w:rFonts w:ascii="Arial" w:cs="Arial" w:eastAsia="Arial" w:hAnsi="Arial"/>
          <w:sz w:val="18"/>
          <w:szCs w:val="18"/>
          <w:color w:val="auto"/>
        </w:rPr>
        <w:t>. As our customers continue to transact with us, we realize significant customer lifetime value and gain richer data</w:t>
      </w:r>
      <w:r>
        <w:rPr>
          <w:rFonts w:ascii="Arial" w:cs="Arial" w:eastAsia="Arial" w:hAnsi="Arial"/>
          <w:sz w:val="18"/>
          <w:szCs w:val="18"/>
          <w:b w:val="1"/>
          <w:bCs w:val="1"/>
          <w:color w:val="auto"/>
        </w:rPr>
        <w:t xml:space="preserve"> </w:t>
      </w:r>
      <w:r>
        <w:rPr>
          <w:rFonts w:ascii="Arial" w:cs="Arial" w:eastAsia="Arial" w:hAnsi="Arial"/>
          <w:sz w:val="18"/>
          <w:szCs w:val="18"/>
          <w:color w:val="auto"/>
        </w:rPr>
        <w:t>sets, enabling us to enhance our services and extend our offering with other financial services. The combination of our low acquisition costs, overall payback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157" w:lineRule="exact"/>
        <w:rPr>
          <w:sz w:val="20"/>
          <w:szCs w:val="20"/>
          <w:color w:val="auto"/>
        </w:rPr>
      </w:pPr>
    </w:p>
    <w:p>
      <w:pPr>
        <w:ind w:left="660" w:right="120"/>
        <w:spacing w:after="0" w:line="293" w:lineRule="auto"/>
        <w:rPr>
          <w:sz w:val="20"/>
          <w:szCs w:val="20"/>
          <w:color w:val="auto"/>
        </w:rPr>
      </w:pPr>
      <w:r>
        <w:rPr>
          <w:rFonts w:ascii="Arial" w:cs="Arial" w:eastAsia="Arial" w:hAnsi="Arial"/>
          <w:sz w:val="18"/>
          <w:szCs w:val="18"/>
          <w:color w:val="auto"/>
        </w:rPr>
        <w:t>period of approximately 10 months, and high repeat transactions leads to attractive customer economics and an average five-year LTV/CAC ratio of over 6x.</w:t>
      </w:r>
    </w:p>
    <w:p>
      <w:pPr>
        <w:spacing w:after="0" w:line="112" w:lineRule="exact"/>
        <w:rPr>
          <w:sz w:val="20"/>
          <w:szCs w:val="20"/>
          <w:color w:val="auto"/>
        </w:rPr>
      </w:pPr>
    </w:p>
    <w:p>
      <w:pPr>
        <w:ind w:left="660" w:right="60" w:hanging="328"/>
        <w:spacing w:after="0" w:line="321"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Expanded global network</w:t>
      </w:r>
      <w:r>
        <w:rPr>
          <w:rFonts w:ascii="Arial" w:cs="Arial" w:eastAsia="Arial" w:hAnsi="Arial"/>
          <w:sz w:val="16"/>
          <w:szCs w:val="16"/>
          <w:color w:val="auto"/>
        </w:rPr>
        <w:t>. Each year we have expanded our global network by adding new funding and disbursement partners around the world.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last five years, we extended our global reach to over 135 countries and over 75 supported currencies. We continued to diversify our remittance business; the revenue from customers in the United States declined from 83% of revenue in 2019 to 77% of revenue in 2020, while revenue from customers in Canada increased from 10% to 12% and revenue from customers in other countries increased from 7% to 11%.</w:t>
      </w:r>
    </w:p>
    <w:p>
      <w:pPr>
        <w:spacing w:after="0" w:line="100" w:lineRule="exact"/>
        <w:rPr>
          <w:sz w:val="20"/>
          <w:szCs w:val="20"/>
          <w:color w:val="auto"/>
        </w:rPr>
      </w:pPr>
    </w:p>
    <w:p>
      <w:pPr>
        <w:ind w:right="40" w:firstLine="324"/>
        <w:spacing w:after="0" w:line="272" w:lineRule="auto"/>
        <w:rPr>
          <w:sz w:val="20"/>
          <w:szCs w:val="20"/>
          <w:color w:val="auto"/>
        </w:rPr>
      </w:pPr>
      <w:r>
        <w:rPr>
          <w:rFonts w:ascii="Arial" w:cs="Arial" w:eastAsia="Arial" w:hAnsi="Arial"/>
          <w:sz w:val="18"/>
          <w:szCs w:val="18"/>
          <w:color w:val="auto"/>
        </w:rPr>
        <w:t>Our success in growing our customer base and usage of our services has allowed us to achieve meaningful scale to date. We generated $257.0 million in revenue for 2020, compared to $126.6 million for 2019, 103% year-over-year growth. We generated $202.1 million in revenue for the six months ended June 30, 2021, compared to $105.1 million for the six months ended June 30, 2020, 92% year-over-year growth. We incurred a net loss of $32.6 million for 2020, compared to a net loss of $51.4 million for 2019. We incurred a net loss of $21.1 million for the six months ended June 30, 2020, compared to a net loss of $9.2 million for the six months ended June 30,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8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8"/>
          <w:szCs w:val="18"/>
          <w:color w:val="auto"/>
        </w:rPr>
        <w:t>For our remittance business, which represents the vast majority of our revenue today, we generate revenue from transaction fees charged to customers and foreign exchange spreads applied to the customer’s principal.</w:t>
      </w:r>
    </w:p>
    <w:p>
      <w:pPr>
        <w:spacing w:after="0" w:line="11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Transaction fees vary based on the corridor, the currency in which funds are delivered to the recipient, the funding method a customer chooses (e.g., ACH, credit card, debit card, etc.), and the amount of the customer’s principal.</w:t>
      </w:r>
    </w:p>
    <w:p>
      <w:pPr>
        <w:spacing w:after="0" w:line="116" w:lineRule="exact"/>
        <w:rPr>
          <w:sz w:val="20"/>
          <w:szCs w:val="20"/>
          <w:color w:val="auto"/>
        </w:rPr>
      </w:pPr>
    </w:p>
    <w:p>
      <w:pPr>
        <w:jc w:val="both"/>
        <w:ind w:right="600" w:firstLine="324"/>
        <w:spacing w:after="0" w:line="329"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94" w:lineRule="exact"/>
        <w:rPr>
          <w:sz w:val="20"/>
          <w:szCs w:val="20"/>
          <w:color w:val="auto"/>
        </w:rPr>
      </w:pPr>
    </w:p>
    <w:p>
      <w:pPr>
        <w:ind w:right="160" w:firstLine="324"/>
        <w:spacing w:after="0" w:line="319"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Any incentives above this amount are recorded as marketing expense. We consider these incentives as an investment in our long-term relationship with customers.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trusted relationships we foster with our customers and the repeat nature of their sending behavior has resulted in strong revenue retention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provides a reoccurring revenue stream with high visibility and predictability.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Financial Measure</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We regularly review the following key business metrics and a non-GAAP financial measure to evaluate our performance, identify trends affecting our business, prepare financial projections, and make strategic decisions. We believe that these key business metrics and the non-GAAP financial measure provide meaningful supplemental information for management and investors in assessing our historical and future operating performance. The calculation of these key business metrics and the non-GAAP financial measure discussed below may differ from other similarly titled metrics used by other companies, analysts, or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00" w:type="dxa"/>
            <w:vAlign w:val="bottom"/>
            <w:gridSpan w:val="2"/>
          </w:tcPr>
          <w:p>
            <w:pPr>
              <w:jc w:val="right"/>
              <w:ind w:right="599"/>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7"/>
        </w:trPr>
        <w:tc>
          <w:tcPr>
            <w:tcW w:w="57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640" w:type="dxa"/>
            <w:vAlign w:val="bottom"/>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ind w:right="902"/>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6"/>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6"/>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5780" w:type="dxa"/>
            <w:vAlign w:val="bottom"/>
            <w:gridSpan w:val="2"/>
            <w:shd w:val="clear" w:color="auto" w:fill="CCEEFF"/>
          </w:tcPr>
          <w:p>
            <w:pPr>
              <w:jc w:val="right"/>
              <w:ind w:right="4428"/>
              <w:spacing w:after="0"/>
              <w:rPr>
                <w:sz w:val="20"/>
                <w:szCs w:val="20"/>
                <w:color w:val="auto"/>
              </w:rPr>
            </w:pPr>
            <w:r>
              <w:rPr>
                <w:rFonts w:ascii="Arial" w:cs="Arial" w:eastAsia="Arial" w:hAnsi="Arial"/>
                <w:sz w:val="18"/>
                <w:szCs w:val="18"/>
                <w:color w:val="auto"/>
                <w:w w:val="91"/>
              </w:rPr>
              <w:t>Active customers</w:t>
            </w:r>
          </w:p>
        </w:tc>
        <w:tc>
          <w:tcPr>
            <w:tcW w:w="164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948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1,891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1,525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7"/>
        </w:trPr>
        <w:tc>
          <w:tcPr>
            <w:tcW w:w="4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 number of our active customers is an important indicator of customer engagement and the overall growth of our business.</w:t>
      </w:r>
    </w:p>
    <w:p>
      <w:pPr>
        <w:spacing w:after="0" w:line="196"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Active customers increased to 1,891,000 for the three months ended December 31, 2020, or 100% growth, compared to the three months ended December 31, 2019. This increase was primarily due to an increase in new customers driven by investments in marketing spend, our seamless user experience, network expansion, and new corridor rollouts, as well as the accelerated digital adoption of remittances as a result of the COVID-19 pandemic.</w:t>
      </w:r>
    </w:p>
    <w:p>
      <w:pPr>
        <w:spacing w:after="0" w:line="94" w:lineRule="exact"/>
        <w:rPr>
          <w:sz w:val="20"/>
          <w:szCs w:val="20"/>
          <w:color w:val="auto"/>
        </w:rPr>
      </w:pPr>
    </w:p>
    <w:p>
      <w:pPr>
        <w:ind w:right="280" w:firstLine="324"/>
        <w:spacing w:after="0" w:line="275" w:lineRule="auto"/>
        <w:rPr>
          <w:sz w:val="20"/>
          <w:szCs w:val="20"/>
          <w:color w:val="auto"/>
        </w:rPr>
      </w:pPr>
      <w:r>
        <w:rPr>
          <w:rFonts w:ascii="Arial" w:cs="Arial" w:eastAsia="Arial" w:hAnsi="Arial"/>
          <w:sz w:val="18"/>
          <w:szCs w:val="18"/>
          <w:color w:val="auto"/>
        </w:rPr>
        <w:t>Active customers increased to 2,397,000, or 57% growth, for the three months ended June 30, 2021, compared to the three months ended June 30, 2020. This increase was primarily due to an increase in new customers driven by investments in marketing spend, our seamless user experience, and network expansion. In addition, we continue to see the benefit of increased adoption of digital remittances as a result of the COVID-19 pandemic which began in April 2020.</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Send Volume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c>
          <w:tcPr>
            <w:tcW w:w="274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7"/>
                <w:szCs w:val="17"/>
                <w:color w:val="auto"/>
              </w:rPr>
            </w:pPr>
          </w:p>
        </w:tc>
        <w:tc>
          <w:tcPr>
            <w:tcW w:w="120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Send volume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7,087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12,055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5,185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r>
      <w:tr>
        <w:trPr>
          <w:trHeight w:val="27"/>
        </w:trPr>
        <w:tc>
          <w:tcPr>
            <w:tcW w:w="4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We measure send volume to assess the scale of remittances sent using our platform. Our customers mostly send from the United States, Canada, United Kingdom, other countries in Europe, and Australia. The recipients are located in over 115 countries across the globe; the largest receive countries include India, the Philippines, and Mexico.</w:t>
      </w:r>
    </w:p>
    <w:p>
      <w:pPr>
        <w:spacing w:after="0" w:line="129"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8"/>
          <w:szCs w:val="18"/>
          <w:color w:val="auto"/>
        </w:rPr>
        <w:t>Send volume increased to $12.1 billion for 2020, compared to $7.1 billion for 2019, largely due to higher transaction volumes from new and existing customers, partially offset by lower average send amount per active customers as a result of increasing geographic diversification, and in particular a mix shift toward corridors with lower average send amounts.</w:t>
      </w:r>
    </w:p>
    <w:p>
      <w:pPr>
        <w:spacing w:after="0" w:line="129" w:lineRule="exact"/>
        <w:rPr>
          <w:sz w:val="20"/>
          <w:szCs w:val="20"/>
          <w:color w:val="auto"/>
        </w:rPr>
      </w:pPr>
    </w:p>
    <w:p>
      <w:pPr>
        <w:ind w:right="80" w:firstLine="324"/>
        <w:spacing w:after="0" w:line="303" w:lineRule="auto"/>
        <w:rPr>
          <w:sz w:val="20"/>
          <w:szCs w:val="20"/>
          <w:color w:val="auto"/>
        </w:rPr>
      </w:pPr>
      <w:r>
        <w:rPr>
          <w:rFonts w:ascii="Arial" w:cs="Arial" w:eastAsia="Arial" w:hAnsi="Arial"/>
          <w:sz w:val="17"/>
          <w:szCs w:val="17"/>
          <w:color w:val="auto"/>
        </w:rPr>
        <w:t>Send volume increased $4.1 billion, or 78%, to $9.2 billion for the six months ended June 30, 2021, compared to $5.2 billion for the six months ended June 30, 2020, largely due to higher transaction volumes from new and existing customers, partially offset by lower average send amount per active customers as a result of increasing geographic diversification, and a mix shift toward corridors with lower average send amounts.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185"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We use a non-GAAP financial measure to supplement Net loss. This non-GAAP financial measure is Adjusted EBITDA which we calculate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and v) non-cash stock-based compensation expense.</w:t>
      </w:r>
    </w:p>
    <w:p>
      <w:pPr>
        <w:spacing w:after="0" w:line="131" w:lineRule="exact"/>
        <w:rPr>
          <w:sz w:val="20"/>
          <w:szCs w:val="20"/>
          <w:color w:val="auto"/>
        </w:rPr>
      </w:pPr>
    </w:p>
    <w:p>
      <w:pPr>
        <w:ind w:right="460" w:firstLine="324"/>
        <w:spacing w:after="0" w:line="293" w:lineRule="auto"/>
        <w:rPr>
          <w:sz w:val="20"/>
          <w:szCs w:val="20"/>
          <w:color w:val="auto"/>
        </w:rPr>
      </w:pPr>
      <w:r>
        <w:rPr>
          <w:rFonts w:ascii="Arial" w:cs="Arial" w:eastAsia="Arial" w:hAnsi="Arial"/>
          <w:sz w:val="18"/>
          <w:szCs w:val="18"/>
          <w:color w:val="auto"/>
        </w:rPr>
        <w:t>Our goal is not to maximize Adjusted EBITDA in any given quarter, but to drive revenue growth with investments that generate long-term value. Adjusted EBITDA is a key output measure used by our management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7"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evaluate our operating performance, inform future operating plans, and make strategic long term decisions, including those relating to operating expenses and the allocation of internal resources.</w:t>
      </w:r>
    </w:p>
    <w:p>
      <w:pPr>
        <w:spacing w:after="0" w:line="116" w:lineRule="exact"/>
        <w:rPr>
          <w:sz w:val="20"/>
          <w:szCs w:val="20"/>
          <w:color w:val="auto"/>
        </w:rPr>
      </w:pPr>
    </w:p>
    <w:p>
      <w:pPr>
        <w:ind w:right="480" w:firstLine="324"/>
        <w:spacing w:after="0" w:line="293" w:lineRule="auto"/>
        <w:rPr>
          <w:sz w:val="20"/>
          <w:szCs w:val="20"/>
          <w:color w:val="auto"/>
        </w:rPr>
      </w:pPr>
      <w:r>
        <w:rPr>
          <w:rFonts w:ascii="Arial" w:cs="Arial" w:eastAsia="Arial" w:hAnsi="Arial"/>
          <w:sz w:val="18"/>
          <w:szCs w:val="18"/>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16" w:lineRule="exact"/>
        <w:rPr>
          <w:sz w:val="20"/>
          <w:szCs w:val="20"/>
          <w:color w:val="auto"/>
        </w:rPr>
      </w:pPr>
    </w:p>
    <w:p>
      <w:pPr>
        <w:ind w:left="660" w:right="300" w:hanging="328"/>
        <w:spacing w:after="0" w:line="27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84" w:lineRule="exact"/>
        <w:rPr>
          <w:rFonts w:ascii="Arial" w:cs="Arial" w:eastAsia="Arial" w:hAnsi="Arial"/>
          <w:sz w:val="18"/>
          <w:szCs w:val="18"/>
          <w:color w:val="auto"/>
        </w:rPr>
      </w:pPr>
    </w:p>
    <w:p>
      <w:pPr>
        <w:ind w:left="660" w:right="540" w:hanging="328"/>
        <w:spacing w:after="0" w:line="29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does not reflect the effect of gains and losses from the remeasurement of foreign currency assets and liabilities into their functional currency;</w:t>
      </w:r>
    </w:p>
    <w:p>
      <w:pPr>
        <w:spacing w:after="0" w:line="115" w:lineRule="exact"/>
        <w:rPr>
          <w:rFonts w:ascii="Arial" w:cs="Arial" w:eastAsia="Arial" w:hAnsi="Arial"/>
          <w:sz w:val="18"/>
          <w:szCs w:val="18"/>
          <w:color w:val="auto"/>
        </w:rPr>
      </w:pPr>
    </w:p>
    <w:p>
      <w:pPr>
        <w:ind w:left="660" w:right="400" w:hanging="328"/>
        <w:spacing w:after="0" w:line="29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115" w:lineRule="exact"/>
        <w:rPr>
          <w:rFonts w:ascii="Arial" w:cs="Arial" w:eastAsia="Arial" w:hAnsi="Arial"/>
          <w:sz w:val="18"/>
          <w:szCs w:val="18"/>
          <w:color w:val="auto"/>
        </w:rPr>
      </w:pPr>
    </w:p>
    <w:p>
      <w:pPr>
        <w:ind w:left="660" w:right="160" w:hanging="328"/>
        <w:spacing w:after="0" w:line="293"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from how we calculate this measure or not at all, which reduces its usefulness as a comparative measure.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c>
          <w:tcPr>
            <w:tcW w:w="27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5"/>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277"/>
        </w:trPr>
        <w:tc>
          <w:tcPr>
            <w:tcW w:w="46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(44,296)</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(19,859)</w:t>
            </w:r>
          </w:p>
        </w:tc>
        <w:tc>
          <w:tcPr>
            <w:tcW w:w="12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w:t>
            </w: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20" w:firstLine="324"/>
        <w:spacing w:after="0" w:line="329" w:lineRule="auto"/>
        <w:rPr>
          <w:sz w:val="20"/>
          <w:szCs w:val="20"/>
          <w:color w:val="auto"/>
        </w:rPr>
      </w:pPr>
      <w:r>
        <w:rPr>
          <w:rFonts w:ascii="Arial" w:cs="Arial" w:eastAsia="Arial" w:hAnsi="Arial"/>
          <w:sz w:val="16"/>
          <w:szCs w:val="16"/>
          <w:color w:val="auto"/>
        </w:rPr>
        <w:t>Adjusted EBITDA improved to $(19.9) million for 2020 compared to $(44.3) million for 2019. This improvement was largely due to higher revenue driven by an acceleration in new customer acquisition partially offset by higher transaction and customer support costs, investments in new customer acquisition and our technology platform, other general and administrative expenses, and an increase in expenses that are adjusted from net loss.</w:t>
      </w:r>
    </w:p>
    <w:p>
      <w:pPr>
        <w:spacing w:after="0" w:line="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Adjusted EBITDA improved to $(3.7) million for the six months ended June 30, 2021, compared to $(14.2) million for the six months ended June 30, 2020, driven by continued acceleration in revenue and new customer acquisition partially offset by higher processing and customer support costs, investments in customer acquisition and our technology platform, and other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Retain Our Customers and Maintain High Customer Engagement</w:t>
      </w:r>
    </w:p>
    <w:p>
      <w:pPr>
        <w:spacing w:after="0" w:line="185" w:lineRule="exact"/>
        <w:rPr>
          <w:sz w:val="20"/>
          <w:szCs w:val="20"/>
          <w:color w:val="auto"/>
        </w:rPr>
      </w:pPr>
    </w:p>
    <w:p>
      <w:pPr>
        <w:ind w:right="40" w:firstLine="324"/>
        <w:spacing w:after="0" w:line="324" w:lineRule="auto"/>
        <w:rPr>
          <w:sz w:val="20"/>
          <w:szCs w:val="20"/>
          <w:color w:val="auto"/>
        </w:rPr>
      </w:pPr>
      <w:r>
        <w:rPr>
          <w:rFonts w:ascii="Arial" w:cs="Arial" w:eastAsia="Arial" w:hAnsi="Arial"/>
          <w:sz w:val="17"/>
          <w:szCs w:val="17"/>
          <w:color w:val="auto"/>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93" w:lineRule="exact"/>
        <w:rPr>
          <w:sz w:val="20"/>
          <w:szCs w:val="20"/>
          <w:color w:val="auto"/>
        </w:rPr>
      </w:pPr>
    </w:p>
    <w:p>
      <w:pPr>
        <w:ind w:right="140" w:firstLine="324"/>
        <w:spacing w:after="0" w:line="303" w:lineRule="auto"/>
        <w:rPr>
          <w:sz w:val="20"/>
          <w:szCs w:val="20"/>
          <w:color w:val="auto"/>
        </w:rPr>
      </w:pPr>
      <w:r>
        <w:rPr>
          <w:rFonts w:ascii="Arial" w:cs="Arial" w:eastAsia="Arial" w:hAnsi="Arial"/>
          <w:sz w:val="17"/>
          <w:szCs w:val="17"/>
          <w:color w:val="auto"/>
        </w:rPr>
        <w:t>We measure active customers to monitor the growth and performance of our customer base. During the second quarter of 2021, 2.4 million customers used Remitly to send money abroad, up 57% from the second quarter of 2020. The majority of our active customers send money for recurring, non-discretionary needs multiple times per month, providing a reoccurring revenue stream with high visibility and predictability.</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Attract New Customers</w:t>
      </w:r>
    </w:p>
    <w:p>
      <w:pPr>
        <w:spacing w:after="0" w:line="185" w:lineRule="exact"/>
        <w:rPr>
          <w:sz w:val="20"/>
          <w:szCs w:val="20"/>
          <w:color w:val="auto"/>
        </w:rPr>
      </w:pPr>
    </w:p>
    <w:p>
      <w:pPr>
        <w:ind w:right="180" w:firstLine="324"/>
        <w:spacing w:after="0" w:line="292" w:lineRule="auto"/>
        <w:rPr>
          <w:sz w:val="20"/>
          <w:szCs w:val="20"/>
          <w:color w:val="auto"/>
        </w:rPr>
      </w:pPr>
      <w:r>
        <w:rPr>
          <w:rFonts w:ascii="Arial" w:cs="Arial" w:eastAsia="Arial" w:hAnsi="Arial"/>
          <w:sz w:val="17"/>
          <w:szCs w:val="17"/>
          <w:color w:val="auto"/>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will continue to acquire our customers through digital marketing channels and word-of-mouth referrals from existing customers, and we expect our marketing expenses to increase in the coming years as a result. We will also explore new customer acquisition channels. Given the nature of our revenue, our investment in marketing in a given period may not impact results until subsequent periods.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Maintain Efficient Customer Acquisition</w:t>
      </w:r>
    </w:p>
    <w:p>
      <w:pPr>
        <w:spacing w:after="0" w:line="185" w:lineRule="exact"/>
        <w:rPr>
          <w:sz w:val="20"/>
          <w:szCs w:val="20"/>
          <w:color w:val="auto"/>
        </w:rPr>
      </w:pPr>
    </w:p>
    <w:p>
      <w:pPr>
        <w:ind w:right="260" w:firstLine="324"/>
        <w:spacing w:after="0" w:line="293" w:lineRule="auto"/>
        <w:rPr>
          <w:sz w:val="20"/>
          <w:szCs w:val="20"/>
          <w:color w:val="auto"/>
        </w:rPr>
      </w:pPr>
      <w:r>
        <w:rPr>
          <w:rFonts w:ascii="Arial" w:cs="Arial" w:eastAsia="Arial" w:hAnsi="Arial"/>
          <w:sz w:val="18"/>
          <w:szCs w:val="18"/>
          <w:color w:val="auto"/>
        </w:rPr>
        <w:t>Our ability to efficiently acquire customers is critical to our growth and attractive customer economics. Online marketing competition, our ability to effectively target the right demographic, and competitor pricing may impact our customer acquisition strategy.</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We have a history of successfully monitoring CAC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Corridor Mix</w:t>
      </w:r>
    </w:p>
    <w:p>
      <w:pPr>
        <w:spacing w:after="0" w:line="185" w:lineRule="exact"/>
        <w:rPr>
          <w:sz w:val="20"/>
          <w:szCs w:val="20"/>
          <w:color w:val="auto"/>
        </w:rPr>
      </w:pPr>
    </w:p>
    <w:p>
      <w:pPr>
        <w:ind w:right="100" w:firstLine="324"/>
        <w:spacing w:after="0" w:line="319"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85" w:lineRule="exact"/>
        <w:rPr>
          <w:sz w:val="20"/>
          <w:szCs w:val="20"/>
          <w:color w:val="auto"/>
        </w:rPr>
      </w:pPr>
    </w:p>
    <w:p>
      <w:pPr>
        <w:ind w:right="60" w:firstLine="324"/>
        <w:spacing w:after="0" w:line="270" w:lineRule="auto"/>
        <w:rPr>
          <w:sz w:val="20"/>
          <w:szCs w:val="20"/>
          <w:color w:val="auto"/>
        </w:rPr>
      </w:pPr>
      <w:r>
        <w:rPr>
          <w:rFonts w:ascii="Arial" w:cs="Arial" w:eastAsia="Arial" w:hAnsi="Arial"/>
          <w:sz w:val="18"/>
          <w:szCs w:val="18"/>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 expenses.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 a quarter and the day of week that the last day of the quarter falls on may also introduce variability in our results, balance sheet,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Invest in Our Technology Platform and Introduce New Products</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We will continue to invest significant resources in our technology platform. These investments will allow us continue to iterate, adapt, and add features to our current products, improve the customer and recipient experience, grow our payment and disbursement network, enhance our risk and security infrastructure, and continue to secure data in accordance with changing best practices and legal requirements, as well as to introduce new and innovate products. We expect our expenses related to technology and development to increase, which may impact short-term profitability, but we believe these investments will ultimately contribute to our long term growth.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Manage Risk and Fraud</w:t>
      </w:r>
    </w:p>
    <w:p>
      <w:pPr>
        <w:spacing w:after="0" w:line="185"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We manage fraud (e.g., through identity theft) and other illegitimate activity (e.g., money laundering) by utilizing our proprietary risk models built on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This allows us to achieve and maintain fraud loss rates within desired guardrails.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Macroeconomic and Geopolitical Changes</w:t>
      </w:r>
    </w:p>
    <w:p>
      <w:pPr>
        <w:spacing w:after="0" w:line="18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Global macroeconomic and geopolitical factors, including immigration, trade and regulatory policies, unemployment,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using our service.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9" w:lineRule="exact"/>
        <w:rPr>
          <w:sz w:val="20"/>
          <w:szCs w:val="20"/>
          <w:color w:val="auto"/>
        </w:rPr>
      </w:pPr>
    </w:p>
    <w:p>
      <w:pPr>
        <w:ind w:right="320" w:firstLine="324"/>
        <w:spacing w:after="0" w:line="279" w:lineRule="auto"/>
        <w:rPr>
          <w:sz w:val="20"/>
          <w:szCs w:val="20"/>
          <w:color w:val="auto"/>
        </w:rPr>
      </w:pPr>
      <w:r>
        <w:rPr>
          <w:rFonts w:ascii="Arial" w:cs="Arial" w:eastAsia="Arial" w:hAnsi="Arial"/>
          <w:sz w:val="18"/>
          <w:szCs w:val="18"/>
          <w:color w:val="auto"/>
        </w:rPr>
        <w:t>The COVID-19 pandemic has caused significant disruption worldwide and many of our customers and employees have been impacted. With travel restrictions and shelter-in-place policies, the demand for digital remittances has increased, and this has driven a significant acceleration in our new customer growth.</w:t>
      </w:r>
    </w:p>
    <w:p>
      <w:pPr>
        <w:spacing w:after="0" w:line="12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8"/>
          <w:szCs w:val="18"/>
          <w:color w:val="auto"/>
        </w:rPr>
        <w:t>We have also experienced, and may continue to experience, a modest adverse impact on our business practices, including as a result of transitioning part of our workforce to work from home and establishing strict health and safety protocols for our offices. Our customer support and operations teams, both internal and third-party, have been impacted, which has affected our ability to service customer needs due to longer wait times and our ability to hire personnel quickly.</w:t>
      </w:r>
    </w:p>
    <w:p>
      <w:pPr>
        <w:spacing w:after="0" w:line="131"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color w:val="auto"/>
        </w:rPr>
        <w:t>Certain operating expenses have grown more slowly due to reduced business travel and the virtualization or cancellation of events. While a reduction in some operating expenses may have an immediate positive impact on our operating results, we do not yet have visibility into the full impact this will have on our business longer term. As COVID-19 vaccination rates increase and people begin to return to offices and other workplaces and travel more, the positive impacts of the COVID-19 pandemic on our business may slow or decline.</w:t>
      </w:r>
    </w:p>
    <w:p>
      <w:pPr>
        <w:spacing w:after="0" w:line="13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cash flows, and financial condition will depend on future developments that are highly uncertain and cannot be accurately predicted. We do not yet know the full extent of potential impacts on our business or operations.</w:t>
      </w:r>
    </w:p>
    <w:p>
      <w:pPr>
        <w:spacing w:after="0" w:line="129" w:lineRule="exact"/>
        <w:rPr>
          <w:sz w:val="20"/>
          <w:szCs w:val="20"/>
          <w:color w:val="auto"/>
        </w:rPr>
      </w:pPr>
    </w:p>
    <w:p>
      <w:pPr>
        <w:ind w:right="360" w:firstLine="324"/>
        <w:spacing w:after="0" w:line="324" w:lineRule="auto"/>
        <w:rPr>
          <w:sz w:val="20"/>
          <w:szCs w:val="20"/>
          <w:color w:val="auto"/>
        </w:rPr>
      </w:pPr>
      <w:r>
        <w:rPr>
          <w:rFonts w:ascii="Arial" w:cs="Arial" w:eastAsia="Arial" w:hAnsi="Arial"/>
          <w:sz w:val="17"/>
          <w:szCs w:val="17"/>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Our revenue is generated on transaction fees charged to customers and foreign exchange spreads between the foreign exchange rate offered to customers and the foreign exchange rate on our currency purchases. Revenue is recognized when the funds have been delivered to the intended recipient in an amount that reflects the consideration we expect to be entitled to in exchange for services provided. Revenue is derived from each transaction and varies based on the size of the transaction, the funding method used, the currency to be ultimately disbursed, the rate at which the currency was purchased, and the countries to which the funds are transferred. We recognize transaction revenue on a gross basis as we are the principal for fulfilling payment transactions.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right="340" w:firstLine="324"/>
        <w:spacing w:after="0" w:line="359" w:lineRule="auto"/>
        <w:rPr>
          <w:sz w:val="20"/>
          <w:szCs w:val="20"/>
          <w:color w:val="auto"/>
        </w:rPr>
      </w:pPr>
      <w:r>
        <w:rPr>
          <w:rFonts w:ascii="Arial" w:cs="Arial" w:eastAsia="Arial" w:hAnsi="Arial"/>
          <w:sz w:val="16"/>
          <w:szCs w:val="16"/>
          <w:i w:val="1"/>
          <w:iCs w:val="1"/>
          <w:color w:val="auto"/>
        </w:rPr>
        <w:t>Transaction Expenses</w:t>
      </w:r>
      <w:r>
        <w:rPr>
          <w:rFonts w:ascii="Arial" w:cs="Arial" w:eastAsia="Arial" w:hAnsi="Arial"/>
          <w:sz w:val="16"/>
          <w:szCs w:val="16"/>
          <w:color w:val="auto"/>
        </w:rPr>
        <w:t>. Transaction expenses include fees paid to disbursement partners for paying funds to the recipient, provisions for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fees paid to payment processors for funding transactions, bad debt expense, fraud prevention costs and costs for compliance tools.</w:t>
      </w:r>
    </w:p>
    <w:p>
      <w:pPr>
        <w:spacing w:after="0" w:line="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i w:val="1"/>
          <w:iCs w:val="1"/>
          <w:color w:val="auto"/>
        </w:rPr>
        <w:t>Customer Support and Operations</w:t>
      </w:r>
      <w:r>
        <w:rPr>
          <w:rFonts w:ascii="Arial" w:cs="Arial" w:eastAsia="Arial" w:hAnsi="Arial"/>
          <w:sz w:val="17"/>
          <w:szCs w:val="17"/>
          <w:color w:val="auto"/>
        </w:rPr>
        <w:t>. Customer support and operations expenses consist primarily of personnel-related expenses associated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support and operations organization, including salaries, benefits, and stock-based compensation,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and investments in tools to effectively service our customers, as well as increased customer self-service capabilities. Customer support and operations expenses also include corporate communication costs and professional services fees.</w:t>
      </w:r>
    </w:p>
    <w:p>
      <w:pPr>
        <w:spacing w:after="0" w:line="122" w:lineRule="exact"/>
        <w:rPr>
          <w:sz w:val="20"/>
          <w:szCs w:val="20"/>
          <w:color w:val="auto"/>
        </w:rPr>
      </w:pPr>
    </w:p>
    <w:p>
      <w:pPr>
        <w:ind w:right="20" w:firstLine="324"/>
        <w:spacing w:after="0" w:line="303" w:lineRule="auto"/>
        <w:rPr>
          <w:sz w:val="20"/>
          <w:szCs w:val="20"/>
          <w:color w:val="auto"/>
        </w:rPr>
      </w:pPr>
      <w:r>
        <w:rPr>
          <w:rFonts w:ascii="Arial" w:cs="Arial" w:eastAsia="Arial" w:hAnsi="Arial"/>
          <w:sz w:val="17"/>
          <w:szCs w:val="17"/>
          <w:i w:val="1"/>
          <w:iCs w:val="1"/>
          <w:color w:val="auto"/>
        </w:rPr>
        <w:t>Marketing</w:t>
      </w:r>
      <w:r>
        <w:rPr>
          <w:rFonts w:ascii="Arial" w:cs="Arial" w:eastAsia="Arial" w:hAnsi="Arial"/>
          <w:sz w:val="17"/>
          <w:szCs w:val="17"/>
          <w:color w:val="auto"/>
        </w:rPr>
        <w:t>. Marketing expenses consist primarily of advertising costs used to attract new customers. Marketing expenses also include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associated with our marketing organization, including salaries, benefits, and stock-based compensation, promotions, costs for software subscription services dedicated for use by our marketing organization, and outside services contracted for marketing purposes.</w:t>
      </w:r>
    </w:p>
    <w:p>
      <w:pPr>
        <w:spacing w:after="0" w:line="110"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i w:val="1"/>
          <w:iCs w:val="1"/>
          <w:color w:val="auto"/>
        </w:rPr>
        <w:t>Technology and Development</w:t>
      </w:r>
      <w:r>
        <w:rPr>
          <w:rFonts w:ascii="Arial" w:cs="Arial" w:eastAsia="Arial" w:hAnsi="Arial"/>
          <w:sz w:val="18"/>
          <w:szCs w:val="18"/>
          <w:color w:val="auto"/>
        </w:rPr>
        <w:t>. Technology and development expenses consist primarily of personnel-related expenses for employees involved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design, development and maintenance of both new and existing products and services, including salaries, benefits and stock-based compensation. Technology and development expenses also include professional services fees and costs for software subscription services dedicated for use by our technology and development teams.</w:t>
      </w:r>
    </w:p>
    <w:p>
      <w:pPr>
        <w:spacing w:after="0" w:line="131" w:lineRule="exact"/>
        <w:rPr>
          <w:sz w:val="20"/>
          <w:szCs w:val="20"/>
          <w:color w:val="auto"/>
        </w:rPr>
      </w:pPr>
    </w:p>
    <w:p>
      <w:pPr>
        <w:ind w:right="20" w:firstLine="324"/>
        <w:spacing w:after="0" w:line="296" w:lineRule="auto"/>
        <w:rPr>
          <w:sz w:val="20"/>
          <w:szCs w:val="20"/>
          <w:color w:val="auto"/>
        </w:rPr>
      </w:pPr>
      <w:r>
        <w:rPr>
          <w:rFonts w:ascii="Arial" w:cs="Arial" w:eastAsia="Arial" w:hAnsi="Arial"/>
          <w:sz w:val="17"/>
          <w:szCs w:val="17"/>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16" w:lineRule="exact"/>
        <w:rPr>
          <w:sz w:val="20"/>
          <w:szCs w:val="20"/>
          <w:color w:val="auto"/>
        </w:rPr>
      </w:pPr>
    </w:p>
    <w:p>
      <w:pPr>
        <w:ind w:right="300" w:firstLine="324"/>
        <w:spacing w:after="0" w:line="303"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consist primarily of personnel-related expenses for our finance, legal,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facilities, and administrative personnel, including salaries, benefits, and stock-based compensation. General and administrative expenses also include professional services fees, costs for software subscriptions, facilities costs, and other corporate expenses.</w:t>
      </w:r>
    </w:p>
    <w:p>
      <w:pPr>
        <w:spacing w:after="0" w:line="110" w:lineRule="exact"/>
        <w:rPr>
          <w:sz w:val="20"/>
          <w:szCs w:val="20"/>
          <w:color w:val="auto"/>
        </w:rPr>
      </w:pPr>
    </w:p>
    <w:p>
      <w:pPr>
        <w:ind w:right="40" w:firstLine="324"/>
        <w:spacing w:after="0" w:line="29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on property and equipment and leasehold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amortization of internal-use software costs and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primarily of the interest expense on our borrowings under our Credit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ind w:right="720" w:firstLine="324"/>
        <w:spacing w:after="0" w:line="293" w:lineRule="auto"/>
        <w:rPr>
          <w:sz w:val="20"/>
          <w:szCs w:val="20"/>
          <w:color w:val="auto"/>
        </w:rPr>
      </w:pPr>
      <w:r>
        <w:rPr>
          <w:rFonts w:ascii="Arial" w:cs="Arial" w:eastAsia="Arial" w:hAnsi="Arial"/>
          <w:sz w:val="18"/>
          <w:szCs w:val="18"/>
          <w:color w:val="auto"/>
        </w:rPr>
        <w:t>Other income (expense), net primarily consists of gains and losses from the remeasurement of foreign currency assets and liabilities into their functional currency.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right="260" w:firstLine="324"/>
        <w:spacing w:after="0" w:line="293" w:lineRule="auto"/>
        <w:rPr>
          <w:sz w:val="20"/>
          <w:szCs w:val="20"/>
          <w:color w:val="auto"/>
        </w:rPr>
      </w:pPr>
      <w:r>
        <w:rPr>
          <w:rFonts w:ascii="Arial" w:cs="Arial" w:eastAsia="Arial" w:hAnsi="Arial"/>
          <w:sz w:val="18"/>
          <w:szCs w:val="18"/>
          <w:color w:val="auto"/>
        </w:rPr>
        <w:t>Provision for income taxes consists primarily of income taxes in certain international and state jurisdictions in which we conduct business. We have established a full valuation allowance against our U.S. net deferred tax assets.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126,567</w:t>
            </w:r>
          </w:p>
        </w:tc>
        <w:tc>
          <w:tcPr>
            <w:tcW w:w="4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256,956</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105,149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202,106</w:t>
            </w:r>
          </w:p>
        </w:tc>
        <w:tc>
          <w:tcPr>
            <w:tcW w:w="0" w:type="dxa"/>
            <w:vAlign w:val="bottom"/>
          </w:tcPr>
          <w:p>
            <w:pPr>
              <w:spacing w:after="0"/>
              <w:rPr>
                <w:sz w:val="1"/>
                <w:szCs w:val="1"/>
                <w:color w:val="auto"/>
              </w:rPr>
            </w:pPr>
          </w:p>
        </w:tc>
      </w:tr>
      <w:tr>
        <w:trPr>
          <w:trHeight w:val="237"/>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55,858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110,414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46,210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87,615</w:t>
            </w:r>
          </w:p>
        </w:tc>
        <w:tc>
          <w:tcPr>
            <w:tcW w:w="0" w:type="dxa"/>
            <w:vAlign w:val="bottom"/>
          </w:tcPr>
          <w:p>
            <w:pPr>
              <w:spacing w:after="0"/>
              <w:rPr>
                <w:sz w:val="1"/>
                <w:szCs w:val="1"/>
                <w:color w:val="auto"/>
              </w:rPr>
            </w:pPr>
          </w:p>
        </w:tc>
      </w:tr>
      <w:tr>
        <w:trPr>
          <w:trHeight w:val="283"/>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Customer Support and Operations</w:t>
            </w:r>
            <w:r>
              <w:rPr>
                <w:rFonts w:ascii="Arial" w:cs="Arial" w:eastAsia="Arial" w:hAnsi="Arial"/>
                <w:sz w:val="23"/>
                <w:szCs w:val="23"/>
                <w:color w:val="auto"/>
                <w:vertAlign w:val="superscript"/>
              </w:rPr>
              <w:t>(1) (2)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17,445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25,428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83"/>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Marketing </w:t>
            </w:r>
            <w:r>
              <w:rPr>
                <w:rFonts w:ascii="Arial" w:cs="Arial" w:eastAsia="Arial" w:hAnsi="Arial"/>
                <w:sz w:val="23"/>
                <w:szCs w:val="23"/>
                <w:color w:val="auto"/>
                <w:vertAlign w:val="superscript"/>
              </w:rPr>
              <w:t>(1) (2)</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43,542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73,804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32,107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52,274</w:t>
            </w:r>
          </w:p>
        </w:tc>
        <w:tc>
          <w:tcPr>
            <w:tcW w:w="0" w:type="dxa"/>
            <w:vAlign w:val="bottom"/>
          </w:tcPr>
          <w:p>
            <w:pPr>
              <w:spacing w:after="0"/>
              <w:rPr>
                <w:sz w:val="1"/>
                <w:szCs w:val="1"/>
                <w:color w:val="auto"/>
              </w:rPr>
            </w:pPr>
          </w:p>
        </w:tc>
      </w:tr>
      <w:tr>
        <w:trPr>
          <w:trHeight w:val="284"/>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 xml:space="preserve">Technology and Development </w:t>
            </w:r>
            <w:r>
              <w:rPr>
                <w:rFonts w:ascii="Arial" w:cs="Arial" w:eastAsia="Arial" w:hAnsi="Arial"/>
                <w:sz w:val="23"/>
                <w:szCs w:val="23"/>
                <w:color w:val="auto"/>
                <w:vertAlign w:val="superscript"/>
              </w:rPr>
              <w:t>(1) (2)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32,008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40,777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8"/>
                <w:szCs w:val="18"/>
                <w:color w:val="auto"/>
              </w:rPr>
              <w:t>19,059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26,842</w:t>
            </w:r>
          </w:p>
        </w:tc>
        <w:tc>
          <w:tcPr>
            <w:tcW w:w="0" w:type="dxa"/>
            <w:vAlign w:val="bottom"/>
          </w:tcPr>
          <w:p>
            <w:pPr>
              <w:spacing w:after="0"/>
              <w:rPr>
                <w:sz w:val="1"/>
                <w:szCs w:val="1"/>
                <w:color w:val="auto"/>
              </w:rPr>
            </w:pPr>
          </w:p>
        </w:tc>
      </w:tr>
      <w:tr>
        <w:trPr>
          <w:trHeight w:val="283"/>
        </w:trPr>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 (2)</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25,658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31,656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14,341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22,890</w:t>
            </w:r>
          </w:p>
        </w:tc>
        <w:tc>
          <w:tcPr>
            <w:tcW w:w="0" w:type="dxa"/>
            <w:vAlign w:val="bottom"/>
          </w:tcPr>
          <w:p>
            <w:pPr>
              <w:spacing w:after="0"/>
              <w:rPr>
                <w:sz w:val="1"/>
                <w:szCs w:val="1"/>
                <w:color w:val="auto"/>
              </w:rPr>
            </w:pPr>
          </w:p>
        </w:tc>
      </w:tr>
      <w:tr>
        <w:trPr>
          <w:trHeight w:val="257"/>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4,060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177,169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286,139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123,737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212,622</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340" w:type="dxa"/>
            <w:vAlign w:val="bottom"/>
          </w:tcPr>
          <w:p>
            <w:pPr>
              <w:ind w:left="60"/>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(50,602)</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(29,183)</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(18,588)</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50"/>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(51,133)</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(31,401)</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7"/>
        </w:trPr>
        <w:tc>
          <w:tcPr>
            <w:tcW w:w="46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(51,392)</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4"/>
                <w:szCs w:val="14"/>
                <w:color w:val="auto"/>
              </w:rPr>
              <w:t>_______________</w:t>
            </w: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6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640" w:type="dxa"/>
            <w:vAlign w:val="bottom"/>
            <w:gridSpan w:val="2"/>
          </w:tcPr>
          <w:p>
            <w:pPr>
              <w:spacing w:after="0"/>
              <w:rPr>
                <w:sz w:val="20"/>
                <w:szCs w:val="20"/>
                <w:color w:val="auto"/>
              </w:rPr>
            </w:pPr>
            <w:r>
              <w:rPr>
                <w:rFonts w:ascii="Arial" w:cs="Arial" w:eastAsia="Arial" w:hAnsi="Arial"/>
                <w:sz w:val="14"/>
                <w:szCs w:val="14"/>
                <w:color w:val="auto"/>
              </w:rPr>
              <w:t>(1) Exclusive of depreciation and amortization, shown separately, above</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40" w:type="dxa"/>
            <w:vAlign w:val="bottom"/>
            <w:gridSpan w:val="2"/>
          </w:tcPr>
          <w:p>
            <w:pPr>
              <w:spacing w:after="0"/>
              <w:rPr>
                <w:sz w:val="20"/>
                <w:szCs w:val="20"/>
                <w:color w:val="auto"/>
              </w:rPr>
            </w:pPr>
            <w:r>
              <w:rPr>
                <w:rFonts w:ascii="Arial" w:cs="Arial" w:eastAsia="Arial" w:hAnsi="Arial"/>
                <w:sz w:val="14"/>
                <w:szCs w:val="14"/>
                <w:color w:val="auto"/>
              </w:rPr>
              <w:t>(2) Includes stock-based compensation expense as follows: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7"/>
          </w:tcPr>
          <w:p>
            <w:pPr>
              <w:jc w:val="right"/>
              <w:ind w:right="96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0" w:type="dxa"/>
            <w:vAlign w:val="bottom"/>
            <w:gridSpan w:val="7"/>
          </w:tcPr>
          <w:p>
            <w:pPr>
              <w:jc w:val="right"/>
              <w:ind w:right="1100"/>
              <w:spacing w:after="0"/>
              <w:rPr>
                <w:sz w:val="20"/>
                <w:szCs w:val="20"/>
                <w:color w:val="auto"/>
              </w:rPr>
            </w:pPr>
            <w:r>
              <w:rPr>
                <w:rFonts w:ascii="Arial" w:cs="Arial" w:eastAsia="Arial" w:hAnsi="Arial"/>
                <w:sz w:val="13"/>
                <w:szCs w:val="13"/>
                <w:b w:val="1"/>
                <w:bCs w:val="1"/>
                <w:color w:val="auto"/>
                <w:w w:val="99"/>
              </w:rPr>
              <w:t>Six Months Ended June 30,</w:t>
            </w:r>
          </w:p>
        </w:tc>
        <w:tc>
          <w:tcPr>
            <w:tcW w:w="0" w:type="dxa"/>
            <w:vAlign w:val="bottom"/>
          </w:tcPr>
          <w:p>
            <w:pPr>
              <w:spacing w:after="0"/>
              <w:rPr>
                <w:sz w:val="1"/>
                <w:szCs w:val="1"/>
                <w:color w:val="auto"/>
              </w:rPr>
            </w:pPr>
          </w:p>
        </w:tc>
      </w:tr>
      <w:tr>
        <w:trPr>
          <w:trHeight w:val="30"/>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58"/>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55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558"/>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5"/>
          </w:tcPr>
          <w:p>
            <w:pPr>
              <w:jc w:val="right"/>
              <w:ind w:right="170"/>
              <w:spacing w:after="0"/>
              <w:rPr>
                <w:sz w:val="20"/>
                <w:szCs w:val="20"/>
                <w:color w:val="auto"/>
              </w:rPr>
            </w:pPr>
            <w:r>
              <w:rPr>
                <w:rFonts w:ascii="Arial" w:cs="Arial" w:eastAsia="Arial" w:hAnsi="Arial"/>
                <w:sz w:val="13"/>
                <w:szCs w:val="13"/>
                <w:b w:val="1"/>
                <w:b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Customer support and operations</w:t>
            </w:r>
          </w:p>
        </w:tc>
        <w:tc>
          <w:tcPr>
            <w:tcW w:w="4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Marketing</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Technology and development</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0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440" w:right="339" w:bottom="1114" w:gutter="0" w:footer="0" w:header="0"/>
          <w:type w:val="continuous"/>
        </w:sectPr>
      </w:pPr>
    </w:p>
    <w:bookmarkStart w:id="95" w:name="page96"/>
    <w:bookmarkEnd w:id="9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176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120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4"/>
          </w:tcPr>
          <w:p>
            <w:pPr>
              <w:jc w:val="right"/>
              <w:ind w:right="1302"/>
              <w:spacing w:after="0"/>
              <w:rPr>
                <w:sz w:val="20"/>
                <w:szCs w:val="20"/>
                <w:color w:val="auto"/>
              </w:rPr>
            </w:pPr>
            <w:r>
              <w:rPr>
                <w:rFonts w:ascii="Arial" w:cs="Arial" w:eastAsia="Arial" w:hAnsi="Arial"/>
                <w:sz w:val="14"/>
                <w:szCs w:val="14"/>
                <w:b w:val="1"/>
                <w:bCs w:val="1"/>
                <w:color w:val="auto"/>
              </w:rPr>
              <w:t>(dollars in thousands)</w:t>
            </w:r>
          </w:p>
        </w:tc>
        <w:tc>
          <w:tcPr>
            <w:tcW w:w="1260" w:type="dxa"/>
            <w:vAlign w:val="bottom"/>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126,567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256,956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130,389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7"/>
        </w:trPr>
        <w:tc>
          <w:tcPr>
            <w:tcW w:w="4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360" w:firstLine="324"/>
        <w:spacing w:after="0" w:line="293" w:lineRule="auto"/>
        <w:rPr>
          <w:sz w:val="20"/>
          <w:szCs w:val="20"/>
          <w:color w:val="auto"/>
        </w:rPr>
      </w:pPr>
      <w:r>
        <w:rPr>
          <w:rFonts w:ascii="Arial" w:cs="Arial" w:eastAsia="Arial" w:hAnsi="Arial"/>
          <w:sz w:val="18"/>
          <w:szCs w:val="18"/>
          <w:color w:val="auto"/>
        </w:rPr>
        <w:t>Revenue increased $130.4 million, or 103%, from 2019 to 2020. This increase was primarily driven by growth in active customers, which doubled compared to 2019.</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6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26"/>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7"/>
                <w:szCs w:val="17"/>
                <w:color w:val="auto"/>
              </w:rPr>
            </w:pPr>
          </w:p>
        </w:tc>
        <w:tc>
          <w:tcPr>
            <w:tcW w:w="170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942"/>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7"/>
        </w:trPr>
        <w:tc>
          <w:tcPr>
            <w:tcW w:w="4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2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55,858</w:t>
            </w:r>
          </w:p>
        </w:tc>
        <w:tc>
          <w:tcPr>
            <w:tcW w:w="9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110,414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54,556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57"/>
        </w:trPr>
        <w:tc>
          <w:tcPr>
            <w:tcW w:w="44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44 %</w:t>
            </w:r>
          </w:p>
        </w:tc>
        <w:tc>
          <w:tcPr>
            <w:tcW w:w="9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69" w:lineRule="exact"/>
        <w:rPr>
          <w:sz w:val="20"/>
          <w:szCs w:val="20"/>
          <w:color w:val="auto"/>
        </w:rPr>
      </w:pPr>
    </w:p>
    <w:p>
      <w:pPr>
        <w:ind w:right="40" w:firstLine="324"/>
        <w:spacing w:after="0" w:line="275" w:lineRule="auto"/>
        <w:rPr>
          <w:sz w:val="20"/>
          <w:szCs w:val="20"/>
          <w:color w:val="auto"/>
        </w:rPr>
      </w:pPr>
      <w:r>
        <w:rPr>
          <w:rFonts w:ascii="Arial" w:cs="Arial" w:eastAsia="Arial" w:hAnsi="Arial"/>
          <w:sz w:val="18"/>
          <w:szCs w:val="18"/>
          <w:color w:val="auto"/>
        </w:rPr>
        <w:t>Transaction expenses increased $54.6 million, or 98%, for 2020, compared to 2019. The increase was driven by a $37.3 million increase in direct costs associated with processing a higher volume of our customers’ remittance transactions and the disbursement of our customers’ funds to their recipients, a $12.0 million increase in fraud and other losses largely driven by growth in new customers and send volume, and a $5.3 million increase in software and tools that support our compliance and risk operations.</w:t>
      </w:r>
    </w:p>
    <w:p>
      <w:pPr>
        <w:spacing w:after="0" w:line="131"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As a percentage of revenue, transaction expenses decreased to 43% for 2020, from 44% for 2019, which was driven primarily by scale benefits as we grew send volume.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 Support and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6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25"/>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support and operations</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17,445</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25,428</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88"/>
              </w:rPr>
              <w:t>7,983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14 %</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83"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Customer support and operations expenses increased $8.0 million, or 46%, for 2020, compared to 2019. This increase was primarily driven by a $5.5 million increase in third-party customer support costs, a $1.7 million increase in internal personnel costs at our sites in the Philippines and Nicaragua that support customer operations, and a $1.1 million increase in software and telephony costs, partially offset by $0.2 million lower travel and office expenses. Although customer support and operations expense growth is typically tied to new customer and active customers growth, these costs grew slower than active customers for 2020, as we experienced absenteeism and delays in hiring due to the COVID-19 pandemic. We also invested in tools to increase customer self-service capabilities, which helped to reduce customer contact rates and drove operational efficiencies.</w:t>
      </w:r>
    </w:p>
    <w:p>
      <w:pPr>
        <w:spacing w:after="0" w:line="109"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As a percentage of revenue, customer support and operations expenses decreased to 10% for 2020, from 14% for 2019, which was driven primarily by operational efficiencies coupled with the impact of the COVID-19 pandemic on our ability to service customer demand. We expect that these costs will increase as a percentage of revenue in 2021, as we increase staffing to support higher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76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26"/>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7"/>
        </w:trPr>
        <w:tc>
          <w:tcPr>
            <w:tcW w:w="4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jc w:val="right"/>
              <w:ind w:right="942"/>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20" w:type="dxa"/>
            <w:vAlign w:val="bottom"/>
            <w:gridSpan w:val="5"/>
          </w:tcPr>
          <w:p>
            <w:pPr>
              <w:jc w:val="right"/>
              <w:ind w:right="1402"/>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7"/>
                <w:szCs w:val="17"/>
                <w:color w:val="auto"/>
              </w:rPr>
            </w:pPr>
          </w:p>
        </w:tc>
      </w:tr>
      <w:tr>
        <w:trPr>
          <w:trHeight w:val="26"/>
        </w:trPr>
        <w:tc>
          <w:tcPr>
            <w:tcW w:w="4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43,542</w:t>
            </w:r>
          </w:p>
        </w:tc>
        <w:tc>
          <w:tcPr>
            <w:tcW w:w="104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73,804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30,262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57"/>
        </w:trPr>
        <w:tc>
          <w:tcPr>
            <w:tcW w:w="44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34 %</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8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color w:val="auto"/>
        </w:rPr>
        <w:t>Marketing expenses increased $30.3 million, or 70%, for 2020, compared to 2019, due primarily to an increase of $28.1 million in direct marketing expenses, including online and offline marketing spend and promotion costs to acquire new customers. Personnel-related costs, including stock-based compensation expense, increased by $2.1 million, driven by a 41% year-over-year increase in marketing headcount, partially offset by a $0.2 million decrease in compensation expense recorded for a tender offer that occurred in 2019. The remaining increase was driven by a $0.3 million increase in other marketing operating expense, primarily indirect marketing.</w:t>
      </w:r>
    </w:p>
    <w:p>
      <w:pPr>
        <w:spacing w:after="0" w:line="137" w:lineRule="exact"/>
        <w:rPr>
          <w:sz w:val="20"/>
          <w:szCs w:val="20"/>
          <w:color w:val="auto"/>
        </w:rPr>
      </w:pPr>
    </w:p>
    <w:p>
      <w:pPr>
        <w:ind w:right="40" w:firstLine="324"/>
        <w:spacing w:after="0" w:line="293" w:lineRule="auto"/>
        <w:rPr>
          <w:sz w:val="20"/>
          <w:szCs w:val="20"/>
          <w:color w:val="auto"/>
        </w:rPr>
      </w:pPr>
      <w:r>
        <w:rPr>
          <w:rFonts w:ascii="Arial" w:cs="Arial" w:eastAsia="Arial" w:hAnsi="Arial"/>
          <w:sz w:val="18"/>
          <w:szCs w:val="18"/>
          <w:color w:val="auto"/>
        </w:rPr>
        <w:t>As a percentage of revenue, marketing expenses decreased to 29% for 2020, from 34% for 2019, as our existing customer base became a larger portion of revenue while our marketing spend was mostly dedicated to acquiring new customers.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6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7"/>
        </w:trPr>
        <w:tc>
          <w:tcPr>
            <w:tcW w:w="4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32,008</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40,777</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88"/>
              </w:rPr>
              <w:t>8,769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56"/>
        </w:trPr>
        <w:tc>
          <w:tcPr>
            <w:tcW w:w="44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25 %</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69"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Technology and development expenses increased $8.8 million, or 27%, for 2020, compared to 2019. This increase was driven by a $7.3 million increase in personnel-related expenses, including stock-based compensation expense, resulting from a 27% year-over-year increase in technology and development headcount, partially offset by a $2.0 million decrease in compensation expense related to a tender offer that occurred in 2019. The increase in technology and development expenses was also driven by $3.5 million in software costs for employee tools and cloud services due to growth in both headcount and the volume of transactions.</w:t>
      </w:r>
    </w:p>
    <w:p>
      <w:pPr>
        <w:spacing w:after="0" w:line="137" w:lineRule="exact"/>
        <w:rPr>
          <w:sz w:val="20"/>
          <w:szCs w:val="20"/>
          <w:color w:val="auto"/>
        </w:rPr>
      </w:pPr>
    </w:p>
    <w:p>
      <w:pPr>
        <w:ind w:right="280" w:firstLine="324"/>
        <w:spacing w:after="0" w:line="293" w:lineRule="auto"/>
        <w:rPr>
          <w:sz w:val="20"/>
          <w:szCs w:val="20"/>
          <w:color w:val="auto"/>
        </w:rPr>
      </w:pPr>
      <w:r>
        <w:rPr>
          <w:rFonts w:ascii="Arial" w:cs="Arial" w:eastAsia="Arial" w:hAnsi="Arial"/>
          <w:sz w:val="18"/>
          <w:szCs w:val="18"/>
          <w:color w:val="auto"/>
        </w:rPr>
        <w:t>As a percentage of revenue, technology and development expenses decreased to 16% for 2020, from 25% for 2019, as we leveraged our technology platform and infrastructure over a larger revenue and customer base.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76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25"/>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2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
        </w:trPr>
        <w:tc>
          <w:tcPr>
            <w:tcW w:w="4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25,658</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31,656</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88"/>
              </w:rPr>
              <w:t>5,998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83"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General and administrative expenses increased $6.0 million, or 23%, for 2020, compared to 2019. This increase was primarily driven by a $6.2 million increase in personnel-related expenses, including stock-based compensation expense, driven by a 52% increase in general and administrative headcount. This increase was partially offset by a $1.8 million decrease in compensation expense related to a tender offer that occurred in 2019. The growth in general and administrative expenses was also due to an increase of $1.1 million in facilities costs as we expanded our office space in the United Kingdom and Nicaragua, and an increase of $0.5 million in other general and administrative expenses, primarily professional fees and bank fees.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1440" w:right="339" w:bottom="1440" w:gutter="0" w:footer="0" w:header="0"/>
          <w:type w:val="continuous"/>
        </w:sectPr>
      </w:pPr>
    </w:p>
    <w:bookmarkStart w:id="97" w:name="page98"/>
    <w:bookmarkEnd w:id="97"/>
    <w:p>
      <w:pPr>
        <w:spacing w:after="0" w:line="157" w:lineRule="exact"/>
        <w:rPr>
          <w:sz w:val="20"/>
          <w:szCs w:val="20"/>
          <w:color w:val="auto"/>
        </w:rPr>
      </w:pPr>
    </w:p>
    <w:p>
      <w:pPr>
        <w:ind w:right="380" w:firstLine="324"/>
        <w:spacing w:after="0" w:line="293" w:lineRule="auto"/>
        <w:rPr>
          <w:sz w:val="20"/>
          <w:szCs w:val="20"/>
          <w:color w:val="auto"/>
        </w:rPr>
      </w:pPr>
      <w:r>
        <w:rPr>
          <w:rFonts w:ascii="Arial" w:cs="Arial" w:eastAsia="Arial" w:hAnsi="Arial"/>
          <w:sz w:val="18"/>
          <w:szCs w:val="18"/>
          <w:color w:val="auto"/>
        </w:rPr>
        <w:t>As a percentage of revenue, general and administrative expenses decreased to 12% for 2020, from 20% for 2019, due to economies of scale as our revenue grew faster than our general and administrative expenses.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80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r>
      <w:tr>
        <w:trPr>
          <w:trHeight w:val="26"/>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4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7"/>
        </w:trPr>
        <w:tc>
          <w:tcPr>
            <w:tcW w:w="4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2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
        </w:trPr>
        <w:tc>
          <w:tcPr>
            <w:tcW w:w="4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2,658</w:t>
            </w:r>
          </w:p>
        </w:tc>
        <w:tc>
          <w:tcPr>
            <w:tcW w:w="110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4,060</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88"/>
              </w:rPr>
              <w:t>1,402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2 %</w:t>
            </w:r>
          </w:p>
        </w:tc>
        <w:tc>
          <w:tcPr>
            <w:tcW w:w="1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283" w:lineRule="exact"/>
        <w:rPr>
          <w:sz w:val="20"/>
          <w:szCs w:val="20"/>
          <w:color w:val="auto"/>
        </w:rPr>
      </w:pPr>
    </w:p>
    <w:p>
      <w:pPr>
        <w:ind w:right="520" w:firstLine="324"/>
        <w:spacing w:after="0" w:line="293" w:lineRule="auto"/>
        <w:rPr>
          <w:sz w:val="20"/>
          <w:szCs w:val="20"/>
          <w:color w:val="auto"/>
        </w:rPr>
      </w:pPr>
      <w:r>
        <w:rPr>
          <w:rFonts w:ascii="Arial" w:cs="Arial" w:eastAsia="Arial" w:hAnsi="Arial"/>
          <w:sz w:val="18"/>
          <w:szCs w:val="18"/>
          <w:color w:val="auto"/>
        </w:rPr>
        <w:t>Depreciation and amortization increased $1.4 million, or 53%, for 2020, compared to 2019. This increase was primarily driven by an increase in depreciation for internally developed software.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w w:val="92"/>
              </w:rPr>
              <w:t>(dollars in thousands)</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
        </w:trPr>
        <w:tc>
          <w:tcPr>
            <w:tcW w:w="4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(838)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right="660"/>
        <w:spacing w:after="0" w:line="465" w:lineRule="auto"/>
        <w:rPr>
          <w:sz w:val="20"/>
          <w:szCs w:val="20"/>
          <w:color w:val="auto"/>
        </w:rPr>
      </w:pPr>
      <w:r>
        <w:rPr>
          <w:rFonts w:ascii="Arial" w:cs="Arial" w:eastAsia="Arial" w:hAnsi="Arial"/>
          <w:sz w:val="18"/>
          <w:szCs w:val="18"/>
          <w:color w:val="auto"/>
        </w:rPr>
        <w:t xml:space="preserve">Interest income decreased $0.8 million, for 2020, compared to 2019, primarily due to a lower interest rate earned on interest-bearing accounts. </w:t>
      </w:r>
      <w:r>
        <w:rPr>
          <w:rFonts w:ascii="Arial" w:cs="Arial" w:eastAsia="Arial" w:hAnsi="Arial"/>
          <w:sz w:val="18"/>
          <w:szCs w:val="18"/>
          <w:b w:val="1"/>
          <w:bCs w:val="1"/>
          <w:i w:val="1"/>
          <w:iCs w:val="1"/>
          <w:color w:val="auto"/>
        </w:rPr>
        <w:t>Interest Expense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
        </w:trPr>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(1,608)</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(1,189)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419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360" w:firstLine="324"/>
        <w:spacing w:after="0" w:line="324" w:lineRule="auto"/>
        <w:rPr>
          <w:sz w:val="20"/>
          <w:szCs w:val="20"/>
          <w:color w:val="auto"/>
        </w:rPr>
      </w:pPr>
      <w:r>
        <w:rPr>
          <w:rFonts w:ascii="Arial" w:cs="Arial" w:eastAsia="Arial" w:hAnsi="Arial"/>
          <w:sz w:val="17"/>
          <w:szCs w:val="17"/>
          <w:color w:val="auto"/>
        </w:rPr>
        <w:t>Interest expense decreased $0.4 million, for 2020, compared to 2019, primarily due to lower interest expense on our Revolving Credit Facility as a result of lower outstanding borrowings, given the close of our Series F redeemable convertible preferred stock financing in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6"/>
                <w:szCs w:val="16"/>
                <w:color w:val="auto"/>
              </w:rPr>
            </w:pPr>
          </w:p>
        </w:tc>
      </w:tr>
      <w:tr>
        <w:trPr>
          <w:trHeight w:val="25"/>
        </w:trPr>
        <w:tc>
          <w:tcPr>
            <w:tcW w:w="4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902"/>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Percent</w:t>
            </w:r>
          </w:p>
        </w:tc>
      </w:tr>
      <w:tr>
        <w:trPr>
          <w:trHeight w:val="25"/>
        </w:trPr>
        <w:tc>
          <w:tcPr>
            <w:tcW w:w="4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gridSpan w:val="4"/>
          </w:tcPr>
          <w:p>
            <w:pPr>
              <w:jc w:val="right"/>
              <w:ind w:right="1322"/>
              <w:spacing w:after="0"/>
              <w:rPr>
                <w:sz w:val="20"/>
                <w:szCs w:val="20"/>
                <w:color w:val="auto"/>
              </w:rPr>
            </w:pPr>
            <w:r>
              <w:rPr>
                <w:rFonts w:ascii="Arial" w:cs="Arial" w:eastAsia="Arial" w:hAnsi="Arial"/>
                <w:sz w:val="14"/>
                <w:szCs w:val="14"/>
                <w:b w:val="1"/>
                <w:bCs w:val="1"/>
                <w:color w:val="auto"/>
                <w:w w:val="90"/>
              </w:rPr>
              <w:t>(dollars in thousands)</w:t>
            </w:r>
          </w:p>
        </w:tc>
        <w:tc>
          <w:tcPr>
            <w:tcW w:w="1200" w:type="dxa"/>
            <w:vAlign w:val="bottom"/>
          </w:tcPr>
          <w:p>
            <w:pPr>
              <w:spacing w:after="0"/>
              <w:rPr>
                <w:sz w:val="16"/>
                <w:szCs w:val="16"/>
                <w:color w:val="auto"/>
              </w:rPr>
            </w:pPr>
          </w:p>
        </w:tc>
      </w:tr>
      <w:tr>
        <w:trPr>
          <w:trHeight w:val="25"/>
        </w:trPr>
        <w:tc>
          <w:tcPr>
            <w:tcW w:w="4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(1,268)</w:t>
            </w:r>
          </w:p>
        </w:tc>
        <w:tc>
          <w:tcPr>
            <w:tcW w:w="12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9"/>
              </w:rPr>
              <w:t>nm*</w:t>
            </w: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 not meaningful</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281" w:lineRule="exact"/>
        <w:rPr>
          <w:sz w:val="20"/>
          <w:szCs w:val="20"/>
          <w:color w:val="auto"/>
        </w:rPr>
      </w:pPr>
    </w:p>
    <w:p>
      <w:pPr>
        <w:ind w:right="160" w:firstLine="324"/>
        <w:spacing w:after="0" w:line="324" w:lineRule="auto"/>
        <w:rPr>
          <w:sz w:val="20"/>
          <w:szCs w:val="20"/>
          <w:color w:val="auto"/>
        </w:rPr>
      </w:pPr>
      <w:r>
        <w:rPr>
          <w:rFonts w:ascii="Arial" w:cs="Arial" w:eastAsia="Arial" w:hAnsi="Arial"/>
          <w:sz w:val="17"/>
          <w:szCs w:val="17"/>
          <w:color w:val="auto"/>
        </w:rPr>
        <w:t>Other expense, net, increased $1.3 million for 2020, compared to 2019, primarily due to foreign exchange remeasurements on transactions associated with high volume balance sheet balances and volatility in related currencies, including the Indian rupee and Mexican peso.</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w w:val="92"/>
              </w:rPr>
              <w:t>(dollars in thousands)</w:t>
            </w:r>
          </w:p>
        </w:tc>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
        </w:trPr>
        <w:tc>
          <w:tcPr>
            <w:tcW w:w="4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904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7"/>
        </w:trPr>
        <w:tc>
          <w:tcPr>
            <w:tcW w:w="4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1440" w:right="339" w:bottom="1440" w:gutter="0" w:footer="0" w:header="0"/>
          <w:type w:val="continuous"/>
        </w:sectPr>
      </w:pPr>
    </w:p>
    <w:bookmarkStart w:id="98" w:name="page99"/>
    <w:bookmarkEnd w:id="98"/>
    <w:p>
      <w:pPr>
        <w:spacing w:after="0" w:line="157" w:lineRule="exact"/>
        <w:rPr>
          <w:sz w:val="20"/>
          <w:szCs w:val="20"/>
          <w:color w:val="auto"/>
        </w:rPr>
      </w:pPr>
    </w:p>
    <w:p>
      <w:pPr>
        <w:ind w:right="60" w:firstLine="324"/>
        <w:spacing w:after="0" w:line="293" w:lineRule="auto"/>
        <w:rPr>
          <w:sz w:val="20"/>
          <w:szCs w:val="20"/>
          <w:color w:val="auto"/>
        </w:rPr>
      </w:pPr>
      <w:r>
        <w:rPr>
          <w:rFonts w:ascii="Arial" w:cs="Arial" w:eastAsia="Arial" w:hAnsi="Arial"/>
          <w:sz w:val="18"/>
          <w:szCs w:val="18"/>
          <w:color w:val="auto"/>
        </w:rPr>
        <w:t>The provision for income taxes increased $0.9 million, for 2020, compared to 2019, primarily due to an increase in foreign taxable income in line with business growth in these jurisdictions and changes in U.S. state income tax laws.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2020 and 2021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76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26"/>
        </w:trPr>
        <w:tc>
          <w:tcPr>
            <w:tcW w:w="4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7"/>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118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40" w:type="dxa"/>
            <w:vAlign w:val="bottom"/>
            <w:gridSpan w:val="4"/>
          </w:tcPr>
          <w:p>
            <w:pPr>
              <w:jc w:val="right"/>
              <w:ind w:right="1322"/>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7"/>
                <w:szCs w:val="17"/>
                <w:color w:val="auto"/>
              </w:rPr>
            </w:pPr>
          </w:p>
        </w:tc>
      </w:tr>
      <w:tr>
        <w:trPr>
          <w:trHeight w:val="26"/>
        </w:trPr>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105,149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202,106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96,957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4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40" w:firstLine="324"/>
        <w:spacing w:after="0" w:line="275" w:lineRule="auto"/>
        <w:rPr>
          <w:sz w:val="20"/>
          <w:szCs w:val="20"/>
          <w:color w:val="auto"/>
        </w:rPr>
      </w:pPr>
      <w:r>
        <w:rPr>
          <w:rFonts w:ascii="Arial" w:cs="Arial" w:eastAsia="Arial" w:hAnsi="Arial"/>
          <w:sz w:val="18"/>
          <w:szCs w:val="18"/>
          <w:color w:val="auto"/>
        </w:rPr>
        <w:t>Revenue increased $97.0 million, or 92%, to $202.1 million for the six months ended June 30, 2021, compared to $105.1 million for the six months ended June 30, 2020. This increase was driven primarily by the growth in active customers, which increased 57% for the three months ended June 30, 2021 as compared to the same period in 2020, as well as an increase in revenue as a percentage of send volume, which is impacted by the mix of corridors and the average remittance size in those corridors.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78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r>
      <w:tr>
        <w:trPr>
          <w:trHeight w:val="26"/>
        </w:trPr>
        <w:tc>
          <w:tcPr>
            <w:tcW w:w="4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4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882"/>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7"/>
        </w:trPr>
        <w:tc>
          <w:tcPr>
            <w:tcW w:w="4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expenses</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46,210</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87,615</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41,405</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44 %</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43 %</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69"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Transaction expenses increased $41.4 million, or 90%, to $87.6 million, for the six months ended June 30, 2021, compared to $46.2 million, for the six months ended June 30, 2020. The increase was primarily due to a $33.5 million increase in direct costs associated with processing a higher volume of our customers’ remittance transactions and the disbursement of our customers’ funds to their recipients, a $6.1 million increase in fraud and other losses largely driven by growth in new customers and send volume, and a $1.8 million increase in other transaction expenses, primarily software and tools that support our compliance and risk operations.</w:t>
      </w:r>
    </w:p>
    <w:p>
      <w:pPr>
        <w:spacing w:after="0" w:line="137" w:lineRule="exact"/>
        <w:rPr>
          <w:sz w:val="20"/>
          <w:szCs w:val="20"/>
          <w:color w:val="auto"/>
        </w:rPr>
      </w:pPr>
    </w:p>
    <w:p>
      <w:pPr>
        <w:ind w:right="420" w:firstLine="324"/>
        <w:spacing w:after="0" w:line="293" w:lineRule="auto"/>
        <w:rPr>
          <w:sz w:val="20"/>
          <w:szCs w:val="20"/>
          <w:color w:val="auto"/>
        </w:rPr>
      </w:pPr>
      <w:r>
        <w:rPr>
          <w:rFonts w:ascii="Arial" w:cs="Arial" w:eastAsia="Arial" w:hAnsi="Arial"/>
          <w:sz w:val="18"/>
          <w:szCs w:val="18"/>
          <w:color w:val="auto"/>
        </w:rPr>
        <w:t>As a percentage of revenue, transaction expenses declined slightly to 43% for the six months ended June 30, 2021 as compared to 44% for the six months ended June 30, 2020.</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Support and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78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6"/>
                <w:szCs w:val="16"/>
                <w:color w:val="auto"/>
              </w:rPr>
            </w:pPr>
          </w:p>
        </w:tc>
      </w:tr>
      <w:tr>
        <w:trPr>
          <w:trHeight w:val="25"/>
        </w:trPr>
        <w:tc>
          <w:tcPr>
            <w:tcW w:w="4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8"/>
        </w:trPr>
        <w:tc>
          <w:tcPr>
            <w:tcW w:w="4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jc w:val="right"/>
              <w:ind w:right="922"/>
              <w:spacing w:after="0"/>
              <w:rPr>
                <w:sz w:val="20"/>
                <w:szCs w:val="20"/>
                <w:color w:val="auto"/>
              </w:rPr>
            </w:pPr>
            <w:r>
              <w:rPr>
                <w:rFonts w:ascii="Arial" w:cs="Arial" w:eastAsia="Arial" w:hAnsi="Arial"/>
                <w:sz w:val="14"/>
                <w:szCs w:val="14"/>
                <w:b w:val="1"/>
                <w:bCs w:val="1"/>
                <w:color w:val="auto"/>
                <w:w w:val="94"/>
              </w:rPr>
              <w:t>Amount</w:t>
            </w:r>
          </w:p>
        </w:tc>
        <w:tc>
          <w:tcPr>
            <w:tcW w:w="1180" w:type="dxa"/>
            <w:vAlign w:val="bottom"/>
          </w:tcPr>
          <w:p>
            <w:pPr>
              <w:jc w:val="right"/>
              <w:ind w:right="43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8"/>
        </w:trPr>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
        </w:trPr>
        <w:tc>
          <w:tcPr>
            <w:tcW w:w="4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support and operations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10,163</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20,430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8"/>
                <w:szCs w:val="18"/>
                <w:color w:val="auto"/>
              </w:rPr>
              <w:t>10,267</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101%</w:t>
            </w:r>
          </w:p>
        </w:tc>
      </w:tr>
      <w:tr>
        <w:trPr>
          <w:trHeight w:val="257"/>
        </w:trPr>
        <w:tc>
          <w:tcPr>
            <w:tcW w:w="45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0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10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spacing w:after="0" w:line="283" w:lineRule="exact"/>
        <w:rPr>
          <w:sz w:val="20"/>
          <w:szCs w:val="20"/>
          <w:color w:val="auto"/>
        </w:rPr>
      </w:pPr>
    </w:p>
    <w:p>
      <w:pPr>
        <w:ind w:right="20" w:firstLine="324"/>
        <w:spacing w:after="0" w:line="319" w:lineRule="auto"/>
        <w:rPr>
          <w:sz w:val="20"/>
          <w:szCs w:val="20"/>
          <w:color w:val="auto"/>
        </w:rPr>
      </w:pPr>
      <w:r>
        <w:rPr>
          <w:rFonts w:ascii="Arial" w:cs="Arial" w:eastAsia="Arial" w:hAnsi="Arial"/>
          <w:sz w:val="16"/>
          <w:szCs w:val="16"/>
          <w:color w:val="auto"/>
        </w:rPr>
        <w:t>Customer support and operations expenses increased $10.3 million, or 101%, for the six months ended June 30, 2021, compared to the six months ended June 30, 2020. The increase was primarily driven by a $4.7 million increase in third-party customer support costs, a $3.4 million increase in internal personnel costs at our sites in the Philippines and Nicaragua that support customer operations, a $1.5 million increase in software and telephony costs as we supported more active customers, and a $0.6 million increase in other operating expenses including customer set up fees and $0.1 million in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As a percentage of revenue, customer support and operations expenses remained flat at 10% for the six months ended June 30, 2021 as compared to the six months ended June 30, 2020. We expect that these costs will continue to increase as a percentage of revenue for the remainder of 2021, as we increase staffing to support higher demand.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r>
      <w:tr>
        <w:trPr>
          <w:trHeight w:val="26"/>
        </w:trPr>
        <w:tc>
          <w:tcPr>
            <w:tcW w:w="4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7"/>
        </w:trPr>
        <w:tc>
          <w:tcPr>
            <w:tcW w:w="4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902"/>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
        </w:trPr>
        <w:tc>
          <w:tcPr>
            <w:tcW w:w="4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32,107</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52,274</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20,167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0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31 %</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8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color w:val="auto"/>
        </w:rPr>
        <w:t>Marketing expenses increased $20.2 million, or 63%, for the six months ended June 30, 2021, compared to the six months ended June 30, 2020, due primarily to an increase of $17.7 million in direct marketing expense, including online and offline marketing spend and promotion costs to acquire new customers. Personnel-related costs increased by $1.6 million driven by a 32% increase in marketing headcount compared to the same period in 2020 and a $0.3 million increase in stock-based compensation. The increase in marketing expenses was also driven by a $0.6 million increase in software costs and other indirect marketing costs.</w:t>
      </w:r>
    </w:p>
    <w:p>
      <w:pPr>
        <w:spacing w:after="0" w:line="137" w:lineRule="exact"/>
        <w:rPr>
          <w:sz w:val="20"/>
          <w:szCs w:val="20"/>
          <w:color w:val="auto"/>
        </w:rPr>
      </w:pPr>
    </w:p>
    <w:p>
      <w:pPr>
        <w:ind w:right="220" w:firstLine="324"/>
        <w:spacing w:after="0" w:line="359" w:lineRule="auto"/>
        <w:rPr>
          <w:sz w:val="20"/>
          <w:szCs w:val="20"/>
          <w:color w:val="auto"/>
        </w:rPr>
      </w:pPr>
      <w:r>
        <w:rPr>
          <w:rFonts w:ascii="Arial" w:cs="Arial" w:eastAsia="Arial" w:hAnsi="Arial"/>
          <w:sz w:val="16"/>
          <w:szCs w:val="16"/>
          <w:color w:val="auto"/>
        </w:rPr>
        <w:t>As a percent of revenue, marketing expenses decreased to 26% for the six months ended June 30, 2021, from 31% for the six months ended June 30, 2020, as our existing customer base became a larger portion of revenue while our marketing spend was mostly dedicated to acquiring new customers.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902"/>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
        </w:trPr>
        <w:tc>
          <w:tcPr>
            <w:tcW w:w="4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19,059</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26,842</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7,783</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0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18 %</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69"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Technology and development expenses increased $7.8 million, or 41% for the six months ended June 30, 2021, compared to the six months ended June 30, 2020. The increase was driven by a $4.6 million increase in personnel related expenses resulting from a 19% increase in headcount compared to the same period in 2020 and a $0.8 million increase in stock-based compensation. The increase in technology and development expense was also driven by $1.7 million in software costs for employee tools and cloud services as well as $0.5 million higher professional fees due to growth in headcount and volume of transactions and a $0.2 million increase in other costs.</w:t>
      </w:r>
    </w:p>
    <w:p>
      <w:pPr>
        <w:spacing w:after="0" w:line="137" w:lineRule="exact"/>
        <w:rPr>
          <w:sz w:val="20"/>
          <w:szCs w:val="20"/>
          <w:color w:val="auto"/>
        </w:rPr>
      </w:pPr>
    </w:p>
    <w:p>
      <w:pPr>
        <w:ind w:right="320" w:firstLine="324"/>
        <w:spacing w:after="0" w:line="324" w:lineRule="auto"/>
        <w:rPr>
          <w:sz w:val="20"/>
          <w:szCs w:val="20"/>
          <w:color w:val="auto"/>
        </w:rPr>
      </w:pPr>
      <w:r>
        <w:rPr>
          <w:rFonts w:ascii="Arial" w:cs="Arial" w:eastAsia="Arial" w:hAnsi="Arial"/>
          <w:sz w:val="17"/>
          <w:szCs w:val="17"/>
          <w:color w:val="auto"/>
        </w:rPr>
        <w:t>As a percentage of revenue, technology and development expenses decreased to 13% for the six months ended June 30, 2021, from 18% for the six months ended June 30, 2020, as we leveraged our technology platform and infrastructure over a larger revenue and customer base.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76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ind w:right="902"/>
              <w:spacing w:after="0"/>
              <w:rPr>
                <w:sz w:val="20"/>
                <w:szCs w:val="20"/>
                <w:color w:val="auto"/>
              </w:rPr>
            </w:pPr>
            <w:r>
              <w:rPr>
                <w:rFonts w:ascii="Arial" w:cs="Arial" w:eastAsia="Arial" w:hAnsi="Arial"/>
                <w:sz w:val="14"/>
                <w:szCs w:val="14"/>
                <w:b w:val="1"/>
                <w:bCs w:val="1"/>
                <w:color w:val="auto"/>
                <w:w w:val="94"/>
              </w:rPr>
              <w:t>Amount</w:t>
            </w: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8"/>
        </w:trPr>
        <w:tc>
          <w:tcPr>
            <w:tcW w:w="4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
        </w:trPr>
        <w:tc>
          <w:tcPr>
            <w:tcW w:w="4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14,341</w:t>
            </w:r>
          </w:p>
        </w:tc>
        <w:tc>
          <w:tcPr>
            <w:tcW w:w="106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22,890</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8"/>
                <w:szCs w:val="18"/>
                <w:color w:val="auto"/>
              </w:rPr>
              <w:t>8,549</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0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14 %</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8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General and administrative expenses increased $8.6 million, or 60%, for the six months ended June 30, 2021, compared to the six months ended June 30, 2020. The increase was primarily driven by a $3.7 million increase in personnel-related expenses resulting from a 43% increase in general and administrative headcount compared to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40"/>
          </w:cols>
          <w:pgMar w:left="320" w:top="1440" w:right="339" w:bottom="1440" w:gutter="0" w:footer="0" w:header="0"/>
          <w:type w:val="continuous"/>
        </w:sectPr>
      </w:pPr>
    </w:p>
    <w:bookmarkStart w:id="100" w:name="page101"/>
    <w:bookmarkEnd w:id="100"/>
    <w:p>
      <w:pPr>
        <w:spacing w:after="0" w:line="157"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auto"/>
        </w:rPr>
        <w:t>same period in 2020 and a $0.6 million increase in stock-based compensation. The increase in general and administrative expense was also due to an increase of $2.4 million in professional fees mostly related to public company readiness, a $0.8 million increase to other taxes, a $0.8 million increase to other general and administrative operating expenses reflecting primarily employee related and bank changes, and a $0.3 million increase to software.</w:t>
      </w:r>
    </w:p>
    <w:p>
      <w:pPr>
        <w:spacing w:after="0" w:line="94" w:lineRule="exact"/>
        <w:rPr>
          <w:sz w:val="20"/>
          <w:szCs w:val="20"/>
          <w:color w:val="auto"/>
        </w:rPr>
      </w:pPr>
    </w:p>
    <w:p>
      <w:pPr>
        <w:ind w:right="480" w:firstLine="324"/>
        <w:spacing w:after="0" w:line="293" w:lineRule="auto"/>
        <w:rPr>
          <w:sz w:val="20"/>
          <w:szCs w:val="20"/>
          <w:color w:val="auto"/>
        </w:rPr>
      </w:pPr>
      <w:r>
        <w:rPr>
          <w:rFonts w:ascii="Arial" w:cs="Arial" w:eastAsia="Arial" w:hAnsi="Arial"/>
          <w:sz w:val="18"/>
          <w:szCs w:val="18"/>
          <w:color w:val="auto"/>
        </w:rPr>
        <w:t>As a percentage of revenue, general and administrative expenses decreased to 11% for the six months ended June 30, 2021, from 14% for the six months ended June 30, 2020, as we leveraged our infrastructure over a larger revenue and customer base.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6"/>
                <w:szCs w:val="16"/>
                <w:color w:val="auto"/>
              </w:rPr>
            </w:pPr>
          </w:p>
        </w:tc>
      </w:tr>
      <w:tr>
        <w:trPr>
          <w:trHeight w:val="26"/>
        </w:trPr>
        <w:tc>
          <w:tcPr>
            <w:tcW w:w="4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7"/>
        </w:trPr>
        <w:tc>
          <w:tcPr>
            <w:tcW w:w="4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jc w:val="right"/>
              <w:ind w:right="759"/>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7"/>
                <w:szCs w:val="17"/>
                <w:color w:val="auto"/>
              </w:rPr>
            </w:pPr>
          </w:p>
        </w:tc>
        <w:tc>
          <w:tcPr>
            <w:tcW w:w="1000" w:type="dxa"/>
            <w:vAlign w:val="bottom"/>
          </w:tcPr>
          <w:p>
            <w:pPr>
              <w:jc w:val="right"/>
              <w:ind w:right="639"/>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jc w:val="right"/>
              <w:ind w:right="922"/>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right"/>
              <w:ind w:right="47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(dollars in thousands)</w:t>
            </w: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
        </w:trPr>
        <w:tc>
          <w:tcPr>
            <w:tcW w:w="4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1,857</w:t>
            </w:r>
          </w:p>
        </w:tc>
        <w:tc>
          <w:tcPr>
            <w:tcW w:w="7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714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57"/>
        </w:trPr>
        <w:tc>
          <w:tcPr>
            <w:tcW w:w="41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4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c>
          <w:tcPr>
            <w:tcW w:w="7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283" w:lineRule="exact"/>
        <w:rPr>
          <w:sz w:val="20"/>
          <w:szCs w:val="20"/>
          <w:color w:val="auto"/>
        </w:rPr>
      </w:pPr>
    </w:p>
    <w:p>
      <w:pPr>
        <w:ind w:right="340" w:firstLine="324"/>
        <w:spacing w:after="0" w:line="324" w:lineRule="auto"/>
        <w:rPr>
          <w:sz w:val="20"/>
          <w:szCs w:val="20"/>
          <w:color w:val="auto"/>
        </w:rPr>
      </w:pPr>
      <w:r>
        <w:rPr>
          <w:rFonts w:ascii="Arial" w:cs="Arial" w:eastAsia="Arial" w:hAnsi="Arial"/>
          <w:sz w:val="17"/>
          <w:szCs w:val="17"/>
          <w:color w:val="auto"/>
        </w:rPr>
        <w:t>Depreciation and amortization increased $0.7 million, or 38%, for the six months ended June 30, 2021, compared to the six months ended June 30, 2020. This increase is mostly due to an increase in depreciation for internally developed software, computers and other assets.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6"/>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w w:val="92"/>
              </w:rPr>
              <w:t>(dollars in thousands)</w:t>
            </w: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(164)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color w:val="auto"/>
        </w:rPr>
        <w:t>Interest income decreased $0.2 million for the six month period ended June 30, 2021, compared to the six months ended June 30, 2020, primarily due to a lower interest rate on interest-bearing accounts.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spacing w:after="0"/>
              <w:rPr>
                <w:sz w:val="17"/>
                <w:szCs w:val="17"/>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2"/>
              </w:rPr>
              <w:t>(dollars in thousands)</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244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8"/>
          <w:szCs w:val="18"/>
          <w:color w:val="auto"/>
        </w:rPr>
        <w:t>Interest expense decreased $0.2 million for the six months ended June 30, 2021, as compared to the six months ended June 30, 2020, primarily due to lower interest expense on our Revolving Credit Facility as a result of lower outstanding borrowings, given the close of our Series F redeemable convertible preferred stock financings in 2020 and 2021.</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5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Arial" w:cs="Arial" w:eastAsia="Arial" w:hAnsi="Arial"/>
                <w:sz w:val="14"/>
                <w:szCs w:val="14"/>
                <w:b w:val="1"/>
                <w:bCs w:val="1"/>
                <w:color w:val="auto"/>
              </w:rPr>
              <w:t>Percent</w:t>
            </w: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w w:val="92"/>
              </w:rPr>
              <w:t>(dollars in thousands)</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(1,496)</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88"/>
              </w:rPr>
              <w:t>4,144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4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420" w:firstLine="324"/>
        <w:spacing w:after="0" w:line="293" w:lineRule="auto"/>
        <w:rPr>
          <w:sz w:val="20"/>
          <w:szCs w:val="20"/>
          <w:color w:val="auto"/>
        </w:rPr>
      </w:pPr>
      <w:r>
        <w:rPr>
          <w:rFonts w:ascii="Arial" w:cs="Arial" w:eastAsia="Arial" w:hAnsi="Arial"/>
          <w:sz w:val="18"/>
          <w:szCs w:val="18"/>
          <w:color w:val="auto"/>
        </w:rPr>
        <w:t>Other (expense) income, net, increased $4.1 million from other (expense), net to other income, net, for the six month period ended June 30, 2021, compared to the six month period ended June 30, 2020, primarily due to foreign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320" w:top="1440" w:right="339" w:bottom="1440" w:gutter="0" w:footer="0" w:header="0"/>
          <w:type w:val="continuous"/>
        </w:sectPr>
      </w:pPr>
    </w:p>
    <w:bookmarkStart w:id="101" w:name="page102"/>
    <w:bookmarkEnd w:id="101"/>
    <w:p>
      <w:pPr>
        <w:spacing w:after="0" w:line="157"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exchange remeasurements on transactions associated with high-volume balance sheet balances, and volatility in related currencies including the Colombian peso, Philippine peso, and Indian rupee.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6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6"/>
        </w:trPr>
        <w:tc>
          <w:tcPr>
            <w:tcW w:w="4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46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spacing w:after="0"/>
              <w:rPr>
                <w:sz w:val="17"/>
                <w:szCs w:val="17"/>
                <w:color w:val="auto"/>
              </w:rPr>
            </w:pPr>
          </w:p>
        </w:tc>
        <w:tc>
          <w:tcPr>
            <w:tcW w:w="1260" w:type="dxa"/>
            <w:vAlign w:val="bottom"/>
          </w:tcPr>
          <w:p>
            <w:pPr>
              <w:jc w:val="right"/>
              <w:ind w:right="539"/>
              <w:spacing w:after="0"/>
              <w:rPr>
                <w:sz w:val="20"/>
                <w:szCs w:val="20"/>
                <w:color w:val="auto"/>
              </w:rPr>
            </w:pPr>
            <w:r>
              <w:rPr>
                <w:rFonts w:ascii="Arial" w:cs="Arial" w:eastAsia="Arial" w:hAnsi="Arial"/>
                <w:sz w:val="14"/>
                <w:szCs w:val="14"/>
                <w:b w:val="1"/>
                <w:bCs w:val="1"/>
                <w:color w:val="auto"/>
              </w:rPr>
              <w:t>Percent</w:t>
            </w:r>
          </w:p>
        </w:tc>
      </w:tr>
      <w:tr>
        <w:trPr>
          <w:trHeight w:val="26"/>
        </w:trPr>
        <w:tc>
          <w:tcPr>
            <w:tcW w:w="4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w w:val="92"/>
              </w:rPr>
              <w:t>(dollars in thousands)</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
        </w:trPr>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384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4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280" w:firstLine="324"/>
        <w:spacing w:after="0" w:line="293" w:lineRule="auto"/>
        <w:rPr>
          <w:sz w:val="20"/>
          <w:szCs w:val="20"/>
          <w:color w:val="auto"/>
        </w:rPr>
      </w:pPr>
      <w:r>
        <w:rPr>
          <w:rFonts w:ascii="Arial" w:cs="Arial" w:eastAsia="Arial" w:hAnsi="Arial"/>
          <w:sz w:val="18"/>
          <w:szCs w:val="18"/>
          <w:color w:val="auto"/>
        </w:rPr>
        <w:t>The provision for income taxes increased $0.4 million, or 87%, for the six months ended June 30, 2021, compared to the six months ended June 30, 2020, primarily due to an increase in taxable income for our international entities.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89" w:lineRule="exact"/>
        <w:rPr>
          <w:sz w:val="20"/>
          <w:szCs w:val="20"/>
          <w:color w:val="auto"/>
        </w:rPr>
      </w:pPr>
    </w:p>
    <w:p>
      <w:pPr>
        <w:ind w:right="80" w:firstLine="324"/>
        <w:spacing w:after="0" w:line="290" w:lineRule="auto"/>
        <w:rPr>
          <w:sz w:val="20"/>
          <w:szCs w:val="20"/>
          <w:color w:val="auto"/>
        </w:rPr>
      </w:pPr>
      <w:r>
        <w:rPr>
          <w:rFonts w:ascii="Arial" w:cs="Arial" w:eastAsia="Arial" w:hAnsi="Arial"/>
          <w:sz w:val="17"/>
          <w:szCs w:val="17"/>
          <w:color w:val="auto"/>
        </w:rPr>
        <w:t>The following tables summarize our selected unaudited quarterly consolidated statements of operations data, the percentage of revenues that each line item represents, and the key business metrics for each of the six quarters through the period ended June 30, 2021.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86"/>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6"/>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7"/>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45,740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71,790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80,017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111,050</w:t>
            </w: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46,505</w:t>
            </w:r>
          </w:p>
        </w:tc>
      </w:tr>
      <w:tr>
        <w:trPr>
          <w:trHeight w:val="283"/>
        </w:trPr>
        <w:tc>
          <w:tcPr>
            <w:tcW w:w="2920" w:type="dxa"/>
            <w:vAlign w:val="bottom"/>
          </w:tcPr>
          <w:p>
            <w:pPr>
              <w:ind w:left="100"/>
              <w:spacing w:after="0"/>
              <w:rPr>
                <w:sz w:val="20"/>
                <w:szCs w:val="20"/>
                <w:color w:val="auto"/>
              </w:rPr>
            </w:pPr>
            <w:r>
              <w:rPr>
                <w:rFonts w:ascii="Arial" w:cs="Arial" w:eastAsia="Arial" w:hAnsi="Arial"/>
                <w:sz w:val="18"/>
                <w:szCs w:val="18"/>
                <w:color w:val="auto"/>
                <w:w w:val="88"/>
              </w:rPr>
              <w:t>Customer Support and Operations</w:t>
            </w:r>
            <w:r>
              <w:rPr>
                <w:rFonts w:ascii="Arial" w:cs="Arial" w:eastAsia="Arial" w:hAnsi="Arial"/>
                <w:sz w:val="23"/>
                <w:szCs w:val="23"/>
                <w:color w:val="auto"/>
                <w:w w:val="88"/>
                <w:vertAlign w:val="superscript"/>
              </w:rPr>
              <w:t>(1) (2)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11,799</w:t>
            </w:r>
          </w:p>
        </w:tc>
      </w:tr>
      <w:tr>
        <w:trPr>
          <w:trHeight w:val="283"/>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Marketing </w:t>
            </w:r>
            <w:r>
              <w:rPr>
                <w:rFonts w:ascii="Arial" w:cs="Arial" w:eastAsia="Arial" w:hAnsi="Arial"/>
                <w:sz w:val="23"/>
                <w:szCs w:val="23"/>
                <w:color w:val="auto"/>
                <w:vertAlign w:val="superscript"/>
              </w:rPr>
              <w:t>(1) (2)</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w:t>
            </w:r>
          </w:p>
        </w:tc>
      </w:tr>
      <w:tr>
        <w:trPr>
          <w:trHeight w:val="283"/>
        </w:trPr>
        <w:tc>
          <w:tcPr>
            <w:tcW w:w="2920" w:type="dxa"/>
            <w:vAlign w:val="bottom"/>
          </w:tcPr>
          <w:p>
            <w:pPr>
              <w:ind w:left="100"/>
              <w:spacing w:after="0"/>
              <w:rPr>
                <w:sz w:val="20"/>
                <w:szCs w:val="20"/>
                <w:color w:val="auto"/>
              </w:rPr>
            </w:pPr>
            <w:r>
              <w:rPr>
                <w:rFonts w:ascii="Arial" w:cs="Arial" w:eastAsia="Arial" w:hAnsi="Arial"/>
                <w:sz w:val="18"/>
                <w:szCs w:val="18"/>
                <w:color w:val="auto"/>
                <w:w w:val="97"/>
              </w:rPr>
              <w:t xml:space="preserve">Technology and Development </w:t>
            </w:r>
            <w:r>
              <w:rPr>
                <w:rFonts w:ascii="Arial" w:cs="Arial" w:eastAsia="Arial" w:hAnsi="Arial"/>
                <w:sz w:val="23"/>
                <w:szCs w:val="23"/>
                <w:color w:val="auto"/>
                <w:w w:val="97"/>
                <w:vertAlign w:val="superscript"/>
              </w:rPr>
              <w:t>(1) (2)</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15,198</w:t>
            </w:r>
          </w:p>
        </w:tc>
      </w:tr>
      <w:tr>
        <w:trPr>
          <w:trHeight w:val="283"/>
        </w:trPr>
        <w:tc>
          <w:tcPr>
            <w:tcW w:w="2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 (2)</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w:t>
            </w:r>
          </w:p>
        </w:tc>
      </w:tr>
      <w:tr>
        <w:trPr>
          <w:trHeight w:val="257"/>
        </w:trPr>
        <w:tc>
          <w:tcPr>
            <w:tcW w:w="29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7"/>
        </w:trPr>
        <w:tc>
          <w:tcPr>
            <w:tcW w:w="2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88,859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112,994</w:t>
            </w:r>
          </w:p>
        </w:tc>
      </w:tr>
      <w:tr>
        <w:trPr>
          <w:trHeight w:val="250"/>
        </w:trPr>
        <w:tc>
          <w:tcPr>
            <w:tcW w:w="292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(8,842)</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2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36"/>
        </w:trPr>
        <w:tc>
          <w:tcPr>
            <w:tcW w:w="2920" w:type="dxa"/>
            <w:vAlign w:val="bottom"/>
          </w:tcPr>
          <w:p>
            <w:pPr>
              <w:ind w:left="100"/>
              <w:spacing w:after="0"/>
              <w:rPr>
                <w:sz w:val="20"/>
                <w:szCs w:val="20"/>
                <w:color w:val="auto"/>
              </w:rPr>
            </w:pPr>
            <w:r>
              <w:rPr>
                <w:rFonts w:ascii="Arial" w:cs="Arial" w:eastAsia="Arial" w:hAnsi="Arial"/>
                <w:sz w:val="18"/>
                <w:szCs w:val="18"/>
                <w:color w:val="auto"/>
              </w:rPr>
              <w:t>Loss before provision for income</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77"/>
        </w:trPr>
        <w:tc>
          <w:tcPr>
            <w:tcW w:w="2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Exclusive of depreciation and amortization, shown separately, above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58"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w:t>
            </w:r>
          </w:p>
        </w:tc>
      </w:tr>
      <w:tr>
        <w:trPr>
          <w:trHeight w:val="186"/>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25"/>
        </w:trPr>
        <w:tc>
          <w:tcPr>
            <w:tcW w:w="2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8"/>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support and operations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4"/>
        </w:trPr>
        <w:tc>
          <w:tcPr>
            <w:tcW w:w="2200" w:type="dxa"/>
            <w:vAlign w:val="bottom"/>
          </w:tcPr>
          <w:p>
            <w:pPr>
              <w:ind w:left="20"/>
              <w:spacing w:after="0"/>
              <w:rPr>
                <w:sz w:val="20"/>
                <w:szCs w:val="20"/>
                <w:color w:val="auto"/>
              </w:rPr>
            </w:pPr>
            <w:r>
              <w:rPr>
                <w:rFonts w:ascii="Arial" w:cs="Arial" w:eastAsia="Arial" w:hAnsi="Arial"/>
                <w:sz w:val="14"/>
                <w:szCs w:val="14"/>
                <w:color w:val="auto"/>
              </w:rPr>
              <w:t>Marketing</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436</w:t>
            </w:r>
          </w:p>
        </w:tc>
      </w:tr>
      <w:tr>
        <w:trPr>
          <w:trHeight w:val="25"/>
        </w:trPr>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w:t>
            </w:r>
          </w:p>
        </w:tc>
      </w:tr>
      <w:tr>
        <w:trPr>
          <w:trHeight w:val="204"/>
        </w:trPr>
        <w:tc>
          <w:tcPr>
            <w:tcW w:w="22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1,004</w:t>
            </w:r>
          </w:p>
        </w:tc>
      </w:tr>
      <w:tr>
        <w:trPr>
          <w:trHeight w:val="25"/>
        </w:trPr>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of Revenue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4"/>
          </w:tcPr>
          <w:p>
            <w:pPr>
              <w:ind w:left="12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8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8"/>
        </w:trPr>
        <w:tc>
          <w:tcPr>
            <w:tcW w:w="1840" w:type="dxa"/>
            <w:vAlign w:val="bottom"/>
          </w:tcPr>
          <w:p>
            <w:pPr>
              <w:spacing w:after="0"/>
              <w:rPr>
                <w:sz w:val="17"/>
                <w:szCs w:val="17"/>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2020</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186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2020</w:t>
            </w:r>
          </w:p>
        </w:tc>
        <w:tc>
          <w:tcPr>
            <w:tcW w:w="19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 2020</w:t>
            </w: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2021</w:t>
            </w:r>
          </w:p>
        </w:tc>
        <w:tc>
          <w:tcPr>
            <w:tcW w:w="1260" w:type="dxa"/>
            <w:vAlign w:val="bottom"/>
          </w:tcPr>
          <w:p>
            <w:pPr>
              <w:jc w:val="right"/>
              <w:ind w:right="131"/>
              <w:spacing w:after="0"/>
              <w:rPr>
                <w:sz w:val="20"/>
                <w:szCs w:val="20"/>
                <w:color w:val="auto"/>
              </w:rPr>
            </w:pPr>
            <w:r>
              <w:rPr>
                <w:rFonts w:ascii="Arial" w:cs="Arial" w:eastAsia="Arial" w:hAnsi="Arial"/>
                <w:sz w:val="14"/>
                <w:szCs w:val="14"/>
                <w:b w:val="1"/>
                <w:bCs w:val="1"/>
                <w:color w:val="auto"/>
              </w:rPr>
              <w:t>June 30, 2021</w:t>
            </w:r>
          </w:p>
        </w:tc>
      </w:tr>
      <w:tr>
        <w:trPr>
          <w:trHeight w:val="26"/>
        </w:trPr>
        <w:tc>
          <w:tcPr>
            <w:tcW w:w="18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7"/>
        </w:trPr>
        <w:tc>
          <w:tcPr>
            <w:tcW w:w="1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ind w:left="74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
        </w:trPr>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1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1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Transaction Expenses</w:t>
            </w:r>
            <w:r>
              <w:rPr>
                <w:rFonts w:ascii="Arial" w:cs="Arial" w:eastAsia="Arial" w:hAnsi="Arial"/>
                <w:sz w:val="23"/>
                <w:szCs w:val="23"/>
                <w:color w:val="auto"/>
                <w:w w:val="87"/>
                <w:vertAlign w:val="superscript"/>
              </w:rPr>
              <w:t>(1)</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r>
      <w:tr>
        <w:trPr>
          <w:trHeight w:val="250"/>
        </w:trPr>
        <w:tc>
          <w:tcPr>
            <w:tcW w:w="1840" w:type="dxa"/>
            <w:vAlign w:val="bottom"/>
          </w:tcPr>
          <w:p>
            <w:pPr>
              <w:ind w:left="100"/>
              <w:spacing w:after="0"/>
              <w:rPr>
                <w:sz w:val="20"/>
                <w:szCs w:val="20"/>
                <w:color w:val="auto"/>
              </w:rPr>
            </w:pPr>
            <w:r>
              <w:rPr>
                <w:rFonts w:ascii="Arial" w:cs="Arial" w:eastAsia="Arial" w:hAnsi="Arial"/>
                <w:sz w:val="18"/>
                <w:szCs w:val="18"/>
                <w:color w:val="auto"/>
                <w:w w:val="94"/>
              </w:rPr>
              <w:t>Customer Support and</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1840" w:type="dxa"/>
            <w:vAlign w:val="bottom"/>
          </w:tcPr>
          <w:p>
            <w:pPr>
              <w:ind w:left="100"/>
              <w:spacing w:after="0" w:line="263" w:lineRule="exact"/>
              <w:rPr>
                <w:sz w:val="20"/>
                <w:szCs w:val="20"/>
                <w:color w:val="auto"/>
              </w:rPr>
            </w:pPr>
            <w:r>
              <w:rPr>
                <w:rFonts w:ascii="Arial" w:cs="Arial" w:eastAsia="Arial" w:hAnsi="Arial"/>
                <w:sz w:val="18"/>
                <w:szCs w:val="18"/>
                <w:color w:val="auto"/>
              </w:rPr>
              <w:t>Operations</w:t>
            </w:r>
            <w:r>
              <w:rPr>
                <w:rFonts w:ascii="Arial" w:cs="Arial" w:eastAsia="Arial" w:hAnsi="Arial"/>
                <w:sz w:val="23"/>
                <w:szCs w:val="23"/>
                <w:color w:val="auto"/>
                <w:vertAlign w:val="superscript"/>
              </w:rPr>
              <w:t>(1)</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76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84"/>
        </w:trPr>
        <w:tc>
          <w:tcPr>
            <w:tcW w:w="1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Marketing </w:t>
            </w:r>
            <w:r>
              <w:rPr>
                <w:rFonts w:ascii="Arial" w:cs="Arial" w:eastAsia="Arial" w:hAnsi="Arial"/>
                <w:sz w:val="23"/>
                <w:szCs w:val="23"/>
                <w:color w:val="auto"/>
                <w:vertAlign w:val="superscript"/>
              </w:rPr>
              <w:t>(1)</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50"/>
        </w:trPr>
        <w:tc>
          <w:tcPr>
            <w:tcW w:w="1840" w:type="dxa"/>
            <w:vAlign w:val="bottom"/>
          </w:tcPr>
          <w:p>
            <w:pPr>
              <w:ind w:left="100"/>
              <w:spacing w:after="0"/>
              <w:rPr>
                <w:sz w:val="20"/>
                <w:szCs w:val="20"/>
                <w:color w:val="auto"/>
              </w:rPr>
            </w:pPr>
            <w:r>
              <w:rPr>
                <w:rFonts w:ascii="Arial" w:cs="Arial" w:eastAsia="Arial" w:hAnsi="Arial"/>
                <w:sz w:val="18"/>
                <w:szCs w:val="18"/>
                <w:color w:val="auto"/>
              </w:rPr>
              <w:t>Technology and</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1840" w:type="dxa"/>
            <w:vAlign w:val="bottom"/>
          </w:tcPr>
          <w:p>
            <w:pPr>
              <w:ind w:left="100"/>
              <w:spacing w:after="0" w:line="263" w:lineRule="exact"/>
              <w:rPr>
                <w:sz w:val="20"/>
                <w:szCs w:val="20"/>
                <w:color w:val="auto"/>
              </w:rPr>
            </w:pPr>
            <w:r>
              <w:rPr>
                <w:rFonts w:ascii="Arial" w:cs="Arial" w:eastAsia="Arial" w:hAnsi="Arial"/>
                <w:sz w:val="18"/>
                <w:szCs w:val="18"/>
                <w:color w:val="auto"/>
              </w:rPr>
              <w:t xml:space="preserve">Development </w:t>
            </w:r>
            <w:r>
              <w:rPr>
                <w:rFonts w:ascii="Arial" w:cs="Arial" w:eastAsia="Arial" w:hAnsi="Arial"/>
                <w:sz w:val="23"/>
                <w:szCs w:val="23"/>
                <w:color w:val="auto"/>
                <w:vertAlign w:val="superscript"/>
              </w:rPr>
              <w:t>(1)</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76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50"/>
        </w:trPr>
        <w:tc>
          <w:tcPr>
            <w:tcW w:w="1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1840" w:type="dxa"/>
            <w:vAlign w:val="bottom"/>
            <w:shd w:val="clear" w:color="auto" w:fill="CCEEFF"/>
          </w:tcPr>
          <w:p>
            <w:pPr>
              <w:ind w:left="100"/>
              <w:spacing w:after="0" w:line="263" w:lineRule="exact"/>
              <w:rPr>
                <w:sz w:val="20"/>
                <w:szCs w:val="20"/>
                <w:color w:val="auto"/>
              </w:rPr>
            </w:pPr>
            <w:r>
              <w:rPr>
                <w:rFonts w:ascii="Arial" w:cs="Arial" w:eastAsia="Arial" w:hAnsi="Arial"/>
                <w:sz w:val="18"/>
                <w:szCs w:val="18"/>
                <w:color w:val="auto"/>
              </w:rPr>
              <w:t>Administrative</w:t>
            </w:r>
            <w:r>
              <w:rPr>
                <w:rFonts w:ascii="Arial" w:cs="Arial" w:eastAsia="Arial" w:hAnsi="Arial"/>
                <w:sz w:val="23"/>
                <w:szCs w:val="23"/>
                <w:color w:val="auto"/>
                <w:vertAlign w:val="superscript"/>
              </w:rPr>
              <w:t>(1)</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56"/>
        </w:trPr>
        <w:tc>
          <w:tcPr>
            <w:tcW w:w="1840" w:type="dxa"/>
            <w:vAlign w:val="bottom"/>
          </w:tcPr>
          <w:p>
            <w:pPr>
              <w:ind w:left="100"/>
              <w:spacing w:after="0"/>
              <w:rPr>
                <w:sz w:val="20"/>
                <w:szCs w:val="20"/>
                <w:color w:val="auto"/>
              </w:rPr>
            </w:pPr>
            <w:r>
              <w:rPr>
                <w:rFonts w:ascii="Arial" w:cs="Arial" w:eastAsia="Arial" w:hAnsi="Arial"/>
                <w:sz w:val="18"/>
                <w:szCs w:val="18"/>
                <w:color w:val="auto"/>
              </w:rPr>
              <w:t>Depreciation and</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1840" w:type="dxa"/>
            <w:vAlign w:val="bottom"/>
          </w:tcPr>
          <w:p>
            <w:pPr>
              <w:ind w:left="100"/>
              <w:spacing w:after="0"/>
              <w:rPr>
                <w:sz w:val="20"/>
                <w:szCs w:val="20"/>
                <w:color w:val="auto"/>
              </w:rPr>
            </w:pPr>
            <w:r>
              <w:rPr>
                <w:rFonts w:ascii="Arial" w:cs="Arial" w:eastAsia="Arial" w:hAnsi="Arial"/>
                <w:sz w:val="18"/>
                <w:szCs w:val="18"/>
                <w:color w:val="auto"/>
              </w:rPr>
              <w:t>Amortization</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76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18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costs and</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7"/>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4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r>
      <w:tr>
        <w:trPr>
          <w:trHeight w:val="250"/>
        </w:trPr>
        <w:tc>
          <w:tcPr>
            <w:tcW w:w="1840" w:type="dxa"/>
            <w:vAlign w:val="bottom"/>
          </w:tcPr>
          <w:p>
            <w:pPr>
              <w:ind w:left="180"/>
              <w:spacing w:after="0"/>
              <w:rPr>
                <w:sz w:val="20"/>
                <w:szCs w:val="20"/>
                <w:color w:val="auto"/>
              </w:rPr>
            </w:pPr>
            <w:r>
              <w:rPr>
                <w:rFonts w:ascii="Arial" w:cs="Arial" w:eastAsia="Arial" w:hAnsi="Arial"/>
                <w:sz w:val="18"/>
                <w:szCs w:val="18"/>
                <w:color w:val="auto"/>
                <w:w w:val="97"/>
              </w:rPr>
              <w:t>Loss from operations</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76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(2)</w:t>
            </w:r>
          </w:p>
        </w:tc>
      </w:tr>
      <w:tr>
        <w:trPr>
          <w:trHeight w:val="27"/>
        </w:trPr>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Other (expense) income,</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r>
      <w:tr>
        <w:trPr>
          <w:trHeight w:val="236"/>
        </w:trPr>
        <w:tc>
          <w:tcPr>
            <w:tcW w:w="1840" w:type="dxa"/>
            <w:vAlign w:val="bottom"/>
          </w:tcPr>
          <w:p>
            <w:pPr>
              <w:ind w:left="260"/>
              <w:spacing w:after="0"/>
              <w:rPr>
                <w:sz w:val="20"/>
                <w:szCs w:val="20"/>
                <w:color w:val="auto"/>
              </w:rPr>
            </w:pPr>
            <w:r>
              <w:rPr>
                <w:rFonts w:ascii="Arial" w:cs="Arial" w:eastAsia="Arial" w:hAnsi="Arial"/>
                <w:sz w:val="18"/>
                <w:szCs w:val="18"/>
                <w:color w:val="auto"/>
              </w:rPr>
              <w:t>Loss before</w:t>
            </w: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provision for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0" w:type="dxa"/>
            <w:vAlign w:val="bottom"/>
          </w:tcPr>
          <w:p>
            <w:pPr>
              <w:ind w:left="1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40" w:type="dxa"/>
            <w:vAlign w:val="bottom"/>
          </w:tcPr>
          <w:p>
            <w:pPr>
              <w:ind w:left="10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60" w:type="dxa"/>
            <w:vAlign w:val="bottom"/>
          </w:tcPr>
          <w:p>
            <w:pPr>
              <w:ind w:left="880"/>
              <w:spacing w:after="0"/>
              <w:rPr>
                <w:sz w:val="20"/>
                <w:szCs w:val="20"/>
                <w:color w:val="auto"/>
              </w:rPr>
            </w:pPr>
            <w:r>
              <w:rPr>
                <w:rFonts w:ascii="Arial" w:cs="Arial" w:eastAsia="Arial" w:hAnsi="Arial"/>
                <w:sz w:val="18"/>
                <w:szCs w:val="18"/>
                <w:color w:val="auto"/>
              </w:rPr>
              <w:t>(1)</w:t>
            </w:r>
          </w:p>
        </w:tc>
      </w:tr>
      <w:tr>
        <w:trPr>
          <w:trHeight w:val="27"/>
        </w:trPr>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77"/>
        </w:trPr>
        <w:tc>
          <w:tcPr>
            <w:tcW w:w="18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76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4"/>
                <w:szCs w:val="24"/>
                <w:color w:val="auto"/>
              </w:rPr>
            </w:pPr>
          </w:p>
        </w:tc>
        <w:tc>
          <w:tcPr>
            <w:tcW w:w="180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4"/>
                <w:szCs w:val="24"/>
                <w:color w:val="auto"/>
              </w:rPr>
            </w:pPr>
          </w:p>
        </w:tc>
        <w:tc>
          <w:tcPr>
            <w:tcW w:w="14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4"/>
              </w:rPr>
              <w:t>(9)%</w:t>
            </w:r>
          </w:p>
        </w:tc>
        <w:tc>
          <w:tcPr>
            <w:tcW w:w="100" w:type="dxa"/>
            <w:vAlign w:val="bottom"/>
          </w:tcPr>
          <w:p>
            <w:pPr>
              <w:spacing w:after="0"/>
              <w:rPr>
                <w:sz w:val="24"/>
                <w:szCs w:val="24"/>
                <w:color w:val="auto"/>
              </w:rPr>
            </w:pPr>
          </w:p>
        </w:tc>
        <w:tc>
          <w:tcPr>
            <w:tcW w:w="12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4"/>
              </w:rPr>
              <w:t>(1)%</w:t>
            </w:r>
          </w:p>
        </w:tc>
      </w:tr>
      <w:tr>
        <w:trPr>
          <w:trHeight w:val="20"/>
        </w:trPr>
        <w:tc>
          <w:tcPr>
            <w:tcW w:w="1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(1) Exclusive of depreciation and amortization, shown separately,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Changes in Revenue</w:t>
      </w:r>
    </w:p>
    <w:p>
      <w:pPr>
        <w:spacing w:after="0" w:line="189" w:lineRule="exact"/>
        <w:rPr>
          <w:sz w:val="20"/>
          <w:szCs w:val="20"/>
          <w:color w:val="auto"/>
        </w:rPr>
      </w:pPr>
    </w:p>
    <w:p>
      <w:pPr>
        <w:ind w:right="80" w:firstLine="324"/>
        <w:spacing w:after="0" w:line="296" w:lineRule="auto"/>
        <w:rPr>
          <w:sz w:val="20"/>
          <w:szCs w:val="20"/>
          <w:color w:val="auto"/>
        </w:rPr>
      </w:pPr>
      <w:r>
        <w:rPr>
          <w:rFonts w:ascii="Arial" w:cs="Arial" w:eastAsia="Arial" w:hAnsi="Arial"/>
          <w:sz w:val="17"/>
          <w:szCs w:val="17"/>
          <w:color w:val="auto"/>
        </w:rPr>
        <w:t>Revenue increased sequentially in each of the quarters presented primarily due to an increase in active customers. For the three months ended June 30, 2020, the COVID-19 pandemic drove increased demand for digital remittances. As a result, we observed an acceleration in new customer growth and increased engagement with our existing customer base, resulting in continued revenue growth for each of the subsequent quarters in 2020 and 2021. In addition, our revenue is subject to seasonality, most notably in the fourth quarter around the Christmas holiday.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Changes in Costs and Expenses</w:t>
      </w:r>
    </w:p>
    <w:p>
      <w:pPr>
        <w:spacing w:after="0" w:line="189" w:lineRule="exact"/>
        <w:rPr>
          <w:sz w:val="20"/>
          <w:szCs w:val="20"/>
          <w:color w:val="auto"/>
        </w:rPr>
      </w:pPr>
    </w:p>
    <w:p>
      <w:pPr>
        <w:ind w:right="140" w:firstLine="324"/>
        <w:spacing w:after="0" w:line="329" w:lineRule="auto"/>
        <w:rPr>
          <w:sz w:val="20"/>
          <w:szCs w:val="20"/>
          <w:color w:val="auto"/>
        </w:rPr>
      </w:pPr>
      <w:r>
        <w:rPr>
          <w:rFonts w:ascii="Arial" w:cs="Arial" w:eastAsia="Arial" w:hAnsi="Arial"/>
          <w:sz w:val="16"/>
          <w:szCs w:val="16"/>
          <w:color w:val="auto"/>
        </w:rPr>
        <w:t>Transaction expenses increased sequentially in each of the quarters presented primarily due to an increase in costs associated with processing our customers’ remittance transactions, the disbursement of our customers funds to their recipients, and an increase in fraud and other losses largely driven by growth in new customers and send volume. For the three months ended June 30, 2020, the three months ended September 30, 2020, and the three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months ended June 30, 2021, transaction expenses as percentage of revenue decreased primarily due to lower-than-average fraud rates and other losses. For each three month period ended December 31, 2020 and March 31, 2021, transaction expense as a percentage of revenue increased due to higher fraud and other losses.</w:t>
      </w:r>
    </w:p>
    <w:p>
      <w:pPr>
        <w:spacing w:after="0" w:line="1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8"/>
          <w:szCs w:val="18"/>
          <w:color w:val="auto"/>
        </w:rPr>
        <w:t>Customer support and operations expenses increased sequentially in each of the quarters presented. This increase was driven by the cost of third-party customer support, internal personnel and software and telephony costs to support the increase in active customers.</w:t>
      </w:r>
    </w:p>
    <w:p>
      <w:pPr>
        <w:spacing w:after="0" w:line="11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Marketing expenses increased sequentially in each of the quarters presented primarily due to an increase in online and offline marketing and promotion costs to acquire new customers. Starting in the second quarter of 2020, online marketing became less competitive due to COVID-19, allowing us to rapidly acquire new customers. We realized a benefit of this reduction in market competition in the three months ended September 30, 2020, where marketing expenses decreased to 26% of revenue. In the fourth quarter of 2020, online marketing competition started to return to pre-COVID-19 levels. For the three months ended June 30, 2021, marketing expenses as a percentage of revenue decreased compared to the three months ended March 31, 2021 as revenue growth accelerated faster than marketing spend. We expect online and offline marketing and promotion costs will continue to increase.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Technology and development expenses increased sequentially in each of the quarters presented due to increased personnel-related and software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these costs grew slower as we leveraged our technology platform and infrastructure over a larger revenue and customer base.</w:t>
      </w:r>
    </w:p>
    <w:p>
      <w:pPr>
        <w:spacing w:after="0" w:line="207" w:lineRule="exact"/>
        <w:rPr>
          <w:sz w:val="20"/>
          <w:szCs w:val="20"/>
          <w:color w:val="auto"/>
        </w:rPr>
      </w:pPr>
    </w:p>
    <w:p>
      <w:pPr>
        <w:jc w:val="both"/>
        <w:ind w:right="440" w:firstLine="324"/>
        <w:spacing w:after="0" w:line="324" w:lineRule="auto"/>
        <w:rPr>
          <w:sz w:val="20"/>
          <w:szCs w:val="20"/>
          <w:color w:val="auto"/>
        </w:rPr>
      </w:pPr>
      <w:r>
        <w:rPr>
          <w:rFonts w:ascii="Arial" w:cs="Arial" w:eastAsia="Arial" w:hAnsi="Arial"/>
          <w:sz w:val="17"/>
          <w:szCs w:val="17"/>
          <w:color w:val="auto"/>
        </w:rPr>
        <w:t>General and administrative expenses increased sequentially in each of the quarters presented mostly due to an increase in personnel-related costs, professional services costs and facilities costs. These costs grew slower than revenue due to economies of scale.</w:t>
      </w:r>
    </w:p>
    <w:p>
      <w:pPr>
        <w:spacing w:after="0" w:line="93"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Depreciation and amortization expenses increased sequentially in each of the quarters presented mostly due to an increase in depreciation for internally developed software.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Changes in Key Business Metrics and Non-GAAP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customers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4"/>
          </w:tcPr>
          <w:p>
            <w:pPr>
              <w:ind w:left="122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
        </w:trPr>
        <w:tc>
          <w:tcPr>
            <w:tcW w:w="16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8"/>
        </w:trPr>
        <w:tc>
          <w:tcPr>
            <w:tcW w:w="164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c>
          <w:tcPr>
            <w:tcW w:w="1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2020</w:t>
            </w: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2021</w:t>
            </w:r>
          </w:p>
        </w:tc>
        <w:tc>
          <w:tcPr>
            <w:tcW w:w="1420" w:type="dxa"/>
            <w:vAlign w:val="bottom"/>
          </w:tcPr>
          <w:p>
            <w:pPr>
              <w:jc w:val="right"/>
              <w:ind w:right="219"/>
              <w:spacing w:after="0"/>
              <w:rPr>
                <w:sz w:val="20"/>
                <w:szCs w:val="20"/>
                <w:color w:val="auto"/>
              </w:rPr>
            </w:pPr>
            <w:r>
              <w:rPr>
                <w:rFonts w:ascii="Arial" w:cs="Arial" w:eastAsia="Arial" w:hAnsi="Arial"/>
                <w:sz w:val="14"/>
                <w:szCs w:val="14"/>
                <w:b w:val="1"/>
                <w:bCs w:val="1"/>
                <w:color w:val="auto"/>
              </w:rPr>
              <w:t>June 30, 2021</w:t>
            </w:r>
          </w:p>
        </w:tc>
      </w:tr>
      <w:tr>
        <w:trPr>
          <w:trHeight w:val="25"/>
        </w:trPr>
        <w:tc>
          <w:tcPr>
            <w:tcW w:w="16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Active customers (in</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7"/>
        </w:trPr>
        <w:tc>
          <w:tcPr>
            <w:tcW w:w="16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right="460" w:firstLine="324"/>
        <w:spacing w:after="0" w:line="279" w:lineRule="auto"/>
        <w:rPr>
          <w:sz w:val="20"/>
          <w:szCs w:val="20"/>
          <w:color w:val="auto"/>
        </w:rPr>
      </w:pPr>
      <w:r>
        <w:rPr>
          <w:rFonts w:ascii="Arial" w:cs="Arial" w:eastAsia="Arial" w:hAnsi="Arial"/>
          <w:sz w:val="18"/>
          <w:szCs w:val="18"/>
          <w:color w:val="auto"/>
        </w:rPr>
        <w:t>Active customers increased sequentially in each of the quarters presented primarily due to an increase in new customers driven by investments in marketing spend, our seamless user experience, network expansion, and the accelerated growth in the adoption of digital remittances as a result of the COVID-19 pandemic, especially during the three months ended June 30,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 volume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5"/>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7"/>
                <w:szCs w:val="17"/>
                <w:color w:val="auto"/>
              </w:rPr>
            </w:pPr>
          </w:p>
        </w:tc>
        <w:tc>
          <w:tcPr>
            <w:tcW w:w="1220" w:type="dxa"/>
            <w:vAlign w:val="bottom"/>
          </w:tcPr>
          <w:p>
            <w:pPr>
              <w:jc w:val="right"/>
              <w:ind w:right="219"/>
              <w:spacing w:after="0"/>
              <w:rPr>
                <w:sz w:val="20"/>
                <w:szCs w:val="20"/>
                <w:color w:val="auto"/>
              </w:rPr>
            </w:pPr>
            <w:r>
              <w:rPr>
                <w:rFonts w:ascii="Arial" w:cs="Arial" w:eastAsia="Arial" w:hAnsi="Arial"/>
                <w:sz w:val="14"/>
                <w:szCs w:val="14"/>
                <w:b w:val="1"/>
                <w:bCs w:val="1"/>
                <w:color w:val="auto"/>
                <w:w w:val="98"/>
              </w:rPr>
              <w:t>June 30, 2021</w:t>
            </w:r>
          </w:p>
        </w:tc>
      </w:tr>
      <w:tr>
        <w:trPr>
          <w:trHeight w:val="25"/>
        </w:trPr>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Send volume (in</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7"/>
        </w:trPr>
        <w:tc>
          <w:tcPr>
            <w:tcW w:w="1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right="480" w:firstLine="324"/>
        <w:spacing w:after="0" w:line="293" w:lineRule="auto"/>
        <w:rPr>
          <w:sz w:val="20"/>
          <w:szCs w:val="20"/>
          <w:color w:val="auto"/>
        </w:rPr>
      </w:pPr>
      <w:r>
        <w:rPr>
          <w:rFonts w:ascii="Arial" w:cs="Arial" w:eastAsia="Arial" w:hAnsi="Arial"/>
          <w:sz w:val="18"/>
          <w:szCs w:val="18"/>
          <w:color w:val="auto"/>
        </w:rPr>
        <w:t>Send volume increased sequentially in each of the quarters presented primarily due to an increase in active customers, reflecting both strong new customer growth and continued engagement with our existing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5"/>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8"/>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7"/>
                <w:szCs w:val="17"/>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June 30, 2021</w:t>
            </w:r>
          </w:p>
        </w:tc>
      </w:tr>
      <w:tr>
        <w:trPr>
          <w:trHeight w:val="26"/>
        </w:trPr>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7"/>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5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57"/>
        </w:trPr>
        <w:tc>
          <w:tcPr>
            <w:tcW w:w="176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Interest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56"/>
        </w:trPr>
        <w:tc>
          <w:tcPr>
            <w:tcW w:w="1760" w:type="dxa"/>
            <w:vAlign w:val="bottom"/>
          </w:tcPr>
          <w:p>
            <w:pPr>
              <w:ind w:left="180"/>
              <w:spacing w:after="0"/>
              <w:rPr>
                <w:sz w:val="20"/>
                <w:szCs w:val="20"/>
                <w:color w:val="auto"/>
              </w:rPr>
            </w:pPr>
            <w:r>
              <w:rPr>
                <w:rFonts w:ascii="Arial" w:cs="Arial" w:eastAsia="Arial" w:hAnsi="Arial"/>
                <w:sz w:val="18"/>
                <w:szCs w:val="18"/>
                <w:color w:val="auto"/>
                <w:w w:val="95"/>
              </w:rPr>
              <w:t>Provision for income</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r>
      <w:tr>
        <w:trPr>
          <w:trHeight w:val="256"/>
        </w:trPr>
        <w:tc>
          <w:tcPr>
            <w:tcW w:w="176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(income), net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1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77"/>
        </w:trPr>
        <w:tc>
          <w:tcPr>
            <w:tcW w:w="17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r>
      <w:tr>
        <w:trPr>
          <w:trHeight w:val="20"/>
        </w:trPr>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80" w:firstLine="324"/>
        <w:spacing w:after="0" w:line="324" w:lineRule="auto"/>
        <w:rPr>
          <w:sz w:val="20"/>
          <w:szCs w:val="20"/>
          <w:color w:val="auto"/>
        </w:rPr>
      </w:pPr>
      <w:r>
        <w:rPr>
          <w:rFonts w:ascii="Arial" w:cs="Arial" w:eastAsia="Arial" w:hAnsi="Arial"/>
          <w:sz w:val="17"/>
          <w:szCs w:val="17"/>
          <w:color w:val="auto"/>
        </w:rPr>
        <w:t>During the three months ended September 30, 2020 and June 30, 2021, we experienced a significant increase in our Adjusted EBITDA primarily driven by higher revenue due to an increase in active users as well as lower marketing expenses as a percentage of revenue.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8"/>
          <w:szCs w:val="18"/>
          <w:color w:val="auto"/>
        </w:rPr>
        <w:t>We have financed our operations and capital expenditures primarily through cash generated from operations including transaction fees and foreign exchange spreads, sales of our redeemable convertible preferred stock, and our $150.0 million Revolving Credit Facility, of which we had unused borrowing capacity of $70.0 million and $150.0 million as of December 31, 2020 and June 30, 2021, respectively. As of December 31, 2020 and June 30, 2021, our principal sources of liquidity were cash and cash equivalents of $186.7 million and $173.4 million, respectively, and funds available under the Revolving Credit Facility.</w:t>
      </w:r>
    </w:p>
    <w:p>
      <w:pPr>
        <w:spacing w:after="0" w:line="137" w:lineRule="exact"/>
        <w:rPr>
          <w:sz w:val="20"/>
          <w:szCs w:val="20"/>
          <w:color w:val="auto"/>
        </w:rPr>
      </w:pPr>
    </w:p>
    <w:p>
      <w:pPr>
        <w:ind w:right="20" w:firstLine="324"/>
        <w:spacing w:after="0" w:line="288" w:lineRule="auto"/>
        <w:rPr>
          <w:sz w:val="20"/>
          <w:szCs w:val="20"/>
          <w:color w:val="auto"/>
        </w:rPr>
      </w:pPr>
      <w:r>
        <w:rPr>
          <w:rFonts w:ascii="Arial" w:cs="Arial" w:eastAsia="Arial" w:hAnsi="Arial"/>
          <w:sz w:val="17"/>
          <w:szCs w:val="17"/>
          <w:color w:val="auto"/>
        </w:rPr>
        <w:t>We believe that our cash, cash equivalents, and funds available under the New Revolving Credit Facility will be sufficient to meet our working capital requirements for at least the next twelve months. In the future, we may attempt to raise additional capital through the sale of equity securities or through equity-linked securities, and the ownership of our existing stockholders would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8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In June 2019, we entered into a Senior Secured Credit Facilities Agreement that provided access to $85.0 million in revolving borrowing that we use primarily to pre-fund transactions. In November 2020, we amended the Senior Secured Credit Facilities Agreement to increase the amount available for revolving borrowing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to $150.0 million (as amended, the “Revolving Credit Facility”). The Revolving Credit Facility will mature in November 2023.</w:t>
      </w:r>
    </w:p>
    <w:p>
      <w:pPr>
        <w:spacing w:after="0" w:line="18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color w:val="auto"/>
        </w:rPr>
        <w:t>Borrowings under the Revolving Credit Facility accrue interest at a floating rate per annum equal to (1) ABR defined in the Revolving Credit Facility as the rate per annum equal to the highest of (a) the Prime Rate in effect on such day, (b) 3.25% and (c) the Federal Funds Effective Rate in effect for such day plus 0.50% plus (2) 1.0%. In addition, there is an unused revolving line facility fee, which accrues at a floating rate equal to 0.40% of the unused portion of the line, and is payable monthly. As of December 31, 2020 and June 30, 2021, the interest rate of the borrowings under the Revolving Credit Facility was 4.25%.</w:t>
      </w:r>
    </w:p>
    <w:p>
      <w:pPr>
        <w:spacing w:after="0" w:line="137" w:lineRule="exact"/>
        <w:rPr>
          <w:sz w:val="20"/>
          <w:szCs w:val="20"/>
          <w:color w:val="auto"/>
        </w:rPr>
      </w:pPr>
    </w:p>
    <w:p>
      <w:pPr>
        <w:ind w:firstLine="324"/>
        <w:spacing w:after="0" w:line="270" w:lineRule="auto"/>
        <w:rPr>
          <w:sz w:val="20"/>
          <w:szCs w:val="20"/>
          <w:color w:val="auto"/>
        </w:rPr>
      </w:pPr>
      <w:r>
        <w:rPr>
          <w:rFonts w:ascii="Arial" w:cs="Arial" w:eastAsia="Arial" w:hAnsi="Arial"/>
          <w:sz w:val="18"/>
          <w:szCs w:val="18"/>
          <w:color w:val="auto"/>
        </w:rPr>
        <w:t>Borrowings are subject to mandatory repayment within 20 business days in an amount necessary to reduce the borrowings, in the aggregate, to an amount less than our customer funds account maintained with the lender. The Revolving Credit Facility contains customary conditions to borrowing, events of default and covenants, including covenants that restrict our ability to dispose of assets, merge with or acquire other entities, incur indebtedness, pay dividends, incur encumbrances, make distributions to holders of its capital stock, make investments or engage in transactions with affiliates. Financial covenants include an adjusted quick ratio requirement that is measured on a monthly basis as well as trailing twelve month Consolidated Adjusted EBITDA, as defined in the Revolving Credit Facility, measured on a quarterly basis. We were in compliance with all financial covenants as of December 31, 2020 and June 30, 2021.</w:t>
      </w:r>
    </w:p>
    <w:p>
      <w:pPr>
        <w:spacing w:after="0" w:line="138" w:lineRule="exact"/>
        <w:rPr>
          <w:sz w:val="20"/>
          <w:szCs w:val="20"/>
          <w:color w:val="auto"/>
        </w:rPr>
      </w:pPr>
    </w:p>
    <w:p>
      <w:pPr>
        <w:jc w:val="both"/>
        <w:ind w:right="80" w:firstLine="324"/>
        <w:spacing w:after="0" w:line="303" w:lineRule="auto"/>
        <w:rPr>
          <w:sz w:val="20"/>
          <w:szCs w:val="20"/>
          <w:color w:val="auto"/>
        </w:rPr>
      </w:pPr>
      <w:r>
        <w:rPr>
          <w:rFonts w:ascii="Arial" w:cs="Arial" w:eastAsia="Arial" w:hAnsi="Arial"/>
          <w:sz w:val="17"/>
          <w:szCs w:val="17"/>
          <w:color w:val="auto"/>
        </w:rPr>
        <w:t>Our obligations under the Revolving Credit Facility are secured by substantially all of our and our subsidiaries’ assets, other than intellectual property. Amounts of borrowings under the Revolving Credit Facility may fluctuate depending upon transaction volumes and seasonality. As of December 31, 2020 and June 30, 2021, we had $80.0 million and zero borrowings outstanding under the Revolving Credit Facility, respectively.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Revolving Credit Facility</w:t>
      </w:r>
    </w:p>
    <w:p>
      <w:pPr>
        <w:spacing w:after="0" w:line="185"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8"/>
          <w:szCs w:val="18"/>
          <w:color w:val="auto"/>
        </w:rPr>
        <w:t>On September 13, 2021, we entered into a Revolving Credit and Guaranty Agreement with a syndicate of lenders and JPMorgan Chase Bank, N.A., as administrative agent and collateral agent, providing for a $250.0 million revolving credit facility (the “New Revolving Credit Facility”), and terminated our existing Revolving Credit Facility. The New Revolving Credit Facility will mature in September 2026.</w:t>
      </w:r>
    </w:p>
    <w:p>
      <w:pPr>
        <w:spacing w:after="0" w:line="1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Borrowings under the New Revolving Credit Facility accrue interest at a floating rate per annum equal to, at our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In addition, there is an unused commitment fee, which accrues at a rate per annum equal to 0.25% of the unused portion of the revolving commitments, and is payable quarterly.</w:t>
      </w:r>
    </w:p>
    <w:p>
      <w:pPr>
        <w:spacing w:after="0" w:line="13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8"/>
          <w:szCs w:val="18"/>
          <w:color w:val="auto"/>
        </w:rPr>
        <w:t>The New Revolving Credit Facility contains customary conditions to borrowing, events of default and covenants, including covenants that restrict our ability to dispose of assets, merge with other entities, incur indebtedness, grant liens, pay dividends or make other distributions to holders of our capital stock, make investments, enter into restrictive agreements or engage in transactions with affiliates. Financial covenants in the New Revolving Credit Facility include (1) a requirement to maintain a minimum adjusted quick ratio of 1.50:1.00, which is tested quarterly and (2) a requirement to maintain a minimum liquidity level of $100.0 million, which is tested quarterly.</w:t>
      </w:r>
    </w:p>
    <w:p>
      <w:pPr>
        <w:spacing w:after="0" w:line="137" w:lineRule="exact"/>
        <w:rPr>
          <w:sz w:val="20"/>
          <w:szCs w:val="20"/>
          <w:color w:val="auto"/>
        </w:rPr>
      </w:pPr>
    </w:p>
    <w:p>
      <w:pPr>
        <w:ind w:right="20" w:firstLine="324"/>
        <w:spacing w:after="0" w:line="303" w:lineRule="auto"/>
        <w:rPr>
          <w:sz w:val="20"/>
          <w:szCs w:val="20"/>
          <w:color w:val="auto"/>
        </w:rPr>
      </w:pPr>
      <w:r>
        <w:rPr>
          <w:rFonts w:ascii="Arial" w:cs="Arial" w:eastAsia="Arial" w:hAnsi="Arial"/>
          <w:sz w:val="17"/>
          <w:szCs w:val="17"/>
          <w:color w:val="auto"/>
        </w:rPr>
        <w:t>The obligations under the New Revolving Credit Facility are guaranteed by us and our material domestic subsidiaries, subject to customary exceptions, and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6"/>
                <w:szCs w:val="16"/>
                <w:color w:val="auto"/>
              </w:rPr>
            </w:pPr>
          </w:p>
        </w:tc>
        <w:tc>
          <w:tcPr>
            <w:tcW w:w="2720" w:type="dxa"/>
            <w:vAlign w:val="bottom"/>
            <w:gridSpan w:val="3"/>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7"/>
                <w:szCs w:val="17"/>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7"/>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6"/>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8,435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(114,209)</w:t>
            </w:r>
          </w:p>
        </w:tc>
        <w:tc>
          <w:tcPr>
            <w:tcW w:w="100" w:type="dxa"/>
            <w:vAlign w:val="bottom"/>
          </w:tcPr>
          <w:p>
            <w:pPr>
              <w:spacing w:after="0"/>
              <w:rPr>
                <w:sz w:val="22"/>
                <w:szCs w:val="22"/>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(47,586)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60,276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117,017</w:t>
            </w: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122,216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(25,981)</w:t>
            </w: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(72,646)</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140" w:firstLine="324"/>
        <w:spacing w:after="0" w:line="329" w:lineRule="auto"/>
        <w:rPr>
          <w:sz w:val="20"/>
          <w:szCs w:val="20"/>
          <w:color w:val="auto"/>
        </w:rPr>
      </w:pPr>
      <w:r>
        <w:rPr>
          <w:rFonts w:ascii="Arial" w:cs="Arial" w:eastAsia="Arial" w:hAnsi="Arial"/>
          <w:sz w:val="16"/>
          <w:szCs w:val="16"/>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analytics, and other general corporate expenditures.</w:t>
      </w:r>
    </w:p>
    <w:p>
      <w:pPr>
        <w:spacing w:after="0" w:line="94" w:lineRule="exact"/>
        <w:rPr>
          <w:sz w:val="20"/>
          <w:szCs w:val="20"/>
          <w:color w:val="auto"/>
        </w:rPr>
      </w:pPr>
    </w:p>
    <w:p>
      <w:pPr>
        <w:ind w:right="600" w:firstLine="324"/>
        <w:spacing w:after="0" w:line="359" w:lineRule="auto"/>
        <w:rPr>
          <w:sz w:val="20"/>
          <w:szCs w:val="20"/>
          <w:color w:val="auto"/>
        </w:rPr>
      </w:pPr>
      <w:r>
        <w:rPr>
          <w:rFonts w:ascii="Arial" w:cs="Arial" w:eastAsia="Arial" w:hAnsi="Arial"/>
          <w:sz w:val="16"/>
          <w:szCs w:val="16"/>
          <w:color w:val="auto"/>
        </w:rPr>
        <w:t>Net cash used in operating activities mainly consists of our net loss adjusted for certain non-cash items, including stock-based compensation, depreciation and amortization, amortization of operating lease right-of-use assets, and changes in operating assets and liabilities during each period.</w:t>
      </w:r>
    </w:p>
    <w:p>
      <w:pPr>
        <w:spacing w:after="0" w:line="7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For 2019, net cash provided by operating activities was $8.4 million, which primarily consisted of net loss of $51.4 million adjusted for non-cash charges of $6.3 million and net cash inflows of $53.5 million due to changes in our operating assets and liabilities. The main drivers for the change in operating assets and liabilities were a decrease in disbursement prefunding of $17.1 million and an increase in customer liabilities of $54.2 million related to transactions processed from customers but not yet disbursed to recipients, offset by an increase in customer funds receivable of $17.4 million. The changes in these operating assets and liabilities are inline with the growth of the business and were impacted by timing and volume of funding needs and disbursements at the end of 2019.</w:t>
      </w:r>
    </w:p>
    <w:p>
      <w:pPr>
        <w:spacing w:after="0" w:line="13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For 2020, net cash used in operating activities was $114.2 million, which primarily consisted of our net loss of $32.6 million adjusted for non-cash charges of $9.3 million and net cash outflows of $91.0 million, due to changes in our operating assets and liabilities. The main drivers for the change in operating assets and liabilities were an increase in disbursement prefunding of $69.7 million related to funding disbursement partners for expected send volume over a long holiday weekend, an increase in customer funds receivable of $20.0 million due to an increase in volume and growth in our business and decrease of customer liabilities of $29.1 million due to timing of disbursements offset by an increase in accrued expenses and other current liabilities of $25.9 million due to timing of settlement of trade liabilities as well as increase in operating expense accruals in line with the growth of the business.</w:t>
      </w:r>
    </w:p>
    <w:p>
      <w:pPr>
        <w:spacing w:after="0" w:line="109" w:lineRule="exact"/>
        <w:rPr>
          <w:sz w:val="20"/>
          <w:szCs w:val="20"/>
          <w:color w:val="auto"/>
        </w:rPr>
      </w:pPr>
    </w:p>
    <w:p>
      <w:pPr>
        <w:ind w:right="40" w:firstLine="324"/>
        <w:spacing w:after="0" w:line="292" w:lineRule="auto"/>
        <w:rPr>
          <w:sz w:val="20"/>
          <w:szCs w:val="20"/>
          <w:color w:val="auto"/>
        </w:rPr>
      </w:pPr>
      <w:r>
        <w:rPr>
          <w:rFonts w:ascii="Arial" w:cs="Arial" w:eastAsia="Arial" w:hAnsi="Arial"/>
          <w:sz w:val="17"/>
          <w:szCs w:val="17"/>
          <w:color w:val="auto"/>
        </w:rPr>
        <w:t>For the six months ended June 30, 2020, net cash used by operating activities was $47.6 million, which primarily consisted of changes in our operating assets and liabilities of $30.9 million, as well as a net loss of $21.1 million. The main drivers for the change in operating assets and liabilities were a decrease in customer liabilities of $27.7 million, as well as an increase in customer funds receivable of $8.3 million, both due to growth in our business and timing of cash settlements and disbursements, respectively, partially offset by an $8.2 million increase in the balance of accrued expenses and other liabilities due to the timing of the settlement of expenses in the ordinary course of business.</w:t>
      </w:r>
    </w:p>
    <w:p>
      <w:pPr>
        <w:spacing w:after="0" w:line="12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For the six months ended June 30, 2021, net cash provided by operating activities was $60.3 million, which primarily consisted of changes in our operating assets and liabilities of $62.7 million offset by net loss of $9.2 million. The main drivers for the change in operating assets and liabilities were a decrease in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57"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prefunding of $50.3 million due to seasonality of the business, an increase in customer liabilities of $17.4 million due to growth in our business and timing of disbursements, offset by an increase in customer receivables of $8.9 million in line with the growth in our business, and timing of cash settlement.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used in investing activities consists of purchases of property and equipment and capitalization of internal-use software.</w:t>
      </w:r>
    </w:p>
    <w:p>
      <w:pPr>
        <w:spacing w:after="0" w:line="185" w:lineRule="exact"/>
        <w:rPr>
          <w:sz w:val="20"/>
          <w:szCs w:val="20"/>
          <w:color w:val="auto"/>
        </w:rPr>
      </w:pPr>
    </w:p>
    <w:p>
      <w:pPr>
        <w:ind w:right="320" w:firstLine="324"/>
        <w:spacing w:after="0" w:line="293" w:lineRule="auto"/>
        <w:rPr>
          <w:sz w:val="20"/>
          <w:szCs w:val="20"/>
          <w:color w:val="auto"/>
        </w:rPr>
      </w:pPr>
      <w:r>
        <w:rPr>
          <w:rFonts w:ascii="Arial" w:cs="Arial" w:eastAsia="Arial" w:hAnsi="Arial"/>
          <w:sz w:val="18"/>
          <w:szCs w:val="18"/>
          <w:color w:val="auto"/>
        </w:rPr>
        <w:t>Net cash used in investing activities for 2019 was $7.2 million, which was primarily related to purchases of property and equipment to support the increase in headcount, expansion and improvement of our facilities, and capitalized internal use software costs.</w:t>
      </w:r>
    </w:p>
    <w:p>
      <w:pPr>
        <w:spacing w:after="0" w:line="116" w:lineRule="exact"/>
        <w:rPr>
          <w:sz w:val="20"/>
          <w:szCs w:val="20"/>
          <w:color w:val="auto"/>
        </w:rPr>
      </w:pPr>
    </w:p>
    <w:p>
      <w:pPr>
        <w:ind w:right="320" w:firstLine="324"/>
        <w:spacing w:after="0" w:line="293" w:lineRule="auto"/>
        <w:rPr>
          <w:sz w:val="20"/>
          <w:szCs w:val="20"/>
          <w:color w:val="auto"/>
        </w:rPr>
      </w:pPr>
      <w:r>
        <w:rPr>
          <w:rFonts w:ascii="Arial" w:cs="Arial" w:eastAsia="Arial" w:hAnsi="Arial"/>
          <w:sz w:val="18"/>
          <w:szCs w:val="18"/>
          <w:color w:val="auto"/>
        </w:rPr>
        <w:t>Net cash used in investing activities for 2020 was $4.4 million, which was primarily related to purchases of property and equipment to support the increase in headcount, expansion and improvement of our facilities, and capitalized internal use software costs.</w:t>
      </w:r>
    </w:p>
    <w:p>
      <w:pPr>
        <w:spacing w:after="0" w:line="116" w:lineRule="exact"/>
        <w:rPr>
          <w:sz w:val="20"/>
          <w:szCs w:val="20"/>
          <w:color w:val="auto"/>
        </w:rPr>
      </w:pPr>
    </w:p>
    <w:p>
      <w:pPr>
        <w:ind w:right="40" w:firstLine="324"/>
        <w:spacing w:after="0" w:line="293" w:lineRule="auto"/>
        <w:rPr>
          <w:sz w:val="20"/>
          <w:szCs w:val="20"/>
          <w:color w:val="auto"/>
        </w:rPr>
      </w:pPr>
      <w:r>
        <w:rPr>
          <w:rFonts w:ascii="Arial" w:cs="Arial" w:eastAsia="Arial" w:hAnsi="Arial"/>
          <w:sz w:val="18"/>
          <w:szCs w:val="18"/>
          <w:color w:val="auto"/>
        </w:rPr>
        <w:t>Net cash used in investing activities was $2.3 million for the six months ended June 30, 2021 and 2020, primarily related to purchases of property and equipment to support the increase in headcount, and capitalization of internal use software costs.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right="240" w:firstLine="324"/>
        <w:spacing w:after="0" w:line="275" w:lineRule="auto"/>
        <w:rPr>
          <w:sz w:val="20"/>
          <w:szCs w:val="20"/>
          <w:color w:val="auto"/>
        </w:rPr>
      </w:pPr>
      <w:r>
        <w:rPr>
          <w:rFonts w:ascii="Arial" w:cs="Arial" w:eastAsia="Arial" w:hAnsi="Arial"/>
          <w:sz w:val="18"/>
          <w:szCs w:val="18"/>
          <w:color w:val="auto"/>
        </w:rPr>
        <w:t>Cash provided by our financing activities consists primarily of proceeds from the issuance of our redeemable convertible preferred stock, proceeds from our Revolving Credit Facility borrowings, and proceeds from the exercise of stock options. Cash used in financing activities consists primarily of repayments of our Revolving Credit Facility borrowings, along with repurchases and retirement of common stock and redeemable convertible preferred stock in connection with a tender offer.</w:t>
      </w:r>
    </w:p>
    <w:p>
      <w:pPr>
        <w:spacing w:after="0" w:line="131" w:lineRule="exact"/>
        <w:rPr>
          <w:sz w:val="20"/>
          <w:szCs w:val="20"/>
          <w:color w:val="auto"/>
        </w:rPr>
      </w:pPr>
    </w:p>
    <w:p>
      <w:pPr>
        <w:ind w:right="40" w:firstLine="324"/>
        <w:spacing w:after="0" w:line="275" w:lineRule="auto"/>
        <w:rPr>
          <w:sz w:val="20"/>
          <w:szCs w:val="20"/>
          <w:color w:val="auto"/>
        </w:rPr>
      </w:pPr>
      <w:r>
        <w:rPr>
          <w:rFonts w:ascii="Arial" w:cs="Arial" w:eastAsia="Arial" w:hAnsi="Arial"/>
          <w:sz w:val="18"/>
          <w:szCs w:val="18"/>
          <w:color w:val="auto"/>
        </w:rPr>
        <w:t>Net cash provided by financing activities for 2019 of $117.0 million was primarily driven by $129.8 million from the issuance of Series E redeemable convertible preferred stock, net of issuance costs and $9.0 million of net proceeds from our Revolving Credit Facility borrowings to meet our working capital requirements, offset by $2.8 million of cash used to repay our term loan, and further offset by $20.0 million cash used for the repurchase and retirement of common and redeemable convertible preferred stock in connection with a tender offer.</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Net cash provided by financing activities for 2020 of $122.2 million was primarily driven by $84.8 million from the issuance of Series F redeemable convertible preferred stock, net of issuance costs and $35.0 million of proceeds from our Revolving Credit Facility borrowings to meet our working capital needs.</w:t>
      </w:r>
    </w:p>
    <w:p>
      <w:pPr>
        <w:spacing w:after="0" w:line="12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Net cash used in financing activities for the six months ended June 30, 2020 of $26.0 million was primarily driven by repayments of our Revolving Credit Facility borrowings of $27.0 million, partially offset by proceeds from exercise of stock option of $1.0 million.</w:t>
      </w:r>
    </w:p>
    <w:p>
      <w:pPr>
        <w:spacing w:after="0" w:line="116" w:lineRule="exact"/>
        <w:rPr>
          <w:sz w:val="20"/>
          <w:szCs w:val="20"/>
          <w:color w:val="auto"/>
        </w:rPr>
      </w:pPr>
    </w:p>
    <w:p>
      <w:pPr>
        <w:ind w:right="240" w:firstLine="324"/>
        <w:spacing w:after="0" w:line="279" w:lineRule="auto"/>
        <w:rPr>
          <w:sz w:val="20"/>
          <w:szCs w:val="20"/>
          <w:color w:val="auto"/>
        </w:rPr>
      </w:pPr>
      <w:r>
        <w:rPr>
          <w:rFonts w:ascii="Arial" w:cs="Arial" w:eastAsia="Arial" w:hAnsi="Arial"/>
          <w:sz w:val="18"/>
          <w:szCs w:val="18"/>
          <w:color w:val="auto"/>
        </w:rPr>
        <w:t>Net cash used in financing activities for the six months ended June 30, 2021 of $72.6 million was primarily driven by repayments of our Revolving Credit Facility borrowings of $80.0 million, partially offset by proceeds from exercise of stock options of $4.4 million along with issuance of Series F redeemable convertible preferred stock, net of issuance costs, of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1440" w:right="399" w:bottom="1440" w:gutter="0" w:footer="0" w:header="0"/>
        </w:sectPr>
      </w:pPr>
    </w:p>
    <w:bookmarkStart w:id="109" w:name="page110"/>
    <w:bookmarkEnd w:id="10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720" w:firstLine="324"/>
        <w:spacing w:after="0" w:line="293" w:lineRule="auto"/>
        <w:rPr>
          <w:sz w:val="20"/>
          <w:szCs w:val="20"/>
          <w:color w:val="auto"/>
        </w:rPr>
      </w:pPr>
      <w:r>
        <w:rPr>
          <w:rFonts w:ascii="Arial" w:cs="Arial" w:eastAsia="Arial" w:hAnsi="Arial"/>
          <w:sz w:val="18"/>
          <w:szCs w:val="18"/>
          <w:color w:val="auto"/>
        </w:rPr>
        <w:t>Our principal commitments consist of operating lease commitments, purchase commitments and standby letters of credit. The following table summarizes our contractual obligations as of December 31, 2020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Payments Due By</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
        </w:trPr>
        <w:tc>
          <w:tcPr>
            <w:tcW w:w="3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7"/>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More Than</w:t>
            </w:r>
          </w:p>
        </w:tc>
      </w:tr>
      <w:tr>
        <w:trPr>
          <w:trHeight w:val="186"/>
        </w:trPr>
        <w:tc>
          <w:tcPr>
            <w:tcW w:w="30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6"/>
                <w:szCs w:val="16"/>
                <w:color w:val="auto"/>
              </w:rPr>
            </w:pP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5 Years</w:t>
            </w:r>
          </w:p>
        </w:tc>
      </w:tr>
      <w:tr>
        <w:trPr>
          <w:trHeight w:val="26"/>
        </w:trPr>
        <w:tc>
          <w:tcPr>
            <w:tcW w:w="3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7"/>
        </w:trPr>
        <w:tc>
          <w:tcPr>
            <w:tcW w:w="308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9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14,103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7"/>
        </w:trPr>
        <w:tc>
          <w:tcPr>
            <w:tcW w:w="308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21,980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contractual obligations through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40" w:firstLine="324"/>
        <w:spacing w:after="0" w:line="324" w:lineRule="auto"/>
        <w:rPr>
          <w:sz w:val="20"/>
          <w:szCs w:val="20"/>
          <w:color w:val="auto"/>
        </w:rPr>
      </w:pPr>
      <w:r>
        <w:rPr>
          <w:rFonts w:ascii="Arial" w:cs="Arial" w:eastAsia="Arial" w:hAnsi="Arial"/>
          <w:sz w:val="17"/>
          <w:szCs w:val="17"/>
          <w:color w:val="auto"/>
        </w:rPr>
        <w:t>As of December 31, 2020 and June 30, 2021, we had no off-balance sheet arrangements that have, or are reasonably likely to have, a current or future material effect on our consolidated financial condition, results of operations, liquidity, capital expenditures, or capital resources.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ind w:right="20" w:firstLine="324"/>
        <w:spacing w:after="0" w:line="303" w:lineRule="auto"/>
        <w:rPr>
          <w:sz w:val="20"/>
          <w:szCs w:val="20"/>
          <w:color w:val="auto"/>
        </w:rPr>
      </w:pPr>
      <w:r>
        <w:rPr>
          <w:rFonts w:ascii="Arial" w:cs="Arial" w:eastAsia="Arial" w:hAnsi="Arial"/>
          <w:sz w:val="17"/>
          <w:szCs w:val="17"/>
          <w:color w:val="auto"/>
        </w:rPr>
        <w:t>Market risk is the potential for economic losses to be incurred on market risk sensitive instruments arising from adverse changes in market factors such as foreign currency exchange rates and credit risk. Management establishes and oversees the implementation of policies governing our investing, funding, and foreign currency activities in order to mitigate market risks. We monitor risk exposures on an ongoing basis.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We are exposed to credit risk relating to our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confirmed funds collected from our customers,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8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Given the nature of our business, we are exposed to foreign exchange rate risk in a number of ways. Our principal exposure to foreign exchange rate risk includes:</w:t>
      </w:r>
    </w:p>
    <w:p>
      <w:pPr>
        <w:spacing w:after="0" w:line="116" w:lineRule="exact"/>
        <w:rPr>
          <w:sz w:val="20"/>
          <w:szCs w:val="20"/>
          <w:color w:val="auto"/>
        </w:rPr>
      </w:pPr>
    </w:p>
    <w:p>
      <w:pPr>
        <w:ind w:left="660" w:right="40" w:hanging="328"/>
        <w:spacing w:after="0" w:line="314"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7" w:lineRule="exact"/>
        <w:rPr>
          <w:sz w:val="20"/>
          <w:szCs w:val="20"/>
          <w:color w:val="auto"/>
        </w:rPr>
      </w:pPr>
    </w:p>
    <w:p>
      <w:pPr>
        <w:ind w:left="660" w:right="720"/>
        <w:spacing w:after="0" w:line="293" w:lineRule="auto"/>
        <w:rPr>
          <w:sz w:val="20"/>
          <w:szCs w:val="20"/>
          <w:color w:val="auto"/>
        </w:rPr>
      </w:pPr>
      <w:r>
        <w:rPr>
          <w:rFonts w:ascii="Arial" w:cs="Arial" w:eastAsia="Arial" w:hAnsi="Arial"/>
          <w:sz w:val="18"/>
          <w:szCs w:val="18"/>
          <w:color w:val="auto"/>
        </w:rPr>
        <w:t>varies based on the day of the week and the bank holiday schedule; for example, disbursement prefunding is typically largest before long weekends.</w:t>
      </w:r>
    </w:p>
    <w:p>
      <w:pPr>
        <w:spacing w:after="0" w:line="116" w:lineRule="exact"/>
        <w:rPr>
          <w:sz w:val="20"/>
          <w:szCs w:val="20"/>
          <w:color w:val="auto"/>
        </w:rPr>
      </w:pPr>
    </w:p>
    <w:p>
      <w:pPr>
        <w:jc w:val="both"/>
        <w:ind w:left="660" w:right="20" w:hanging="328"/>
        <w:spacing w:after="0" w:line="303"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While the majority of our revenue and expenses are denominated in the U.S. dollar, certain of our international operations are conducted in foreign currencies, a significant portion of which occur in Canada, the United Kingdom, Australia and the Philippines. Changes in the relative value of the U.S. dollar to other currencies may affect revenue and other operating results as expressed in U.S. dollars.</w:t>
      </w:r>
    </w:p>
    <w:p>
      <w:pPr>
        <w:spacing w:after="0" w:line="110" w:lineRule="exact"/>
        <w:rPr>
          <w:sz w:val="20"/>
          <w:szCs w:val="20"/>
          <w:color w:val="auto"/>
        </w:rPr>
      </w:pPr>
    </w:p>
    <w:p>
      <w:pPr>
        <w:ind w:right="200" w:firstLine="324"/>
        <w:spacing w:after="0" w:line="299" w:lineRule="auto"/>
        <w:rPr>
          <w:sz w:val="20"/>
          <w:szCs w:val="20"/>
          <w:color w:val="auto"/>
        </w:rPr>
      </w:pPr>
      <w:r>
        <w:rPr>
          <w:rFonts w:ascii="Arial" w:cs="Arial" w:eastAsia="Arial" w:hAnsi="Arial"/>
          <w:sz w:val="16"/>
          <w:szCs w:val="16"/>
          <w:color w:val="auto"/>
        </w:rPr>
        <w:t>As of December 31, 2019 and December 31, 2020,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$1.9 million and $9.7 million, respectively, based on our unhedged exposure to foreign currency at that date. There are inherent limitations in this sensitivity analysis, primarily due to the following assumptions:</w:t>
      </w:r>
    </w:p>
    <w:p>
      <w:pPr>
        <w:spacing w:after="0" w:line="2" w:lineRule="exact"/>
        <w:rPr>
          <w:sz w:val="20"/>
          <w:szCs w:val="20"/>
          <w:color w:val="auto"/>
        </w:rPr>
      </w:pPr>
    </w:p>
    <w:p>
      <w:pPr>
        <w:ind w:firstLine="8"/>
        <w:spacing w:after="0" w:line="269"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December 31, 2020 as shown in this sensitivity analysis is higher than normal, as the disbursement prefunding balance on December 31, 2020 was approximately $101.6 million due to the need to fund transactions to be paid out over the upcoming long holiday weekend.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41"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of America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9" w:lineRule="exact"/>
        <w:rPr>
          <w:sz w:val="20"/>
          <w:szCs w:val="20"/>
          <w:color w:val="auto"/>
        </w:rPr>
      </w:pPr>
    </w:p>
    <w:p>
      <w:pPr>
        <w:ind w:right="140" w:firstLine="324"/>
        <w:spacing w:after="0" w:line="359" w:lineRule="auto"/>
        <w:rPr>
          <w:sz w:val="20"/>
          <w:szCs w:val="20"/>
          <w:color w:val="auto"/>
        </w:rPr>
      </w:pPr>
      <w:r>
        <w:rPr>
          <w:rFonts w:ascii="Arial" w:cs="Arial" w:eastAsia="Arial" w:hAnsi="Arial"/>
          <w:sz w:val="16"/>
          <w:szCs w:val="16"/>
          <w:color w:val="auto"/>
        </w:rPr>
        <w:t>While our significant accounting policies are described in the notes to our consolidated financial statements included elsewhere in this prospectus, we believe that the following critical accounting policies are most important to understanding and evaluating our reported financial results.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firstLine="324"/>
        <w:spacing w:after="0" w:line="329" w:lineRule="auto"/>
        <w:rPr>
          <w:sz w:val="20"/>
          <w:szCs w:val="20"/>
          <w:color w:val="auto"/>
        </w:rPr>
      </w:pPr>
      <w:r>
        <w:rPr>
          <w:rFonts w:ascii="Arial" w:cs="Arial" w:eastAsia="Arial" w:hAnsi="Arial"/>
          <w:sz w:val="16"/>
          <w:szCs w:val="16"/>
          <w:color w:val="auto"/>
        </w:rPr>
        <w:t>Our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our customers, which is the time the funds have been delivered to the intended recipient in an amount that reflects the consideration we expect to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in exchange for services provided. We account for revenue in accordance with Accounting Standards Codification (ASC) Topic 606, Revenue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Contracts with Customers, which includes the following steps:</w:t>
      </w:r>
    </w:p>
    <w:p>
      <w:pPr>
        <w:spacing w:after="0" w:line="184"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85"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116" w:lineRule="exact"/>
        <w:rPr>
          <w:sz w:val="20"/>
          <w:szCs w:val="20"/>
          <w:color w:val="auto"/>
        </w:rPr>
      </w:pPr>
    </w:p>
    <w:p>
      <w:pPr>
        <w:ind w:right="120" w:firstLine="324"/>
        <w:spacing w:after="0" w:line="329" w:lineRule="auto"/>
        <w:rPr>
          <w:sz w:val="20"/>
          <w:szCs w:val="20"/>
          <w:color w:val="auto"/>
        </w:rPr>
      </w:pPr>
      <w:r>
        <w:rPr>
          <w:rFonts w:ascii="Arial" w:cs="Arial" w:eastAsia="Arial" w:hAnsi="Arial"/>
          <w:sz w:val="16"/>
          <w:szCs w:val="16"/>
          <w:color w:val="auto"/>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w:t>
      </w:r>
    </w:p>
    <w:p>
      <w:pPr>
        <w:spacing w:after="0" w:line="94" w:lineRule="exact"/>
        <w:rPr>
          <w:sz w:val="20"/>
          <w:szCs w:val="20"/>
          <w:color w:val="auto"/>
        </w:rPr>
      </w:pPr>
    </w:p>
    <w:p>
      <w:pPr>
        <w:ind w:right="20" w:firstLine="324"/>
        <w:spacing w:after="0" w:line="270" w:lineRule="auto"/>
        <w:rPr>
          <w:sz w:val="20"/>
          <w:szCs w:val="20"/>
          <w:color w:val="auto"/>
        </w:rPr>
      </w:pPr>
      <w:r>
        <w:rPr>
          <w:rFonts w:ascii="Arial" w:cs="Arial" w:eastAsia="Arial" w:hAnsi="Arial"/>
          <w:sz w:val="18"/>
          <w:szCs w:val="18"/>
          <w:color w:val="auto"/>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transaction expenses in the consolidated statements of operations. We do not have any deferred contract acquisition costs.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color w:val="auto"/>
        </w:rPr>
        <w:t>We account for stock-based compensation expense by calculating the estimated fair value of each employee and nonemployee award at the grant date or modification date by applying the Black-Scholes option pricing model. Stock-based compensation expense is recognized on a straight-line basis over the requisite service period, which is generally the vesting period of the respective award. Forfeitures are recognized in the period in which they occur.</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model utilizes the estimated value of our underlying common stock at the measurement date based on the following assumptions:</w:t>
      </w:r>
    </w:p>
    <w:p>
      <w:pPr>
        <w:spacing w:after="0" w:line="185" w:lineRule="exact"/>
        <w:rPr>
          <w:sz w:val="20"/>
          <w:szCs w:val="20"/>
          <w:color w:val="auto"/>
        </w:rPr>
      </w:pPr>
    </w:p>
    <w:p>
      <w:pPr>
        <w:ind w:right="600" w:firstLine="324"/>
        <w:spacing w:after="0" w:line="324"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We calculate the expected term based on the average period the options are expected to remain outstanding using the simplified</w:t>
      </w:r>
      <w:r>
        <w:rPr>
          <w:rFonts w:ascii="Arial" w:cs="Arial" w:eastAsia="Arial" w:hAnsi="Arial"/>
          <w:sz w:val="17"/>
          <w:szCs w:val="17"/>
          <w:i w:val="1"/>
          <w:iCs w:val="1"/>
          <w:color w:val="auto"/>
        </w:rPr>
        <w:t xml:space="preserve"> </w:t>
      </w:r>
      <w:r>
        <w:rPr>
          <w:rFonts w:ascii="Arial" w:cs="Arial" w:eastAsia="Arial" w:hAnsi="Arial"/>
          <w:sz w:val="17"/>
          <w:szCs w:val="17"/>
          <w:color w:val="auto"/>
        </w:rPr>
        <w:t>method, generally calculated as the midpoint of the requisite service period and the contractual term of the award.</w:t>
      </w:r>
    </w:p>
    <w:p>
      <w:pPr>
        <w:spacing w:after="0" w:line="93"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base our estimate of expected volatility on the historical volatility of comparable companies from a representative peer group</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based on industry, financial, and market capitalization data.</w:t>
      </w:r>
    </w:p>
    <w:p>
      <w:pPr>
        <w:spacing w:after="0" w:line="11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used in the model is based on the implied yield currently available for the U.S. Treasury securities at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with an equivalent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57"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Our expected dividend yield is zero as we have never declared nor paid any dividends and do not currently expect to do so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8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The fair values of the shares of common stock underlying our stock-based awards were determined by our board of directors. The values of stock-based awards granted were determined in accordance with the guidelines outlined in the American Institute of Certified Public Accountants Practice Aid, Valuation of Privately-Held-Company Equity Securities Issued as Compensation.</w:t>
      </w:r>
    </w:p>
    <w:p>
      <w:pPr>
        <w:spacing w:after="0" w:line="129"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assumptions we used in the valuation model are based on future expectations combined with management judgment. In the absence of a public trading market for our common stock, our board of directors, with input from management, exercised significant judgment and considered numerous objective and subjective factors to determine the best estimate of the fair value of our common stock for financial reporting purposes as of the grant date of each stock option award, including the following factors:</w:t>
      </w:r>
    </w:p>
    <w:p>
      <w:pPr>
        <w:spacing w:after="0" w:line="13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unrelated third-party specialists;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secondary sales;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actual operating results and financial performance;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current business projections;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history and the introduction of new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84" w:lineRule="exact"/>
        <w:rPr>
          <w:rFonts w:ascii="Arial" w:cs="Arial" w:eastAsia="Arial" w:hAnsi="Arial"/>
          <w:sz w:val="18"/>
          <w:szCs w:val="18"/>
          <w:color w:val="auto"/>
        </w:rPr>
      </w:pPr>
    </w:p>
    <w:p>
      <w:pPr>
        <w:ind w:left="660" w:right="300" w:hanging="328"/>
        <w:spacing w:after="0" w:line="29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likelihood and potential timing of achieving a liquidity event, such as an initial public offering or a merger or acquisition, given prevailing market conditions;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liquidity of stock-based awards involving securities in a private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United States and global capital market conditions.</w:t>
      </w:r>
    </w:p>
    <w:p>
      <w:pPr>
        <w:spacing w:after="0" w:line="185" w:lineRule="exact"/>
        <w:rPr>
          <w:sz w:val="20"/>
          <w:szCs w:val="20"/>
          <w:color w:val="auto"/>
        </w:rPr>
      </w:pPr>
    </w:p>
    <w:p>
      <w:pPr>
        <w:ind w:right="240" w:firstLine="324"/>
        <w:spacing w:after="0" w:line="329" w:lineRule="auto"/>
        <w:rPr>
          <w:sz w:val="20"/>
          <w:szCs w:val="20"/>
          <w:color w:val="auto"/>
        </w:rPr>
      </w:pPr>
      <w:r>
        <w:rPr>
          <w:rFonts w:ascii="Arial" w:cs="Arial" w:eastAsia="Arial" w:hAnsi="Arial"/>
          <w:sz w:val="16"/>
          <w:szCs w:val="16"/>
          <w:color w:val="auto"/>
        </w:rPr>
        <w:t>In valuing our common stock, the fair value of our business was determined using the market approach with input from management. The market approach estimates value based on a comparison of us to comparable public companies in a similar line of business. From the comparable companies, a representative market value multiple is determined and then applied to our financial forecasts to estimate the value of the subject company.</w:t>
      </w:r>
    </w:p>
    <w:p>
      <w:pPr>
        <w:spacing w:after="0" w:line="94"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In December 2020, we started using a hybrid method utilizing a combination of the option pricing method or OPM and the probability-weighted expected return method or PWERM, to estimate the value of our common stock. Under the PWERM, the value of a company’s particular equity class is estimated based upon an analysis of future values for the entire enterprise assuming various future outcomes. Share value is based upon the probability-weighted present value of these expected outcomes, as well as the rights of each class of preferred and common stock. We also applied a discount for lack of marketability to account for a lack of access to an active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320" w:top="1440" w:right="419" w:bottom="1440" w:gutter="0" w:footer="0" w:header="0"/>
        </w:sectPr>
      </w:pPr>
    </w:p>
    <w:bookmarkStart w:id="113" w:name="page114"/>
    <w:bookmarkEnd w:id="113"/>
    <w:p>
      <w:pPr>
        <w:spacing w:after="0" w:line="157"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color w:val="auto"/>
        </w:rPr>
        <w:t>In addition, we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frequency, and timing relative to the valuation date.</w:t>
      </w:r>
    </w:p>
    <w:p>
      <w:pPr>
        <w:spacing w:after="0" w:line="131" w:lineRule="exact"/>
        <w:rPr>
          <w:sz w:val="20"/>
          <w:szCs w:val="20"/>
          <w:color w:val="auto"/>
        </w:rPr>
      </w:pPr>
    </w:p>
    <w:p>
      <w:pPr>
        <w:ind w:firstLine="324"/>
        <w:spacing w:after="0" w:line="305" w:lineRule="auto"/>
        <w:rPr>
          <w:sz w:val="20"/>
          <w:szCs w:val="20"/>
          <w:color w:val="auto"/>
        </w:rPr>
      </w:pPr>
      <w:r>
        <w:rPr>
          <w:rFonts w:ascii="Arial" w:cs="Arial" w:eastAsia="Arial" w:hAnsi="Arial"/>
          <w:sz w:val="16"/>
          <w:szCs w:val="16"/>
          <w:color w:val="auto"/>
        </w:rPr>
        <w:t>In some cases, we considered the amount of time between the valuation date and the grant date to determine whether to use the latest common stock valuation determined pursuant to one of the methods described above or a straight-line interpolation between the two valuation dates. This determination included an evaluation of whether the subsequent valuation indicated that any significant change in valuation had occurred between the previous valuation and the grant date. We also utilized this methodology for equity awards which were granted subsequent to June 30, 2021, using the most recent valuation of our common stock, which was valued on July 15, 2021 and September 21, 2021. Between July 1, 2021 and August 31, 2021, we granted stock options and RSUs representing approximately 1.7 million shares of our common stock issuable upon the exercise of stock options or settlement of RSUs, which represents approximately 1% of our fully diluted shares as of June 30, 2021. We did not grant any equity awards in September 2021. As of August 31, 2021, we had approximately $67 million of total unamortized stock-based compensation expense, of which $27 million represents incremental stock-based compensation expense from interpolating the fair values of our common stock, or approximately 40% of our unamortized stock-based compensation expense as of August 31, 2021. The $27 million incremental expense comprises approximately $8 million for awards granted from January 1, 2021 through June 30, 2021 and $19 million for awards granted in July and August 2021.</w:t>
      </w:r>
    </w:p>
    <w:p>
      <w:pPr>
        <w:spacing w:after="0" w:line="115"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37"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For valuations after the closing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See Note 2 of the notes to our consolidated financial statements included elsewhere in this prospectus for information on recently issued accounting pronouncements.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8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In the course of preparing the financial statements that are included in this prospectus,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31"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The material weaknesses are as follows: we did not design and maintain effective controls over certain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57"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segregation of duties and that adequately restrict user and privileged access to certain financial systems, programs, and data to appropriate Company personnel.</w:t>
      </w:r>
    </w:p>
    <w:p>
      <w:pPr>
        <w:spacing w:after="0" w:line="116" w:lineRule="exact"/>
        <w:rPr>
          <w:sz w:val="20"/>
          <w:szCs w:val="20"/>
          <w:color w:val="auto"/>
        </w:rPr>
      </w:pPr>
    </w:p>
    <w:p>
      <w:pPr>
        <w:ind w:right="40" w:firstLine="324"/>
        <w:spacing w:after="0" w:line="279" w:lineRule="auto"/>
        <w:rPr>
          <w:sz w:val="20"/>
          <w:szCs w:val="20"/>
          <w:color w:val="auto"/>
        </w:rPr>
      </w:pPr>
      <w:r>
        <w:rPr>
          <w:rFonts w:ascii="Arial" w:cs="Arial" w:eastAsia="Arial" w:hAnsi="Arial"/>
          <w:sz w:val="18"/>
          <w:szCs w:val="18"/>
          <w:color w:val="auto"/>
        </w:rPr>
        <w:t>This material weakness contributed to the following material weakness: 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129"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106"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w:t>
      </w:r>
    </w:p>
    <w:p>
      <w:pPr>
        <w:spacing w:after="0" w:line="137" w:lineRule="exact"/>
        <w:rPr>
          <w:sz w:val="20"/>
          <w:szCs w:val="20"/>
          <w:color w:val="auto"/>
        </w:rPr>
      </w:pPr>
    </w:p>
    <w:p>
      <w:pPr>
        <w:ind w:right="60" w:firstLine="324"/>
        <w:spacing w:after="0" w:line="279" w:lineRule="auto"/>
        <w:rPr>
          <w:sz w:val="20"/>
          <w:szCs w:val="20"/>
          <w:color w:val="auto"/>
        </w:rPr>
      </w:pPr>
      <w:r>
        <w:rPr>
          <w:rFonts w:ascii="Arial" w:cs="Arial" w:eastAsia="Arial" w:hAnsi="Arial"/>
          <w:sz w:val="18"/>
          <w:szCs w:val="18"/>
          <w:color w:val="auto"/>
        </w:rPr>
        <w:t>We have concluded that these material weaknesses in our internal control over financial reporting occurred because, prior to this offering, we were a private company and did not have the necessary business processes, and related internal controls necessary to satisfy the accounting and financial reporting requirements of a public company.</w:t>
      </w:r>
    </w:p>
    <w:p>
      <w:pPr>
        <w:spacing w:after="0" w:line="1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8"/>
          <w:szCs w:val="18"/>
          <w:color w:val="auto"/>
        </w:rPr>
        <w:t>In accordance with the provisions of the JOBS Act, we and our independent registered public accounting firm were not required to, and did not, perform an evaluation of our internal control over financial reporting as of December 31, 2020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 Any existing or additional weaknesses in our disclosure controls or internal controls over financial reporting could cause investors to lose confidence in our reported financial and other information, which would likely have a negative effect on our stock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ind w:right="40" w:firstLine="324"/>
        <w:spacing w:after="0" w:line="30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 We expect to use the extended transition period for any new or revised accounting standards during the period in which we remain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Transform the lives of immigrants and their families by providing the most trusted financial services on the planet.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Beginning</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13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8"/>
          <w:szCs w:val="18"/>
          <w:color w:val="auto"/>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 Years Later</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131" w:lineRule="exact"/>
        <w:rPr>
          <w:sz w:val="20"/>
          <w:szCs w:val="20"/>
          <w:color w:val="auto"/>
        </w:rPr>
      </w:pPr>
    </w:p>
    <w:p>
      <w:pPr>
        <w:ind w:right="40" w:firstLine="324"/>
        <w:spacing w:after="0" w:line="292" w:lineRule="auto"/>
        <w:rPr>
          <w:sz w:val="20"/>
          <w:szCs w:val="20"/>
          <w:color w:val="auto"/>
        </w:rPr>
      </w:pPr>
      <w:r>
        <w:rPr>
          <w:rFonts w:ascii="Arial" w:cs="Arial" w:eastAsia="Arial" w:hAnsi="Arial"/>
          <w:sz w:val="17"/>
          <w:szCs w:val="17"/>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89" w:lineRule="exact"/>
        <w:rPr>
          <w:sz w:val="20"/>
          <w:szCs w:val="20"/>
          <w:color w:val="auto"/>
        </w:rPr>
      </w:pPr>
    </w:p>
    <w:p>
      <w:pPr>
        <w:ind w:right="340" w:firstLine="324"/>
        <w:spacing w:after="0" w:line="275" w:lineRule="auto"/>
        <w:rPr>
          <w:sz w:val="20"/>
          <w:szCs w:val="20"/>
          <w:color w:val="auto"/>
        </w:rPr>
      </w:pPr>
      <w:r>
        <w:rPr>
          <w:rFonts w:ascii="Arial" w:cs="Arial" w:eastAsia="Arial" w:hAnsi="Arial"/>
          <w:sz w:val="18"/>
          <w:szCs w:val="18"/>
          <w:color w:val="auto"/>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approximately $40 billion in transaction fees globally. The scale of this industry is an indicator of the essential role remittance plays in our economy and society.</w:t>
      </w:r>
    </w:p>
    <w:p>
      <w:pPr>
        <w:spacing w:after="0" w:line="13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8"/>
          <w:szCs w:val="18"/>
          <w:color w:val="auto"/>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137" w:lineRule="exact"/>
        <w:rPr>
          <w:sz w:val="20"/>
          <w:szCs w:val="20"/>
          <w:color w:val="auto"/>
        </w:rPr>
      </w:pPr>
    </w:p>
    <w:p>
      <w:pPr>
        <w:jc w:val="both"/>
        <w:ind w:right="220" w:firstLine="324"/>
        <w:spacing w:after="0" w:line="329" w:lineRule="auto"/>
        <w:rPr>
          <w:sz w:val="20"/>
          <w:szCs w:val="20"/>
          <w:color w:val="auto"/>
        </w:rPr>
      </w:pPr>
      <w:r>
        <w:rPr>
          <w:rFonts w:ascii="Arial" w:cs="Arial" w:eastAsia="Arial" w:hAnsi="Arial"/>
          <w:sz w:val="16"/>
          <w:szCs w:val="16"/>
          <w:color w:val="auto"/>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320" w:top="1440" w:right="399" w:bottom="1440" w:gutter="0" w:footer="0" w:header="0"/>
        </w:sectPr>
      </w:pPr>
    </w:p>
    <w:bookmarkStart w:id="118" w:name="page119"/>
    <w:bookmarkEnd w:id="11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even when available to them, such as savings, credit, investments, and insurance products, often come with high fees, and can be deceptive.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core proposition is to bring trust, reliability, and a fair and transparent price to cross-border remittances and broader financial services.</w:t>
      </w:r>
    </w:p>
    <w:p>
      <w:pPr>
        <w:spacing w:after="0" w:line="196" w:lineRule="exact"/>
        <w:rPr>
          <w:sz w:val="20"/>
          <w:szCs w:val="20"/>
          <w:color w:val="auto"/>
        </w:rPr>
      </w:pPr>
    </w:p>
    <w:p>
      <w:pPr>
        <w:ind w:right="40" w:firstLine="324"/>
        <w:spacing w:after="0" w:line="293" w:lineRule="auto"/>
        <w:rPr>
          <w:sz w:val="20"/>
          <w:szCs w:val="20"/>
          <w:color w:val="auto"/>
        </w:rPr>
      </w:pPr>
      <w:r>
        <w:rPr>
          <w:rFonts w:ascii="Arial" w:cs="Arial" w:eastAsia="Arial" w:hAnsi="Arial"/>
          <w:sz w:val="18"/>
          <w:szCs w:val="18"/>
          <w:color w:val="auto"/>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112" w:lineRule="exact"/>
        <w:rPr>
          <w:sz w:val="20"/>
          <w:szCs w:val="20"/>
          <w:color w:val="auto"/>
        </w:rPr>
      </w:pPr>
    </w:p>
    <w:p>
      <w:pPr>
        <w:ind w:left="660" w:right="40" w:hanging="328"/>
        <w:spacing w:after="0" w:line="315"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Providing a Simple and Reliable Way of Sending Money with Our Mobile-Centric Suite of Products</w:t>
      </w:r>
      <w:r>
        <w:rPr>
          <w:rFonts w:ascii="Arial" w:cs="Arial" w:eastAsia="Arial" w:hAnsi="Arial"/>
          <w:sz w:val="16"/>
          <w:szCs w:val="16"/>
          <w:color w:val="auto"/>
        </w:rPr>
        <w:t>. On June 30, 2021, over 85%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engaged with Remitly on their mobile phones, shifting what traditionally required waiting in line to speak with an agent to the palm of their hands. Also as of June 30, 2021, our mobile app had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92" w:lineRule="exact"/>
        <w:rPr>
          <w:rFonts w:ascii="Arial" w:cs="Arial" w:eastAsia="Arial" w:hAnsi="Arial"/>
          <w:sz w:val="16"/>
          <w:szCs w:val="16"/>
          <w:color w:val="auto"/>
        </w:rPr>
      </w:pPr>
    </w:p>
    <w:p>
      <w:pPr>
        <w:ind w:left="660" w:right="60"/>
        <w:spacing w:after="0" w:line="257" w:lineRule="auto"/>
        <w:rPr>
          <w:rFonts w:ascii="Arial" w:cs="Arial" w:eastAsia="Arial" w:hAnsi="Arial"/>
          <w:sz w:val="16"/>
          <w:szCs w:val="16"/>
          <w:color w:val="auto"/>
        </w:rPr>
      </w:pPr>
      <w:r>
        <w:rPr>
          <w:rFonts w:ascii="Arial" w:cs="Arial" w:eastAsia="Arial" w:hAnsi="Arial"/>
          <w:sz w:val="18"/>
          <w:szCs w:val="18"/>
          <w:color w:val="auto"/>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 time. This mobile-centric experience enables us to engage beyond the initial transaction, generating strong repeat usage and high customer loyalty. In 2020, we extended our offering with the addition of Passbook, our app-based banking service developed in partnership with Sunrise.</w:t>
      </w:r>
    </w:p>
    <w:p>
      <w:pPr>
        <w:spacing w:after="0" w:line="143" w:lineRule="exact"/>
        <w:rPr>
          <w:rFonts w:ascii="Arial" w:cs="Arial" w:eastAsia="Arial" w:hAnsi="Arial"/>
          <w:sz w:val="16"/>
          <w:szCs w:val="16"/>
          <w:color w:val="auto"/>
        </w:rPr>
      </w:pPr>
    </w:p>
    <w:p>
      <w:pPr>
        <w:jc w:val="both"/>
        <w:ind w:left="660" w:right="140" w:hanging="328"/>
        <w:spacing w:after="0" w:line="332" w:lineRule="auto"/>
        <w:tabs>
          <w:tab w:leader="none" w:pos="655"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Conveniently Putting Money Safely in the Hands of Our Customers’ Families, Wherever They Are, by Relying on Our Global Network. </w:t>
      </w:r>
      <w:r>
        <w:rPr>
          <w:rFonts w:ascii="Arial" w:cs="Arial" w:eastAsia="Arial" w:hAnsi="Arial"/>
          <w:sz w:val="16"/>
          <w:szCs w:val="16"/>
          <w:color w:val="auto"/>
        </w:rPr>
        <w:t>Our global network of funding and disbursement partnerships enables us to complete money transfers in over 1,700 corridors without the need to deploy local operations in each country. We are able to do this while complying with global and local licensing and regulatory requirements.</w:t>
      </w:r>
    </w:p>
    <w:p>
      <w:pPr>
        <w:spacing w:after="0" w:line="77" w:lineRule="exact"/>
        <w:rPr>
          <w:rFonts w:ascii="Arial" w:cs="Arial" w:eastAsia="Arial" w:hAnsi="Arial"/>
          <w:sz w:val="16"/>
          <w:szCs w:val="16"/>
          <w:b w:val="1"/>
          <w:bCs w:val="1"/>
          <w:color w:val="auto"/>
        </w:rPr>
      </w:pPr>
    </w:p>
    <w:p>
      <w:pPr>
        <w:ind w:left="660" w:right="200"/>
        <w:spacing w:after="0" w:line="275" w:lineRule="auto"/>
        <w:rPr>
          <w:rFonts w:ascii="Arial" w:cs="Arial" w:eastAsia="Arial" w:hAnsi="Arial"/>
          <w:sz w:val="16"/>
          <w:szCs w:val="16"/>
          <w:b w:val="1"/>
          <w:bCs w:val="1"/>
          <w:color w:val="auto"/>
        </w:rPr>
      </w:pPr>
      <w:r>
        <w:rPr>
          <w:rFonts w:ascii="Arial" w:cs="Arial" w:eastAsia="Arial" w:hAnsi="Arial"/>
          <w:sz w:val="17"/>
          <w:szCs w:val="17"/>
          <w:color w:val="auto"/>
        </w:rPr>
        <w:t>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within minutes to more than 3.5 billion bank accounts, over 630 million mobile wallets, and over 355,000 cash pickup locations. These partner relationships help drive a better customer experience, including faster transfers, higher acceptance rates, and enhanced reliability.</w:t>
      </w:r>
    </w:p>
    <w:p>
      <w:pPr>
        <w:spacing w:after="0" w:line="122" w:lineRule="exact"/>
        <w:rPr>
          <w:rFonts w:ascii="Arial" w:cs="Arial" w:eastAsia="Arial" w:hAnsi="Arial"/>
          <w:sz w:val="16"/>
          <w:szCs w:val="16"/>
          <w:b w:val="1"/>
          <w:bCs w:val="1"/>
          <w:color w:val="auto"/>
        </w:rPr>
      </w:pPr>
    </w:p>
    <w:p>
      <w:pPr>
        <w:ind w:left="660" w:right="2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2020, we began serving business customers with the launch of Remitly For Developers, our remittance-as-a-service offering that strategically leverages our custom-built global network and compliance and regulatory infrastructure.</w:t>
      </w:r>
    </w:p>
    <w:p>
      <w:pPr>
        <w:spacing w:after="0" w:line="125" w:lineRule="exact"/>
        <w:rPr>
          <w:rFonts w:ascii="Arial" w:cs="Arial" w:eastAsia="Arial" w:hAnsi="Arial"/>
          <w:sz w:val="16"/>
          <w:szCs w:val="16"/>
          <w:b w:val="1"/>
          <w:bCs w:val="1"/>
          <w:color w:val="auto"/>
        </w:rPr>
      </w:pPr>
    </w:p>
    <w:p>
      <w:pPr>
        <w:ind w:left="660" w:right="220" w:hanging="328"/>
        <w:spacing w:after="0" w:line="297" w:lineRule="auto"/>
        <w:tabs>
          <w:tab w:leader="none" w:pos="655"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Creating Trusted and Personalized Experiences with Our Localization Expertise at Scale. </w:t>
      </w:r>
      <w:r>
        <w:rPr>
          <w:rFonts w:ascii="Arial" w:cs="Arial" w:eastAsia="Arial" w:hAnsi="Arial"/>
          <w:sz w:val="17"/>
          <w:szCs w:val="17"/>
          <w:color w:val="auto"/>
        </w:rPr>
        <w:t>We believe our expertise in localizing our</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products, and customer support at scale is a key differentiator. For example, we tailor our customer experience with 14 native languages, and we provide peace of mind with our global customer support team. Additionally, for disbursement of funds, we partner with local brands that are among the most trusted and recognized by our customers and their families.</w:t>
      </w:r>
    </w:p>
    <w:p>
      <w:pPr>
        <w:spacing w:after="0" w:line="112"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Using Our Data-Driven Approach to Better Serve Our Customers and Provide More Value. </w:t>
      </w:r>
      <w:r>
        <w:rPr>
          <w:rFonts w:ascii="Arial" w:cs="Arial" w:eastAsia="Arial" w:hAnsi="Arial"/>
          <w:sz w:val="18"/>
          <w:szCs w:val="18"/>
          <w:color w:val="auto"/>
        </w:rPr>
        <w:t>We have a data-driven approach to how we grow</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prioritize our investments, and manage our operations. Because our customers initiate transfers digitally, we capture and leverage a body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ind w:left="660" w:right="140"/>
        <w:spacing w:after="0" w:line="279" w:lineRule="auto"/>
        <w:rPr>
          <w:sz w:val="20"/>
          <w:szCs w:val="20"/>
          <w:color w:val="auto"/>
        </w:rPr>
      </w:pPr>
      <w:r>
        <w:rPr>
          <w:rFonts w:ascii="Arial" w:cs="Arial" w:eastAsia="Arial" w:hAnsi="Arial"/>
          <w:sz w:val="18"/>
          <w:szCs w:val="18"/>
          <w:color w:val="auto"/>
        </w:rPr>
        <w:t>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 is at the Core of Everything We Do</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Our technology platform was purpose-built to power our mobile-centric suite of products, connect our global network, localize our marketing, products and experiences, and drive our data-driven approach.</w:t>
      </w:r>
    </w:p>
    <w:p>
      <w:pPr>
        <w:spacing w:after="0" w:line="116" w:lineRule="exact"/>
        <w:rPr>
          <w:sz w:val="20"/>
          <w:szCs w:val="20"/>
          <w:color w:val="auto"/>
        </w:rPr>
      </w:pPr>
    </w:p>
    <w:p>
      <w:pPr>
        <w:ind w:right="360" w:firstLine="324"/>
        <w:spacing w:after="0" w:line="359" w:lineRule="auto"/>
        <w:rPr>
          <w:sz w:val="20"/>
          <w:szCs w:val="20"/>
          <w:color w:val="auto"/>
        </w:rPr>
      </w:pPr>
      <w:r>
        <w:rPr>
          <w:rFonts w:ascii="Arial" w:cs="Arial" w:eastAsia="Arial" w:hAnsi="Arial"/>
          <w:sz w:val="16"/>
          <w:szCs w:val="16"/>
          <w:color w:val="auto"/>
        </w:rPr>
        <w:t>Given the scale of our business and complexity of digital cross-border payments, our technology platform has broad and complex capabilities and, together with our data, gives us a unique advantage in understanding our customers. Our technology platform is comprised of the following:</w:t>
      </w:r>
    </w:p>
    <w:p>
      <w:pPr>
        <w:spacing w:after="0" w:line="71" w:lineRule="exact"/>
        <w:rPr>
          <w:sz w:val="20"/>
          <w:szCs w:val="20"/>
          <w:color w:val="auto"/>
        </w:rPr>
      </w:pPr>
    </w:p>
    <w:p>
      <w:pPr>
        <w:ind w:left="660" w:right="620" w:hanging="328"/>
        <w:spacing w:after="0" w:line="279"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w:t>
      </w:r>
    </w:p>
    <w:p>
      <w:pPr>
        <w:spacing w:after="0" w:line="128" w:lineRule="exact"/>
        <w:rPr>
          <w:rFonts w:ascii="Arial" w:cs="Arial" w:eastAsia="Arial" w:hAnsi="Arial"/>
          <w:sz w:val="18"/>
          <w:szCs w:val="18"/>
          <w:color w:val="auto"/>
        </w:rPr>
      </w:pPr>
    </w:p>
    <w:p>
      <w:pPr>
        <w:ind w:left="660" w:right="980" w:hanging="328"/>
        <w:spacing w:after="0" w:line="29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Core transaction engine that underpins the entire transaction lifecycle from pricing and FX, to funding, processing, and, ultimately, to disbursement;</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Customer experience engine with corridor-specific user journeys and multilingual self-service or real-time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Disbursement system for partner integrations that support a diverse set of delivery methods in over 115 countries; and</w:t>
      </w:r>
    </w:p>
    <w:p>
      <w:pPr>
        <w:spacing w:after="0" w:line="184" w:lineRule="exact"/>
        <w:rPr>
          <w:rFonts w:ascii="Arial" w:cs="Arial" w:eastAsia="Arial" w:hAnsi="Arial"/>
          <w:sz w:val="18"/>
          <w:szCs w:val="18"/>
          <w:color w:val="auto"/>
        </w:rPr>
      </w:pPr>
    </w:p>
    <w:p>
      <w:pPr>
        <w:ind w:left="660" w:right="180" w:hanging="328"/>
        <w:spacing w:after="0" w:line="29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Multi-layered machine learning and data-driven fraud and risk management capabilities (KYC, anti-money laundering, etc.), in compliance with highly complex and continuously evolving global and local regulations.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Benefit from a Powerful Flywheel</w:t>
      </w:r>
    </w:p>
    <w:p>
      <w:pPr>
        <w:spacing w:after="0" w:line="18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8"/>
          <w:szCs w:val="18"/>
          <w:color w:val="auto"/>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3471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7"/>
          <w:szCs w:val="17"/>
          <w:color w:val="auto"/>
        </w:rPr>
        <w:t>We are in the early stages of capturing our addressable market opportunity. Our send volume of approximately $16.1 billion for the twelve months ended June 30, 2021 represented approximately 1% of the $1.5 trillion in estimated total migrant remittance inflow volume in 2020 (including both formal and informal person-to-person channels) and approximately 3% of our $540 billion core serviceable available market of formal remittance flows to low-and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122"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While we are just getting started, we are proud of the scale we have achieved to date. In 2020 our customers completed approximately 31 million remittance transactions using Remitly. A majority of our active customers send money for non-discretionary needs multiple times per month, providing strong customer engagement and a reoccurring revenue stream with high visibility and predictability. We believe our customers consistently return to Remitly and use our services given our relentless focus on fostering trusted relationships from day one. The combination of our low acquisition costs, overall payback period of approximately 10 months, and high repeat transactions leads to attractive customer economics. For the customers acquired during the year ended December 31, 2019, the five-year LTV/CAC ratio was greater than 6.0x.</w:t>
      </w:r>
    </w:p>
    <w:p>
      <w:pPr>
        <w:spacing w:after="0" w:line="122"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on average grows more than 160% compared to the acquisition year. In subsequent years, cohorts typically retain over 90% of the revenue generated in the preceding year. We believe that this analysis supports our strategy of making the initial investments in order to build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57"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color w:val="auto"/>
        </w:rPr>
        <w:t>term, trusted customer relationships, illustrates that our products and services continue to provide value to our customers on an ongoing basis, and demonstrates our ability to grow our business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73660</wp:posOffset>
            </wp:positionV>
            <wp:extent cx="5349240" cy="2331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firstLine="324"/>
        <w:spacing w:after="0" w:line="296" w:lineRule="auto"/>
        <w:rPr>
          <w:sz w:val="20"/>
          <w:szCs w:val="20"/>
          <w:color w:val="auto"/>
        </w:rPr>
      </w:pPr>
      <w:r>
        <w:rPr>
          <w:rFonts w:ascii="Arial" w:cs="Arial" w:eastAsia="Arial" w:hAnsi="Arial"/>
          <w:sz w:val="17"/>
          <w:szCs w:val="17"/>
          <w:color w:val="auto"/>
        </w:rPr>
        <w:t>For the fiscal years ended December 31, 2019 and 2020, we generated revenue of $126.6 million and $257.0 million, respectively, representing year-over-year growth of approximately 103%. We incurred net losses of $51.4 million and $32.6 million, respectively, for those same years. For the six months ended June 30, 2020 and 2021, we generated revenue of $105.1 million and $202.1 million, respectively, representing year-over-year growth of approximately 92%. We incurred net losses of $21.1 million and $9.2 million, respectively, for those same periods.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Key Secular Trends In Our Favor</w:t>
      </w:r>
    </w:p>
    <w:p>
      <w:pPr>
        <w:spacing w:after="0" w:line="18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7"/>
          <w:szCs w:val="17"/>
          <w:color w:val="auto"/>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a number of important secular megatrends and market dynamics that are supporting our growth:</w:t>
      </w:r>
    </w:p>
    <w:p>
      <w:pPr>
        <w:spacing w:after="0" w:line="181" w:lineRule="exact"/>
        <w:rPr>
          <w:sz w:val="20"/>
          <w:szCs w:val="20"/>
          <w:color w:val="auto"/>
        </w:rPr>
      </w:pPr>
    </w:p>
    <w:p>
      <w:pPr>
        <w:ind w:left="660" w:hanging="328"/>
        <w:spacing w:after="0" w:line="274"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The global immigrant community is large, growing and critically important. </w:t>
      </w:r>
      <w:r>
        <w:rPr>
          <w:rFonts w:ascii="Arial" w:cs="Arial" w:eastAsia="Arial" w:hAnsi="Arial"/>
          <w:sz w:val="18"/>
          <w:szCs w:val="18"/>
          <w:color w:val="auto"/>
        </w:rPr>
        <w:t>Currently, there are more than 280 million immigrants around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 which has grown dramatically since 2000 when there were less than 180 million. One of the primary reasons people choose to emigrate is to pursue economic opportunities that will improve the lives and financial well-being of themselves and their families. This movement of people to higher income countries is fundamental to global economic development. For immigrants working and living abroad, remittances can be a critical lifeline for and a bridge to their families.</w:t>
      </w:r>
    </w:p>
    <w:p>
      <w:pPr>
        <w:spacing w:after="0" w:line="127" w:lineRule="exact"/>
        <w:rPr>
          <w:rFonts w:ascii="Arial" w:cs="Arial" w:eastAsia="Arial" w:hAnsi="Arial"/>
          <w:sz w:val="18"/>
          <w:szCs w:val="18"/>
          <w:color w:val="auto"/>
        </w:rPr>
      </w:pPr>
    </w:p>
    <w:p>
      <w:pPr>
        <w:ind w:left="660" w:right="200" w:hanging="328"/>
        <w:spacing w:after="0" w:line="297"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Global money movement is complex. </w:t>
      </w:r>
      <w:r>
        <w:rPr>
          <w:rFonts w:ascii="Arial" w:cs="Arial" w:eastAsia="Arial" w:hAnsi="Arial"/>
          <w:sz w:val="17"/>
          <w:szCs w:val="17"/>
          <w:color w:val="auto"/>
        </w:rPr>
        <w:t>The cross-border remittance market is highly complex with a fragmented ecosystem of providers and</w:t>
      </w:r>
      <w:r>
        <w:rPr>
          <w:rFonts w:ascii="Arial" w:cs="Arial" w:eastAsia="Arial" w:hAnsi="Arial"/>
          <w:sz w:val="17"/>
          <w:szCs w:val="17"/>
          <w:b w:val="1"/>
          <w:bCs w:val="1"/>
          <w:color w:val="auto"/>
        </w:rPr>
        <w:t xml:space="preserve"> </w:t>
      </w:r>
      <w:r>
        <w:rPr>
          <w:rFonts w:ascii="Arial" w:cs="Arial" w:eastAsia="Arial" w:hAnsi="Arial"/>
          <w:sz w:val="17"/>
          <w:szCs w:val="17"/>
          <w:color w:val="auto"/>
        </w:rPr>
        <w:t>disparate technologies, leading to significant inefficiency. In each jurisdiction, there are unique risk, compliance, and regulatory requirements to navigate and comply with. Global remittance networks are additionally required to operate at hyper-local levels on both the sender and recipient sides, with consumers demanding an array of pay-in and pay-out alternatives in both physical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57" w:lineRule="exact"/>
        <w:rPr>
          <w:sz w:val="20"/>
          <w:szCs w:val="20"/>
          <w:color w:val="auto"/>
        </w:rPr>
      </w:pPr>
    </w:p>
    <w:p>
      <w:pPr>
        <w:ind w:left="328"/>
        <w:spacing w:after="0"/>
        <w:rPr>
          <w:sz w:val="20"/>
          <w:szCs w:val="20"/>
          <w:color w:val="auto"/>
        </w:rPr>
      </w:pPr>
      <w:r>
        <w:rPr>
          <w:rFonts w:ascii="Arial" w:cs="Arial" w:eastAsia="Arial" w:hAnsi="Arial"/>
          <w:sz w:val="17"/>
          <w:szCs w:val="17"/>
          <w:color w:val="auto"/>
        </w:rPr>
        <w:t>digital formats. Disbursements and last mile delivery of funds require vast, sophisticated networks of tightly-integrated local partnerships.</w:t>
      </w:r>
    </w:p>
    <w:p>
      <w:pPr>
        <w:spacing w:after="0" w:line="192" w:lineRule="exact"/>
        <w:rPr>
          <w:sz w:val="20"/>
          <w:szCs w:val="20"/>
          <w:color w:val="auto"/>
        </w:rPr>
      </w:pPr>
    </w:p>
    <w:p>
      <w:pPr>
        <w:ind w:left="328" w:right="20" w:hanging="328"/>
        <w:spacing w:after="0" w:line="276"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Legacy solutions are inadequate, inefficient, and inconvenient. </w:t>
      </w:r>
      <w:r>
        <w:rPr>
          <w:rFonts w:ascii="Arial" w:cs="Arial" w:eastAsia="Arial" w:hAnsi="Arial"/>
          <w:sz w:val="18"/>
          <w:szCs w:val="18"/>
          <w:color w:val="auto"/>
        </w:rPr>
        <w:t>Today the majority of cross-border money transfers are serviced by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offline channels, including banks and informal person-to-person transfer services. The large industry players primarily service senders who fund with cash, which requires an extensive network of brick-and-mortar locations and originating agents, and similarly vast infrastructure in receiving locations. This antiquated model has been plagued by the following problems:</w:t>
      </w:r>
    </w:p>
    <w:p>
      <w:pPr>
        <w:spacing w:after="0" w:line="118" w:lineRule="exact"/>
        <w:rPr>
          <w:rFonts w:ascii="Arial" w:cs="Arial" w:eastAsia="Arial" w:hAnsi="Arial"/>
          <w:sz w:val="18"/>
          <w:szCs w:val="18"/>
          <w:color w:val="auto"/>
        </w:rPr>
      </w:pPr>
    </w:p>
    <w:p>
      <w:pPr>
        <w:ind w:left="648" w:right="240" w:hanging="324"/>
        <w:spacing w:after="0" w:line="277" w:lineRule="auto"/>
        <w:tabs>
          <w:tab w:leader="none" w:pos="6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Inconvenient offline experience, including limited store hours, long wait times, manual forms and sometimes unsafe locations, on both the send and receive sides;</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Lack of transparency in transaction fees and exchange rates;</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High transaction fees, which directly impact how much of the sent remittance is received;</w:t>
      </w:r>
    </w:p>
    <w:p>
      <w:pPr>
        <w:spacing w:after="0" w:line="171" w:lineRule="exact"/>
        <w:rPr>
          <w:rFonts w:ascii="Arial" w:cs="Arial" w:eastAsia="Arial" w:hAnsi="Arial"/>
          <w:sz w:val="18"/>
          <w:szCs w:val="18"/>
          <w:color w:val="auto"/>
        </w:rPr>
      </w:pPr>
    </w:p>
    <w:p>
      <w:pPr>
        <w:ind w:left="648" w:right="620" w:hanging="324"/>
        <w:spacing w:after="0" w:line="277" w:lineRule="auto"/>
        <w:tabs>
          <w:tab w:leader="none" w:pos="6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Slow and delayed processes, especially for offline transactions in which the sender has to message the recipient with all of the details necessary for receiving the funds;</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Poor customer service;</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Lack of reliability, visibility and control; and</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Fraud, data theft, and immigration enforcement targeting.</w:t>
      </w:r>
    </w:p>
    <w:p>
      <w:pPr>
        <w:spacing w:after="0" w:line="171" w:lineRule="exact"/>
        <w:rPr>
          <w:sz w:val="20"/>
          <w:szCs w:val="20"/>
          <w:color w:val="auto"/>
        </w:rPr>
      </w:pPr>
    </w:p>
    <w:p>
      <w:pPr>
        <w:ind w:left="328" w:right="240"/>
        <w:spacing w:after="0" w:line="263" w:lineRule="auto"/>
        <w:rPr>
          <w:sz w:val="20"/>
          <w:szCs w:val="20"/>
          <w:color w:val="auto"/>
        </w:rPr>
      </w:pPr>
      <w:r>
        <w:rPr>
          <w:rFonts w:ascii="Arial" w:cs="Arial" w:eastAsia="Arial" w:hAnsi="Arial"/>
          <w:sz w:val="18"/>
          <w:szCs w:val="18"/>
          <w:color w:val="auto"/>
        </w:rPr>
        <w:t>Traditional players have been slow to adapt to rapid technological shifts and changing consumer preferences for digital solutions and increased disbursement options, in part because they are saddled with fixed infrastructures that give them economic incentive not to adapt, creating an opportunity for new, disruptive market entrants.</w:t>
      </w:r>
    </w:p>
    <w:p>
      <w:pPr>
        <w:spacing w:after="0" w:line="139" w:lineRule="exact"/>
        <w:rPr>
          <w:sz w:val="20"/>
          <w:szCs w:val="20"/>
          <w:color w:val="auto"/>
        </w:rPr>
      </w:pPr>
    </w:p>
    <w:p>
      <w:pPr>
        <w:ind w:left="328" w:right="60" w:hanging="328"/>
        <w:spacing w:after="0" w:line="312" w:lineRule="auto"/>
        <w:tabs>
          <w:tab w:leader="none" w:pos="32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Digital offerings proliferate, resulting in better customer propositions</w:t>
      </w:r>
      <w:r>
        <w:rPr>
          <w:rFonts w:ascii="Arial" w:cs="Arial" w:eastAsia="Arial" w:hAnsi="Arial"/>
          <w:sz w:val="16"/>
          <w:szCs w:val="16"/>
          <w:color w:val="auto"/>
        </w:rPr>
        <w:t>. Digitization of financial products is increasing rapidly. The</w:t>
      </w:r>
      <w:r>
        <w:rPr>
          <w:rFonts w:ascii="Arial" w:cs="Arial" w:eastAsia="Arial" w:hAnsi="Arial"/>
          <w:sz w:val="16"/>
          <w:szCs w:val="16"/>
          <w:b w:val="1"/>
          <w:bCs w:val="1"/>
          <w:color w:val="auto"/>
        </w:rPr>
        <w:t xml:space="preserve"> </w:t>
      </w:r>
      <w:r>
        <w:rPr>
          <w:rFonts w:ascii="Arial" w:cs="Arial" w:eastAsia="Arial" w:hAnsi="Arial"/>
          <w:sz w:val="16"/>
          <w:szCs w:val="16"/>
          <w:color w:val="auto"/>
        </w:rPr>
        <w:t>proliferation of smartphones globally provides financial service companies with a new point of connectivity to build a superior digital experience for their users. By offering users the freedom to instantly access financial services anytime and anywhere, digital solutions improve convenience and are often faster and less expensive than traditional services. Once these services shift online and customers experience the convenience, control, transparency and cost savings, they do not go back to legacy methods of sending money home. In addition, the use and acceptance of cryptocurrency is beginning to span multiple financial functions including as a medium of exchange for sending money around the world.</w:t>
      </w:r>
    </w:p>
    <w:p>
      <w:pPr>
        <w:spacing w:after="0" w:line="103" w:lineRule="exact"/>
        <w:rPr>
          <w:rFonts w:ascii="Arial" w:cs="Arial" w:eastAsia="Arial" w:hAnsi="Arial"/>
          <w:sz w:val="16"/>
          <w:szCs w:val="16"/>
          <w:color w:val="auto"/>
        </w:rPr>
      </w:pPr>
    </w:p>
    <w:p>
      <w:pPr>
        <w:ind w:left="328" w:hanging="328"/>
        <w:spacing w:after="0" w:line="310" w:lineRule="auto"/>
        <w:tabs>
          <w:tab w:leader="none" w:pos="32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Imperative to drive financial inclusion. </w:t>
      </w:r>
      <w:r>
        <w:rPr>
          <w:rFonts w:ascii="Arial" w:cs="Arial" w:eastAsia="Arial" w:hAnsi="Arial"/>
          <w:sz w:val="16"/>
          <w:szCs w:val="16"/>
          <w:color w:val="auto"/>
        </w:rPr>
        <w:t>Immigrants in many cases are not given equal access to appropriate, affordable, and timely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including savings, credit, investment, and insurance products, among others. Inherent barriers to financial inclusion can include the lack of social security numbers, disparate treatment based on immigration status, inability to build credit histories, and the desire or necessity to avoid scrutiny due to fears of immigration enforcement. This unbanked or underbanked population is put at risk of having to forego financial services or potentially having to pay predatory rates in order to transact in ways that most people take for granted. Broader financial inclusion is critical for providing greater economic security and is also linked with stronger and more sustainable economic growth and development. Access to a wide range of financial products and services which are affordable, timely, and adequate is the core of financial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848"/>
          </w:cols>
          <w:pgMar w:left="652" w:top="1440" w:right="399" w:bottom="1440" w:gutter="0" w:footer="0" w:header="0"/>
        </w:sectPr>
      </w:pPr>
    </w:p>
    <w:bookmarkStart w:id="123" w:name="page124"/>
    <w:bookmarkEnd w:id="1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Providing a Simple and Reliable Way of Sending Money on Your Phone with Our Mobile-Centric Suite of Products</w:t>
      </w:r>
    </w:p>
    <w:p>
      <w:pPr>
        <w:spacing w:after="0" w:line="189" w:lineRule="exact"/>
        <w:rPr>
          <w:sz w:val="20"/>
          <w:szCs w:val="20"/>
          <w:color w:val="auto"/>
        </w:rPr>
      </w:pPr>
    </w:p>
    <w:p>
      <w:pPr>
        <w:ind w:right="60" w:firstLine="324"/>
        <w:spacing w:after="0" w:line="359" w:lineRule="auto"/>
        <w:rPr>
          <w:sz w:val="20"/>
          <w:szCs w:val="20"/>
          <w:color w:val="auto"/>
        </w:rPr>
      </w:pPr>
      <w:r>
        <w:rPr>
          <w:rFonts w:ascii="Arial" w:cs="Arial" w:eastAsia="Arial" w:hAnsi="Arial"/>
          <w:sz w:val="16"/>
          <w:szCs w:val="16"/>
          <w:color w:val="auto"/>
        </w:rPr>
        <w:t>Our journey began in digital cross-border remittances, and we have evolved to develop a portfolio of broader financial services. We designed and built a mobile-centric suite of products to address our customers’ discrete financial services needs, many of which are not met by legacy institutions.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Cross-Border Remittances</w:t>
      </w:r>
    </w:p>
    <w:p>
      <w:pPr>
        <w:spacing w:after="0" w:line="185" w:lineRule="exact"/>
        <w:rPr>
          <w:sz w:val="20"/>
          <w:szCs w:val="20"/>
          <w:color w:val="auto"/>
        </w:rPr>
      </w:pPr>
    </w:p>
    <w:p>
      <w:pPr>
        <w:ind w:right="40" w:firstLine="324"/>
        <w:spacing w:after="0" w:line="292" w:lineRule="auto"/>
        <w:rPr>
          <w:sz w:val="20"/>
          <w:szCs w:val="20"/>
          <w:color w:val="auto"/>
        </w:rPr>
      </w:pPr>
      <w:r>
        <w:rPr>
          <w:rFonts w:ascii="Arial" w:cs="Arial" w:eastAsia="Arial" w:hAnsi="Arial"/>
          <w:sz w:val="17"/>
          <w:szCs w:val="17"/>
          <w:color w:val="auto"/>
        </w:rPr>
        <w:t>We provide a digital cross-border remittance product that is accessible via our mobile app or the web—this is consistent with our philosophy to always meet our customers where they are. On June 30, 2021, over 85% of our customers engaged with us via our mobile app, shifting what traditionally required waiting in line to speak with an agent to the palm of their hands. Also as of June 30, 2021, our mobile app had a 4.9 iOS App Store rating with more than 450,000 reviewers and a 4.8 Android Google Play rating with more than 170,000 reviewers. Providing our customers with a convenient, easy, and safe mobile experience underpins our approach to product development, marketing, and customer success.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Seamless User Experience</w:t>
      </w:r>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We strive to make every interaction on our mobile app intuitive. We optimize for the entire customer experience by reducing friction from a customer’s first transaction on our platform to their most recent as a loyal Remitly customer.</w:t>
      </w:r>
    </w:p>
    <w:p>
      <w:pPr>
        <w:spacing w:after="0" w:line="11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color w:val="auto"/>
        </w:rPr>
        <w:t>New customers who have their information at hand can initiate a transaction in just minutes after setting up their account and adding their recipient’s information. Below are the key steps of a transaction from account log-in to transaction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73660</wp:posOffset>
            </wp:positionV>
            <wp:extent cx="5349240" cy="2459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80" w:hanging="328"/>
        <w:spacing w:after="0" w:line="276"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Account set-up and log-in. </w:t>
      </w:r>
      <w:r>
        <w:rPr>
          <w:rFonts w:ascii="Arial" w:cs="Arial" w:eastAsia="Arial" w:hAnsi="Arial"/>
          <w:sz w:val="18"/>
          <w:szCs w:val="18"/>
          <w:color w:val="auto"/>
        </w:rPr>
        <w:t>Customers can quickly set up an account on our app by entering their relevant personal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in a way that is designed to be secure. They then link their choice of payment methods including their bank account, credit card or debit card, and certain alternative payment methods. We also employ biometric login to reduce ongoing password friction. Our customers enjoy increased security and a faster way to access their transactions.</w:t>
      </w:r>
    </w:p>
    <w:p>
      <w:pPr>
        <w:spacing w:after="0" w:line="127" w:lineRule="exact"/>
        <w:rPr>
          <w:rFonts w:ascii="Arial" w:cs="Arial" w:eastAsia="Arial" w:hAnsi="Arial"/>
          <w:sz w:val="18"/>
          <w:szCs w:val="18"/>
          <w:color w:val="auto"/>
        </w:rPr>
      </w:pPr>
    </w:p>
    <w:p>
      <w:pPr>
        <w:ind w:left="660" w:right="360" w:hanging="328"/>
        <w:spacing w:after="0" w:line="29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Choose the recipient. </w:t>
      </w:r>
      <w:r>
        <w:rPr>
          <w:rFonts w:ascii="Arial" w:cs="Arial" w:eastAsia="Arial" w:hAnsi="Arial"/>
          <w:sz w:val="18"/>
          <w:szCs w:val="18"/>
          <w:color w:val="auto"/>
        </w:rPr>
        <w:t>Our customers can send to an unlimited number of recipients, and adding new ones is easy. To add a new recipient,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simply fills in the key information necessary for them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5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receive funds. The recipient's details only need to be entered one time making repeat transactions quick and easy.</w:t>
      </w:r>
    </w:p>
    <w:p>
      <w:pPr>
        <w:spacing w:after="0" w:line="181" w:lineRule="exact"/>
        <w:rPr>
          <w:sz w:val="20"/>
          <w:szCs w:val="20"/>
          <w:color w:val="auto"/>
        </w:rPr>
      </w:pPr>
    </w:p>
    <w:p>
      <w:pPr>
        <w:ind w:left="328" w:right="60" w:hanging="328"/>
        <w:spacing w:after="0" w:line="297" w:lineRule="auto"/>
        <w:tabs>
          <w:tab w:leader="none" w:pos="32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Speed of delivery. </w:t>
      </w:r>
      <w:r>
        <w:rPr>
          <w:rFonts w:ascii="Arial" w:cs="Arial" w:eastAsia="Arial" w:hAnsi="Arial"/>
          <w:sz w:val="18"/>
          <w:szCs w:val="18"/>
          <w:color w:val="auto"/>
        </w:rPr>
        <w:t>In the vast majority of our customers’ transactions, after selecting their recipient, they have the flexibility to select the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speed, send amount, and payment method within the product.</w:t>
      </w:r>
    </w:p>
    <w:p>
      <w:pPr>
        <w:spacing w:after="0" w:line="108" w:lineRule="exact"/>
        <w:rPr>
          <w:rFonts w:ascii="Arial" w:cs="Arial" w:eastAsia="Arial" w:hAnsi="Arial"/>
          <w:sz w:val="18"/>
          <w:szCs w:val="18"/>
          <w:color w:val="auto"/>
        </w:rPr>
      </w:pPr>
    </w:p>
    <w:p>
      <w:pPr>
        <w:ind w:left="328" w:right="140" w:hanging="328"/>
        <w:spacing w:after="0" w:line="276" w:lineRule="auto"/>
        <w:tabs>
          <w:tab w:leader="none" w:pos="32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Delivery method. </w:t>
      </w:r>
      <w:r>
        <w:rPr>
          <w:rFonts w:ascii="Arial" w:cs="Arial" w:eastAsia="Arial" w:hAnsi="Arial"/>
          <w:sz w:val="18"/>
          <w:szCs w:val="18"/>
          <w:color w:val="auto"/>
        </w:rPr>
        <w:t>Our global network of partners allows us to offer a rich selection of digital delivery methods, including bank deposits and</w:t>
      </w:r>
      <w:r>
        <w:rPr>
          <w:rFonts w:ascii="Arial" w:cs="Arial" w:eastAsia="Arial" w:hAnsi="Arial"/>
          <w:sz w:val="18"/>
          <w:szCs w:val="18"/>
          <w:b w:val="1"/>
          <w:bCs w:val="1"/>
          <w:color w:val="auto"/>
        </w:rPr>
        <w:t xml:space="preserve"> </w:t>
      </w:r>
      <w:r>
        <w:rPr>
          <w:rFonts w:ascii="Arial" w:cs="Arial" w:eastAsia="Arial" w:hAnsi="Arial"/>
          <w:sz w:val="18"/>
          <w:szCs w:val="18"/>
          <w:color w:val="auto"/>
        </w:rPr>
        <w:t>mobile wallets as well as traditional delivery methods such as cash pickup, where a recipient can conveniently collect the money sent at a nearby location using a picture ID and a transaction reference number. We also offer the convenience of home delivery in certain markets to further extend the accessibility of our customers’ recipients.</w:t>
      </w:r>
    </w:p>
    <w:p>
      <w:pPr>
        <w:spacing w:after="0" w:line="127" w:lineRule="exact"/>
        <w:rPr>
          <w:rFonts w:ascii="Arial" w:cs="Arial" w:eastAsia="Arial" w:hAnsi="Arial"/>
          <w:sz w:val="18"/>
          <w:szCs w:val="18"/>
          <w:color w:val="auto"/>
        </w:rPr>
      </w:pPr>
    </w:p>
    <w:p>
      <w:pPr>
        <w:ind w:left="328" w:right="180" w:hanging="328"/>
        <w:spacing w:after="0" w:line="321" w:lineRule="auto"/>
        <w:tabs>
          <w:tab w:leader="none" w:pos="323"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Transaction confirmation. </w:t>
      </w:r>
      <w:r>
        <w:rPr>
          <w:rFonts w:ascii="Arial" w:cs="Arial" w:eastAsia="Arial" w:hAnsi="Arial"/>
          <w:sz w:val="16"/>
          <w:szCs w:val="16"/>
          <w:color w:val="auto"/>
        </w:rPr>
        <w:t>We provide peace of mind with our Perfect Delivery Promise which includes a projection of the exact date and time</w:t>
      </w:r>
      <w:r>
        <w:rPr>
          <w:rFonts w:ascii="Arial" w:cs="Arial" w:eastAsia="Arial" w:hAnsi="Arial"/>
          <w:sz w:val="16"/>
          <w:szCs w:val="16"/>
          <w:b w:val="1"/>
          <w:bCs w:val="1"/>
          <w:color w:val="auto"/>
        </w:rPr>
        <w:t xml:space="preserve"> </w:t>
      </w:r>
      <w:r>
        <w:rPr>
          <w:rFonts w:ascii="Arial" w:cs="Arial" w:eastAsia="Arial" w:hAnsi="Arial"/>
          <w:sz w:val="16"/>
          <w:szCs w:val="16"/>
          <w:color w:val="auto"/>
        </w:rPr>
        <w:t>for delivery of funds. In addition, we believe we are the only scaled provider in the remittance market to provide a money back guarantee on timely delivery, a feature we are incredibly proud to stand behind. Both our customer and the recipient receive notifications at key stages of the transaction process including initiation and completion. Our customers also receive a transparent breakdown of their transaction costs.</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Benefits for Our Customers</w:t>
      </w:r>
    </w:p>
    <w:p>
      <w:pPr>
        <w:spacing w:after="0" w:line="181" w:lineRule="exact"/>
        <w:rPr>
          <w:sz w:val="20"/>
          <w:szCs w:val="20"/>
          <w:color w:val="auto"/>
        </w:rPr>
      </w:pPr>
    </w:p>
    <w:p>
      <w:pPr>
        <w:ind w:left="328" w:right="140" w:hanging="328"/>
        <w:spacing w:after="0" w:line="276"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Trusted and intuitive digital experience. </w:t>
      </w:r>
      <w:r>
        <w:rPr>
          <w:rFonts w:ascii="Arial" w:cs="Arial" w:eastAsia="Arial" w:hAnsi="Arial"/>
          <w:sz w:val="18"/>
          <w:szCs w:val="18"/>
          <w:color w:val="auto"/>
        </w:rPr>
        <w:t>Our digitally-native app is both easy to use and designed with security in mind. Customer onboarding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repeat logins are quick and easy, and we strive to keep customer data secure across log-in and transactions by leveraging multiple security layers. Our intuitive push notifications deliver real-time status updates and important reminders, keeping customers informed while providing peace of mind throughout the entire transaction process.</w:t>
      </w:r>
    </w:p>
    <w:p>
      <w:pPr>
        <w:spacing w:after="0" w:line="127" w:lineRule="exact"/>
        <w:rPr>
          <w:rFonts w:ascii="Arial" w:cs="Arial" w:eastAsia="Arial" w:hAnsi="Arial"/>
          <w:sz w:val="18"/>
          <w:szCs w:val="18"/>
          <w:color w:val="auto"/>
        </w:rPr>
      </w:pPr>
    </w:p>
    <w:p>
      <w:pPr>
        <w:ind w:left="328" w:hanging="328"/>
        <w:spacing w:after="0" w:line="272"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Simple onboarding process. </w:t>
      </w:r>
      <w:r>
        <w:rPr>
          <w:rFonts w:ascii="Arial" w:cs="Arial" w:eastAsia="Arial" w:hAnsi="Arial"/>
          <w:sz w:val="18"/>
          <w:szCs w:val="18"/>
          <w:color w:val="auto"/>
        </w:rPr>
        <w:t>Our simple step-by-step onboarding flow was designed to minimize friction and ensure our customers have to enter</w:t>
      </w:r>
      <w:r>
        <w:rPr>
          <w:rFonts w:ascii="Arial" w:cs="Arial" w:eastAsia="Arial" w:hAnsi="Arial"/>
          <w:sz w:val="18"/>
          <w:szCs w:val="18"/>
          <w:b w:val="1"/>
          <w:bCs w:val="1"/>
          <w:color w:val="auto"/>
        </w:rPr>
        <w:t xml:space="preserve"> </w:t>
      </w:r>
      <w:r>
        <w:rPr>
          <w:rFonts w:ascii="Arial" w:cs="Arial" w:eastAsia="Arial" w:hAnsi="Arial"/>
          <w:sz w:val="18"/>
          <w:szCs w:val="18"/>
          <w:color w:val="auto"/>
        </w:rPr>
        <w:t>their profile information only during their first transaction. Our electronic KYC, machine learning-based fraud scoring and payment authentication processes all take place in real-time to give our customers immediate feedback. When necessary, requests for additional information are designed to be intuitive and we offer in-app features to help automate document collection and identity verification. We also constantly evaluate and integrate new risk management tools to provide our immigrant customers with KYC and onboarding options that are tailored to their unique circumstances.</w:t>
      </w:r>
    </w:p>
    <w:p>
      <w:pPr>
        <w:spacing w:after="0" w:line="131" w:lineRule="exact"/>
        <w:rPr>
          <w:rFonts w:ascii="Arial" w:cs="Arial" w:eastAsia="Arial" w:hAnsi="Arial"/>
          <w:sz w:val="18"/>
          <w:szCs w:val="18"/>
          <w:color w:val="auto"/>
        </w:rPr>
      </w:pPr>
    </w:p>
    <w:p>
      <w:pPr>
        <w:ind w:left="328" w:right="100" w:hanging="328"/>
        <w:spacing w:after="0" w:line="274"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Centralized portal for easy account management. </w:t>
      </w:r>
      <w:r>
        <w:rPr>
          <w:rFonts w:ascii="Arial" w:cs="Arial" w:eastAsia="Arial" w:hAnsi="Arial"/>
          <w:sz w:val="18"/>
          <w:szCs w:val="18"/>
          <w:color w:val="auto"/>
        </w:rPr>
        <w:t>MyRemitly is a one-stop hub for customers to manage their account and access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and detailed view of current and past transaction details. Customers can self-serve documentation requirements without contacting us. We also offer self-service amendments, giving our customers the flexibility to update recipient names, disbursement partners, etc. at any time. Additionally, we enable some customers to set up alerts when exchange rates reach their desired range, so that they can opportunistically send money at attractive rates.</w:t>
      </w:r>
    </w:p>
    <w:p>
      <w:pPr>
        <w:spacing w:after="0" w:line="127" w:lineRule="exact"/>
        <w:rPr>
          <w:rFonts w:ascii="Arial" w:cs="Arial" w:eastAsia="Arial" w:hAnsi="Arial"/>
          <w:sz w:val="18"/>
          <w:szCs w:val="18"/>
          <w:color w:val="auto"/>
        </w:rPr>
      </w:pPr>
    </w:p>
    <w:p>
      <w:pPr>
        <w:ind w:left="328" w:hanging="328"/>
        <w:spacing w:after="0" w:line="293" w:lineRule="auto"/>
        <w:tabs>
          <w:tab w:leader="none" w:pos="323"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Best-in-class customer support. </w:t>
      </w:r>
      <w:r>
        <w:rPr>
          <w:rFonts w:ascii="Arial" w:cs="Arial" w:eastAsia="Arial" w:hAnsi="Arial"/>
          <w:sz w:val="17"/>
          <w:szCs w:val="17"/>
          <w:color w:val="auto"/>
        </w:rPr>
        <w:t>We offer contextual help, customized for a variety of scenarios that our customers may experience, which allows</w:t>
      </w:r>
      <w:r>
        <w:rPr>
          <w:rFonts w:ascii="Arial" w:cs="Arial" w:eastAsia="Arial" w:hAnsi="Arial"/>
          <w:sz w:val="17"/>
          <w:szCs w:val="17"/>
          <w:b w:val="1"/>
          <w:bCs w:val="1"/>
          <w:color w:val="auto"/>
        </w:rPr>
        <w:t xml:space="preserve"> </w:t>
      </w:r>
      <w:r>
        <w:rPr>
          <w:rFonts w:ascii="Arial" w:cs="Arial" w:eastAsia="Arial" w:hAnsi="Arial"/>
          <w:sz w:val="17"/>
          <w:szCs w:val="17"/>
          <w:color w:val="auto"/>
        </w:rPr>
        <w:t>them to self-resolve issues on their own terms. Our in-app self-help center is a rich repository of information with Q&amp;A informed by the needs of our customers over time. When live support is wanted or required, our app guides the customer through an intentional “help – chat – phone” journey. We believe that our multilingual 365x24x7 integrated in-app support combined with our agents and local partner relationships provides our customers with the quality and speed of service that we believe is unique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888"/>
          </w:cols>
          <w:pgMar w:left="652" w:top="1440" w:right="359" w:bottom="1440" w:gutter="0" w:footer="0" w:header="0"/>
        </w:sectPr>
      </w:pPr>
    </w:p>
    <w:bookmarkStart w:id="125" w:name="page126"/>
    <w:bookmarkEnd w:id="12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Banking Services</w:t>
      </w:r>
    </w:p>
    <w:p>
      <w:pPr>
        <w:spacing w:after="0" w:line="185" w:lineRule="exact"/>
        <w:rPr>
          <w:sz w:val="20"/>
          <w:szCs w:val="20"/>
          <w:color w:val="auto"/>
        </w:rPr>
      </w:pPr>
    </w:p>
    <w:p>
      <w:pPr>
        <w:ind w:right="580" w:firstLine="324"/>
        <w:spacing w:after="0" w:line="293" w:lineRule="auto"/>
        <w:rPr>
          <w:sz w:val="20"/>
          <w:szCs w:val="20"/>
          <w:color w:val="auto"/>
        </w:rPr>
      </w:pPr>
      <w:r>
        <w:rPr>
          <w:rFonts w:ascii="Arial" w:cs="Arial" w:eastAsia="Arial" w:hAnsi="Arial"/>
          <w:sz w:val="18"/>
          <w:szCs w:val="18"/>
          <w:color w:val="auto"/>
        </w:rPr>
        <w:t xml:space="preserve">In 2020, we launched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in partnership with Sunrise, a digital banking service available through a mobile app and uniquely designed for immigrants.</w:t>
      </w:r>
    </w:p>
    <w:p>
      <w:pPr>
        <w:spacing w:after="0" w:line="116"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i w:val="1"/>
          <w:iCs w:val="1"/>
          <w:color w:val="auto"/>
        </w:rPr>
        <w:t xml:space="preserve">Passbook </w:t>
      </w:r>
      <w:r>
        <w:rPr>
          <w:rFonts w:ascii="Arial" w:cs="Arial" w:eastAsia="Arial" w:hAnsi="Arial"/>
          <w:sz w:val="18"/>
          <w:szCs w:val="18"/>
          <w:color w:val="auto"/>
        </w:rPr>
        <w:t>promotes financial access by giving our customers a new way to store, spend and send money in a manner that is secure and compliant. With</w:t>
      </w:r>
      <w:r>
        <w:rPr>
          <w:rFonts w:ascii="Arial" w:cs="Arial" w:eastAsia="Arial" w:hAnsi="Arial"/>
          <w:sz w:val="18"/>
          <w:szCs w:val="18"/>
          <w:i w:val="1"/>
          <w:iCs w:val="1"/>
          <w:color w:val="auto"/>
        </w:rPr>
        <w:t xml:space="preserve"> Passbook</w:t>
      </w:r>
      <w:r>
        <w:rPr>
          <w:rFonts w:ascii="Arial" w:cs="Arial" w:eastAsia="Arial" w:hAnsi="Arial"/>
          <w:sz w:val="18"/>
          <w:szCs w:val="18"/>
          <w:color w:val="auto"/>
        </w:rPr>
        <w:t>, our customers have access to banking services that don’t require them to pay account or international transaction fees, and they can personalize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their Visa debit cards. With tailored KYC and identity verification processes using our existing technology platform, they can sign up for a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account in under ten minutes.</w:t>
      </w:r>
    </w:p>
    <w:p>
      <w:pPr>
        <w:spacing w:after="0" w:line="13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8"/>
          <w:szCs w:val="18"/>
          <w:color w:val="auto"/>
        </w:rPr>
        <w:t xml:space="preserve">Since the launch of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in February 2020, we have seen encouraging early adoption and we continue to build out our suite of offerings. While </w:t>
      </w:r>
      <w:r>
        <w:rPr>
          <w:rFonts w:ascii="Arial" w:cs="Arial" w:eastAsia="Arial" w:hAnsi="Arial"/>
          <w:sz w:val="18"/>
          <w:szCs w:val="18"/>
          <w:i w:val="1"/>
          <w:iCs w:val="1"/>
          <w:color w:val="auto"/>
        </w:rPr>
        <w:t xml:space="preserve">Passbook </w:t>
      </w:r>
      <w:r>
        <w:rPr>
          <w:rFonts w:ascii="Arial" w:cs="Arial" w:eastAsia="Arial" w:hAnsi="Arial"/>
          <w:sz w:val="18"/>
          <w:szCs w:val="18"/>
          <w:color w:val="auto"/>
        </w:rPr>
        <w:t>is still in early stages, we believe that, over time, we will be able to utilize the data and insights gathered from our remittance customers to tailor</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financial services for the needs of our immigrant customers, which will give us a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Conveniently Putting Money Safely in the Hands of Our Customers’ Families, Wherever They Are, by Relying on Our Global Network</w:t>
      </w:r>
    </w:p>
    <w:p>
      <w:pPr>
        <w:spacing w:after="0" w:line="200"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color w:val="auto"/>
        </w:rPr>
        <w:t>Our global network of funding and disbursement partners is at the core of our business. Over the last decade, we have strategically expanded our network in existing corridors to provide our customers with increasing disbursement options and in new corridors as part of our expansion strategy. Our partners, including those that are among the most trusted and recognized brands around the world, create a broad and effective payment acceptance (pay-in) and payment delivery (pay-out) ecosystem for our customers:</w:t>
      </w:r>
    </w:p>
    <w:p>
      <w:pPr>
        <w:spacing w:after="0" w:line="127" w:lineRule="exact"/>
        <w:rPr>
          <w:sz w:val="20"/>
          <w:szCs w:val="20"/>
          <w:color w:val="auto"/>
        </w:rPr>
      </w:pPr>
    </w:p>
    <w:p>
      <w:pPr>
        <w:jc w:val="both"/>
        <w:ind w:left="660" w:right="300" w:hanging="328"/>
        <w:spacing w:after="0" w:line="305" w:lineRule="auto"/>
        <w:tabs>
          <w:tab w:leader="none" w:pos="655"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Payment acceptance. </w:t>
      </w:r>
      <w:r>
        <w:rPr>
          <w:rFonts w:ascii="Arial" w:cs="Arial" w:eastAsia="Arial" w:hAnsi="Arial"/>
          <w:sz w:val="17"/>
          <w:szCs w:val="17"/>
          <w:color w:val="auto"/>
        </w:rPr>
        <w:t>We have relationships with more than 15 top tier banks including Barclays, Chase, HSBC, and Wells Fargo, and leading</w:t>
      </w:r>
      <w:r>
        <w:rPr>
          <w:rFonts w:ascii="Arial" w:cs="Arial" w:eastAsia="Arial" w:hAnsi="Arial"/>
          <w:sz w:val="17"/>
          <w:szCs w:val="17"/>
          <w:b w:val="1"/>
          <w:bCs w:val="1"/>
          <w:color w:val="auto"/>
        </w:rPr>
        <w:t xml:space="preserve"> </w:t>
      </w:r>
      <w:r>
        <w:rPr>
          <w:rFonts w:ascii="Arial" w:cs="Arial" w:eastAsia="Arial" w:hAnsi="Arial"/>
          <w:sz w:val="17"/>
          <w:szCs w:val="17"/>
          <w:color w:val="auto"/>
        </w:rPr>
        <w:t>global payment processors including a direct relationship with Visa. These relationships provide our customers an array of payment (or pay-in) options to fund remittances with a bank account, card-based payment, or alternative payment method.</w:t>
      </w:r>
    </w:p>
    <w:p>
      <w:pPr>
        <w:spacing w:after="0" w:line="95" w:lineRule="exact"/>
        <w:rPr>
          <w:rFonts w:ascii="Arial" w:cs="Arial" w:eastAsia="Arial" w:hAnsi="Arial"/>
          <w:sz w:val="17"/>
          <w:szCs w:val="17"/>
          <w:color w:val="auto"/>
        </w:rPr>
      </w:pPr>
    </w:p>
    <w:p>
      <w:pPr>
        <w:jc w:val="both"/>
        <w:ind w:left="660" w:right="140"/>
        <w:spacing w:after="0" w:line="263" w:lineRule="auto"/>
        <w:rPr>
          <w:rFonts w:ascii="Arial" w:cs="Arial" w:eastAsia="Arial" w:hAnsi="Arial"/>
          <w:sz w:val="17"/>
          <w:szCs w:val="17"/>
          <w:color w:val="auto"/>
        </w:rPr>
      </w:pPr>
      <w:r>
        <w:rPr>
          <w:rFonts w:ascii="Arial" w:cs="Arial" w:eastAsia="Arial" w:hAnsi="Arial"/>
          <w:sz w:val="18"/>
          <w:szCs w:val="18"/>
          <w:color w:val="auto"/>
        </w:rPr>
        <w:t>We can accept and settle transfers from hundreds of millions of consumer bank accounts as well as Visa and MasterCard credit and debit cards in the 17 send countries we operate in today. As a digital service, we do not have sending agents who accept cash. We, in turn, do not incur costs or commissions associated with physical agent-based sending and funding.</w:t>
      </w:r>
    </w:p>
    <w:p>
      <w:pPr>
        <w:spacing w:after="0" w:line="139" w:lineRule="exact"/>
        <w:rPr>
          <w:rFonts w:ascii="Arial" w:cs="Arial" w:eastAsia="Arial" w:hAnsi="Arial"/>
          <w:sz w:val="17"/>
          <w:szCs w:val="17"/>
          <w:color w:val="auto"/>
        </w:rPr>
      </w:pPr>
    </w:p>
    <w:p>
      <w:pPr>
        <w:ind w:left="660" w:right="100" w:hanging="328"/>
        <w:spacing w:after="0" w:line="276"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Payment delivery. </w:t>
      </w:r>
      <w:r>
        <w:rPr>
          <w:rFonts w:ascii="Arial" w:cs="Arial" w:eastAsia="Arial" w:hAnsi="Arial"/>
          <w:sz w:val="18"/>
          <w:szCs w:val="18"/>
          <w:color w:val="auto"/>
        </w:rPr>
        <w:t>We have access to over 3,500 global disbursement partners including major banks, cash pick-up and mobile wallet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These relationships provide our customers with choice of delivery and enable us to send funds within minutes, or even seconds, to more than 3.5 billion bank accounts, over 630 million mobile wallets and alternative payment methods, and over 355,000 cash pickup locations (including retail outlets and banks).</w:t>
      </w:r>
    </w:p>
    <w:p>
      <w:pPr>
        <w:spacing w:after="0" w:line="118" w:lineRule="exact"/>
        <w:rPr>
          <w:rFonts w:ascii="Arial" w:cs="Arial" w:eastAsia="Arial" w:hAnsi="Arial"/>
          <w:sz w:val="18"/>
          <w:szCs w:val="18"/>
          <w:color w:val="auto"/>
        </w:rPr>
      </w:pPr>
    </w:p>
    <w:p>
      <w:pPr>
        <w:ind w:left="660"/>
        <w:spacing w:after="0" w:line="275" w:lineRule="auto"/>
        <w:rPr>
          <w:rFonts w:ascii="Arial" w:cs="Arial" w:eastAsia="Arial" w:hAnsi="Arial"/>
          <w:sz w:val="18"/>
          <w:szCs w:val="18"/>
          <w:color w:val="auto"/>
        </w:rPr>
      </w:pPr>
      <w:r>
        <w:rPr>
          <w:rFonts w:ascii="Arial" w:cs="Arial" w:eastAsia="Arial" w:hAnsi="Arial"/>
          <w:sz w:val="17"/>
          <w:szCs w:val="17"/>
          <w:color w:val="auto"/>
        </w:rPr>
        <w:t>We select our disbursement partners based on our recipients’ preferences, quality of service,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 (3) our specific operating metrics such as credit worthiness and error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ind w:left="660" w:right="420"/>
        <w:spacing w:after="0" w:line="259" w:lineRule="auto"/>
        <w:rPr>
          <w:sz w:val="20"/>
          <w:szCs w:val="20"/>
          <w:color w:val="auto"/>
        </w:rPr>
      </w:pPr>
      <w:r>
        <w:rPr>
          <w:rFonts w:ascii="Arial" w:cs="Arial" w:eastAsia="Arial" w:hAnsi="Arial"/>
          <w:sz w:val="18"/>
          <w:szCs w:val="18"/>
          <w:color w:val="auto"/>
        </w:rPr>
        <w:t>Certain of our funding and disbursement partnerships are multi-faceted. For example, a bank can be a payment processor who helps Remitly facilitate payment acceptance, a settlement bank where Remitly deposits customer funds for payment delivery, or a corporate bank providing certain services such as treasury and cash management. In addition, we have redundancies built into our global network for our various partnerships</w:t>
      </w:r>
    </w:p>
    <w:p>
      <w:pPr>
        <w:spacing w:after="0" w:line="14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The map below illustrates the breadth of our global presence. Today, our customers primarily send money from the United States, Canada, the United Kingdom, other countries in Europe, and Australia. Our customers’ recipients are located in over 115 countries around the world; our largest receive countries include India, the Philippines,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81915</wp:posOffset>
            </wp:positionV>
            <wp:extent cx="5349240" cy="2477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Advantages of Our Global Network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quality and diversity of our global network result in the following key advantages:</w:t>
      </w:r>
    </w:p>
    <w:p>
      <w:pPr>
        <w:spacing w:after="0" w:line="181" w:lineRule="exact"/>
        <w:rPr>
          <w:sz w:val="20"/>
          <w:szCs w:val="20"/>
          <w:color w:val="auto"/>
        </w:rPr>
      </w:pPr>
    </w:p>
    <w:p>
      <w:pPr>
        <w:ind w:left="660" w:right="80" w:hanging="328"/>
        <w:spacing w:after="0" w:line="365" w:lineRule="auto"/>
        <w:tabs>
          <w:tab w:leader="none" w:pos="655"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Global reach. </w:t>
      </w:r>
      <w:r>
        <w:rPr>
          <w:rFonts w:ascii="Arial" w:cs="Arial" w:eastAsia="Arial" w:hAnsi="Arial"/>
          <w:sz w:val="16"/>
          <w:szCs w:val="16"/>
          <w:color w:val="auto"/>
        </w:rPr>
        <w:t>We believe the extensive reach and breadth of our global network provides us with a competitive advantage. Today, our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enables us to complete cross-border payments in over 1,700 corridors from 17 send countries to over 115 receive countries, in over 75 currencies.</w:t>
      </w:r>
    </w:p>
    <w:p>
      <w:pPr>
        <w:spacing w:after="0" w:line="61" w:lineRule="exact"/>
        <w:rPr>
          <w:rFonts w:ascii="Arial" w:cs="Arial" w:eastAsia="Arial" w:hAnsi="Arial"/>
          <w:sz w:val="16"/>
          <w:szCs w:val="16"/>
          <w:color w:val="auto"/>
        </w:rPr>
      </w:pPr>
    </w:p>
    <w:p>
      <w:pPr>
        <w:ind w:left="660" w:right="180" w:hanging="328"/>
        <w:spacing w:after="0" w:line="281"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Local expertise</w:t>
      </w:r>
      <w:r>
        <w:rPr>
          <w:rFonts w:ascii="Arial" w:cs="Arial" w:eastAsia="Arial" w:hAnsi="Arial"/>
          <w:sz w:val="18"/>
          <w:szCs w:val="18"/>
          <w:color w:val="auto"/>
        </w:rPr>
        <w:t>. We designed our global network to leverage local relationships for access into some of the hardest-to-reach markets around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 and to serve the unique financial needs of diverse immigrant communities. We help our customers send money and their families receive money in the manner they prefer and to which they are individually or culturally accustomed.</w:t>
      </w:r>
    </w:p>
    <w:p>
      <w:pPr>
        <w:spacing w:after="0" w:line="123" w:lineRule="exact"/>
        <w:rPr>
          <w:rFonts w:ascii="Arial" w:cs="Arial" w:eastAsia="Arial" w:hAnsi="Arial"/>
          <w:sz w:val="18"/>
          <w:szCs w:val="18"/>
          <w:color w:val="auto"/>
        </w:rPr>
      </w:pPr>
    </w:p>
    <w:p>
      <w:pPr>
        <w:ind w:left="660" w:hanging="328"/>
        <w:spacing w:after="0" w:line="27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Control over the transaction lifecycle. </w:t>
      </w:r>
      <w:r>
        <w:rPr>
          <w:rFonts w:ascii="Arial" w:cs="Arial" w:eastAsia="Arial" w:hAnsi="Arial"/>
          <w:sz w:val="18"/>
          <w:szCs w:val="18"/>
          <w:color w:val="auto"/>
        </w:rPr>
        <w:t>Our ability to manage each transaction from pay-in to pay-out is made possible with our direct</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integrations to 100 partners around the globe. These direct 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127" w:lineRule="exact"/>
        <w:rPr>
          <w:rFonts w:ascii="Arial" w:cs="Arial" w:eastAsia="Arial" w:hAnsi="Arial"/>
          <w:sz w:val="18"/>
          <w:szCs w:val="18"/>
          <w:color w:val="auto"/>
        </w:rPr>
      </w:pPr>
    </w:p>
    <w:p>
      <w:pPr>
        <w:jc w:val="both"/>
        <w:ind w:left="660" w:right="20" w:hanging="328"/>
        <w:spacing w:after="0" w:line="305" w:lineRule="auto"/>
        <w:tabs>
          <w:tab w:leader="none" w:pos="655"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Security focused and compliant. </w:t>
      </w:r>
      <w:r>
        <w:rPr>
          <w:rFonts w:ascii="Arial" w:cs="Arial" w:eastAsia="Arial" w:hAnsi="Arial"/>
          <w:sz w:val="17"/>
          <w:szCs w:val="17"/>
          <w:color w:val="auto"/>
        </w:rPr>
        <w:t>Our AI and machine learning-driven fraud detection and risk management engine is a foundational element that</w:t>
      </w:r>
      <w:r>
        <w:rPr>
          <w:rFonts w:ascii="Arial" w:cs="Arial" w:eastAsia="Arial" w:hAnsi="Arial"/>
          <w:sz w:val="17"/>
          <w:szCs w:val="17"/>
          <w:b w:val="1"/>
          <w:bCs w:val="1"/>
          <w:color w:val="auto"/>
        </w:rPr>
        <w:t xml:space="preserve"> </w:t>
      </w:r>
      <w:r>
        <w:rPr>
          <w:rFonts w:ascii="Arial" w:cs="Arial" w:eastAsia="Arial" w:hAnsi="Arial"/>
          <w:sz w:val="17"/>
          <w:szCs w:val="17"/>
          <w:color w:val="auto"/>
        </w:rPr>
        <w:t>underpins our global network. We apply KYC and anti-money laundering standards that are tailored to meet local requirements of the jurisdictions where we operate with a focus on favoring options that reduce friction for immigrant populations. In addition,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57" w:lineRule="exact"/>
        <w:rPr>
          <w:sz w:val="20"/>
          <w:szCs w:val="20"/>
          <w:color w:val="auto"/>
        </w:rPr>
      </w:pPr>
    </w:p>
    <w:p>
      <w:pPr>
        <w:ind w:left="660" w:right="160"/>
        <w:spacing w:after="0" w:line="293" w:lineRule="auto"/>
        <w:rPr>
          <w:sz w:val="20"/>
          <w:szCs w:val="20"/>
          <w:color w:val="auto"/>
        </w:rPr>
      </w:pPr>
      <w:r>
        <w:rPr>
          <w:rFonts w:ascii="Arial" w:cs="Arial" w:eastAsia="Arial" w:hAnsi="Arial"/>
          <w:sz w:val="18"/>
          <w:szCs w:val="18"/>
          <w:color w:val="auto"/>
        </w:rPr>
        <w:t>leverage our in-depth knowledge of the markets in which we operate to execute tactically while complying with local licensing, compliance and regulatory requirements.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Remitly for Developers</w:t>
      </w:r>
    </w:p>
    <w:p>
      <w:pPr>
        <w:spacing w:after="0" w:line="185" w:lineRule="exact"/>
        <w:rPr>
          <w:sz w:val="20"/>
          <w:szCs w:val="20"/>
          <w:color w:val="auto"/>
        </w:rPr>
      </w:pPr>
    </w:p>
    <w:p>
      <w:pPr>
        <w:ind w:right="40" w:firstLine="324"/>
        <w:spacing w:after="0" w:line="287" w:lineRule="auto"/>
        <w:rPr>
          <w:sz w:val="20"/>
          <w:szCs w:val="20"/>
          <w:color w:val="auto"/>
        </w:rPr>
      </w:pPr>
      <w:r>
        <w:rPr>
          <w:rFonts w:ascii="Arial" w:cs="Arial" w:eastAsia="Arial" w:hAnsi="Arial"/>
          <w:sz w:val="17"/>
          <w:szCs w:val="17"/>
          <w:color w:val="auto"/>
        </w:rPr>
        <w:t xml:space="preserve">In 2020, we began serving business customers with the launch of </w:t>
      </w:r>
      <w:r>
        <w:rPr>
          <w:rFonts w:ascii="Arial" w:cs="Arial" w:eastAsia="Arial" w:hAnsi="Arial"/>
          <w:sz w:val="17"/>
          <w:szCs w:val="17"/>
          <w:i w:val="1"/>
          <w:iCs w:val="1"/>
          <w:color w:val="auto"/>
        </w:rPr>
        <w:t>Remitly for Developers</w:t>
      </w:r>
      <w:r>
        <w:rPr>
          <w:rFonts w:ascii="Arial" w:cs="Arial" w:eastAsia="Arial" w:hAnsi="Arial"/>
          <w:sz w:val="17"/>
          <w:szCs w:val="17"/>
          <w:color w:val="auto"/>
        </w:rPr>
        <w:t xml:space="preserve">, our remittance-as-a-service offering that strategically leverages our custom-built global network and compliance and regulatory infrastructure. With </w:t>
      </w:r>
      <w:r>
        <w:rPr>
          <w:rFonts w:ascii="Arial" w:cs="Arial" w:eastAsia="Arial" w:hAnsi="Arial"/>
          <w:sz w:val="17"/>
          <w:szCs w:val="17"/>
          <w:i w:val="1"/>
          <w:iCs w:val="1"/>
          <w:color w:val="auto"/>
        </w:rPr>
        <w:t>Remitly for Developers</w:t>
      </w:r>
      <w:r>
        <w:rPr>
          <w:rFonts w:ascii="Arial" w:cs="Arial" w:eastAsia="Arial" w:hAnsi="Arial"/>
          <w:sz w:val="17"/>
          <w:szCs w:val="17"/>
          <w:color w:val="auto"/>
        </w:rPr>
        <w:t xml:space="preserve">, businesses and their developers can integrate this network and infrastructure into their existing applications and websites through our APIs. This enables them to offer digital cross-border remittances to their customers and introduce new digital banking solutions in emerging markets. For example, a business may utilize our </w:t>
      </w:r>
      <w:r>
        <w:rPr>
          <w:rFonts w:ascii="Arial" w:cs="Arial" w:eastAsia="Arial" w:hAnsi="Arial"/>
          <w:sz w:val="17"/>
          <w:szCs w:val="17"/>
          <w:i w:val="1"/>
          <w:iCs w:val="1"/>
          <w:color w:val="auto"/>
        </w:rPr>
        <w:t>Remitly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Developers </w:t>
      </w:r>
      <w:r>
        <w:rPr>
          <w:rFonts w:ascii="Arial" w:cs="Arial" w:eastAsia="Arial" w:hAnsi="Arial"/>
          <w:sz w:val="17"/>
          <w:szCs w:val="17"/>
          <w:color w:val="auto"/>
        </w:rPr>
        <w:t>service to send or receive payments utilizing the payment rails established by Remitly. We believe that</w:t>
      </w:r>
      <w:r>
        <w:rPr>
          <w:rFonts w:ascii="Arial" w:cs="Arial" w:eastAsia="Arial" w:hAnsi="Arial"/>
          <w:sz w:val="17"/>
          <w:szCs w:val="17"/>
          <w:i w:val="1"/>
          <w:iCs w:val="1"/>
          <w:color w:val="auto"/>
        </w:rPr>
        <w:t xml:space="preserve"> Remitly for Developers </w:t>
      </w:r>
      <w:r>
        <w:rPr>
          <w:rFonts w:ascii="Arial" w:cs="Arial" w:eastAsia="Arial" w:hAnsi="Arial"/>
          <w:sz w:val="17"/>
          <w:szCs w:val="17"/>
          <w:color w:val="auto"/>
        </w:rPr>
        <w:t>will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volume, transactions and revenue generated from the same network of global payment and disbursement partners developed to serve our core remittances business and that fees and FX markups paid by our customers for utilizing our network will lower the per transaction expense on such network (without additional marketing expense).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Creating Trusted and Personalized Experiences with Our Localization Expertise at Scale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What Does Localization Mean to Us?</w:t>
      </w:r>
    </w:p>
    <w:p>
      <w:pPr>
        <w:spacing w:after="0" w:line="185" w:lineRule="exact"/>
        <w:rPr>
          <w:sz w:val="20"/>
          <w:szCs w:val="20"/>
          <w:color w:val="auto"/>
        </w:rPr>
      </w:pPr>
    </w:p>
    <w:p>
      <w:pPr>
        <w:ind w:right="580" w:firstLine="324"/>
        <w:spacing w:after="0" w:line="293" w:lineRule="auto"/>
        <w:rPr>
          <w:sz w:val="20"/>
          <w:szCs w:val="20"/>
          <w:color w:val="auto"/>
        </w:rPr>
      </w:pPr>
      <w:r>
        <w:rPr>
          <w:rFonts w:ascii="Arial" w:cs="Arial" w:eastAsia="Arial" w:hAnsi="Arial"/>
          <w:sz w:val="18"/>
          <w:szCs w:val="18"/>
          <w:color w:val="auto"/>
        </w:rPr>
        <w:t>Localization can mean many things. To us, it means speaking with our customers in their preferred language, reaching them through the media channels they frequent, and being culturally relevant throughout their journey.</w:t>
      </w:r>
    </w:p>
    <w:p>
      <w:pPr>
        <w:spacing w:after="0" w:line="116" w:lineRule="exact"/>
        <w:rPr>
          <w:sz w:val="20"/>
          <w:szCs w:val="20"/>
          <w:color w:val="auto"/>
        </w:rPr>
      </w:pPr>
    </w:p>
    <w:p>
      <w:pPr>
        <w:ind w:right="260" w:firstLine="324"/>
        <w:spacing w:after="0" w:line="359" w:lineRule="auto"/>
        <w:rPr>
          <w:sz w:val="20"/>
          <w:szCs w:val="20"/>
          <w:color w:val="auto"/>
        </w:rPr>
      </w:pPr>
      <w:r>
        <w:rPr>
          <w:rFonts w:ascii="Arial" w:cs="Arial" w:eastAsia="Arial" w:hAnsi="Arial"/>
          <w:sz w:val="16"/>
          <w:szCs w:val="16"/>
          <w:color w:val="auto"/>
        </w:rPr>
        <w:t>While our business is global, we recognize the importance of a culturally relevant experience being delivered to our customers and their families in over 135 countries we serve. We strive to deliver marketing, product, and support experiences that connect with them in meaningful ways.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Why Does Localization Expertise Matter?</w:t>
      </w:r>
    </w:p>
    <w:p>
      <w:pPr>
        <w:spacing w:after="0" w:line="18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8"/>
          <w:szCs w:val="18"/>
          <w:color w:val="auto"/>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129"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color w:val="auto"/>
        </w:rPr>
        <w:t>Our localization approach enables us to provide customers with a personalized experience that drives peace of mind – this experience and our focus on immigrant communities differentiates our brand. For the 14 languages we support in our marketing and product, we work to ensure that the customer experience – including messaging, promotions, payment methods, pricing, self-help content and more – is consistent and in their preferred language.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Do We Localize At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Localized Marketing at Scale</w:t>
      </w:r>
    </w:p>
    <w:p>
      <w:pPr>
        <w:spacing w:after="0" w:line="18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7"/>
          <w:szCs w:val="17"/>
          <w:color w:val="auto"/>
        </w:rPr>
        <w:t>We achieve localized marketing at scale through a blend of deep cultural insights, consistent branding, rigorous analytics, and sophisticated channel 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We continue to raise awareness of our brand and products through investments in brand and performance marketing, and organically through word-of-mouth referrals. Below are examples of our marketing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320" w:top="1440" w:right="39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5366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536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5237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523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Brand Marketing</w:t>
      </w:r>
    </w:p>
    <w:p>
      <w:pPr>
        <w:spacing w:after="0" w:line="185"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Our brand promise is to build “peace of mind” into everything we do. We believe our voice and tone is authentic and approachable. We strive to position Remitly as a human-focused brand in a category of transaction-focused competitors. While our brand is consistently delivered across all of our markets, we develop modular templates that enable us to customize language, imagery and symbols, and currencies to ensure local relevance. For example, we know that English works best for our customers sending to India but not for our customers sending to Latin America (we use Spanish or Portuguese). Our messaging leverages a combination of native-first language authoring and high accuracy language transcreation. We rely on our proprietary, flexible content management system to deliver this content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320" w:top="1440" w:right="39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1825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Marketing</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We utilize a highly-efficient, multi-channel marketing strategy that finds our customers where they live: in their communities, where they consume media, and through the referrals of people they trust. Our customers live in diverse communities and cities, mostly with large immigrant populations, and consume a combination of broad-based media (e.g., Facebook, Google) and content from their home countries. They also prefer to consume media in a mix of preferred and/or native languages.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invest across the entire marketing funnel to ensure we drive awareness for our brand, while creating and capturing demand:</w:t>
      </w:r>
    </w:p>
    <w:p>
      <w:pPr>
        <w:spacing w:after="0" w:line="185" w:lineRule="exact"/>
        <w:rPr>
          <w:sz w:val="20"/>
          <w:szCs w:val="20"/>
          <w:color w:val="auto"/>
        </w:rPr>
      </w:pPr>
    </w:p>
    <w:p>
      <w:pPr>
        <w:ind w:left="660" w:right="60" w:hanging="328"/>
        <w:spacing w:after="0" w:line="319"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At the top of the funnel, our Multicultural Media &amp; Outreach team is focused on integrating our brand into targeted communities through community outreach programs, brand sponsorships, and targeted mass media such as streaming audio, local and/or TV broadcast from the receive country (e.g., The Filipino Channel, Telemicro, etc.), and connected/streaming TV. By connecting directly with immigrant communities, we learn about their specific customer pain points and expectations, and over time become a trusted brand within those communities.</w:t>
      </w:r>
    </w:p>
    <w:p>
      <w:pPr>
        <w:spacing w:after="0" w:line="101" w:lineRule="exact"/>
        <w:rPr>
          <w:rFonts w:ascii="Arial" w:cs="Arial" w:eastAsia="Arial" w:hAnsi="Arial"/>
          <w:sz w:val="16"/>
          <w:szCs w:val="16"/>
          <w:color w:val="auto"/>
        </w:rPr>
      </w:pPr>
    </w:p>
    <w:p>
      <w:pPr>
        <w:ind w:left="660" w:right="20" w:hanging="328"/>
        <w:spacing w:after="0" w:line="27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the middle to the bottom of the funnel, digital marketing comprises the majority of our marketing investment and includes channels such as paid social, search, app campaigns, email marketing, app store optimization and more. The combination of machine-learning algorithms combined with scalable, modular creative strategies enable us to efficiently capture demand.</w:t>
      </w:r>
    </w:p>
    <w:p>
      <w:pPr>
        <w:spacing w:after="0" w:line="128" w:lineRule="exact"/>
        <w:rPr>
          <w:rFonts w:ascii="Arial" w:cs="Arial" w:eastAsia="Arial" w:hAnsi="Arial"/>
          <w:sz w:val="18"/>
          <w:szCs w:val="18"/>
          <w:color w:val="auto"/>
        </w:rPr>
      </w:pPr>
    </w:p>
    <w:p>
      <w:pPr>
        <w:ind w:left="660" w:right="20" w:hanging="328"/>
        <w:spacing w:after="0" w:line="303" w:lineRule="auto"/>
        <w:tabs>
          <w:tab w:leader="none" w:pos="6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are able to further optimize customer acquisition through our custom promotions engine. We utilize promotional messaging in channels to drive customers to the most relevant of over 3,900 custom landing pages, where localized targeted offers are served to incentivize conversion. Our digital marketing program is highly scalable, enabling us to reach customers from all corridors Remitly serves.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Word-of-Mouth Referrals</w:t>
      </w:r>
    </w:p>
    <w:p>
      <w:pPr>
        <w:spacing w:after="0" w:line="18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8"/>
          <w:szCs w:val="18"/>
          <w:color w:val="auto"/>
        </w:rPr>
        <w:t>Word-of-mouth is a key component to our growth and is driven by our strong customer satisfaction. We built a proprietary referral product that enables our customers to recommend Remitly to their friends and family members, with both the referrer and referee receiving promotions. Our community efforts, such as our free financial literacy classes, also drive word-of-mouth.</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Localized Remittance Product at Scale</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8"/>
          <w:szCs w:val="18"/>
          <w:color w:val="auto"/>
        </w:rPr>
        <w:t>We strive to deliver an exceptional product experience for not just our customers (on the send side), but also for their families (on the receive side). For our customers, we localize the experience based on their preferred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receive country, and the specific payment options from the send country. Based on those factors, we also tailor promotional offers, delivery speeds, FX rates, payment options, and delivery method preferences. This means understanding local payment and pricing norms, as well as customer and recipient expectations, and incorporating them into our services and prices. Additionally, we have invested in innovative features such as simplified sending to a customer’s own overseas account, alerts when exchange rates are increasing, and the ability to schedule recurring transfers or send to charities for donation during times of crisis.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illustrations below are examples of how we localize our remittance product on our app and in the app store.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Remitly App Store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app store listings are available in 14 native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3215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320" w:top="1440" w:right="399" w:bottom="1440" w:gutter="0" w:footer="0" w:header="0"/>
        </w:sectPr>
      </w:pPr>
    </w:p>
    <w:bookmarkStart w:id="132" w:name="page133"/>
    <w:bookmarkEnd w:id="13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Remitly App</w:t>
      </w:r>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When our customers enter their recipient details, the corridor selection screen dynamically displays the most popular disbursement partners for each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73660</wp:posOffset>
            </wp:positionV>
            <wp:extent cx="5349240" cy="3120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320" w:top="1440" w:right="579" w:bottom="1440" w:gutter="0" w:footer="0" w:header="0"/>
        </w:sectPr>
      </w:pPr>
    </w:p>
    <w:bookmarkStart w:id="133" w:name="page134"/>
    <w:bookmarkEnd w:id="13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Remitly.com</w:t>
      </w:r>
    </w:p>
    <w:p>
      <w:pPr>
        <w:spacing w:after="0" w:line="185" w:lineRule="exact"/>
        <w:rPr>
          <w:sz w:val="20"/>
          <w:szCs w:val="20"/>
          <w:color w:val="auto"/>
        </w:rPr>
      </w:pPr>
    </w:p>
    <w:p>
      <w:pPr>
        <w:ind w:firstLine="324"/>
        <w:spacing w:after="0" w:line="359" w:lineRule="auto"/>
        <w:rPr>
          <w:sz w:val="20"/>
          <w:szCs w:val="20"/>
          <w:color w:val="auto"/>
        </w:rPr>
      </w:pPr>
      <w:r>
        <w:rPr>
          <w:rFonts w:ascii="Arial" w:cs="Arial" w:eastAsia="Arial" w:hAnsi="Arial"/>
          <w:sz w:val="16"/>
          <w:szCs w:val="16"/>
          <w:color w:val="auto"/>
        </w:rPr>
        <w:t>We have over 3,900 mobile optimized landing pages that can be tailored by location, language, and promotion depending on the selected country, allowing us to surface the most resonant value proposition for each corridor while also enabling it at scale with our marketing content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45085</wp:posOffset>
            </wp:positionV>
            <wp:extent cx="5349240" cy="3171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firstLine="324"/>
        <w:spacing w:after="0" w:line="296" w:lineRule="auto"/>
        <w:rPr>
          <w:sz w:val="20"/>
          <w:szCs w:val="20"/>
          <w:color w:val="auto"/>
        </w:rPr>
      </w:pPr>
      <w:r>
        <w:rPr>
          <w:rFonts w:ascii="Arial" w:cs="Arial" w:eastAsia="Arial" w:hAnsi="Arial"/>
          <w:sz w:val="17"/>
          <w:szCs w:val="17"/>
          <w:color w:val="auto"/>
        </w:rPr>
        <w:t>We have a global network of among the most trusted financial brands in our receive countries, including banks, mobile money accounts, cash pick up locations, and, in some countries, home delivery. We offer cash pick up at over 355,000 locations and can send funds to over 630 million mobile wallet accounts. Leveraging this network gives our customers and their recipients convenient and familiar options for where and how they can receive funds and our brand benefits from the trust and familiarity our customers feel for these providers.</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We also invest in innovations and features to reduce friction in the recipient experience, such as cash pick-up locators and SMS or chat notifications at all points of the remittance.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Localized Customer Support at Scale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deliver localized, and effective support and risk management to our customers around the world.</w:t>
      </w:r>
    </w:p>
    <w:p>
      <w:pPr>
        <w:spacing w:after="0" w:line="185" w:lineRule="exact"/>
        <w:rPr>
          <w:sz w:val="20"/>
          <w:szCs w:val="20"/>
          <w:color w:val="auto"/>
        </w:rPr>
      </w:pPr>
    </w:p>
    <w:p>
      <w:pPr>
        <w:ind w:right="60" w:firstLine="324"/>
        <w:spacing w:after="0" w:line="319" w:lineRule="auto"/>
        <w:rPr>
          <w:sz w:val="20"/>
          <w:szCs w:val="20"/>
          <w:color w:val="auto"/>
        </w:rPr>
      </w:pPr>
      <w:r>
        <w:rPr>
          <w:rFonts w:ascii="Arial" w:cs="Arial" w:eastAsia="Arial" w:hAnsi="Arial"/>
          <w:sz w:val="16"/>
          <w:szCs w:val="16"/>
          <w:color w:val="auto"/>
        </w:rPr>
        <w:t>Our customer support team has a shared philosophy of protecting customers from fraud and abuse while solving customer issues with deep empathy. They are Remitly employees and the vast majority are trained in our risk systems and steeped in our customer-centric culture and values. Our team understands not only our customers but also our remittance product, systems, and processes. As a result, they are empowered and able to resolve customer issues smoothly and quickly. They deliver 24x7 local support through chat (in English, Spanish, or French) and via phone (in English or Spanish).</w:t>
      </w:r>
    </w:p>
    <w:p>
      <w:pPr>
        <w:spacing w:after="0" w:line="1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We have a rich self-help center in-app and on the web with solutions to most customer issues available in 14 languages. Approximately 50% of our customer service questions are handled via self-help and automation. We also serve customers via direct messaging in various social media channels (like Facebook and Twitter). In order to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1440" w:right="399" w:bottom="1440" w:gutter="0" w:footer="0" w:header="0"/>
        </w:sectPr>
      </w:pPr>
    </w:p>
    <w:bookmarkStart w:id="134" w:name="page135"/>
    <w:bookmarkEnd w:id="134"/>
    <w:p>
      <w:pPr>
        <w:spacing w:after="0" w:line="157"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localize our support experience, our service centers are located in certain key receive countries or countries with language capabilities that are relevant to our customers. Our in-house support teams who primarily specialize in customer protection and risk are in the Philippines, Nicaragua, and Ireland, and we have outsourced teams in several important receive countries.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Data-Driven Approach – Using Data To Better Serve Our Customers and Provide More Value</w:t>
      </w:r>
    </w:p>
    <w:p>
      <w:pPr>
        <w:spacing w:after="0" w:line="18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Leveraging data is at the core of how we grow our business, optimize our customer economics, and prioritize our investments. We possess a unique, rich data asset with over ten years of transaction data. We monitor metrics at each step of the customer journey and use this data to constantly improve the end-to-end customer experience.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Platform</w:t>
      </w:r>
    </w:p>
    <w:p>
      <w:pPr>
        <w:spacing w:after="0" w:line="185" w:lineRule="exact"/>
        <w:rPr>
          <w:sz w:val="20"/>
          <w:szCs w:val="20"/>
          <w:color w:val="auto"/>
        </w:rPr>
      </w:pPr>
    </w:p>
    <w:p>
      <w:pPr>
        <w:ind w:right="60" w:firstLine="324"/>
        <w:spacing w:after="0" w:line="296" w:lineRule="auto"/>
        <w:rPr>
          <w:sz w:val="20"/>
          <w:szCs w:val="20"/>
          <w:color w:val="auto"/>
        </w:rPr>
      </w:pPr>
      <w:r>
        <w:rPr>
          <w:rFonts w:ascii="Arial" w:cs="Arial" w:eastAsia="Arial" w:hAnsi="Arial"/>
          <w:sz w:val="17"/>
          <w:szCs w:val="17"/>
          <w:color w:val="auto"/>
        </w:rPr>
        <w:t>We have built a data platform that fuels analytics and drives meaningful customer insights. This platform enables us to aggregate data from multiple sources, including customer interactions on our app and the entire transaction processing life cycle. In addition to a robust data platform, we have a “build-measure-iterate” mentality that further optimizes our customer experience. We test, learn and then automate insights at scale to react to changing market and customer dynamics. This enables us to optimize our marketing investment, pricing, promotions and product innovations.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Approach to Customer Acquisition</w:t>
      </w:r>
    </w:p>
    <w:p>
      <w:pPr>
        <w:spacing w:after="0" w:line="185" w:lineRule="exact"/>
        <w:rPr>
          <w:sz w:val="20"/>
          <w:szCs w:val="20"/>
          <w:color w:val="auto"/>
        </w:rPr>
      </w:pPr>
    </w:p>
    <w:p>
      <w:pPr>
        <w:ind w:firstLine="324"/>
        <w:spacing w:after="0" w:line="319" w:lineRule="auto"/>
        <w:rPr>
          <w:sz w:val="20"/>
          <w:szCs w:val="20"/>
          <w:color w:val="auto"/>
        </w:rPr>
      </w:pPr>
      <w:r>
        <w:rPr>
          <w:rFonts w:ascii="Arial" w:cs="Arial" w:eastAsia="Arial" w:hAnsi="Arial"/>
          <w:sz w:val="16"/>
          <w:szCs w:val="16"/>
          <w:color w:val="auto"/>
        </w:rPr>
        <w:t>Establishing sustainable and attractive customer economics fuels our customer acquisition strategy. We manage our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pacing w:after="0" w:line="102" w:lineRule="exact"/>
        <w:rPr>
          <w:sz w:val="20"/>
          <w:szCs w:val="20"/>
          <w:color w:val="auto"/>
        </w:rPr>
      </w:pPr>
    </w:p>
    <w:p>
      <w:pPr>
        <w:jc w:val="both"/>
        <w:ind w:right="20" w:firstLine="324"/>
        <w:spacing w:after="0" w:line="329" w:lineRule="auto"/>
        <w:rPr>
          <w:sz w:val="20"/>
          <w:szCs w:val="20"/>
          <w:color w:val="auto"/>
        </w:rPr>
      </w:pPr>
      <w:r>
        <w:rPr>
          <w:rFonts w:ascii="Arial" w:cs="Arial" w:eastAsia="Arial" w:hAnsi="Arial"/>
          <w:sz w:val="16"/>
          <w:szCs w:val="16"/>
          <w:color w:val="auto"/>
        </w:rPr>
        <w:t>Our test-and-learn strategy spans across all parts of the entire marketing funnel and all of our marketing channels. For established marketing programs, we utilize a channel-attribution methodology to inform investment decisions, incremental CAC, as well as channel mix. For our new channels, we test and evaluate creative, targeting, and promotional strategies using a rigorous analytics framework that allows us to track our learnings and ensure measurability.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Approach to Managing the Customer Experience</w:t>
      </w:r>
    </w:p>
    <w:p>
      <w:pPr>
        <w:spacing w:after="0" w:line="18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8"/>
          <w:szCs w:val="18"/>
          <w:color w:val="auto"/>
        </w:rPr>
        <w:t>Removing friction and ensuring a smooth onboarding process are key pillars to acquiring new customers and ensuring they become loyal customers who refer others. We utilize machine learning and data science to identify areas of friction, provide fair and transparent corridor-specific pricing, and optimize our compliance process:</w:t>
      </w:r>
    </w:p>
    <w:p>
      <w:pPr>
        <w:spacing w:after="0" w:line="125" w:lineRule="exact"/>
        <w:rPr>
          <w:sz w:val="20"/>
          <w:szCs w:val="20"/>
          <w:color w:val="auto"/>
        </w:rPr>
      </w:pPr>
    </w:p>
    <w:p>
      <w:pPr>
        <w:ind w:left="660" w:right="40" w:hanging="328"/>
        <w:spacing w:after="0" w:line="291"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Risk management</w:t>
      </w:r>
      <w:r>
        <w:rPr>
          <w:rFonts w:ascii="Arial" w:cs="Arial" w:eastAsia="Arial" w:hAnsi="Arial"/>
          <w:sz w:val="17"/>
          <w:szCs w:val="17"/>
          <w:color w:val="auto"/>
        </w:rPr>
        <w:t>. Risk management tailored to our immigrant demographic plays a central role in our onboarding process. We leverage newer</w:t>
      </w:r>
      <w:r>
        <w:rPr>
          <w:rFonts w:ascii="Arial" w:cs="Arial" w:eastAsia="Arial" w:hAnsi="Arial"/>
          <w:sz w:val="17"/>
          <w:szCs w:val="17"/>
          <w:b w:val="1"/>
          <w:bCs w:val="1"/>
          <w:color w:val="auto"/>
        </w:rPr>
        <w:t xml:space="preserve"> </w:t>
      </w:r>
      <w:r>
        <w:rPr>
          <w:rFonts w:ascii="Arial" w:cs="Arial" w:eastAsia="Arial" w:hAnsi="Arial"/>
          <w:sz w:val="17"/>
          <w:szCs w:val="17"/>
          <w:color w:val="auto"/>
        </w:rPr>
        <w:t>KYC and diligence tools that provide less friction and sidelining of legitimate customers, who are often excluded by traditional services using less sophisticated methods. At the same time, our team continuously aims to optimize and improve our risk management platform and machine learning algorithms in order to accurately identify and stay one step ahead of bad actors, allowing our customers to feel peace of mind when using our product. The sophistication of our process also enables us to identify and cancel fraudulent transactions efficiently, and often in real-time, mitigating our exposure to fraud loss while minimizing the sidelining of our good customers.</w:t>
      </w:r>
    </w:p>
    <w:p>
      <w:pPr>
        <w:spacing w:after="0" w:line="116" w:lineRule="exact"/>
        <w:rPr>
          <w:rFonts w:ascii="Arial" w:cs="Arial" w:eastAsia="Arial" w:hAnsi="Arial"/>
          <w:sz w:val="17"/>
          <w:szCs w:val="17"/>
          <w:color w:val="auto"/>
        </w:rPr>
      </w:pPr>
    </w:p>
    <w:p>
      <w:pPr>
        <w:jc w:val="both"/>
        <w:ind w:left="660" w:right="460" w:hanging="328"/>
        <w:spacing w:after="0" w:line="28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Pricing</w:t>
      </w:r>
      <w:r>
        <w:rPr>
          <w:rFonts w:ascii="Arial" w:cs="Arial" w:eastAsia="Arial" w:hAnsi="Arial"/>
          <w:sz w:val="18"/>
          <w:szCs w:val="18"/>
          <w:color w:val="auto"/>
        </w:rPr>
        <w:t>. We also utilize our dynamic, corridor-relevant pricing to ensure a successful customer experience and drive loyalty. We strive to set</w:t>
      </w:r>
      <w:r>
        <w:rPr>
          <w:rFonts w:ascii="Arial" w:cs="Arial" w:eastAsia="Arial" w:hAnsi="Arial"/>
          <w:sz w:val="18"/>
          <w:szCs w:val="18"/>
          <w:b w:val="1"/>
          <w:bCs w:val="1"/>
          <w:color w:val="auto"/>
        </w:rPr>
        <w:t xml:space="preserve"> </w:t>
      </w:r>
      <w:r>
        <w:rPr>
          <w:rFonts w:ascii="Arial" w:cs="Arial" w:eastAsia="Arial" w:hAnsi="Arial"/>
          <w:sz w:val="18"/>
          <w:szCs w:val="18"/>
          <w:color w:val="auto"/>
        </w:rPr>
        <w:t>prices that deliver a great value to every single customer, while simultaneously accurately estimating our customer LTV. To achieve this, we incorporate corridor-specific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57" w:lineRule="exact"/>
        <w:rPr>
          <w:sz w:val="20"/>
          <w:szCs w:val="20"/>
          <w:color w:val="auto"/>
        </w:rPr>
      </w:pPr>
    </w:p>
    <w:p>
      <w:pPr>
        <w:ind w:left="660" w:right="120"/>
        <w:spacing w:after="0" w:line="275" w:lineRule="auto"/>
        <w:rPr>
          <w:sz w:val="20"/>
          <w:szCs w:val="20"/>
          <w:color w:val="auto"/>
        </w:rPr>
      </w:pPr>
      <w:r>
        <w:rPr>
          <w:rFonts w:ascii="Arial" w:cs="Arial" w:eastAsia="Arial" w:hAnsi="Arial"/>
          <w:sz w:val="18"/>
          <w:szCs w:val="18"/>
          <w:color w:val="auto"/>
        </w:rPr>
        <w:t>customer behavior, competitor data, and market dynamics to manage prices through a proprietary pricing engine. Our pricing engine also utilizes machine learning algorithms to identify key pricing levers within each corridor, enabling nuanced prices at scale. This customer-first, tech-enabled, and data-driven approach to pricing allows us to quickly identify discrete customer use cases, the product features most valued by those customers, and then price them accordingly.</w:t>
      </w:r>
    </w:p>
    <w:p>
      <w:pPr>
        <w:spacing w:after="0" w:line="127" w:lineRule="exact"/>
        <w:rPr>
          <w:sz w:val="20"/>
          <w:szCs w:val="20"/>
          <w:color w:val="auto"/>
        </w:rPr>
      </w:pPr>
    </w:p>
    <w:p>
      <w:pPr>
        <w:ind w:left="660" w:hanging="328"/>
        <w:spacing w:after="0" w:line="27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Treasury</w:t>
      </w:r>
      <w:r>
        <w:rPr>
          <w:rFonts w:ascii="Arial" w:cs="Arial" w:eastAsia="Arial" w:hAnsi="Arial"/>
          <w:sz w:val="18"/>
          <w:szCs w:val="18"/>
          <w:color w:val="auto"/>
        </w:rPr>
        <w:t>. Our pricing is closely aligned with our robust treasury program, which minimizes our trading costs and mitigates currency risk, while</w:t>
      </w:r>
      <w:r>
        <w:rPr>
          <w:rFonts w:ascii="Arial" w:cs="Arial" w:eastAsia="Arial" w:hAnsi="Arial"/>
          <w:sz w:val="18"/>
          <w:szCs w:val="18"/>
          <w:b w:val="1"/>
          <w:bCs w:val="1"/>
          <w:color w:val="auto"/>
        </w:rPr>
        <w:t xml:space="preserve"> </w:t>
      </w:r>
      <w:r>
        <w:rPr>
          <w:rFonts w:ascii="Arial" w:cs="Arial" w:eastAsia="Arial" w:hAnsi="Arial"/>
          <w:sz w:val="18"/>
          <w:szCs w:val="18"/>
          <w:color w:val="auto"/>
        </w:rPr>
        <w:t>ensuring that funds are delivered on time. The treasury program leverages a proprietary trading platform that incorporates advanced currency-level forecasting algorithms to estimate future demand and optimize our trading. The strong link between our treasury and pricing programs helps minimize the impact of currency volatility on our revenues and our customer experience.</w:t>
      </w:r>
    </w:p>
    <w:p>
      <w:pPr>
        <w:spacing w:after="0" w:line="127" w:lineRule="exact"/>
        <w:rPr>
          <w:rFonts w:ascii="Arial" w:cs="Arial" w:eastAsia="Arial" w:hAnsi="Arial"/>
          <w:sz w:val="18"/>
          <w:szCs w:val="18"/>
          <w:color w:val="auto"/>
        </w:rPr>
      </w:pPr>
    </w:p>
    <w:p>
      <w:pPr>
        <w:jc w:val="both"/>
        <w:ind w:left="660" w:right="40" w:hanging="328"/>
        <w:spacing w:after="0" w:line="305" w:lineRule="auto"/>
        <w:tabs>
          <w:tab w:leader="none" w:pos="655"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Customer support. </w:t>
      </w:r>
      <w:r>
        <w:rPr>
          <w:rFonts w:ascii="Arial" w:cs="Arial" w:eastAsia="Arial" w:hAnsi="Arial"/>
          <w:sz w:val="17"/>
          <w:szCs w:val="17"/>
          <w:color w:val="auto"/>
        </w:rPr>
        <w:t>While maintaining a high-level of multilingual customer support, we measure and set reduction goals for support contacts per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and we analyze that data in detail to prioritize improvements to our policies and services. We also measure and continuously improve classic support metrics around quality and efficiency of digital (self-help, chatbot) and human support.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Approach to Customer Loyalty</w:t>
      </w:r>
    </w:p>
    <w:p>
      <w:pPr>
        <w:spacing w:after="0" w:line="185" w:lineRule="exact"/>
        <w:rPr>
          <w:sz w:val="20"/>
          <w:szCs w:val="20"/>
          <w:color w:val="auto"/>
        </w:rPr>
      </w:pPr>
    </w:p>
    <w:p>
      <w:pPr>
        <w:ind w:right="300" w:firstLine="324"/>
        <w:spacing w:after="0" w:line="293" w:lineRule="auto"/>
        <w:rPr>
          <w:sz w:val="20"/>
          <w:szCs w:val="20"/>
          <w:color w:val="auto"/>
        </w:rPr>
      </w:pPr>
      <w:r>
        <w:rPr>
          <w:rFonts w:ascii="Arial" w:cs="Arial" w:eastAsia="Arial" w:hAnsi="Arial"/>
          <w:sz w:val="18"/>
          <w:szCs w:val="18"/>
          <w:color w:val="auto"/>
        </w:rPr>
        <w:t>We analyze our customer’s behavior from sign-up to first send to becoming a repeat customer. We manage customers by cohort including sign ups, active customers, inactive customers and lapsed customers to spot trends in behavior.</w:t>
      </w:r>
    </w:p>
    <w:p>
      <w:pPr>
        <w:spacing w:after="0" w:line="116" w:lineRule="exact"/>
        <w:rPr>
          <w:sz w:val="20"/>
          <w:szCs w:val="20"/>
          <w:color w:val="auto"/>
        </w:rPr>
      </w:pPr>
    </w:p>
    <w:p>
      <w:pPr>
        <w:ind w:right="240" w:firstLine="324"/>
        <w:spacing w:after="0" w:line="324" w:lineRule="auto"/>
        <w:rPr>
          <w:sz w:val="20"/>
          <w:szCs w:val="20"/>
          <w:color w:val="auto"/>
        </w:rPr>
      </w:pPr>
      <w:r>
        <w:rPr>
          <w:rFonts w:ascii="Arial" w:cs="Arial" w:eastAsia="Arial" w:hAnsi="Arial"/>
          <w:sz w:val="17"/>
          <w:szCs w:val="17"/>
          <w:color w:val="auto"/>
        </w:rPr>
        <w:t>For corridors with lower performing product metrics (e.g., like order completion rate or second time transaction rate), we prioritize investments that drive better customer experience, which increases customer lifetime value and enables us to increase our marketing investment.</w:t>
      </w:r>
    </w:p>
    <w:p>
      <w:pPr>
        <w:spacing w:after="0" w:line="93"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With actionable data informing improved engagement and retention, we see higher LTV, customer satisfaction, and organic growth rates that lead to higher marketing efficiency.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 is at the Core of Everything We Do</w:t>
      </w:r>
    </w:p>
    <w:p>
      <w:pPr>
        <w:spacing w:after="0" w:line="189" w:lineRule="exact"/>
        <w:rPr>
          <w:sz w:val="20"/>
          <w:szCs w:val="20"/>
          <w:color w:val="auto"/>
        </w:rPr>
      </w:pPr>
    </w:p>
    <w:p>
      <w:pPr>
        <w:jc w:val="both"/>
        <w:ind w:right="40" w:firstLine="324"/>
        <w:spacing w:after="0" w:line="319" w:lineRule="auto"/>
        <w:rPr>
          <w:sz w:val="20"/>
          <w:szCs w:val="20"/>
          <w:color w:val="auto"/>
        </w:rPr>
      </w:pPr>
      <w:r>
        <w:rPr>
          <w:rFonts w:ascii="Arial" w:cs="Arial" w:eastAsia="Arial" w:hAnsi="Arial"/>
          <w:sz w:val="16"/>
          <w:szCs w:val="16"/>
          <w:color w:val="auto"/>
        </w:rPr>
        <w:t>Our technology platform powers our mobile-centric suite of products, enables us to localize our product and experiences, connects our global network, and drives our data-driven approach. Our technology platform, which includes a combination of internally developed and third-party solutions, was built to be scalable, extensible, and seamlessly integrated. Our technology unites critical front- and back-end functions into a single, vertically integrated stack. This allows us to provide a low-friction customer experience, efficiently operate the business, and maintain control over product development.</w:t>
      </w:r>
    </w:p>
    <w:p>
      <w:pPr>
        <w:spacing w:after="0" w:line="102" w:lineRule="exact"/>
        <w:rPr>
          <w:sz w:val="20"/>
          <w:szCs w:val="20"/>
          <w:color w:val="auto"/>
        </w:rPr>
      </w:pPr>
    </w:p>
    <w:p>
      <w:pPr>
        <w:ind w:right="300" w:firstLine="324"/>
        <w:spacing w:after="0" w:line="279" w:lineRule="auto"/>
        <w:rPr>
          <w:sz w:val="20"/>
          <w:szCs w:val="20"/>
          <w:color w:val="auto"/>
        </w:rPr>
      </w:pPr>
      <w:r>
        <w:rPr>
          <w:rFonts w:ascii="Arial" w:cs="Arial" w:eastAsia="Arial" w:hAnsi="Arial"/>
          <w:sz w:val="18"/>
          <w:szCs w:val="18"/>
          <w:color w:val="auto"/>
        </w:rPr>
        <w:t>We utilize a cloud-hosted infrastructure which gives us cost and scale advantages. Everything is built with flexibility and configurability in mind, enabling our solutions to be dynamic as we continue to grow and expand into new geographies. We employ a Services Oriented Architecture to support fully decentralized, autonomous and high velocity engineering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468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Enables Localization at Scale. </w:t>
      </w:r>
      <w:r>
        <w:rPr>
          <w:rFonts w:ascii="Arial" w:cs="Arial" w:eastAsia="Arial" w:hAnsi="Arial"/>
          <w:sz w:val="18"/>
          <w:szCs w:val="18"/>
          <w:color w:val="auto"/>
        </w:rPr>
        <w:t>From customer acquisition through the disbursement of funds, many corridors display unique behaviors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tailor our technology. For example:</w:t>
      </w:r>
    </w:p>
    <w:p>
      <w:pPr>
        <w:spacing w:after="0" w:line="130" w:lineRule="exact"/>
        <w:rPr>
          <w:sz w:val="20"/>
          <w:szCs w:val="20"/>
          <w:color w:val="auto"/>
        </w:rPr>
      </w:pPr>
    </w:p>
    <w:p>
      <w:pPr>
        <w:ind w:left="660" w:right="20" w:hanging="328"/>
        <w:spacing w:after="0" w:line="275"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platform enables marketing strategies to be executed with high efficiency and quality. We can intelligently tailor over 3,900 mobile-optimized landing pages by location, language, and promotion. We also test new marketing strategies and roll them out with high velocity. We use a turnkey A/B experimentation system to test different packaging, pricing, merchandising and user experiences, which enables us to learn from customer behavior and iterate.</w:t>
      </w:r>
    </w:p>
    <w:p>
      <w:pPr>
        <w:spacing w:after="0" w:line="131" w:lineRule="exact"/>
        <w:rPr>
          <w:rFonts w:ascii="Arial" w:cs="Arial" w:eastAsia="Arial" w:hAnsi="Arial"/>
          <w:sz w:val="18"/>
          <w:szCs w:val="18"/>
          <w:color w:val="auto"/>
        </w:rPr>
      </w:pPr>
    </w:p>
    <w:p>
      <w:pPr>
        <w:ind w:left="660" w:right="520" w:hanging="328"/>
        <w:spacing w:after="0" w:line="293"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can dynamically respond to a rapidly changing environment. Through our sophisticated marketing technology stack, we can set up new experimental channels in less than one week and launch new languages in less than one month.</w:t>
      </w:r>
    </w:p>
    <w:p>
      <w:pPr>
        <w:spacing w:after="0" w:line="115"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Once onboarded, our customers interact with our mobile app and website which are built to flexibly overlay one of our 14 local languages through automated and scalable translations.</w:t>
      </w:r>
    </w:p>
    <w:p>
      <w:pPr>
        <w:spacing w:after="0" w:line="116" w:lineRule="exact"/>
        <w:rPr>
          <w:sz w:val="20"/>
          <w:szCs w:val="20"/>
          <w:color w:val="auto"/>
        </w:rPr>
      </w:pPr>
    </w:p>
    <w:p>
      <w:pPr>
        <w:ind w:right="240" w:firstLine="324"/>
        <w:spacing w:after="0" w:line="329" w:lineRule="auto"/>
        <w:rPr>
          <w:sz w:val="20"/>
          <w:szCs w:val="20"/>
          <w:color w:val="auto"/>
        </w:rPr>
      </w:pPr>
      <w:r>
        <w:rPr>
          <w:rFonts w:ascii="Arial" w:cs="Arial" w:eastAsia="Arial" w:hAnsi="Arial"/>
          <w:sz w:val="16"/>
          <w:szCs w:val="16"/>
          <w:b w:val="1"/>
          <w:bCs w:val="1"/>
          <w:i w:val="1"/>
          <w:iCs w:val="1"/>
          <w:color w:val="auto"/>
        </w:rPr>
        <w:t>Highly Integrated Across the Transaction Lifecycle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deliver simplicity for customers through a robust, scalable and flexible transaction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seamlessly integrates various functions across the transaction lifecycle. Our highly integrated platform enables interoperability of our strategic partners’ multiple technology systems, functions and services through the entire remittance transaction from pay-in to pay-out. Key capabilities include:</w:t>
      </w:r>
    </w:p>
    <w:p>
      <w:pPr>
        <w:spacing w:after="0" w:line="90"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Funding</w:t>
      </w:r>
      <w:r>
        <w:rPr>
          <w:rFonts w:ascii="Arial" w:cs="Arial" w:eastAsia="Arial" w:hAnsi="Arial"/>
          <w:sz w:val="18"/>
          <w:szCs w:val="18"/>
          <w:color w:val="auto"/>
        </w:rPr>
        <w:t>. Acquires funding via batch, instant and push payment methods.</w:t>
      </w:r>
    </w:p>
    <w:p>
      <w:pPr>
        <w:spacing w:after="0" w:line="184" w:lineRule="exact"/>
        <w:rPr>
          <w:rFonts w:ascii="Arial" w:cs="Arial" w:eastAsia="Arial" w:hAnsi="Arial"/>
          <w:sz w:val="18"/>
          <w:szCs w:val="18"/>
          <w:color w:val="auto"/>
        </w:rPr>
      </w:pPr>
    </w:p>
    <w:p>
      <w:pPr>
        <w:ind w:left="660" w:right="380" w:hanging="328"/>
        <w:spacing w:after="0" w:line="29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Using revenue optimization machine learning models and analysis, presents the exchange rate, fees, and promotional merchandising</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transaction lifecycle, from upper funnel marketing pages through the send experience.</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Transaction processing. </w:t>
      </w:r>
      <w:r>
        <w:rPr>
          <w:rFonts w:ascii="Arial" w:cs="Arial" w:eastAsia="Arial" w:hAnsi="Arial"/>
          <w:sz w:val="18"/>
          <w:szCs w:val="18"/>
          <w:color w:val="auto"/>
        </w:rPr>
        <w:t>Orchestrates all system processes and functions into a single end-to-end payment flow.</w:t>
      </w:r>
    </w:p>
    <w:p>
      <w:pPr>
        <w:spacing w:after="0" w:line="184" w:lineRule="exact"/>
        <w:rPr>
          <w:rFonts w:ascii="Arial" w:cs="Arial" w:eastAsia="Arial" w:hAnsi="Arial"/>
          <w:sz w:val="18"/>
          <w:szCs w:val="18"/>
          <w:color w:val="auto"/>
        </w:rPr>
      </w:pPr>
    </w:p>
    <w:p>
      <w:pPr>
        <w:jc w:val="both"/>
        <w:ind w:left="660" w:right="220" w:hanging="328"/>
        <w:spacing w:after="0" w:line="27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Disbursement</w:t>
      </w:r>
      <w:r>
        <w:rPr>
          <w:rFonts w:ascii="Arial" w:cs="Arial" w:eastAsia="Arial" w:hAnsi="Arial"/>
          <w:sz w:val="18"/>
          <w:szCs w:val="18"/>
          <w:color w:val="auto"/>
        </w:rPr>
        <w:t>. Distributes funds through a diverse set of disbursement methods including bank deposit, mobile wallet, cash pickup, and home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This system supports numerous integration approaches from traditional data file exchange and batch processing, to real-time push and pull APIs, all with the goal of creating a consistent and seamless customer experience regardless of disbursement method or partner integration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153" w:lineRule="exact"/>
        <w:rPr>
          <w:sz w:val="20"/>
          <w:szCs w:val="20"/>
          <w:color w:val="auto"/>
        </w:rPr>
      </w:pPr>
    </w:p>
    <w:p>
      <w:pPr>
        <w:ind w:left="660" w:right="220" w:hanging="328"/>
        <w:spacing w:after="0" w:line="28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Perfect Delivery Promise. </w:t>
      </w:r>
      <w:r>
        <w:rPr>
          <w:rFonts w:ascii="Arial" w:cs="Arial" w:eastAsia="Arial" w:hAnsi="Arial"/>
          <w:sz w:val="18"/>
          <w:szCs w:val="18"/>
          <w:color w:val="auto"/>
        </w:rPr>
        <w:t>Calculates the date and time of when the funds will be available to the recipient, a complex calculation done in real-time and made available to both our customer and their recipient. We provide a money back guarantee on timely delivery, a feature we are incredibly proud to stand behind.</w:t>
      </w:r>
    </w:p>
    <w:p>
      <w:pPr>
        <w:spacing w:after="0" w:line="123"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Enabling technology. </w:t>
      </w:r>
      <w:r>
        <w:rPr>
          <w:rFonts w:ascii="Arial" w:cs="Arial" w:eastAsia="Arial" w:hAnsi="Arial"/>
          <w:sz w:val="17"/>
          <w:szCs w:val="17"/>
          <w:color w:val="auto"/>
        </w:rPr>
        <w:t>Tightly integrates business operations processes across the customer journey to yield the best customer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Custom-built CRM solutions have use case specific workflows that are integrated with product delivery for seamless support at any stage of the transaction. Our treasury decision support system, supported by machine learning models, enables treasury operators to fund over 100 markets at scale ensuring a customer’s money is delivered reliably and on-time. Our custom-built ledger system enables fast and scalable reporting, including automated tracking and creation of ledger lines, losses, chargebacks / disputes, and financial-related transaction events.</w:t>
      </w:r>
    </w:p>
    <w:p>
      <w:pPr>
        <w:spacing w:after="0" w:line="12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b w:val="1"/>
          <w:bCs w:val="1"/>
          <w:i w:val="1"/>
          <w:iCs w:val="1"/>
          <w:color w:val="auto"/>
        </w:rPr>
        <w:t>Data-Driven Approach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technology systems collect and manage data. We leverage this data to continuously test and iterate to optimize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experience and drive our various machine learning models.</w:t>
      </w:r>
    </w:p>
    <w:p>
      <w:pPr>
        <w:spacing w:after="0" w:line="11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We synthesize third-party analytics with Remitly website customer behavior to support channel-level spend optimization.</w:t>
      </w:r>
    </w:p>
    <w:p>
      <w:pPr>
        <w:spacing w:after="0" w:line="184" w:lineRule="exact"/>
        <w:rPr>
          <w:rFonts w:ascii="Arial" w:cs="Arial" w:eastAsia="Arial" w:hAnsi="Arial"/>
          <w:sz w:val="18"/>
          <w:szCs w:val="18"/>
          <w:color w:val="auto"/>
        </w:rPr>
      </w:pPr>
    </w:p>
    <w:p>
      <w:pPr>
        <w:ind w:left="660" w:right="40" w:hanging="328"/>
        <w:spacing w:after="0" w:line="28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Pricing and product. </w:t>
      </w:r>
      <w:r>
        <w:rPr>
          <w:rFonts w:ascii="Arial" w:cs="Arial" w:eastAsia="Arial" w:hAnsi="Arial"/>
          <w:sz w:val="18"/>
          <w:szCs w:val="18"/>
          <w:color w:val="auto"/>
        </w:rPr>
        <w:t>We use both internal and third-party licensed data to build and optimize our machine learning-based pricing models at scale</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thousands of corridors. Using our proprietary A/B experimentation system, we execute, test, learn, and iterate cycles to improve our product offering, merchandising and customer experience.</w:t>
      </w:r>
    </w:p>
    <w:p>
      <w:pPr>
        <w:spacing w:after="0" w:line="123" w:lineRule="exact"/>
        <w:rPr>
          <w:rFonts w:ascii="Arial" w:cs="Arial" w:eastAsia="Arial" w:hAnsi="Arial"/>
          <w:sz w:val="18"/>
          <w:szCs w:val="18"/>
          <w:color w:val="auto"/>
        </w:rPr>
      </w:pPr>
    </w:p>
    <w:p>
      <w:pPr>
        <w:ind w:left="660" w:right="80" w:hanging="328"/>
        <w:spacing w:after="0" w:line="332" w:lineRule="auto"/>
        <w:tabs>
          <w:tab w:leader="none" w:pos="655"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Fraud. </w:t>
      </w:r>
      <w:r>
        <w:rPr>
          <w:rFonts w:ascii="Arial" w:cs="Arial" w:eastAsia="Arial" w:hAnsi="Arial"/>
          <w:sz w:val="16"/>
          <w:szCs w:val="16"/>
          <w:color w:val="auto"/>
        </w:rPr>
        <w:t>We use internal data to build and optimize fraud machine learning models to detect fraudulent and illegitimate transactions. These models</w:t>
      </w:r>
      <w:r>
        <w:rPr>
          <w:rFonts w:ascii="Arial" w:cs="Arial" w:eastAsia="Arial" w:hAnsi="Arial"/>
          <w:sz w:val="16"/>
          <w:szCs w:val="16"/>
          <w:b w:val="1"/>
          <w:bCs w:val="1"/>
          <w:color w:val="auto"/>
        </w:rPr>
        <w:t xml:space="preserve"> </w:t>
      </w:r>
      <w:r>
        <w:rPr>
          <w:rFonts w:ascii="Arial" w:cs="Arial" w:eastAsia="Arial" w:hAnsi="Arial"/>
          <w:sz w:val="16"/>
          <w:szCs w:val="16"/>
          <w:color w:val="auto"/>
        </w:rPr>
        <w:t>work in tandem with advanced user experience techniques including third-party step-up verification technologies and internally developed in-product mitigations to reduce friction while enhancing outcomes, identification and exclusion of illegitimate activity and fraud control.</w:t>
      </w:r>
    </w:p>
    <w:p>
      <w:pPr>
        <w:spacing w:after="0" w:line="86" w:lineRule="exact"/>
        <w:rPr>
          <w:rFonts w:ascii="Arial" w:cs="Arial" w:eastAsia="Arial" w:hAnsi="Arial"/>
          <w:sz w:val="16"/>
          <w:szCs w:val="16"/>
          <w:color w:val="auto"/>
        </w:rPr>
      </w:pPr>
    </w:p>
    <w:p>
      <w:pPr>
        <w:ind w:left="660" w:right="40" w:hanging="328"/>
        <w:spacing w:after="0" w:line="365" w:lineRule="auto"/>
        <w:tabs>
          <w:tab w:leader="none" w:pos="655"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Treasury. </w:t>
      </w:r>
      <w:r>
        <w:rPr>
          <w:rFonts w:ascii="Arial" w:cs="Arial" w:eastAsia="Arial" w:hAnsi="Arial"/>
          <w:sz w:val="16"/>
          <w:szCs w:val="16"/>
          <w:color w:val="auto"/>
        </w:rPr>
        <w:t>We manage our FX inventory and risk across the globe on a daily basis through proprietary treasury decision support software that uses</w:t>
      </w:r>
      <w:r>
        <w:rPr>
          <w:rFonts w:ascii="Arial" w:cs="Arial" w:eastAsia="Arial" w:hAnsi="Arial"/>
          <w:sz w:val="16"/>
          <w:szCs w:val="16"/>
          <w:b w:val="1"/>
          <w:bCs w:val="1"/>
          <w:color w:val="auto"/>
        </w:rPr>
        <w:t xml:space="preserve"> </w:t>
      </w:r>
      <w:r>
        <w:rPr>
          <w:rFonts w:ascii="Arial" w:cs="Arial" w:eastAsia="Arial" w:hAnsi="Arial"/>
          <w:sz w:val="16"/>
          <w:szCs w:val="16"/>
          <w:color w:val="auto"/>
        </w:rPr>
        <w:t>machine learning models that forecast demand and an integrated account management system bringing together hundreds of currency accounts.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Low-Friction Risk Mitigation.</w:t>
      </w:r>
    </w:p>
    <w:p>
      <w:pPr>
        <w:spacing w:after="0" w:line="181" w:lineRule="exact"/>
        <w:rPr>
          <w:sz w:val="20"/>
          <w:szCs w:val="20"/>
          <w:color w:val="auto"/>
        </w:rPr>
      </w:pPr>
    </w:p>
    <w:p>
      <w:pPr>
        <w:ind w:left="660" w:right="40" w:hanging="328"/>
        <w:spacing w:after="0" w:line="274"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Advanced risk management system. </w:t>
      </w:r>
      <w:r>
        <w:rPr>
          <w:rFonts w:ascii="Arial" w:cs="Arial" w:eastAsia="Arial" w:hAnsi="Arial"/>
          <w:sz w:val="18"/>
          <w:szCs w:val="18"/>
          <w:color w:val="auto"/>
        </w:rPr>
        <w:t>The nature of our business subjects us to the ongoing risk of fraud and other illegitimate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money laundering, scams and transactions subject to sanctions. To address these risks, we have advanced risk management and identity verification systems that both efficiently manage KYC and other compliance obligations and identify potential fraudulent transactions. Because of the efficiency of these systems we are able to maintain compliance while delivering a low-friction customer experience with low transaction loss rates.</w:t>
      </w:r>
    </w:p>
    <w:p>
      <w:pPr>
        <w:spacing w:after="0" w:line="118" w:lineRule="exact"/>
        <w:rPr>
          <w:rFonts w:ascii="Arial" w:cs="Arial" w:eastAsia="Arial" w:hAnsi="Arial"/>
          <w:sz w:val="18"/>
          <w:szCs w:val="18"/>
          <w:color w:val="auto"/>
        </w:rPr>
      </w:pPr>
    </w:p>
    <w:p>
      <w:pPr>
        <w:ind w:left="660"/>
        <w:spacing w:after="0" w:line="279" w:lineRule="auto"/>
        <w:rPr>
          <w:rFonts w:ascii="Arial" w:cs="Arial" w:eastAsia="Arial" w:hAnsi="Arial"/>
          <w:sz w:val="18"/>
          <w:szCs w:val="18"/>
          <w:color w:val="auto"/>
        </w:rPr>
      </w:pPr>
      <w:r>
        <w:rPr>
          <w:rFonts w:ascii="Arial" w:cs="Arial" w:eastAsia="Arial" w:hAnsi="Arial"/>
          <w:sz w:val="17"/>
          <w:szCs w:val="17"/>
          <w:color w:val="auto"/>
        </w:rPr>
        <w:t>Utilizing proprietary machine-learning algorithms and trusted third-party vendor software, our technology platform applies dynamic risk management measures by corridor that enable us to stay ahead of fraud and other types of unwanted activity. Additionally, we deliver a low-touch, risk-based KYC process including automated document upload and digital proof of account ownership. Our ongoing monitoring capability leverages multiple security layers, including third-party identity verification technologies and multi-factor authentication.</w:t>
      </w:r>
    </w:p>
    <w:p>
      <w:pPr>
        <w:spacing w:after="0" w:line="117" w:lineRule="exact"/>
        <w:rPr>
          <w:rFonts w:ascii="Arial" w:cs="Arial" w:eastAsia="Arial" w:hAnsi="Arial"/>
          <w:sz w:val="18"/>
          <w:szCs w:val="18"/>
          <w:color w:val="auto"/>
        </w:rPr>
      </w:pPr>
    </w:p>
    <w:p>
      <w:pPr>
        <w:ind w:left="660" w:right="420"/>
        <w:spacing w:after="0" w:line="279" w:lineRule="auto"/>
        <w:rPr>
          <w:rFonts w:ascii="Arial" w:cs="Arial" w:eastAsia="Arial" w:hAnsi="Arial"/>
          <w:sz w:val="18"/>
          <w:szCs w:val="18"/>
          <w:color w:val="auto"/>
        </w:rPr>
      </w:pPr>
      <w:r>
        <w:rPr>
          <w:rFonts w:ascii="Arial" w:cs="Arial" w:eastAsia="Arial" w:hAnsi="Arial"/>
          <w:sz w:val="17"/>
          <w:szCs w:val="17"/>
          <w:color w:val="auto"/>
        </w:rPr>
        <w:t>We believe our systems are scalable to meet future growth and are flexible and agile, which enable us to promptly respond to emerging fraud scenarios and changes in regulatory requirements. For example, with respect to new fraud risks, early warning systems trigger alarms when anomalous behavior appears, allowing us to shut down fraud attempts before they have an opportunity to scale. Alternatively, in the case of changing regulatory requirements, our policy engine allows us to dynamically configure KYC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requirements. We continue to invest in our risk management capabilities including 24x7 expert human oversight to monitor transaction traffic and to spot evolving risks.</w:t>
      </w:r>
    </w:p>
    <w:p>
      <w:pPr>
        <w:spacing w:after="0" w:line="126" w:lineRule="exact"/>
        <w:rPr>
          <w:sz w:val="20"/>
          <w:szCs w:val="20"/>
          <w:color w:val="auto"/>
        </w:rPr>
      </w:pPr>
    </w:p>
    <w:p>
      <w:pPr>
        <w:ind w:left="660" w:right="720" w:hanging="328"/>
        <w:spacing w:after="0" w:line="29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Local and global regulatory compliance. </w:t>
      </w:r>
      <w:r>
        <w:rPr>
          <w:rFonts w:ascii="Arial" w:cs="Arial" w:eastAsia="Arial" w:hAnsi="Arial"/>
          <w:sz w:val="18"/>
          <w:szCs w:val="18"/>
          <w:color w:val="auto"/>
        </w:rPr>
        <w:t>We designed our technology platform to operate efficiently in a highly complex and changing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environment.</w:t>
      </w:r>
    </w:p>
    <w:p>
      <w:pPr>
        <w:spacing w:after="0" w:line="99" w:lineRule="exact"/>
        <w:rPr>
          <w:rFonts w:ascii="Arial" w:cs="Arial" w:eastAsia="Arial" w:hAnsi="Arial"/>
          <w:sz w:val="18"/>
          <w:szCs w:val="18"/>
          <w:color w:val="auto"/>
        </w:rPr>
      </w:pPr>
    </w:p>
    <w:p>
      <w:pPr>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We believe our technology and compliance expertise allows for a consistently low-friction customer experience, which new market entrants would likely find difficult to replicate. As we launch our services into new markets, we ensure that we have rigorously considered and tested compliance with local experts and regulators. In addition, we have high standards and apply a robust diligence process in selecting our global distribution partners, which allows us to leverage their local regulatory expertise.</w:t>
      </w:r>
    </w:p>
    <w:p>
      <w:pPr>
        <w:spacing w:after="0" w:line="132" w:lineRule="exact"/>
        <w:rPr>
          <w:rFonts w:ascii="Arial" w:cs="Arial" w:eastAsia="Arial" w:hAnsi="Arial"/>
          <w:sz w:val="18"/>
          <w:szCs w:val="18"/>
          <w:color w:val="auto"/>
        </w:rPr>
      </w:pPr>
    </w:p>
    <w:p>
      <w:pPr>
        <w:ind w:left="660" w:right="100"/>
        <w:spacing w:after="0" w:line="301" w:lineRule="auto"/>
        <w:rPr>
          <w:rFonts w:ascii="Arial" w:cs="Arial" w:eastAsia="Arial" w:hAnsi="Arial"/>
          <w:sz w:val="18"/>
          <w:szCs w:val="18"/>
          <w:color w:val="auto"/>
        </w:rPr>
      </w:pPr>
      <w:r>
        <w:rPr>
          <w:rFonts w:ascii="Arial" w:cs="Arial" w:eastAsia="Arial" w:hAnsi="Arial"/>
          <w:sz w:val="16"/>
          <w:szCs w:val="16"/>
          <w:color w:val="auto"/>
        </w:rPr>
        <w:t>Acquiring the U.S. federal, state and international regulatory approvals necessary to operate as a money transmitter is a time-consuming and capital-intensive process. We have developed disciplined controls and systems, powered by technology, to comply with the requirements of handling cross-border remittances. As a result, we are able to monitor money movement at every step of the process to both support our reporting obligations and keep our customers well informed of their transaction status, but also as a benefit to our customers.</w:t>
      </w:r>
    </w:p>
    <w:p>
      <w:pPr>
        <w:spacing w:after="0" w:line="117"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b w:val="1"/>
          <w:bCs w:val="1"/>
          <w:i w:val="1"/>
          <w:iCs w:val="1"/>
          <w:color w:val="auto"/>
        </w:rPr>
        <w:t>Technology and Development Investment</w:t>
      </w:r>
      <w:r>
        <w:rPr>
          <w:rFonts w:ascii="Arial" w:cs="Arial" w:eastAsia="Arial" w:hAnsi="Arial"/>
          <w:sz w:val="16"/>
          <w:szCs w:val="16"/>
          <w:color w:val="auto"/>
        </w:rPr>
        <w:t>. We invest substantial time, energy, and resources to ensure we have a deep understanding of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and we continually innovate to deliver value-added products and services through our platform. We therefore have significant resources dedicated to technology and development across multiple teams including product, engineering, customer research, design, analytics, compliance, marketing, and customer service. These teams are responsible for the design, development, and testing of our platform and services. We focus the majority of our investment on developing new functionality and further enhancing the usability, reliability, and performance of our platform and services.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8"/>
          <w:szCs w:val="18"/>
          <w:color w:val="auto"/>
        </w:rPr>
        <w:t>We believe our addressable market is large, fragmented, underserved, and in the midst of being disrupted, while benefiting from powerful structural tailwinds. Based on estimates from the World Bank and the International Monetary Fund, the market for global money transfers was estimated to be approximately $1.5 trillion in total migrant remittance inflow volume in 2020 (including both approximately $702 billion in remittances in 2020 and $850 billion through informal channels), and has been growing at an approximately 4% CAGR over the past decade, with digital volumes significantly outpacing the rest of the market. In our core serviceable available market, remittance flows to developing countries reached $540 billion in 2020, according to the World Bank. To contextualize the size and importance of this market, according to the United Nations, global remittances are over two times larger than the amount of official development assistance (“ODA”).</w:t>
      </w:r>
    </w:p>
    <w:p>
      <w:pPr>
        <w:spacing w:after="0" w:line="138"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8"/>
          <w:szCs w:val="18"/>
          <w:color w:val="auto"/>
        </w:rPr>
        <w:t>As of June 30, 2021, we captured approximately 1% of the total migrant remittance inflow volume in this fragmented market. In addition, we believe we have a tremendous opportunity to significantly expand our total addressable market by leveraging our trusted brand and offer a broader set of financial services to today’s more than 280 million global immigrants and their families.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89" w:lineRule="exact"/>
        <w:rPr>
          <w:sz w:val="20"/>
          <w:szCs w:val="20"/>
          <w:color w:val="auto"/>
        </w:rPr>
      </w:pPr>
    </w:p>
    <w:p>
      <w:pPr>
        <w:ind w:right="600" w:firstLine="324"/>
        <w:spacing w:after="0" w:line="293" w:lineRule="auto"/>
        <w:rPr>
          <w:sz w:val="20"/>
          <w:szCs w:val="20"/>
          <w:color w:val="auto"/>
        </w:rPr>
      </w:pPr>
      <w:r>
        <w:rPr>
          <w:rFonts w:ascii="Arial" w:cs="Arial" w:eastAsia="Arial" w:hAnsi="Arial"/>
          <w:sz w:val="18"/>
          <w:szCs w:val="18"/>
          <w:color w:val="auto"/>
        </w:rPr>
        <w:t>Our strategy is designed to invest in our key strengths and create new opportunities that generate even greater value for our customers. The key elements of our strategy include:</w:t>
      </w:r>
    </w:p>
    <w:p>
      <w:pPr>
        <w:spacing w:after="0" w:line="112"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Gain share in existing corridors.</w:t>
      </w:r>
    </w:p>
    <w:p>
      <w:pPr>
        <w:spacing w:after="0" w:line="175" w:lineRule="exact"/>
        <w:rPr>
          <w:rFonts w:ascii="Arial" w:cs="Arial" w:eastAsia="Arial" w:hAnsi="Arial"/>
          <w:sz w:val="18"/>
          <w:szCs w:val="18"/>
          <w:b w:val="1"/>
          <w:bCs w:val="1"/>
          <w:color w:val="auto"/>
        </w:rPr>
      </w:pPr>
    </w:p>
    <w:p>
      <w:pPr>
        <w:ind w:left="980" w:right="220" w:hanging="324"/>
        <w:spacing w:after="0" w:line="263" w:lineRule="auto"/>
        <w:tabs>
          <w:tab w:leader="none" w:pos="976" w:val="left"/>
        </w:tabs>
        <w:numPr>
          <w:ilvl w:val="1"/>
          <w:numId w:val="82"/>
        </w:numPr>
        <w:rPr>
          <w:rFonts w:ascii="Arial" w:cs="Arial" w:eastAsia="Arial" w:hAnsi="Arial"/>
          <w:sz w:val="18"/>
          <w:szCs w:val="18"/>
          <w:color w:val="auto"/>
        </w:rPr>
      </w:pPr>
      <w:r>
        <w:rPr>
          <w:rFonts w:ascii="Arial" w:cs="Arial" w:eastAsia="Arial" w:hAnsi="Arial"/>
          <w:sz w:val="18"/>
          <w:szCs w:val="18"/>
          <w:color w:val="auto"/>
        </w:rPr>
        <w:t>Grow our customer base. We plan on expanding our marketing efforts across existing corridors to increase brand awareness with customers and highlight the value of our products and services. We believe this will attract new customers to try Remitly. As we grow our customer base, we expect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benefit from increased operating leverage in the business and more data and insight to enhance our models.</w:t>
      </w:r>
    </w:p>
    <w:p>
      <w:pPr>
        <w:spacing w:after="0" w:line="171" w:lineRule="exact"/>
        <w:rPr>
          <w:sz w:val="20"/>
          <w:szCs w:val="20"/>
          <w:color w:val="auto"/>
        </w:rPr>
      </w:pPr>
    </w:p>
    <w:p>
      <w:pPr>
        <w:ind w:left="980" w:right="140" w:hanging="324"/>
        <w:spacing w:after="0" w:line="286" w:lineRule="auto"/>
        <w:tabs>
          <w:tab w:leader="none" w:pos="976"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Increase customer engagement and drive repeat use. The majority of our customers use our products and services multiple times per month. To further strengthen our customer 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We expect these initiatives will attract new customers and lead to larger and more frequent transactions across our growing customer base.</w:t>
      </w:r>
    </w:p>
    <w:p>
      <w:pPr>
        <w:spacing w:after="0" w:line="189" w:lineRule="exact"/>
        <w:rPr>
          <w:rFonts w:ascii="Arial" w:cs="Arial" w:eastAsia="Arial" w:hAnsi="Arial"/>
          <w:sz w:val="16"/>
          <w:szCs w:val="16"/>
          <w:color w:val="auto"/>
        </w:rPr>
      </w:pPr>
    </w:p>
    <w:p>
      <w:pPr>
        <w:ind w:left="660" w:right="160" w:hanging="328"/>
        <w:spacing w:after="0" w:line="291"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Expand to new corridors and partner networks</w:t>
      </w:r>
      <w:r>
        <w:rPr>
          <w:rFonts w:ascii="Arial" w:cs="Arial" w:eastAsia="Arial" w:hAnsi="Arial"/>
          <w:sz w:val="17"/>
          <w:szCs w:val="17"/>
          <w:color w:val="auto"/>
        </w:rPr>
        <w:t>. While our global network spans across 1,700 corridors around the world, we have plans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increase our reach to thousands of additional corridors. We see an opportunity to generate value by expanding our remittance services, </w:t>
      </w:r>
      <w:r>
        <w:rPr>
          <w:rFonts w:ascii="Arial" w:cs="Arial" w:eastAsia="Arial" w:hAnsi="Arial"/>
          <w:sz w:val="17"/>
          <w:szCs w:val="17"/>
          <w:i w:val="1"/>
          <w:iCs w:val="1"/>
          <w:color w:val="auto"/>
        </w:rPr>
        <w:t>Passbook</w:t>
      </w:r>
      <w:r>
        <w:rPr>
          <w:rFonts w:ascii="Arial" w:cs="Arial" w:eastAsia="Arial" w:hAnsi="Arial"/>
          <w:sz w:val="17"/>
          <w:szCs w:val="17"/>
          <w:color w:val="auto"/>
        </w:rPr>
        <w:t xml:space="preserve"> and </w:t>
      </w:r>
      <w:r>
        <w:rPr>
          <w:rFonts w:ascii="Arial" w:cs="Arial" w:eastAsia="Arial" w:hAnsi="Arial"/>
          <w:sz w:val="17"/>
          <w:szCs w:val="17"/>
          <w:i w:val="1"/>
          <w:iCs w:val="1"/>
          <w:color w:val="auto"/>
        </w:rPr>
        <w:t>Remitly For Developers</w:t>
      </w:r>
      <w:r>
        <w:rPr>
          <w:rFonts w:ascii="Arial" w:cs="Arial" w:eastAsia="Arial" w:hAnsi="Arial"/>
          <w:sz w:val="17"/>
          <w:szCs w:val="17"/>
          <w:color w:val="auto"/>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116" w:lineRule="exact"/>
        <w:rPr>
          <w:rFonts w:ascii="Arial" w:cs="Arial" w:eastAsia="Arial" w:hAnsi="Arial"/>
          <w:sz w:val="17"/>
          <w:szCs w:val="17"/>
          <w:color w:val="auto"/>
        </w:rPr>
      </w:pPr>
    </w:p>
    <w:p>
      <w:pPr>
        <w:ind w:left="660" w:right="220" w:hanging="328"/>
        <w:spacing w:after="0" w:line="332"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Continue expanding into broader financial services. </w:t>
      </w:r>
      <w:r>
        <w:rPr>
          <w:rFonts w:ascii="Arial" w:cs="Arial" w:eastAsia="Arial" w:hAnsi="Arial"/>
          <w:sz w:val="16"/>
          <w:szCs w:val="16"/>
          <w:color w:val="auto"/>
        </w:rPr>
        <w:t>We believe there is an enormous opportunity to create a more inclusive financial system</w:t>
      </w:r>
      <w:r>
        <w:rPr>
          <w:rFonts w:ascii="Arial" w:cs="Arial" w:eastAsia="Arial" w:hAnsi="Arial"/>
          <w:sz w:val="16"/>
          <w:szCs w:val="16"/>
          <w:b w:val="1"/>
          <w:bCs w:val="1"/>
          <w:color w:val="auto"/>
        </w:rPr>
        <w:t xml:space="preserve"> </w:t>
      </w:r>
      <w:r>
        <w:rPr>
          <w:rFonts w:ascii="Arial" w:cs="Arial" w:eastAsia="Arial" w:hAnsi="Arial"/>
          <w:sz w:val="16"/>
          <w:szCs w:val="16"/>
          <w:color w:val="auto"/>
        </w:rPr>
        <w:t>that not only encompasses, but caters to the needs of immigrants. We believe that the insights we gain about immigrant customers through our data-driven platform will enable us to play an important role in developing products and services that meet this opportunity.</w:t>
      </w:r>
    </w:p>
    <w:p>
      <w:pPr>
        <w:spacing w:after="0" w:line="77" w:lineRule="exact"/>
        <w:rPr>
          <w:rFonts w:ascii="Arial" w:cs="Arial" w:eastAsia="Arial" w:hAnsi="Arial"/>
          <w:sz w:val="16"/>
          <w:szCs w:val="16"/>
          <w:color w:val="auto"/>
        </w:rPr>
      </w:pPr>
    </w:p>
    <w:p>
      <w:pPr>
        <w:ind w:left="660" w:right="620"/>
        <w:spacing w:after="0" w:line="277" w:lineRule="auto"/>
        <w:rPr>
          <w:rFonts w:ascii="Arial" w:cs="Arial" w:eastAsia="Arial" w:hAnsi="Arial"/>
          <w:sz w:val="16"/>
          <w:szCs w:val="16"/>
          <w:color w:val="auto"/>
        </w:rPr>
      </w:pPr>
      <w:r>
        <w:rPr>
          <w:rFonts w:ascii="Arial" w:cs="Arial" w:eastAsia="Arial" w:hAnsi="Arial"/>
          <w:sz w:val="18"/>
          <w:szCs w:val="18"/>
          <w:color w:val="auto"/>
        </w:rPr>
        <w:t>We will continue to invest in our platform, expanding our product and service offerings and our overall technological lead to actualize our opportunities in this area.</w:t>
      </w:r>
    </w:p>
    <w:p>
      <w:pPr>
        <w:spacing w:after="0" w:line="116" w:lineRule="exact"/>
        <w:rPr>
          <w:rFonts w:ascii="Arial" w:cs="Arial" w:eastAsia="Arial" w:hAnsi="Arial"/>
          <w:sz w:val="16"/>
          <w:szCs w:val="16"/>
          <w:color w:val="auto"/>
        </w:rPr>
      </w:pPr>
    </w:p>
    <w:p>
      <w:pPr>
        <w:ind w:left="660" w:right="300"/>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For example, our </w:t>
      </w:r>
      <w:r>
        <w:rPr>
          <w:rFonts w:ascii="Arial" w:cs="Arial" w:eastAsia="Arial" w:hAnsi="Arial"/>
          <w:sz w:val="18"/>
          <w:szCs w:val="18"/>
          <w:i w:val="1"/>
          <w:iCs w:val="1"/>
          <w:color w:val="auto"/>
        </w:rPr>
        <w:t>Passbook</w:t>
      </w:r>
      <w:r>
        <w:rPr>
          <w:rFonts w:ascii="Arial" w:cs="Arial" w:eastAsia="Arial" w:hAnsi="Arial"/>
          <w:sz w:val="18"/>
          <w:szCs w:val="18"/>
          <w:color w:val="auto"/>
        </w:rPr>
        <w:t xml:space="preserve"> app started with deposit services, but we plan to build new products and features within the app in order to provide solutions to a broader array of our customers’ problems.</w:t>
      </w:r>
    </w:p>
    <w:p>
      <w:pPr>
        <w:spacing w:after="0" w:line="116" w:lineRule="exact"/>
        <w:rPr>
          <w:rFonts w:ascii="Arial" w:cs="Arial" w:eastAsia="Arial" w:hAnsi="Arial"/>
          <w:sz w:val="16"/>
          <w:szCs w:val="16"/>
          <w:color w:val="auto"/>
        </w:rPr>
      </w:pPr>
    </w:p>
    <w:p>
      <w:pPr>
        <w:ind w:left="660" w:right="320"/>
        <w:spacing w:after="0" w:line="263" w:lineRule="auto"/>
        <w:rPr>
          <w:rFonts w:ascii="Arial" w:cs="Arial" w:eastAsia="Arial" w:hAnsi="Arial"/>
          <w:sz w:val="16"/>
          <w:szCs w:val="16"/>
          <w:color w:val="auto"/>
        </w:rPr>
      </w:pPr>
      <w:r>
        <w:rPr>
          <w:rFonts w:ascii="Arial" w:cs="Arial" w:eastAsia="Arial" w:hAnsi="Arial"/>
          <w:sz w:val="18"/>
          <w:szCs w:val="18"/>
          <w:color w:val="auto"/>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8"/>
          <w:szCs w:val="18"/>
          <w:i w:val="1"/>
          <w:iCs w:val="1"/>
          <w:color w:val="auto"/>
        </w:rPr>
        <w:t>Remitly For Developers</w:t>
      </w:r>
      <w:r>
        <w:rPr>
          <w:rFonts w:ascii="Arial" w:cs="Arial" w:eastAsia="Arial" w:hAnsi="Arial"/>
          <w:sz w:val="18"/>
          <w:szCs w:val="18"/>
          <w:color w:val="auto"/>
        </w:rPr>
        <w:t>, attracts a new set of potential customers and expands economic opportunities in developing markets.</w:t>
      </w:r>
    </w:p>
    <w:p>
      <w:pPr>
        <w:spacing w:after="0" w:line="139" w:lineRule="exact"/>
        <w:rPr>
          <w:rFonts w:ascii="Arial" w:cs="Arial" w:eastAsia="Arial" w:hAnsi="Arial"/>
          <w:sz w:val="16"/>
          <w:szCs w:val="16"/>
          <w:color w:val="auto"/>
        </w:rPr>
      </w:pPr>
    </w:p>
    <w:p>
      <w:pPr>
        <w:ind w:left="660" w:hanging="328"/>
        <w:spacing w:after="0" w:line="275"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Pursue strategic partnerships and acquisitions. </w:t>
      </w:r>
      <w:r>
        <w:rPr>
          <w:rFonts w:ascii="Arial" w:cs="Arial" w:eastAsia="Arial" w:hAnsi="Arial"/>
          <w:sz w:val="17"/>
          <w:szCs w:val="17"/>
          <w:color w:val="auto"/>
        </w:rPr>
        <w:t>While our main growth strategy has historically been organic, we may selectively pursue</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partnerships and acquisitions to accelerate our growth objectives or to enhance our competitive position within existing and new products and markets. For example, in March 2021, we extended our partnership with Visa</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and integration of Visa Direct within our global network, providing our customers with real-time</w:t>
      </w:r>
      <w:r>
        <w:rPr>
          <w:rFonts w:ascii="Arial" w:cs="Arial" w:eastAsia="Arial" w:hAnsi="Arial"/>
          <w:sz w:val="22"/>
          <w:szCs w:val="22"/>
          <w:color w:val="auto"/>
          <w:vertAlign w:val="superscript"/>
        </w:rPr>
        <w:t>4</w:t>
      </w:r>
      <w:r>
        <w:rPr>
          <w:rFonts w:ascii="Arial" w:cs="Arial" w:eastAsia="Arial" w:hAnsi="Arial"/>
          <w:sz w:val="17"/>
          <w:szCs w:val="17"/>
          <w:color w:val="auto"/>
        </w:rPr>
        <w:t xml:space="preserve"> cross-border payments options to more countries around the world.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8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Our customer-focused vision gives us purpose and motivates us to consistently think bigger, act more boldly, and deliver exceptional services for our customers. Our ability to deliver on our vision begins with our culture and values.</w:t>
      </w:r>
    </w:p>
    <w:p>
      <w:pPr>
        <w:spacing w:after="0" w:line="116" w:lineRule="exact"/>
        <w:rPr>
          <w:sz w:val="20"/>
          <w:szCs w:val="20"/>
          <w:color w:val="auto"/>
        </w:rPr>
      </w:pPr>
    </w:p>
    <w:p>
      <w:pPr>
        <w:ind w:right="360" w:firstLine="324"/>
        <w:spacing w:after="0" w:line="293" w:lineRule="auto"/>
        <w:rPr>
          <w:sz w:val="20"/>
          <w:szCs w:val="20"/>
          <w:color w:val="auto"/>
        </w:rPr>
      </w:pPr>
      <w:r>
        <w:rPr>
          <w:rFonts w:ascii="Arial" w:cs="Arial" w:eastAsia="Arial" w:hAnsi="Arial"/>
          <w:sz w:val="18"/>
          <w:szCs w:val="18"/>
          <w:color w:val="auto"/>
        </w:rPr>
        <w:t>Since our first day, culture has been a foundational and highly intentional imperative – never an afterthought. Grounded in our customers first, our values are aspirational behaviors that we are each growing into and use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714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3" w:lineRule="exact"/>
        <w:rPr>
          <w:sz w:val="20"/>
          <w:szCs w:val="20"/>
          <w:color w:val="auto"/>
        </w:rPr>
      </w:pPr>
    </w:p>
    <w:p>
      <w:pPr>
        <w:ind w:left="160" w:hanging="152"/>
        <w:spacing w:after="0"/>
        <w:tabs>
          <w:tab w:leader="none" w:pos="160" w:val="left"/>
        </w:tabs>
        <w:numPr>
          <w:ilvl w:val="0"/>
          <w:numId w:val="84"/>
        </w:numPr>
        <w:rPr>
          <w:rFonts w:ascii="Arial" w:cs="Arial" w:eastAsia="Arial" w:hAnsi="Arial"/>
          <w:sz w:val="9"/>
          <w:szCs w:val="9"/>
          <w:color w:val="auto"/>
        </w:rPr>
      </w:pPr>
      <w:r>
        <w:rPr>
          <w:rFonts w:ascii="Arial" w:cs="Arial" w:eastAsia="Arial" w:hAnsi="Arial"/>
          <w:sz w:val="14"/>
          <w:szCs w:val="14"/>
          <w:color w:val="auto"/>
        </w:rPr>
        <w:t>Visa Direct capability enabled through Remitly’s financial institution partner.</w:t>
      </w:r>
    </w:p>
    <w:p>
      <w:pPr>
        <w:spacing w:after="0" w:line="21" w:lineRule="exact"/>
        <w:rPr>
          <w:sz w:val="20"/>
          <w:szCs w:val="20"/>
          <w:color w:val="auto"/>
        </w:rPr>
      </w:pPr>
    </w:p>
    <w:p>
      <w:pPr>
        <w:ind w:left="160" w:hanging="152"/>
        <w:spacing w:after="0"/>
        <w:tabs>
          <w:tab w:leader="none" w:pos="160" w:val="left"/>
        </w:tabs>
        <w:numPr>
          <w:ilvl w:val="0"/>
          <w:numId w:val="85"/>
        </w:numPr>
        <w:rPr>
          <w:rFonts w:ascii="Arial" w:cs="Arial" w:eastAsia="Arial" w:hAnsi="Arial"/>
          <w:sz w:val="9"/>
          <w:szCs w:val="9"/>
          <w:color w:val="auto"/>
        </w:rPr>
      </w:pPr>
      <w:r>
        <w:rPr>
          <w:rFonts w:ascii="Arial" w:cs="Arial" w:eastAsia="Arial" w:hAnsi="Arial"/>
          <w:sz w:val="14"/>
          <w:szCs w:val="14"/>
          <w:color w:val="auto"/>
        </w:rPr>
        <w:t>Actual fund availability depends on the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common language for feedback. Employee voice and engagement is a cornerstone to how we create a culture of belonging that allows everyone to be able to do their best work to deliver for our customers every day. This includes bi-annual engagement surveys, pulse surveys, feedback sessions, consistent leadership focus groups and 1:1s.</w:t>
      </w:r>
    </w:p>
    <w:p>
      <w:pPr>
        <w:spacing w:after="0" w:line="129" w:lineRule="exact"/>
        <w:rPr>
          <w:sz w:val="20"/>
          <w:szCs w:val="20"/>
          <w:color w:val="auto"/>
        </w:rPr>
      </w:pPr>
    </w:p>
    <w:p>
      <w:pPr>
        <w:jc w:val="both"/>
        <w:ind w:right="280" w:firstLine="324"/>
        <w:spacing w:after="0" w:line="296" w:lineRule="auto"/>
        <w:rPr>
          <w:sz w:val="20"/>
          <w:szCs w:val="20"/>
          <w:color w:val="auto"/>
        </w:rPr>
      </w:pPr>
      <w:r>
        <w:rPr>
          <w:rFonts w:ascii="Arial" w:cs="Arial" w:eastAsia="Arial" w:hAnsi="Arial"/>
          <w:sz w:val="17"/>
          <w:szCs w:val="17"/>
          <w:color w:val="auto"/>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7"/>
          <w:szCs w:val="17"/>
          <w:b w:val="1"/>
          <w:bCs w:val="1"/>
          <w:i w:val="1"/>
          <w:iCs w:val="1"/>
          <w:color w:val="auto"/>
        </w:rPr>
        <w:t>customer centricity</w:t>
      </w:r>
      <w:r>
        <w:rPr>
          <w:rFonts w:ascii="Arial" w:cs="Arial" w:eastAsia="Arial" w:hAnsi="Arial"/>
          <w:sz w:val="17"/>
          <w:szCs w:val="17"/>
          <w:color w:val="auto"/>
        </w:rPr>
        <w:t>, which serves as our north star in all that we do. Our other core values fall broadly into three categories:</w:t>
      </w:r>
    </w:p>
    <w:p>
      <w:pPr>
        <w:spacing w:after="0" w:line="112"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Our purpose: </w:t>
      </w:r>
      <w:r>
        <w:rPr>
          <w:rFonts w:ascii="Arial" w:cs="Arial" w:eastAsia="Arial" w:hAnsi="Arial"/>
          <w:sz w:val="18"/>
          <w:szCs w:val="18"/>
          <w:color w:val="auto"/>
        </w:rPr>
        <w:t>Be joyful, aim for the stars, be an owner, hire and develop exceptional people, and don’t be afraid to fail;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Building relationships: </w:t>
      </w:r>
      <w:r>
        <w:rPr>
          <w:rFonts w:ascii="Arial" w:cs="Arial" w:eastAsia="Arial" w:hAnsi="Arial"/>
          <w:sz w:val="18"/>
          <w:szCs w:val="18"/>
          <w:color w:val="auto"/>
        </w:rPr>
        <w:t>Lead authentically, act with integrity, be constructively direct, and be an empathetic partner;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Taking action: </w:t>
      </w:r>
      <w:r>
        <w:rPr>
          <w:rFonts w:ascii="Arial" w:cs="Arial" w:eastAsia="Arial" w:hAnsi="Arial"/>
          <w:sz w:val="18"/>
          <w:szCs w:val="18"/>
          <w:color w:val="auto"/>
        </w:rPr>
        <w:t>Have a bias for action, be data-driven, sweat the details, deliver on promises, and continuously improve.</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These values influence our actions every day. They help us attract, inspire and retain a diverse, world-class team. We use them to coach and celebrate our teammates, including through the Remitly Founder’s Award that recognizes one Remitlian each quarter who champions and embodies our values. They are also a central aspect of our onboarding, performance management and development processes to ensure that employee growth enhances our distinct culture and produces customer-centric outcomes. Living up to our values builds customer trust, inspires employee engagement, and makes “Promises Delivered” our fundamental ethos and not merely a tagline.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8"/>
          <w:szCs w:val="18"/>
          <w:color w:val="auto"/>
        </w:rPr>
        <w:t>We operate in a large and highly fragmented market. We have experienced and expect to continue to experience competition from a number of companies, including those who are well-established and may have greater resources, and those who may become meaningful competitors in the future. Our diverse array of competitors generally falls into the following categories:</w:t>
      </w:r>
    </w:p>
    <w:p>
      <w:pPr>
        <w:spacing w:after="0" w:line="125" w:lineRule="exact"/>
        <w:rPr>
          <w:sz w:val="20"/>
          <w:szCs w:val="20"/>
          <w:color w:val="auto"/>
        </w:rPr>
      </w:pPr>
    </w:p>
    <w:p>
      <w:pPr>
        <w:ind w:left="660" w:right="40" w:hanging="328"/>
        <w:spacing w:after="0" w:line="29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Incumbent providers with a scaled legacy platform</w:t>
      </w:r>
      <w:r>
        <w:rPr>
          <w:rFonts w:ascii="Arial" w:cs="Arial" w:eastAsia="Arial" w:hAnsi="Arial"/>
          <w:sz w:val="18"/>
          <w:szCs w:val="18"/>
          <w:color w:val="auto"/>
        </w:rPr>
        <w:t>. Traditional providers with large networks of brick-and-mortar locations and agents around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 that have been slow to adopt digital solutions.</w:t>
      </w:r>
    </w:p>
    <w:p>
      <w:pPr>
        <w:spacing w:after="0" w:line="108" w:lineRule="exact"/>
        <w:rPr>
          <w:rFonts w:ascii="Arial" w:cs="Arial" w:eastAsia="Arial" w:hAnsi="Arial"/>
          <w:sz w:val="18"/>
          <w:szCs w:val="18"/>
          <w:color w:val="auto"/>
        </w:rPr>
      </w:pPr>
    </w:p>
    <w:p>
      <w:pPr>
        <w:ind w:left="660" w:right="80" w:hanging="328"/>
        <w:spacing w:after="0" w:line="29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Traditional banks. </w:t>
      </w:r>
      <w:r>
        <w:rPr>
          <w:rFonts w:ascii="Arial" w:cs="Arial" w:eastAsia="Arial" w:hAnsi="Arial"/>
          <w:sz w:val="18"/>
          <w:szCs w:val="18"/>
          <w:color w:val="auto"/>
        </w:rPr>
        <w:t>Traditional bank networks that offer a wide variety of financial services, including international remittances, but have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 options.</w:t>
      </w:r>
    </w:p>
    <w:p>
      <w:pPr>
        <w:spacing w:after="0" w:line="108" w:lineRule="exact"/>
        <w:rPr>
          <w:rFonts w:ascii="Arial" w:cs="Arial" w:eastAsia="Arial" w:hAnsi="Arial"/>
          <w:sz w:val="18"/>
          <w:szCs w:val="18"/>
          <w:color w:val="auto"/>
        </w:rPr>
      </w:pPr>
    </w:p>
    <w:p>
      <w:pPr>
        <w:jc w:val="both"/>
        <w:ind w:left="660" w:right="560" w:hanging="328"/>
        <w:spacing w:after="0" w:line="28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Digital-first cross-border payment providers. </w:t>
      </w:r>
      <w:r>
        <w:rPr>
          <w:rFonts w:ascii="Arial" w:cs="Arial" w:eastAsia="Arial" w:hAnsi="Arial"/>
          <w:sz w:val="18"/>
          <w:szCs w:val="18"/>
          <w:color w:val="auto"/>
        </w:rPr>
        <w:t>Digital-first providers of payments, money transfer and remittance products that aim to be</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convenient, transparent and affordable, with varying corridor-related focuses, such as developed-to-developing or developed-to-developed markets.</w:t>
      </w:r>
    </w:p>
    <w:p>
      <w:pPr>
        <w:spacing w:after="0" w:line="123" w:lineRule="exact"/>
        <w:rPr>
          <w:rFonts w:ascii="Arial" w:cs="Arial" w:eastAsia="Arial" w:hAnsi="Arial"/>
          <w:sz w:val="18"/>
          <w:szCs w:val="18"/>
          <w:color w:val="auto"/>
        </w:rPr>
      </w:pPr>
    </w:p>
    <w:p>
      <w:pPr>
        <w:ind w:left="660" w:right="20" w:hanging="328"/>
        <w:spacing w:after="0" w:line="276"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Emerging players focused on broader financial services. </w:t>
      </w:r>
      <w:r>
        <w:rPr>
          <w:rFonts w:ascii="Arial" w:cs="Arial" w:eastAsia="Arial" w:hAnsi="Arial"/>
          <w:sz w:val="18"/>
          <w:szCs w:val="18"/>
          <w:color w:val="auto"/>
        </w:rPr>
        <w:t>Online-only banks, cryptocurrency players, and other emerging players typically offer</w:t>
      </w:r>
      <w:r>
        <w:rPr>
          <w:rFonts w:ascii="Arial" w:cs="Arial" w:eastAsia="Arial" w:hAnsi="Arial"/>
          <w:sz w:val="18"/>
          <w:szCs w:val="18"/>
          <w:b w:val="1"/>
          <w:bCs w:val="1"/>
          <w:color w:val="auto"/>
        </w:rPr>
        <w:t xml:space="preserve"> </w:t>
      </w:r>
      <w:r>
        <w:rPr>
          <w:rFonts w:ascii="Arial" w:cs="Arial" w:eastAsia="Arial" w:hAnsi="Arial"/>
          <w:sz w:val="18"/>
          <w:szCs w:val="18"/>
          <w:color w:val="auto"/>
        </w:rPr>
        <w:t>a subset of the financial services offered by traditional banks, and generally place a greater emphasis on convenience and user experience. These players also typically rely on the global networks and regulatory and compliance infrastructure of certain digital-first cross border payment providers to offer remittances to their customers.</w:t>
      </w:r>
    </w:p>
    <w:p>
      <w:pPr>
        <w:spacing w:after="0" w:line="127" w:lineRule="exact"/>
        <w:rPr>
          <w:rFonts w:ascii="Arial" w:cs="Arial" w:eastAsia="Arial" w:hAnsi="Arial"/>
          <w:sz w:val="18"/>
          <w:szCs w:val="18"/>
          <w:color w:val="auto"/>
        </w:rPr>
      </w:pPr>
    </w:p>
    <w:p>
      <w:pPr>
        <w:ind w:left="660" w:right="340" w:hanging="328"/>
        <w:spacing w:after="0" w:line="365" w:lineRule="auto"/>
        <w:tabs>
          <w:tab w:leader="none" w:pos="655"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Informal person-to-person channels</w:t>
      </w:r>
      <w:r>
        <w:rPr>
          <w:rFonts w:ascii="Arial" w:cs="Arial" w:eastAsia="Arial" w:hAnsi="Arial"/>
          <w:sz w:val="16"/>
          <w:szCs w:val="16"/>
          <w:color w:val="auto"/>
        </w:rPr>
        <w:t>. Bringing cash home when immigrants travel, trusting others to deliver cash back home,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networks of “IOUs” based on documentation or passwords, and other systems of trust-based cash transfers that evade tracking and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57"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Digital-first companies are increasingly gaining market share from legacy providers and traditional banks. We believe that the principal competitive factors across experience, product, network and technology include:</w:t>
      </w:r>
    </w:p>
    <w:p>
      <w:pPr>
        <w:spacing w:after="0" w:line="116"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Experience: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trusted relationship with customers and their families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simple and convenient customer experience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Appealing to customers and their families on a hyper-local level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Fair and transparent product pricing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Speed and certainty of transactions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Adjacent suite of digital-first financial services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Global and local customer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Network:</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Breadth of global network, including a vast array of easy-to-access disbursement options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Ability to accept alternative payment methods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Technological differentiation through service availability, performance, scalability, and reliability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Efficient fraud, compliance, and regulatory management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Ability to innovate</w:t>
      </w:r>
    </w:p>
    <w:p>
      <w:pPr>
        <w:spacing w:after="0" w:line="18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color w:val="auto"/>
        </w:rPr>
        <w:t>By focusing on the unique needs of immigrants and having a relentless customer focus, we believe that we have built a differentiated and compelling value proposition, and that we compete favorably on the basis of these factors.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Third Parties</w:t>
      </w:r>
    </w:p>
    <w:p>
      <w:pPr>
        <w:spacing w:after="0" w:line="189" w:lineRule="exact"/>
        <w:rPr>
          <w:sz w:val="20"/>
          <w:szCs w:val="20"/>
          <w:color w:val="auto"/>
        </w:rPr>
      </w:pPr>
    </w:p>
    <w:p>
      <w:pPr>
        <w:ind w:firstLine="324"/>
        <w:spacing w:after="0" w:line="305" w:lineRule="auto"/>
        <w:rPr>
          <w:sz w:val="20"/>
          <w:szCs w:val="20"/>
          <w:color w:val="auto"/>
        </w:rPr>
      </w:pPr>
      <w:r>
        <w:rPr>
          <w:rFonts w:ascii="Arial" w:cs="Arial" w:eastAsia="Arial" w:hAnsi="Arial"/>
          <w:sz w:val="16"/>
          <w:szCs w:val="16"/>
          <w:color w:val="auto"/>
        </w:rPr>
        <w:t>We have relationships with various third parties and utilize their technology systems, functions and services through the entire remittance transaction from pay-in to pay-out. On the pay-in stage, we partner with payment processors and financial institutions through our platform so our customers can initiate a transaction through our application and get their funds processed and converted into the recipient’s currency. The agreements with our payment processors and financial institutions contain customary terms and conditions for our industry, including licenses to use the relevant intellectual property, renewable terms of agreement, service commitments, publicity rights and indemnification provisions, as well as standard bank practices, as applicable. Between the pay-in and pay-out steps of the transaction, we also use various third party partners to run various KYC, risk and compliance processes. The agreements with our third party risk and compliance vendors contain customary terms and conditions for our industry, including licenses to use the relevant intellectual property, renewable terms of agreement, service commitments, minimum commitments and indemnification provisions. On the pay-out stage, we leverage disbursement partners and aggregators’ systems to disburse funds to the recipients. The agreements with our disbursement and payment partners contain customary terms and conditions for our industry, including licenses to use the relevant intellectual property, renewable terms of agreement, service commitments, publicity and marketing rights, compliance with applicable regulations and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89" w:lineRule="exact"/>
        <w:rPr>
          <w:sz w:val="20"/>
          <w:szCs w:val="20"/>
          <w:color w:val="auto"/>
        </w:rPr>
      </w:pPr>
    </w:p>
    <w:p>
      <w:pPr>
        <w:ind w:right="20" w:firstLine="324"/>
        <w:spacing w:after="0" w:line="308" w:lineRule="auto"/>
        <w:rPr>
          <w:sz w:val="20"/>
          <w:szCs w:val="20"/>
          <w:color w:val="auto"/>
        </w:rPr>
      </w:pPr>
      <w:r>
        <w:rPr>
          <w:rFonts w:ascii="Arial" w:cs="Arial" w:eastAsia="Arial" w:hAnsi="Arial"/>
          <w:sz w:val="16"/>
          <w:szCs w:val="16"/>
          <w:color w:val="auto"/>
        </w:rPr>
        <w:t>Our business is subject to a wide range of federal, state, and international laws and regulations in the jurisdictions in which we operate and conduct our activities, including (1) the jurisdictions from which our customers initiate transactions, the majority of which are located in the United States, Canada, EEA and the United Kingdom and/or (2) the jurisdictions in which recipients receive disbursements, the majority of which are located in Mexico, the Philippines, India and other developing countries. These include strict legal and regulatory requirements intended to help detect and prevent money laundering, terrorist financing, fraud, data use, theft and misappropriation and other illicit activity. They also include laws and regulations regarding money transmission licensing, financial services, consumer disclosure and protection, foreign exchange, currency controls, unclaimed property, privacy, and cyber security. Because these laws and regulations are complex, extensive, varied across jurisdictions, and subject to frequent change, we are subject to a number of risks associated with ongoing regulatory compliance. For more information, see the section titled “Risk Factors—Legal and Compliance Risks.”</w:t>
      </w:r>
    </w:p>
    <w:p>
      <w:pPr>
        <w:spacing w:after="0" w:line="109"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color w:val="auto"/>
        </w:rPr>
        <w:t>The description of a subset of these laws and regulations that follows is designed to be a summary and is not exhaustive. We have developed and implemented a compliance program, including our anti-money laundering program, comprised of policies and procedures that are designed to comply with such laws and regulations as they apply to our business. We also monitor these areas closely to continue to adapt our business practices and strategies to help us comply with current and evolving laws and regulations.</w:t>
      </w:r>
    </w:p>
    <w:p>
      <w:pPr>
        <w:spacing w:after="0" w:line="131"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b w:val="1"/>
          <w:bCs w:val="1"/>
          <w:i w:val="1"/>
          <w:iCs w:val="1"/>
          <w:color w:val="auto"/>
        </w:rPr>
        <w:t>Anti-Money Laundering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our business is subject to anti-money laundering laws and regulations, including the Bank Secrecy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(“BSA”), as amended by the USA PATRIOT Act of 2001, as well as similar state laws and regulations. The BSA, among other things, requires companies engaged in money transmission to develop and maintain risk-based anti-money laundering programs, report suspicious activity, and collect and maintain personal information about consumers and all transaction records. These requirements may also apply to our distribution partners and sub-partners. Furthermore, the U.S. Department of the Treasury has interpreted the BSA to require money transmission companies to conduct due diligence and risk-based monitoring of their distribution partners.</w:t>
      </w:r>
    </w:p>
    <w:p>
      <w:pPr>
        <w:spacing w:after="0" w:line="137" w:lineRule="exact"/>
        <w:rPr>
          <w:sz w:val="20"/>
          <w:szCs w:val="20"/>
          <w:color w:val="auto"/>
        </w:rPr>
      </w:pPr>
    </w:p>
    <w:p>
      <w:pPr>
        <w:ind w:right="20" w:firstLine="324"/>
        <w:spacing w:after="0" w:line="288" w:lineRule="auto"/>
        <w:rPr>
          <w:sz w:val="20"/>
          <w:szCs w:val="20"/>
          <w:color w:val="auto"/>
        </w:rPr>
      </w:pPr>
      <w:r>
        <w:rPr>
          <w:rFonts w:ascii="Arial" w:cs="Arial" w:eastAsia="Arial" w:hAnsi="Arial"/>
          <w:sz w:val="17"/>
          <w:szCs w:val="17"/>
          <w:color w:val="auto"/>
        </w:rPr>
        <w:t>Similar anti-money laundering laws and regulations apply to our business internationally, including in the countries where we are licensed: Canada, Ireland, the United Kingdom, Australia, and Singapore. As a cross-border remittance platform, our business includes the facilitation, through our global bank and partner network, of the acceptance and/or payout of funds. As such, we are subject to anti-money laundering laws, rules, regulations, policies and legal interpretations in the markets in which we operate. These include laws and regulations to detect and prevent money laundering and terrorist financing, including obligations to collect and maintain information about our users, recordkeeping, reporting and due diligence, and supervision of agents and subagents similar to, and in some cases exceeding, those required under the BSA. We are also, to a lesser extent, impacted by laws and regulations in the other countries in which our disbursement partners operate.</w:t>
      </w:r>
    </w:p>
    <w:p>
      <w:pPr>
        <w:spacing w:after="0" w:line="127"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Compliance with anti-money laundering laws and regulations continues to be a focus of regulatory attention, with recent settlement agreements being reached with money transmitters and several large financial institutions. These regulations vary widely across jurisdictions, are highly complex, and are constantly evolving. We continuously monitor our compliance with these regulations and implement policies and procedures in each relevant jurisdiction to adapt our services to current and evolving legal requirements. As a money services business, we maintain a stringent anti-money laundering compliance program that includes internal policies and controls, designation of anti-money laundering compliance officers for each of our regulated subsidiaries, ongoing employee training and monitoring programs, and annual independent reviews.</w:t>
      </w:r>
    </w:p>
    <w:p>
      <w:pPr>
        <w:spacing w:after="0" w:line="122" w:lineRule="exact"/>
        <w:rPr>
          <w:sz w:val="20"/>
          <w:szCs w:val="20"/>
          <w:color w:val="auto"/>
        </w:rPr>
      </w:pPr>
    </w:p>
    <w:p>
      <w:pPr>
        <w:jc w:val="both"/>
        <w:ind w:right="100" w:firstLine="324"/>
        <w:spacing w:after="0" w:line="329" w:lineRule="auto"/>
        <w:rPr>
          <w:sz w:val="20"/>
          <w:szCs w:val="20"/>
          <w:color w:val="auto"/>
        </w:rPr>
      </w:pPr>
      <w:r>
        <w:rPr>
          <w:rFonts w:ascii="Arial" w:cs="Arial" w:eastAsia="Arial" w:hAnsi="Arial"/>
          <w:sz w:val="16"/>
          <w:szCs w:val="16"/>
          <w:b w:val="1"/>
          <w:bCs w:val="1"/>
          <w:i w:val="1"/>
          <w:iCs w:val="1"/>
          <w:color w:val="auto"/>
        </w:rPr>
        <w:t>Sanctions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must also comply with economic and trade sanctions programs administered by the OFAC in the United States and by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sanctions authorities in those jurisdictions in which we operate. These laws and regulations prohibit or restrict transactions in, to or from certain countries, regions or governments, as well as with certain individuals and entities such as traffickers in illegal goods or services, terrorists and terrorist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57"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auto"/>
        </w:rPr>
        <w:t>organizations. We have implemented policies, procedures and internal controls that are designed to comply with these economic and trade sanctions programs. These measures include, without limitation, screening certain transactions and customer information against OFAC and other international government watch-lists, blocking funds of OFAC’s list of Specially Designated Nationals and Blocked Persons (“SDNs”) and other persons and entities designated as prohibited persons by international sanctions authorities, including the United States Security Council, the European Union, Her Majesty’s Treasury, and other relevant sanctions authorities, and preparing and submitting blocking and other reports as required by relevant authorities.</w:t>
      </w:r>
    </w:p>
    <w:p>
      <w:pPr>
        <w:spacing w:after="0" w:line="10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b w:val="1"/>
          <w:bCs w:val="1"/>
          <w:i w:val="1"/>
          <w:iCs w:val="1"/>
          <w:color w:val="auto"/>
        </w:rPr>
        <w:t>Anti-Bribery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regulations imposed by the Foreign Corrupt Practices Act (“FCPA”) in the United States, the U.K. Bribery Act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Kingdom and similar laws in the other jurisdictions in which we or our disbursement 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ensure our compliance with applicable anti-bribery laws and regulations.</w:t>
      </w:r>
    </w:p>
    <w:p>
      <w:pPr>
        <w:spacing w:after="0" w:line="137"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b w:val="1"/>
          <w:bCs w:val="1"/>
          <w:i w:val="1"/>
          <w:iCs w:val="1"/>
          <w:color w:val="auto"/>
        </w:rPr>
        <w:t>Money Transmission and Stored Value Licensing or Registration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licensing and registration requirements in relation to our money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transmission and stored value issuance activities on a state by state and federal basis in the United States and in almost every other jurisdiction from which our customers initiate transactions, including the United States, Canada, the EEA, the United Kingdom, Australia, and Singapore.</w:t>
      </w:r>
    </w:p>
    <w:p>
      <w:pPr>
        <w:spacing w:after="0" w:line="9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the United States, we hold licenses to operate as a money transmitter (or its equivalent) in 48 states where such licenses are required, as well as in the District of Columbia.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anti-money laundering and sanctions compliance, cybersecurity program requirements, and examination by state regulatory agencies. There are also different shareholding thresholds (as low as 10% or more of the total equity in us) that may require a shareholder to obtain regulatory approval prior to exceeding such thresholds in connection with certain licenses we hold in the United States.</w:t>
      </w:r>
    </w:p>
    <w:p>
      <w:pPr>
        <w:spacing w:after="0" w:line="109" w:lineRule="exact"/>
        <w:rPr>
          <w:sz w:val="20"/>
          <w:szCs w:val="20"/>
          <w:color w:val="auto"/>
        </w:rPr>
      </w:pPr>
    </w:p>
    <w:p>
      <w:pPr>
        <w:ind w:right="60" w:firstLine="324"/>
        <w:spacing w:after="0" w:line="269" w:lineRule="auto"/>
        <w:rPr>
          <w:sz w:val="20"/>
          <w:szCs w:val="20"/>
          <w:color w:val="auto"/>
        </w:rPr>
      </w:pPr>
      <w:r>
        <w:rPr>
          <w:rFonts w:ascii="Arial" w:cs="Arial" w:eastAsia="Arial" w:hAnsi="Arial"/>
          <w:sz w:val="18"/>
          <w:szCs w:val="18"/>
          <w:color w:val="auto"/>
        </w:rPr>
        <w:t>Outside the United States, our money transmission business is subject to some form of regulation in almost all of the countries and territories in which we offer those services. We are licensed or registered as a money transmitter in key jurisdictions including Canada, the EEA, the United Kingdom, Australia, and Singapore. In Canada, we are licensed by the Financial Transactions and Reports Analysis Centre of Canada. In the EEA, we are licensed as a payment institution by the Central Bank of Ireland under the Second E.U. Payment Services Directive E.U. 2015/2366 and local implementing regulations. In the United Kingdom, we are licensed as an Authorised Payments Institution by the Financial Conduct Authority. In Australia, we are registered as a Remittance Services Provider by the Australian Transaction Reports and Analysis Centre. In Singapore, we are licensed by the Monetary Authority of Singapore as a Major Payment Institution. This list is not exhaustive, as there are numerous other regulatory agencies that may assert jurisdiction over our international business activities.</w:t>
      </w:r>
    </w:p>
    <w:p>
      <w:pPr>
        <w:spacing w:after="0" w:line="142" w:lineRule="exact"/>
        <w:rPr>
          <w:sz w:val="20"/>
          <w:szCs w:val="20"/>
          <w:color w:val="auto"/>
        </w:rPr>
      </w:pPr>
    </w:p>
    <w:p>
      <w:pPr>
        <w:ind w:right="260" w:firstLine="324"/>
        <w:spacing w:after="0" w:line="271" w:lineRule="auto"/>
        <w:rPr>
          <w:sz w:val="20"/>
          <w:szCs w:val="20"/>
          <w:color w:val="auto"/>
        </w:rPr>
      </w:pPr>
      <w:r>
        <w:rPr>
          <w:rFonts w:ascii="Arial" w:cs="Arial" w:eastAsia="Arial" w:hAnsi="Arial"/>
          <w:sz w:val="18"/>
          <w:szCs w:val="18"/>
          <w:color w:val="auto"/>
        </w:rPr>
        <w:t>Under these licensing regimes and associated regulations and supervision, we are subject to requirements such as capital and safeguarding rules, certain consumer protection requirements, IT, and operational security risk 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 The laws and regulations applicable to our business in any given jurisdiction are extensive, complex, frequently changing, increasing in scope, and may impose overlapping and/or conflicting requirements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57"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b w:val="1"/>
          <w:bCs w:val="1"/>
          <w:i w:val="1"/>
          <w:iCs w:val="1"/>
          <w:color w:val="auto"/>
        </w:rPr>
        <w:t>Unclaimed Property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also comply with unclaimed property laws in the United States and in other countries where we or our disbursement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operate. These laws require us to remit to 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w:t>
      </w:r>
    </w:p>
    <w:p>
      <w:pPr>
        <w:spacing w:after="0" w:line="13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b w:val="1"/>
          <w:bCs w:val="1"/>
          <w:i w:val="1"/>
          <w:iCs w:val="1"/>
          <w:color w:val="auto"/>
        </w:rPr>
        <w:t>Consumer Disclosure and Consumer Protection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laws, regulations and disclosure requirements relating to consumer protection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States and other jurisdictions in which we have operations. In the U.S.,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enhanced pre-transaction written disclosures; (2) an obligation to resolve certain errors, including errors that may be outside our control; and (3) an obligation to cancel transactions that have not been completed at a customer’s request. As a larger participant in the market for international money transfers, the CFPB has direct supervisory authority over our business. In addition, under the Dodd-Frank Act, it is unlawful for any provider of consumer financial products or services to engage in unfair, deceptive or abusive acts or practices. The CFPB has substantial rule-making and enforcement authority to prevent unfair, deceptive or abusive acts or practices in connection with any transaction with a consumer for a financial product or service.</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In addition, various jurisdictions in which we operate have consumer protection laws and regulations, and numerous governmental agencies are tasked with enforcing those laws and regulations. Consumer protection principles continue to evolve globally, and new or enhanced consumer protection laws and regulations may be adopted. As the scope of consumer protection laws and regulations change, we may experience increased costs to comply and other adverse effects to our business.</w:t>
      </w:r>
    </w:p>
    <w:p>
      <w:pPr>
        <w:spacing w:after="0" w:line="131" w:lineRule="exact"/>
        <w:rPr>
          <w:sz w:val="20"/>
          <w:szCs w:val="20"/>
          <w:color w:val="auto"/>
        </w:rPr>
      </w:pPr>
    </w:p>
    <w:p>
      <w:pPr>
        <w:ind w:right="220" w:firstLine="324"/>
        <w:spacing w:after="0" w:line="292" w:lineRule="auto"/>
        <w:rPr>
          <w:sz w:val="20"/>
          <w:szCs w:val="20"/>
          <w:color w:val="auto"/>
        </w:rPr>
      </w:pPr>
      <w:r>
        <w:rPr>
          <w:rFonts w:ascii="Arial" w:cs="Arial" w:eastAsia="Arial" w:hAnsi="Arial"/>
          <w:sz w:val="17"/>
          <w:szCs w:val="17"/>
          <w:b w:val="1"/>
          <w:bCs w:val="1"/>
          <w:i w:val="1"/>
          <w:iCs w:val="1"/>
          <w:color w:val="auto"/>
        </w:rPr>
        <w:t>Indirect Regulatory Requirements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marketing agent for Sunrise for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Passbook</w:t>
      </w:r>
      <w:r>
        <w:rPr>
          <w:rFonts w:ascii="Arial" w:cs="Arial" w:eastAsia="Arial" w:hAnsi="Arial"/>
          <w:sz w:val="17"/>
          <w:szCs w:val="17"/>
          <w:color w:val="auto"/>
        </w:rPr>
        <w:t>, a debit card-linked demand deposit account service offered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issued by Sunrise, we are indirectly subject to the oversight of the banking regulators of Sunrise and responsible for implementing certain aspects of Sunrise's anti-money laundering program with respect to the </w:t>
      </w:r>
      <w:r>
        <w:rPr>
          <w:rFonts w:ascii="Arial" w:cs="Arial" w:eastAsia="Arial" w:hAnsi="Arial"/>
          <w:sz w:val="17"/>
          <w:szCs w:val="17"/>
          <w:i w:val="1"/>
          <w:iCs w:val="1"/>
          <w:color w:val="auto"/>
        </w:rPr>
        <w:t>Passbook</w:t>
      </w:r>
      <w:r>
        <w:rPr>
          <w:rFonts w:ascii="Arial" w:cs="Arial" w:eastAsia="Arial" w:hAnsi="Arial"/>
          <w:sz w:val="17"/>
          <w:szCs w:val="17"/>
          <w:color w:val="auto"/>
        </w:rPr>
        <w:t xml:space="preserve"> service. We are also subject to U.S. state banking law that prohibits non-banks, including state-licensed money transmitters, from holding themselves out as banks, providing banking services, or marketing, advertising, or soliciting customers in any manner suggesting that we are a bank or engaged in banking services.</w:t>
      </w:r>
    </w:p>
    <w:p>
      <w:pPr>
        <w:spacing w:after="0" w:line="120" w:lineRule="exact"/>
        <w:rPr>
          <w:sz w:val="20"/>
          <w:szCs w:val="20"/>
          <w:color w:val="auto"/>
        </w:rPr>
      </w:pPr>
    </w:p>
    <w:p>
      <w:pPr>
        <w:ind w:right="200" w:firstLine="324"/>
        <w:spacing w:after="0" w:line="329" w:lineRule="auto"/>
        <w:rPr>
          <w:sz w:val="20"/>
          <w:szCs w:val="20"/>
          <w:color w:val="auto"/>
        </w:rPr>
      </w:pPr>
      <w:r>
        <w:rPr>
          <w:rFonts w:ascii="Arial" w:cs="Arial" w:eastAsia="Arial" w:hAnsi="Arial"/>
          <w:sz w:val="16"/>
          <w:szCs w:val="16"/>
          <w:color w:val="auto"/>
        </w:rPr>
        <w:t xml:space="preserve">Certain of our </w:t>
      </w:r>
      <w:r>
        <w:rPr>
          <w:rFonts w:ascii="Arial" w:cs="Arial" w:eastAsia="Arial" w:hAnsi="Arial"/>
          <w:sz w:val="16"/>
          <w:szCs w:val="16"/>
          <w:i w:val="1"/>
          <w:iCs w:val="1"/>
          <w:color w:val="auto"/>
        </w:rPr>
        <w:t>Remitly For Developers</w:t>
      </w:r>
      <w:r>
        <w:rPr>
          <w:rFonts w:ascii="Arial" w:cs="Arial" w:eastAsia="Arial" w:hAnsi="Arial"/>
          <w:sz w:val="16"/>
          <w:szCs w:val="16"/>
          <w:color w:val="auto"/>
        </w:rPr>
        <w:t xml:space="preserve"> customers may be subject to various regulations and compliance obligations, including those that relate to cryptocurrency, that do not apply directly to us but impact the services that we provide to our customers. In addition, based on our relationships with our disbursement partners, we are, or may be, subject to indirect regulation and examination by our disbursement partners' regulators.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180" w:firstLine="324"/>
        <w:spacing w:after="0" w:line="296" w:lineRule="auto"/>
        <w:rPr>
          <w:sz w:val="20"/>
          <w:szCs w:val="20"/>
          <w:color w:val="auto"/>
        </w:rPr>
      </w:pPr>
      <w:r>
        <w:rPr>
          <w:rFonts w:ascii="Arial" w:cs="Arial" w:eastAsia="Arial" w:hAnsi="Arial"/>
          <w:sz w:val="17"/>
          <w:szCs w:val="17"/>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As of June 30, 2021, we owned six U.S. registered trademarks, three pending U.S. trademark applications, 56 foreign registered trademarks and 67 pending foreign trademark applications covering the mark REMITLY, our collapsed Clasped Hand logo, REMITLY (+ Clasped Hand Logo), PASSBOOK BY REMITLY, and Hui Mei Yi (Remitly in Chinese characters). We are pursuing additional trademark registrations to the extent we believe it would be beneficial and cost effective. Additionally, we own common law trademark rights in the above-referenced marks as well as the REMITLY PROMISES DELIVERED (+ Clasped Hand Logo) and PASSBOOK BY REMITLY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320" w:top="1440" w:right="399" w:bottom="1440" w:gutter="0" w:footer="0" w:header="0"/>
        </w:sectPr>
      </w:pPr>
    </w:p>
    <w:bookmarkStart w:id="145" w:name="page146"/>
    <w:bookmarkEnd w:id="145"/>
    <w:p>
      <w:pPr>
        <w:spacing w:after="0" w:line="387"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 Clasped Hand Logo) mark in the United States and certain other jurisdictions where common law rights are recognized. We also own several domain names, including www.remitly.com.</w:t>
      </w:r>
    </w:p>
    <w:p>
      <w:pPr>
        <w:spacing w:after="0" w:line="116"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 Although we take steps to protect our trademarks, service marks, trade names and domain names, we cannot be certain that the steps we have taken will be sufficient to prevent others from using or seeking to register our trademarks, service marks, trade names and domain names. For example, rights in common law trademarks are generally limited to the geographic region in which the trademark is used. Also, owners of common law trademark rights in the United States are not entitled to the same remedies that are available to owners of federally registered trademarks. Additionally, although we take steps to protect our other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administrative or legal actions we may bring against any such parties being successful, but these actions are costly, time-consuming, and may not be successful, even when our rights have been infringed, misappropriated, or otherwise violated.</w:t>
      </w:r>
    </w:p>
    <w:p>
      <w:pPr>
        <w:spacing w:after="0" w:line="120" w:lineRule="exact"/>
        <w:rPr>
          <w:sz w:val="20"/>
          <w:szCs w:val="20"/>
          <w:color w:val="auto"/>
        </w:rPr>
      </w:pPr>
    </w:p>
    <w:p>
      <w:pPr>
        <w:ind w:right="180" w:firstLine="324"/>
        <w:spacing w:after="0" w:line="303" w:lineRule="auto"/>
        <w:rPr>
          <w:sz w:val="20"/>
          <w:szCs w:val="20"/>
          <w:color w:val="auto"/>
        </w:rPr>
      </w:pPr>
      <w:r>
        <w:rPr>
          <w:rFonts w:ascii="Arial" w:cs="Arial" w:eastAsia="Arial" w:hAnsi="Arial"/>
          <w:sz w:val="17"/>
          <w:szCs w:val="17"/>
          <w:color w:val="auto"/>
        </w:rPr>
        <w:t>We also rely upon the incorporation of a substantial amount of intellectual property licensed from third parties, including under certain open source licenses, to deliver our product offerings. The terms of various open source licenses have not been interpreted by U.S. courts, and there is a risk that such licenses could be construed in a manner that imposes unanticipated conditions or restrictions on our services.</w:t>
      </w:r>
    </w:p>
    <w:p>
      <w:pPr>
        <w:spacing w:after="0" w:line="11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Although we rely on intellectual property and proprietary rights, including copyrights, trademarks, service marks, trade names, licenses and trade secrets, as well as contractual protections, in our business, we also seek to preserve the integrity and confidentiality of our intellectual property and proprietary rights through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The contractual provisions that we enter into with employees, consultants, disbursement partners, vendors, and customers, however, may not prevent unauthorized use or disclosure of our proprietary technology or intellectual property rights and may not provide an adequate remedy in the event of unauthorized use or disclosure of our proprietary technology or intellectual property rights. We also cannot guarantee that we have entered into such agreements with each party that may have or has had access to our trade secrets or proprietary technology or that our invention assignment agreements will be self-executing.</w:t>
      </w:r>
    </w:p>
    <w:p>
      <w:pPr>
        <w:spacing w:after="0" w:line="124" w:lineRule="exact"/>
        <w:rPr>
          <w:sz w:val="20"/>
          <w:szCs w:val="20"/>
          <w:color w:val="auto"/>
        </w:rPr>
      </w:pPr>
    </w:p>
    <w:p>
      <w:pPr>
        <w:ind w:right="320" w:firstLine="324"/>
        <w:spacing w:after="0" w:line="293" w:lineRule="auto"/>
        <w:rPr>
          <w:sz w:val="20"/>
          <w:szCs w:val="20"/>
          <w:color w:val="auto"/>
        </w:rPr>
      </w:pPr>
      <w:r>
        <w:rPr>
          <w:rFonts w:ascii="Arial" w:cs="Arial" w:eastAsia="Arial" w:hAnsi="Arial"/>
          <w:sz w:val="18"/>
          <w:szCs w:val="18"/>
          <w:color w:val="auto"/>
        </w:rPr>
        <w:t>See the section titled “Risk Factors—Intellectual Property, Technology, Privacy and Security Risks” for a more comprehensive description of risks related to our intellectual property and proprietary rights.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Cybersecurity</w:t>
      </w:r>
    </w:p>
    <w:p>
      <w:pPr>
        <w:spacing w:after="0" w:line="189" w:lineRule="exact"/>
        <w:rPr>
          <w:sz w:val="20"/>
          <w:szCs w:val="20"/>
          <w:color w:val="auto"/>
        </w:rPr>
      </w:pPr>
    </w:p>
    <w:p>
      <w:pPr>
        <w:ind w:right="460" w:firstLine="324"/>
        <w:spacing w:after="0" w:line="279" w:lineRule="auto"/>
        <w:rPr>
          <w:sz w:val="20"/>
          <w:szCs w:val="20"/>
          <w:color w:val="auto"/>
        </w:rPr>
      </w:pPr>
      <w:r>
        <w:rPr>
          <w:rFonts w:ascii="Arial" w:cs="Arial" w:eastAsia="Arial" w:hAnsi="Arial"/>
          <w:sz w:val="18"/>
          <w:szCs w:val="18"/>
          <w:color w:val="auto"/>
        </w:rPr>
        <w:t>We collect and use, receive, store, transmit, disclose, use and process a wide variety of data and information (including personal information and sensitive personal information) for various purposes in our business, including managing KYC, transaction monitoring and money laundering risks, ensuring service levels and providing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320" w:top="1440" w:right="379" w:bottom="1440" w:gutter="0" w:footer="0" w:header="0"/>
        </w:sectPr>
      </w:pPr>
    </w:p>
    <w:bookmarkStart w:id="146" w:name="page147"/>
    <w:bookmarkEnd w:id="146"/>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and functionalities in our services. This aspect of our business, including the collection, use, receipt, storage, transmission, processing, disclosure, and protection of personal information and sensitive personal information we acquire in connection with the use of our services, is subject to numerous industry standards, laws, rules and regulations in the United States and globally. Regulation and proposed regulation in this area has increased significantly in recent years and is expected to continue to do so.</w:t>
      </w:r>
    </w:p>
    <w:p>
      <w:pPr>
        <w:spacing w:after="0" w:line="131"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imposing comprehensive privacy and data protection obligations, which may be more stringent, broader in scope, or offer greater individual rights, with respect to sensitive and personal information than foreign, federal, or other state laws, and such laws may differ from or conflict with each other. Non-sensitive consumer data generally may be used under current rules and regulations, subject to certain restrictions and exceptions, so long as the person does not affirmatively “opt-out” of the collection or use of such data.</w:t>
      </w:r>
    </w:p>
    <w:p>
      <w:pPr>
        <w:spacing w:after="0" w:line="137"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color w:val="auto"/>
        </w:rPr>
        <w:t>For example, the CCPA, which became operative on January 1, 2020, gives California residents new rights to access and require deletion of their personal data, opt out of certain personal data sharing, and receive detailed information about how their personal data is processed. The CCPA provides for civil penalties for violations, as well as a private right of action for data breaches that result in the loss of personal data, as discussed above. This private right of action may increase the likelihood of, and risks associated with, data breach litigation. The CPRA, which will go into effect in 2023, imposes additional obligations on companies covered by the legislation and will significantly modify the CCPA, including by expanding consumers’ rights with respect to certain personal data and creating a new state agency to oversee implementation and enforcement efforts. The CCPA and CPRA may increase our compliance costs and potential liability, particularly in the event of a data breach, and could have a material adverse effect on our business, including how we use personal data, on our financial condition, and on our operating results. Certain other state laws impose similar privacy obligations, and all 50 states have data security breach notification laws including obligations to provide notification of security breaches of computer databases that contain personal information in certain circumstances to affected individuals, state officers and others. Additionally, the CCPA and other new state privacy and cybersecurity regulations, such as those in New York, Nevada, Connecticut, Virginia, Massachusetts, and Colorado have prompted a number of proposals for new federal and state-level privacy legislation, such as in Maryland, New York, and others. If passed, these new laws could add additional complexity, impact our business strategies and the availability of previously useful data, increase our potential liability, increase our compliance costs, require changes in business practices and policies and adversely affect our business. Moreover, as a result of our marketing activities, we may also be subject to applicable marketing privacy laws, including the CAN-SPAM Act of 2003 and the Telephone Consumer Protection Act of 1991.</w:t>
      </w:r>
    </w:p>
    <w:p>
      <w:pPr>
        <w:spacing w:after="0" w:line="120"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131"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color w:val="auto"/>
        </w:rPr>
        <w:t>Internationally, many countries have established their own data privacy and security legal framework with which we, our customers and/or partners may need to comply. For example, in Europe, the GDPR took effect on May 25, 2018 and contains numerous requirements and changes from previously existing European law, including more robust obligations on data controllers and processors and more fulsome documentation requirements for data protection compliance programs by companies. As a result of our presence in Europe and our service offering in the European Union, we are subject to the GDPR, which imposes stringent data protection and cybersecurity requirements, and could increase the risk of non-compliance and the costs of providing our services in a compliant manner. A breach of the GDPR could result in regulatory investigations, reputational damage, fines and sanctions, orders to cease or change our processing of our data, enforcement notices, or assessment notices (for a compulsory audit). Such penalties are in addition to any civil litigation claims by customers and data subjects. We may also face civil claims including representative actions and other class action-type litigation (where individuals have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harm), potentially amounting to significant compensation or damages liabilities, as well as associated costs, diversion of internal resources, and reputational harm. The GDPR also imposes strict rules on the transfer of personal data out of the European Union to a “third country,” including the United States. These obligations may be interpreted and applied in a manner that is inconsistent from one jurisdiction to another and may conflict with other requirements or our practices.</w:t>
      </w:r>
    </w:p>
    <w:p>
      <w:pPr>
        <w:spacing w:after="0" w:line="13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July 16, 2020, the Court of Justice of the European Union, (“CJEU”), invalidated the European Union-United States, or E.U.-U.S., Privacy Shield (“Privacy Shield”) (under which personal data could be transferred from the European Union to U.S. entities that had self-certified under the Privacy Shield scheme) on the grounds that the Privacy Shield failed to offer adequate protections to E.U. personal data transferred to the United States. In addition,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 by case basis considering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 along with those of some other E.U. member states. German and Irish supervisory authorities have indicated, and enforced in recent rulings, that the standard contractual clauses alone provide inadequate protection for E.U.-U.S. data transfers. On August 10, 2020, the U.S. Department of Commerce and the European Commission announced new discussions to evaluate the potential for an enhanced E.U.-U.S. Privacy Shield framework to comply with the July 16 judgment of the CJEU. Further, the European Commission published new versions of the standard contractual clauses for comment. The final version of the new standard contractual clauses was implemented on June 4, 2021, which became effective on June 27, 2021, and it significantly differs from the prior standard contractual clauses, imposing on companies additional obligations relating to data transfers, including the obligation to conduct a transfer impact assessment and, depending on a party’s role in the transfer, to implement additional security measures and to update internal privacy practices. The CJEU’s decision, along with the subsequent guidance issued by the European Data Protection Board on November 11, 2020, and recent statements by E.U. supervisory authorities, and the new versions of the standard contractual clauses, have led to uncertainty regarding the legality of E.U.-U.S. data flows in general and those conducted under the Privacy Shield in particular. We rely on the standard contractual clauses for intercompany data transfers from the European Union to the United States. Additionally, certain countries have passed or are considering passing laws requiring data localization, which could increase the cost and complexity of delivering our services and operating our business.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16" w:lineRule="exact"/>
        <w:rPr>
          <w:sz w:val="20"/>
          <w:szCs w:val="20"/>
          <w:color w:val="auto"/>
        </w:rPr>
      </w:pPr>
    </w:p>
    <w:p>
      <w:pPr>
        <w:ind w:right="260" w:firstLine="324"/>
        <w:spacing w:after="0" w:line="292" w:lineRule="auto"/>
        <w:rPr>
          <w:sz w:val="20"/>
          <w:szCs w:val="20"/>
          <w:color w:val="auto"/>
        </w:rPr>
      </w:pPr>
      <w:r>
        <w:rPr>
          <w:rFonts w:ascii="Arial" w:cs="Arial" w:eastAsia="Arial" w:hAnsi="Arial"/>
          <w:sz w:val="17"/>
          <w:szCs w:val="17"/>
          <w:color w:val="auto"/>
        </w:rPr>
        <w:t>There are a number of pending legislative proposals in the European Union, the United States, at both the federal and state level, as well as other jurisdictions that could impose new obligations in areas affecting our business. We expect that our efforts to comply with the GDPR, CCPA, CPRA and other regulatory and legislative requirements will require substantial investments, including investments in compliance processes and technical infrastructure. In addition, some countries are considering or have passed legislation implementing cybersecurity requirements, including requiring local storage and processing of data or similar requirements that could increase the cost and complexity of delivering our services.</w:t>
      </w:r>
    </w:p>
    <w:p>
      <w:pPr>
        <w:spacing w:after="0" w:line="120" w:lineRule="exact"/>
        <w:rPr>
          <w:sz w:val="20"/>
          <w:szCs w:val="20"/>
          <w:color w:val="auto"/>
        </w:rPr>
      </w:pPr>
    </w:p>
    <w:p>
      <w:pPr>
        <w:ind w:right="440" w:firstLine="324"/>
        <w:spacing w:after="0" w:line="275" w:lineRule="auto"/>
        <w:rPr>
          <w:sz w:val="20"/>
          <w:szCs w:val="20"/>
          <w:color w:val="auto"/>
        </w:rPr>
      </w:pPr>
      <w:r>
        <w:rPr>
          <w:rFonts w:ascii="Arial" w:cs="Arial" w:eastAsia="Arial" w:hAnsi="Arial"/>
          <w:sz w:val="18"/>
          <w:szCs w:val="18"/>
          <w:color w:val="auto"/>
        </w:rPr>
        <w:t>Additionally, 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7" w:lineRule="exact"/>
        <w:rPr>
          <w:sz w:val="20"/>
          <w:szCs w:val="20"/>
          <w:color w:val="auto"/>
        </w:rPr>
      </w:pPr>
    </w:p>
    <w:p>
      <w:pPr>
        <w:ind w:right="60" w:firstLine="324"/>
        <w:spacing w:after="0" w:line="304" w:lineRule="auto"/>
        <w:rPr>
          <w:sz w:val="20"/>
          <w:szCs w:val="20"/>
          <w:color w:val="auto"/>
        </w:rPr>
      </w:pPr>
      <w:r>
        <w:rPr>
          <w:rFonts w:ascii="Arial" w:cs="Arial" w:eastAsia="Arial" w:hAnsi="Arial"/>
          <w:sz w:val="16"/>
          <w:szCs w:val="16"/>
          <w:color w:val="auto"/>
        </w:rPr>
        <w:t>Additionally, the United Kingdom implemented the Data Protection Act 2018 (“Data Protection Act”), effective in May 2018 and statutorily amended in 2019, that contains provisions, including its own derogations, for how the GDPR is applied in the United Kingdom. Since December 31, 2020 (the day the transitional period following Brexit expired), we have been required to comply with both the GDPR and the Data Protection Act, with each regime having the ability to fine up to the greater of €20 million (£17 million) or 4% of global revenues. The relationship between the United Kingdom and the European Union remains uncertain. It is unclear how data transfers between the United Kingdom and the European Union and other jurisdictions will be treated, and the role of the United Kingdom’s supervisory authority is also unclear. In February 2021, the European Commission proposed to issue the United Kingdom with an “adequacy” decision to facilitate the continued free flow of personal data from E.U. member states to the United Kingdom; however, this decision is subject to the review and/or approval of the European Data Protection Board and a Committee composed of the representatives of the E.U. member states. In the meantime, the United Kingdom remains a "third country" for the purposes of data transfers from the European Union to the United Kingdom following the expiration of the four to six-month personal data transfer grace period (from January 1, 2021) set out in the E.U. and U.K. Trade and Cooperation Agreement, unless the adequacy decision is adopted in favor of the United Kingdom. These changes will lead to additional costs as we try to ensure compliance with new privacy legislation and will increase our overall risk exposure.</w:t>
      </w:r>
    </w:p>
    <w:p>
      <w:pPr>
        <w:spacing w:after="0" w:line="11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Financial technology companies such as us are prone to cyber-attacks by third parties seeking unauthorized access to our data or to disrupt our ability to provide access to our products and services. Any failure by us to prevent or mitigate security breaches and improper access to or disclosure of our data, including personal information, content, or payment information from consumers, could result in the loss or misuse of such data, which could harm our business and reputation and diminish our competitive position.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its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w:t>
      </w:r>
    </w:p>
    <w:p>
      <w:pPr>
        <w:spacing w:after="0" w:line="12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addition, third parties may attempt to fraudulently induce employees to disclose information in order to gain access to our data. Cyber-attacks continue to evolve in sophistication and volume, and inherently may be difficult to detect for long periods of time. Although we have developed systems and processes that are designed to protect our data, to prevent data loss, to disable undesirable accounts and activities on our platform, and to prevent or detect security breaches, we cannot assure you that such measures will provide absolute security, and we may incur significant costs in protecting against or remediating cyber-attacks. We are engaged in ongoing privacy and cybersecurity compliance and oversight efforts, including in connection with the requirements of privacy and cybersecurity laws, and other industry standards, and regulatory and legislative requirements. Many of these laws and regulations are subject to change and uncertain and inconsistent interpretation and enforcement, and may conflict with one another, other requirements or obligations, or practices of the features of our services. This could result in claims, changes to our business practices, monetary penalties, increased cost of operations, or declines in user growth or engagement, or otherwise harm our business, operating results, and financial condition.</w:t>
      </w:r>
    </w:p>
    <w:p>
      <w:pPr>
        <w:spacing w:after="0" w:line="116" w:lineRule="exact"/>
        <w:rPr>
          <w:sz w:val="20"/>
          <w:szCs w:val="20"/>
          <w:color w:val="auto"/>
        </w:rPr>
      </w:pPr>
    </w:p>
    <w:p>
      <w:pPr>
        <w:ind w:right="900" w:firstLine="324"/>
        <w:spacing w:after="0" w:line="293" w:lineRule="auto"/>
        <w:rPr>
          <w:sz w:val="20"/>
          <w:szCs w:val="20"/>
          <w:color w:val="auto"/>
        </w:rPr>
      </w:pPr>
      <w:r>
        <w:rPr>
          <w:rFonts w:ascii="Arial" w:cs="Arial" w:eastAsia="Arial" w:hAnsi="Arial"/>
          <w:sz w:val="18"/>
          <w:szCs w:val="18"/>
          <w:color w:val="auto"/>
        </w:rPr>
        <w:t>For additional information about our privacy, cybersecurity and associated risks, see the section titled “Risk Factors—Intellectual Property, Technology, Privacy and Security Risks.”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w:t>
      </w:r>
    </w:p>
    <w:p>
      <w:pPr>
        <w:spacing w:after="0" w:line="189" w:lineRule="exact"/>
        <w:rPr>
          <w:sz w:val="20"/>
          <w:szCs w:val="20"/>
          <w:color w:val="auto"/>
        </w:rPr>
      </w:pPr>
    </w:p>
    <w:p>
      <w:pPr>
        <w:ind w:right="620" w:firstLine="324"/>
        <w:spacing w:after="0" w:line="293" w:lineRule="auto"/>
        <w:rPr>
          <w:sz w:val="20"/>
          <w:szCs w:val="20"/>
          <w:color w:val="auto"/>
        </w:rPr>
      </w:pPr>
      <w:r>
        <w:rPr>
          <w:rFonts w:ascii="Arial" w:cs="Arial" w:eastAsia="Arial" w:hAnsi="Arial"/>
          <w:sz w:val="18"/>
          <w:szCs w:val="18"/>
          <w:b w:val="1"/>
          <w:bCs w:val="1"/>
          <w:i w:val="1"/>
          <w:iCs w:val="1"/>
          <w:color w:val="auto"/>
        </w:rPr>
        <w:t>Our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June 30, 2021, we had approximately 1,600 full-time equivalent employees either working out of our headquarters in Seattle,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Washington, at one of our six other office locations around the world, or remotely.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focus on our employees has been further heightened in light of the challenges brought on by the COVID-19 pandemic. We announced in March 2020 that most of our employees would have the flexibility to work from home during the COVID-19 pandemic. We expect that an increasing portion of employees will return to working from our offices over the next several months subject to international and U.S. federal, state and local guidelines, and we will also support others working from home on a permanent basis. None of our team members are represented by a labor union or are covered by a collective bargaining agreement. We believe the positive relationship between our customers, our team members and our mission-oriented culture differentiates us and is a key driver of our business success.</w:t>
      </w:r>
    </w:p>
    <w:p>
      <w:pPr>
        <w:spacing w:after="0" w:line="137"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b w:val="1"/>
          <w:bCs w:val="1"/>
          <w:i w:val="1"/>
          <w:iCs w:val="1"/>
          <w:color w:val="auto"/>
        </w:rPr>
        <w:t>Diversity, Equity, and Inclusion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Diversity, Equity and Inclusion (“DEI”) is deeply rooted in our purpose and mission at Remitly. Our focus every day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to tirelessly deliver for our customers, many of whom may be underrepresented in the countries they've migrated to and have historically been left out of traditional financial systems. Effectively serving millions of customers sending money home to their families in over 115 different countries requires teams of committed individuals who demonstrate a deep level of empathy, genuine curiosity, value varied lived experiences, perspectives and backgrounds and appreciate the different ways we all think, process, present, and operate. Remitly’s working environment and culture are designed to unlock our employees’ best thinking and inspire impact from our diverse teams. All of this is made clear by the way we live our cultural values, as we engage with each other, our customers and the immigrant communities we serve all over the world.</w:t>
      </w:r>
    </w:p>
    <w:p>
      <w:pPr>
        <w:spacing w:after="0" w:line="127" w:lineRule="exact"/>
        <w:rPr>
          <w:sz w:val="20"/>
          <w:szCs w:val="20"/>
          <w:color w:val="auto"/>
        </w:rPr>
      </w:pPr>
    </w:p>
    <w:p>
      <w:pPr>
        <w:ind w:right="280" w:firstLine="324"/>
        <w:spacing w:after="0" w:line="292" w:lineRule="auto"/>
        <w:rPr>
          <w:sz w:val="20"/>
          <w:szCs w:val="20"/>
          <w:color w:val="auto"/>
        </w:rPr>
      </w:pPr>
      <w:r>
        <w:rPr>
          <w:rFonts w:ascii="Arial" w:cs="Arial" w:eastAsia="Arial" w:hAnsi="Arial"/>
          <w:sz w:val="17"/>
          <w:szCs w:val="17"/>
          <w:color w:val="auto"/>
        </w:rPr>
        <w:t>To ensure we create an inclusive culture that embraces the diversity of our employees, we have invested in resources and created programs that encourage continuous learning and constructive dialogue at all levels of our organization, such as executive members co-hosting multiple DEI monthly meetings with our DEI Director; creating working groups of senior leaders, managers, and individual contributors focused on improving policies and practices to improve employee development, belonging and hiring; supporting 11 employee resource groups; requiring inclusive interview training; and investing in tools that deliver weekly DEI-related learning content to employees.</w:t>
      </w:r>
    </w:p>
    <w:p>
      <w:pPr>
        <w:spacing w:after="0" w:line="12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8"/>
          <w:szCs w:val="18"/>
          <w:b w:val="1"/>
          <w:bCs w:val="1"/>
          <w:i w:val="1"/>
          <w:iCs w:val="1"/>
          <w:color w:val="auto"/>
        </w:rPr>
        <w:t>Training and Development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encourage our employees to aim high and continuously improve not only on the products and services we tirelessly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to our customers, but also investing in themselves. We provide our employees with ongoing professional development, educational resources and leadership opportunities, including eight hours per employee per month for self-directed learning, reimbursements for continued education and conference attendance, access to online educational content, mentorship programs, lunch and learn programming, reimbursed travel to our corridor countries, and customer empathy programs and workshops.</w:t>
      </w:r>
    </w:p>
    <w:p>
      <w:pPr>
        <w:spacing w:after="0" w:line="137"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b w:val="1"/>
          <w:bCs w:val="1"/>
          <w:i w:val="1"/>
          <w:iCs w:val="1"/>
          <w:color w:val="auto"/>
        </w:rPr>
        <w:t>Benefits and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market-competitive compensation and benefits to attract and retain employees for the long-term.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is a key element of our total compensation program, allowing employees to share in our successes and aligning their interests with our long-term goals. We believe that providing employees with equity ownership in our company is fundamental to employees feeling valued, engaged, and recognized for their contributions to our company and our mission. We award promotions and performance equity grants based on an employee’s customer and business impact and their demonstration of our values, aligned to market data. We benchmark our employee compensation with external sources and internally inspect for pay parity twice yearly during performance cycles to ensure fair and equitable pay.</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We strive to provide comprehensive benefits and services that help meet the unique needs of our employees, including benefits such as medical, dental, and vision insurance, a health savings account with company contribution, family and medical leave, flexible work schedules, paid holidays and flexible vacation, as well as mental health services access to coaching and counseling support, and pet insurance. We sponsor a 401(k) plan that includes a discretionary matching contribution and offer financial coaching through a third-party provider.</w:t>
      </w:r>
    </w:p>
    <w:p>
      <w:pPr>
        <w:spacing w:after="0" w:line="11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8"/>
          <w:szCs w:val="18"/>
          <w:b w:val="1"/>
          <w:bCs w:val="1"/>
          <w:i w:val="1"/>
          <w:iCs w:val="1"/>
          <w:color w:val="auto"/>
        </w:rPr>
        <w:t>Employee Wellness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safety and well-being is paramount to us ever more so than in 2020 in light of the COVID-19 pandemic.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and collaboration tools and resources for employees working remotely, including training and toolkits to help leaders effectively lead and manage remote teams.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expanding our mental health benefits, we also created informal routines that include Wellness Wednesdays and virtual Kitchen Conversations to promote employee connection and wellness through the pandemic. We also provided stipends and a virtual ergonomic assessment program to help employees set up home workspaces. For parents with school age children, we provided a teacher coach who offered office hours and tips for teaching at home during a pandemic. And, we temporarily instituted 3-4 day weekends once per month to give our employees an opportunity to rest and recharge during the pandemic.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Philanthropy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focus on serving immigrant communities extends beyond our services.</w:t>
      </w:r>
    </w:p>
    <w:p>
      <w:pPr>
        <w:spacing w:after="0" w:line="185"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We have subscribed to the Pledge 1% campaign, which publicly acknowledges our intent to give back and increase social impact, in order to sustainably fund a portion of our corporate social responsibility goals and further our mission to expand financial inclusion for immigrants. As such, in July 2021, our board of directors approved the reservation of up to 1,819,609 shares of our common stock (which was approximately 1.0% of our fully-diluted capitalization as of June 30, 2021) that we may issue to or for the benefit of a 501(c)(3) nonprofit foundation or a similar charitable organization pursuant to our Pledge 1% commitment in equal installments over ten years. On September 10, 2021, we executed the stock donation agreement, pursuant to which we will issue 181,961 shares as the first installment of our Pledge 1% commitment to Remitly Philanthropy Fund, a donor advised fund that will be administered on our behalf by Rockefeller Philanthropy Advisors, Inc., on the day after consummation of this offering. We also have a multifaceted social good program that aligns with our partnership with Pledge 1%. This includes:</w:t>
      </w:r>
    </w:p>
    <w:p>
      <w:pPr>
        <w:spacing w:after="0" w:line="128"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Funding</w:t>
      </w:r>
    </w:p>
    <w:p>
      <w:pPr>
        <w:spacing w:after="0" w:line="171" w:lineRule="exact"/>
        <w:rPr>
          <w:rFonts w:ascii="Arial" w:cs="Arial" w:eastAsia="Arial" w:hAnsi="Arial"/>
          <w:sz w:val="18"/>
          <w:szCs w:val="18"/>
          <w:color w:val="auto"/>
        </w:rPr>
      </w:pPr>
    </w:p>
    <w:p>
      <w:pPr>
        <w:ind w:left="980" w:right="220" w:hanging="324"/>
        <w:spacing w:after="0" w:line="263" w:lineRule="auto"/>
        <w:tabs>
          <w:tab w:leader="none" w:pos="976"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Corporate Giving. </w:t>
      </w:r>
      <w:r>
        <w:rPr>
          <w:rFonts w:ascii="Arial" w:cs="Arial" w:eastAsia="Arial" w:hAnsi="Arial"/>
          <w:sz w:val="18"/>
          <w:szCs w:val="18"/>
          <w:color w:val="auto"/>
        </w:rPr>
        <w:t>We have funded over $500,000 in financial assistance through our Remitly Scholars Program that helps students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the Philippines pay for school fees, books, food, school supplies and other resources they might need to successfully graduate from college.</w:t>
      </w:r>
    </w:p>
    <w:p>
      <w:pPr>
        <w:spacing w:after="0" w:line="129" w:lineRule="exact"/>
        <w:rPr>
          <w:rFonts w:ascii="Arial" w:cs="Arial" w:eastAsia="Arial" w:hAnsi="Arial"/>
          <w:sz w:val="18"/>
          <w:szCs w:val="18"/>
          <w:color w:val="auto"/>
        </w:rPr>
      </w:pPr>
    </w:p>
    <w:p>
      <w:pPr>
        <w:ind w:left="980" w:right="20" w:hanging="324"/>
        <w:spacing w:after="0" w:line="263" w:lineRule="auto"/>
        <w:tabs>
          <w:tab w:leader="none" w:pos="976"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Employee Giving. </w:t>
      </w:r>
      <w:r>
        <w:rPr>
          <w:rFonts w:ascii="Arial" w:cs="Arial" w:eastAsia="Arial" w:hAnsi="Arial"/>
          <w:sz w:val="18"/>
          <w:szCs w:val="18"/>
          <w:color w:val="auto"/>
        </w:rPr>
        <w:t>In the past year, our employees and we (through matching) have collectively donated nearly $100,000 to support immigrant</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impacted by the COVID-19 pandemic globally and anti-racist movements that have supported Black, Asian and Latino communities in the United States.</w:t>
      </w:r>
    </w:p>
    <w:p>
      <w:pPr>
        <w:spacing w:after="0" w:line="143" w:lineRule="exact"/>
        <w:rPr>
          <w:rFonts w:ascii="Arial" w:cs="Arial" w:eastAsia="Arial" w:hAnsi="Arial"/>
          <w:sz w:val="18"/>
          <w:szCs w:val="18"/>
          <w:color w:val="auto"/>
        </w:rPr>
      </w:pPr>
    </w:p>
    <w:p>
      <w:pPr>
        <w:ind w:left="660" w:right="300" w:hanging="328"/>
        <w:spacing w:after="0" w:line="279"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 Deployment. </w:t>
      </w:r>
      <w:r>
        <w:rPr>
          <w:rFonts w:ascii="Arial" w:cs="Arial" w:eastAsia="Arial" w:hAnsi="Arial"/>
          <w:sz w:val="18"/>
          <w:szCs w:val="18"/>
          <w:color w:val="auto"/>
        </w:rPr>
        <w:t>When natural disasters hit, especially in the global south where many of our customers' families reside, we support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who need to send money home quickly by providing fee waivers so more of their remittances can be deployed to address immediate needs.</w:t>
      </w:r>
    </w:p>
    <w:p>
      <w:pPr>
        <w:spacing w:after="0" w:line="128"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Volunteering. </w:t>
      </w:r>
      <w:r>
        <w:rPr>
          <w:rFonts w:ascii="Arial" w:cs="Arial" w:eastAsia="Arial" w:hAnsi="Arial"/>
          <w:sz w:val="18"/>
          <w:szCs w:val="18"/>
          <w:color w:val="auto"/>
        </w:rPr>
        <w:t>In 2020, we focused on virtual volunteering and engagement and delivered several Employee Action Guides that provide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employees to volunteer virtually or engage safely in-person. The Action Guides also provide employees with self-paced learning and mental health resources that can be shared with their online and offline networks.</w:t>
      </w:r>
    </w:p>
    <w:p>
      <w:pPr>
        <w:spacing w:after="0" w:line="128" w:lineRule="exact"/>
        <w:rPr>
          <w:rFonts w:ascii="Arial" w:cs="Arial" w:eastAsia="Arial" w:hAnsi="Arial"/>
          <w:sz w:val="18"/>
          <w:szCs w:val="18"/>
          <w:color w:val="auto"/>
        </w:rPr>
      </w:pPr>
    </w:p>
    <w:p>
      <w:pPr>
        <w:ind w:left="660" w:hanging="328"/>
        <w:spacing w:after="0" w:line="279"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Civic Engagement. </w:t>
      </w:r>
      <w:r>
        <w:rPr>
          <w:rFonts w:ascii="Arial" w:cs="Arial" w:eastAsia="Arial" w:hAnsi="Arial"/>
          <w:sz w:val="18"/>
          <w:szCs w:val="18"/>
          <w:color w:val="auto"/>
        </w:rPr>
        <w:t>In addition to volunteering, we encourage our employees to use their voice through learning about the civic process, register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and learn about how to engage with community leaders to influence change. We host several workshops to help employees learn about civic engagement and community issues.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89"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Our corporate headquarters are located in Seattle, Washington, where we occupy facilities totaling approximately 37,703 square feet under a lease that expires in December 2022. We use these facilities for administration, finance, legal, human resources, IT, marketing software engineering, and customer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8"/>
          <w:szCs w:val="18"/>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Proceedings</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From time to time, we may be subject to legal or regulatory proceedings and claims in the ordinary course of business, including patent,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89" w:lineRule="exact"/>
        <w:rPr>
          <w:sz w:val="20"/>
          <w:szCs w:val="20"/>
          <w:color w:val="auto"/>
        </w:rPr>
      </w:pPr>
    </w:p>
    <w:p>
      <w:pPr>
        <w:ind w:right="660" w:firstLine="324"/>
        <w:spacing w:after="0" w:line="293" w:lineRule="auto"/>
        <w:rPr>
          <w:sz w:val="20"/>
          <w:szCs w:val="20"/>
          <w:color w:val="auto"/>
        </w:rPr>
      </w:pPr>
      <w:r>
        <w:rPr>
          <w:rFonts w:ascii="Arial" w:cs="Arial" w:eastAsia="Arial" w:hAnsi="Arial"/>
          <w:sz w:val="18"/>
          <w:szCs w:val="18"/>
          <w:color w:val="auto"/>
        </w:rPr>
        <w:t>The following table provides information regarding our executive officers, key employees, and directors as of June 30, 2021 (unless otherwise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26"/>
        </w:trPr>
        <w:tc>
          <w:tcPr>
            <w:tcW w:w="3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r>
      <w:tr>
        <w:trPr>
          <w:trHeight w:val="257"/>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Matthew Oppenheimer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Joshua Hug</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Operating Officer and Director</w:t>
            </w:r>
          </w:p>
        </w:tc>
      </w:tr>
      <w:tr>
        <w:trPr>
          <w:trHeight w:val="257"/>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Susanna Morgan</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Key Employees:</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spacing w:after="0"/>
              <w:rPr>
                <w:sz w:val="22"/>
                <w:szCs w:val="22"/>
                <w:color w:val="auto"/>
              </w:rPr>
            </w:pPr>
          </w:p>
        </w:tc>
      </w:tr>
      <w:tr>
        <w:trPr>
          <w:trHeight w:val="257"/>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Vishal Ghotge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Executive Vice President, North America</w:t>
            </w: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4"/>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Robert Kaskel</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People</w:t>
            </w:r>
          </w:p>
        </w:tc>
      </w:tr>
      <w:tr>
        <w:trPr>
          <w:trHeight w:val="257"/>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Karim Meghji</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Robert Singer</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57"/>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Saema Somalya</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6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René Yoakum</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Customer and People Officer</w:t>
            </w:r>
          </w:p>
        </w:tc>
      </w:tr>
      <w:tr>
        <w:trPr>
          <w:trHeight w:val="257"/>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00" w:type="dxa"/>
            <w:vAlign w:val="bottom"/>
          </w:tcPr>
          <w:p>
            <w:pPr>
              <w:spacing w:after="0"/>
              <w:rPr>
                <w:sz w:val="22"/>
                <w:szCs w:val="22"/>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83"/>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William Bryant </w:t>
            </w:r>
            <w:r>
              <w:rPr>
                <w:rFonts w:ascii="Arial" w:cs="Arial" w:eastAsia="Arial" w:hAnsi="Arial"/>
                <w:sz w:val="23"/>
                <w:szCs w:val="23"/>
                <w:color w:val="auto"/>
                <w:vertAlign w:val="superscript"/>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24"/>
                <w:szCs w:val="2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84"/>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 xml:space="preserve">Bora Chung </w:t>
            </w:r>
            <w:r>
              <w:rPr>
                <w:rFonts w:ascii="Arial" w:cs="Arial" w:eastAsia="Arial" w:hAnsi="Arial"/>
                <w:sz w:val="23"/>
                <w:szCs w:val="23"/>
                <w:color w:val="auto"/>
                <w:vertAlign w:val="superscript"/>
              </w:rPr>
              <w:t>(3)</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6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Laurent Le Moal</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2"/>
                <w:szCs w:val="22"/>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Nigel Morris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4"/>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Phillip Riese </w:t>
            </w:r>
            <w:r>
              <w:rPr>
                <w:rFonts w:ascii="Arial" w:cs="Arial" w:eastAsia="Arial" w:hAnsi="Arial"/>
                <w:sz w:val="23"/>
                <w:szCs w:val="23"/>
                <w:color w:val="auto"/>
                <w:vertAlign w:val="superscript"/>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24"/>
                <w:szCs w:val="2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 xml:space="preserve">Ron Shah </w:t>
            </w:r>
            <w:r>
              <w:rPr>
                <w:rFonts w:ascii="Arial" w:cs="Arial" w:eastAsia="Arial" w:hAnsi="Arial"/>
                <w:sz w:val="23"/>
                <w:szCs w:val="23"/>
                <w:color w:val="auto"/>
                <w:vertAlign w:val="superscript"/>
              </w:rPr>
              <w:t>(1)(3)</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83"/>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Margaret M. Smyth </w:t>
            </w:r>
            <w:r>
              <w:rPr>
                <w:rFonts w:ascii="Arial" w:cs="Arial" w:eastAsia="Arial" w:hAnsi="Arial"/>
                <w:sz w:val="23"/>
                <w:szCs w:val="23"/>
                <w:color w:val="auto"/>
                <w:vertAlign w:val="superscript"/>
              </w:rPr>
              <w:t>(2)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24"/>
                <w:szCs w:val="24"/>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5"/>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 xml:space="preserve">Charles Stonecipher </w:t>
            </w:r>
            <w:r>
              <w:rPr>
                <w:rFonts w:ascii="Arial" w:cs="Arial" w:eastAsia="Arial" w:hAnsi="Arial"/>
                <w:sz w:val="23"/>
                <w:szCs w:val="23"/>
                <w:color w:val="auto"/>
                <w:vertAlign w:val="superscript"/>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69"/>
        </w:trPr>
        <w:tc>
          <w:tcPr>
            <w:tcW w:w="3840" w:type="dxa"/>
            <w:vAlign w:val="bottom"/>
          </w:tcPr>
          <w:p>
            <w:pPr>
              <w:spacing w:after="0"/>
              <w:rPr>
                <w:sz w:val="20"/>
                <w:szCs w:val="20"/>
                <w:color w:val="auto"/>
              </w:rPr>
            </w:pPr>
            <w:r>
              <w:rPr>
                <w:rFonts w:ascii="Arial" w:cs="Arial" w:eastAsia="Arial" w:hAnsi="Arial"/>
                <w:sz w:val="18"/>
                <w:szCs w:val="18"/>
                <w:color w:val="auto"/>
              </w:rPr>
              <w:t>__________________</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00" w:type="dxa"/>
            <w:vAlign w:val="bottom"/>
          </w:tcPr>
          <w:p>
            <w:pPr>
              <w:spacing w:after="0"/>
              <w:rPr>
                <w:sz w:val="23"/>
                <w:szCs w:val="23"/>
                <w:color w:val="auto"/>
              </w:rPr>
            </w:pPr>
          </w:p>
        </w:tc>
      </w:tr>
    </w:tbl>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16" w:lineRule="exact"/>
        <w:rPr>
          <w:rFonts w:ascii="Arial" w:cs="Arial" w:eastAsia="Arial" w:hAnsi="Arial"/>
          <w:sz w:val="14"/>
          <w:szCs w:val="14"/>
          <w:color w:val="auto"/>
        </w:rPr>
      </w:pPr>
    </w:p>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Member of the audit and risk committee.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Member of the talent and compensation committee.</w:t>
      </w:r>
    </w:p>
    <w:p>
      <w:pPr>
        <w:spacing w:after="0" w:line="15"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Mr. Morris was appointed to our board of directors in July 2021.</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85" w:lineRule="exact"/>
        <w:rPr>
          <w:sz w:val="20"/>
          <w:szCs w:val="20"/>
          <w:color w:val="auto"/>
        </w:rPr>
      </w:pPr>
    </w:p>
    <w:p>
      <w:pPr>
        <w:ind w:right="20" w:firstLine="324"/>
        <w:spacing w:after="0" w:line="292" w:lineRule="auto"/>
        <w:rPr>
          <w:sz w:val="20"/>
          <w:szCs w:val="20"/>
          <w:color w:val="auto"/>
        </w:rPr>
      </w:pPr>
      <w:r>
        <w:rPr>
          <w:rFonts w:ascii="Arial" w:cs="Arial" w:eastAsia="Arial" w:hAnsi="Arial"/>
          <w:sz w:val="17"/>
          <w:szCs w:val="17"/>
          <w:i w:val="1"/>
          <w:iCs w:val="1"/>
          <w:color w:val="auto"/>
        </w:rPr>
        <w:t xml:space="preserve">Matthew Oppenheimer </w:t>
      </w:r>
      <w:r>
        <w:rPr>
          <w:rFonts w:ascii="Arial" w:cs="Arial" w:eastAsia="Arial" w:hAnsi="Arial"/>
          <w:sz w:val="17"/>
          <w:szCs w:val="17"/>
          <w:color w:val="auto"/>
        </w:rPr>
        <w:t>co-founded our company in 2011 and serves as our Chief Executive Officer and a member of our board of directors.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co-founding Remitly, Mr. Oppenheimer worked for Barclays plc, a multinational bank and financial services company, from August 2009 to May 2011. Mr. Oppenheimer currently serves on the board of directors of BECU, a credit union. Mr. Oppenheimer holds an M.B.A. from Harvard Business School and a B.A. in Psychology from Dartmouth College. We believe that Mr. Oppenheimer is qualified to serve on our board of directors because of his banking industry experience and his service and experience as our co-founder and Chief Executive Officer.</w:t>
      </w:r>
    </w:p>
    <w:p>
      <w:pPr>
        <w:spacing w:after="0" w:line="120" w:lineRule="exact"/>
        <w:rPr>
          <w:sz w:val="20"/>
          <w:szCs w:val="20"/>
          <w:color w:val="auto"/>
        </w:rPr>
      </w:pPr>
    </w:p>
    <w:p>
      <w:pPr>
        <w:ind w:right="160" w:firstLine="324"/>
        <w:spacing w:after="0" w:line="272" w:lineRule="auto"/>
        <w:rPr>
          <w:sz w:val="20"/>
          <w:szCs w:val="20"/>
          <w:color w:val="auto"/>
        </w:rPr>
      </w:pPr>
      <w:r>
        <w:rPr>
          <w:rFonts w:ascii="Arial" w:cs="Arial" w:eastAsia="Arial" w:hAnsi="Arial"/>
          <w:sz w:val="18"/>
          <w:szCs w:val="18"/>
          <w:i w:val="1"/>
          <w:iCs w:val="1"/>
          <w:color w:val="auto"/>
        </w:rPr>
        <w:t xml:space="preserve">Joshua Hug </w:t>
      </w:r>
      <w:r>
        <w:rPr>
          <w:rFonts w:ascii="Arial" w:cs="Arial" w:eastAsia="Arial" w:hAnsi="Arial"/>
          <w:sz w:val="18"/>
          <w:szCs w:val="18"/>
          <w:color w:val="auto"/>
        </w:rPr>
        <w:t>co-founded our company in 2011 and has served as our Chief Operating Officer since October 2016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November 2011. Mr. Hug previously served as our Chief Product Officer from November 2011 to October 2016. Prior to co-founding Remitly, Mr. Hug led Shelfari at Amazon.com, Inc., a multinational technology company, from August 2008 to October 2011. Mr. Hug co-founded Shelfari, a private social cataloging website, and served as its Chief Executive Officer from May 2006 to August 2008 prior to its acquisition by Amazon. Mr. Hug holds a B.S. in Computer Science and B.A. in Mathematics from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1440" w:right="339" w:bottom="1440" w:gutter="0" w:footer="0" w:header="0"/>
          <w:type w:val="continuous"/>
        </w:sectPr>
      </w:pPr>
    </w:p>
    <w:bookmarkStart w:id="153" w:name="page154"/>
    <w:bookmarkEnd w:id="153"/>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Whitworth University. We believe that Mr. Hug is qualified to serve on our board of directors because of his deep product and industry experience and his service and experience as our co-founder and Chief Operating Officer.</w:t>
      </w:r>
    </w:p>
    <w:p>
      <w:pPr>
        <w:spacing w:after="0" w:line="116" w:lineRule="exact"/>
        <w:rPr>
          <w:sz w:val="20"/>
          <w:szCs w:val="20"/>
          <w:color w:val="auto"/>
        </w:rPr>
      </w:pPr>
    </w:p>
    <w:p>
      <w:pPr>
        <w:ind w:right="80" w:firstLine="324"/>
        <w:spacing w:after="0" w:line="270" w:lineRule="auto"/>
        <w:rPr>
          <w:sz w:val="20"/>
          <w:szCs w:val="20"/>
          <w:color w:val="auto"/>
        </w:rPr>
      </w:pPr>
      <w:r>
        <w:rPr>
          <w:rFonts w:ascii="Arial" w:cs="Arial" w:eastAsia="Arial" w:hAnsi="Arial"/>
          <w:sz w:val="18"/>
          <w:szCs w:val="18"/>
          <w:i w:val="1"/>
          <w:iCs w:val="1"/>
          <w:color w:val="auto"/>
        </w:rPr>
        <w:t xml:space="preserve">Susanna Morgan </w:t>
      </w:r>
      <w:r>
        <w:rPr>
          <w:rFonts w:ascii="Arial" w:cs="Arial" w:eastAsia="Arial" w:hAnsi="Arial"/>
          <w:sz w:val="18"/>
          <w:szCs w:val="18"/>
          <w:color w:val="auto"/>
        </w:rPr>
        <w:t>has served as our Chief Financial Officer since August 2018. Ms. Morgan previously served as the SVP, Finance and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 at Apptio, Inc., a SaaS provider of technology business management solutions, from July 2015 to August 2018. Prior to that, Ms. Morgan served as SVP of Finance at Concur Technologies, Inc., a travel and expense software company, from May 2013 to June 2015, and as SVP at Vertafore, Inc., an insurance technology provider, from July 2007 to September 2012. Ms. Morgan previously served in Corporate Development leadership roles at Charles Schwab Corporation, a multinational financial services company, and Oracle, a multinational technology company, after beginning her career in strategy consulting. Ms. Morgan holds an M.B.A. from Harvard Business School, an M.A. in International Policy Studies from Stanford University, and a B.A. in Quantitative Economics from Stanford University.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Employees</w:t>
      </w:r>
    </w:p>
    <w:p>
      <w:pPr>
        <w:spacing w:after="0" w:line="185" w:lineRule="exact"/>
        <w:rPr>
          <w:sz w:val="20"/>
          <w:szCs w:val="20"/>
          <w:color w:val="auto"/>
        </w:rPr>
      </w:pPr>
    </w:p>
    <w:p>
      <w:pPr>
        <w:ind w:right="220" w:firstLine="324"/>
        <w:spacing w:after="0" w:line="292" w:lineRule="auto"/>
        <w:rPr>
          <w:sz w:val="20"/>
          <w:szCs w:val="20"/>
          <w:color w:val="auto"/>
        </w:rPr>
      </w:pPr>
      <w:r>
        <w:rPr>
          <w:rFonts w:ascii="Arial" w:cs="Arial" w:eastAsia="Arial" w:hAnsi="Arial"/>
          <w:sz w:val="17"/>
          <w:szCs w:val="17"/>
          <w:i w:val="1"/>
          <w:iCs w:val="1"/>
          <w:color w:val="auto"/>
        </w:rPr>
        <w:t xml:space="preserve">Vishal Ghotge </w:t>
      </w:r>
      <w:r>
        <w:rPr>
          <w:rFonts w:ascii="Arial" w:cs="Arial" w:eastAsia="Arial" w:hAnsi="Arial"/>
          <w:sz w:val="17"/>
          <w:szCs w:val="17"/>
          <w:color w:val="auto"/>
        </w:rPr>
        <w:t>has served as our EVP, North America since April 2021. Previously, Mr. Ghotge served as Chief Product Officer for PayScale, Inc., a</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software and data company, from September 2020 to April 2021 and as SVP of Product from December 2019 to September 2020. Prior to that, Mr. Ghotge served as VP of Product from August 2019 to December 2019 and as Senior Director of Product from April 2016 to August 2019, for Groupon, Inc., an online marketplace company. Mr. Ghotge holds an M.S. in Computer Science from University of Illinois at Urbana-Champaign and a B.E. in Computer Engineering from Veermata Jijbai Technological Institute (University of Mumbai).</w:t>
      </w:r>
    </w:p>
    <w:p>
      <w:pPr>
        <w:spacing w:after="0" w:line="120"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i w:val="1"/>
          <w:iCs w:val="1"/>
          <w:color w:val="auto"/>
        </w:rPr>
        <w:t xml:space="preserve">Robert Kaskel </w:t>
      </w:r>
      <w:r>
        <w:rPr>
          <w:rFonts w:ascii="Arial" w:cs="Arial" w:eastAsia="Arial" w:hAnsi="Arial"/>
          <w:sz w:val="17"/>
          <w:szCs w:val="17"/>
          <w:color w:val="auto"/>
        </w:rPr>
        <w:t>has served as our EVP, People since May 2021. Previously, Dr. Kaskel served as Director, People Experience &amp; Technology at</w:t>
      </w:r>
      <w:r>
        <w:rPr>
          <w:rFonts w:ascii="Arial" w:cs="Arial" w:eastAsia="Arial" w:hAnsi="Arial"/>
          <w:sz w:val="17"/>
          <w:szCs w:val="17"/>
          <w:i w:val="1"/>
          <w:iCs w:val="1"/>
          <w:color w:val="auto"/>
        </w:rPr>
        <w:t xml:space="preserve"> </w:t>
      </w:r>
      <w:r>
        <w:rPr>
          <w:rFonts w:ascii="Arial" w:cs="Arial" w:eastAsia="Arial" w:hAnsi="Arial"/>
          <w:sz w:val="17"/>
          <w:szCs w:val="17"/>
          <w:color w:val="auto"/>
        </w:rPr>
        <w:t>Amazon.com, Inc., a multinational e-commerce company, in Finance and Global Business Services from June 2020 to May 2021, and as Director, Consumer People Analytics at Amazon.com, Inc. from December 2017 to June 2020, as well as other roles at Amazon.com, Inc. since February 2013. Prior to Dr. Kaskel’s roles at Amazon.com, Inc., he held previous managerial roles at Microsoft Corporation, a multinational technology company, and Mattel, Inc., a toy manufacturing company. Dr. Kaskel holds a Ph.D. and M.A. in Organizational Psychology from the California School of Professional Psychology, as well as a B.A. in Psychology from California State University, Long Beach.</w:t>
      </w:r>
    </w:p>
    <w:p>
      <w:pPr>
        <w:spacing w:after="0" w:line="122" w:lineRule="exact"/>
        <w:rPr>
          <w:sz w:val="20"/>
          <w:szCs w:val="20"/>
          <w:color w:val="auto"/>
        </w:rPr>
      </w:pPr>
    </w:p>
    <w:p>
      <w:pPr>
        <w:ind w:right="20" w:firstLine="324"/>
        <w:spacing w:after="0" w:line="319" w:lineRule="auto"/>
        <w:rPr>
          <w:sz w:val="20"/>
          <w:szCs w:val="20"/>
          <w:color w:val="auto"/>
        </w:rPr>
      </w:pPr>
      <w:r>
        <w:rPr>
          <w:rFonts w:ascii="Arial" w:cs="Arial" w:eastAsia="Arial" w:hAnsi="Arial"/>
          <w:sz w:val="16"/>
          <w:szCs w:val="16"/>
          <w:i w:val="1"/>
          <w:iCs w:val="1"/>
          <w:color w:val="auto"/>
        </w:rPr>
        <w:t xml:space="preserve">Karim Meghji </w:t>
      </w:r>
      <w:r>
        <w:rPr>
          <w:rFonts w:ascii="Arial" w:cs="Arial" w:eastAsia="Arial" w:hAnsi="Arial"/>
          <w:sz w:val="16"/>
          <w:szCs w:val="16"/>
          <w:color w:val="auto"/>
        </w:rPr>
        <w:t>has served as our Chief Technology Officer since October 2020, and previously served as our Chief Product Officer from October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October 2020. Prior to joining Remitly, Mr. Meghji served as Head of Product for BookingSuite (USA), Inc., a subsidiary of Booking.com, B.V., an online travel service provider, from January 2015 to September 2016. From July 2013 to January 2015, Mr. Meghji served as Chief Product Officer and VP of Engineering at buuteeq Inc., an automation platform for hotels. Mr. Meghji holds a B.S. in Computer Science from San Jose State University.</w:t>
      </w:r>
    </w:p>
    <w:p>
      <w:pPr>
        <w:spacing w:after="0" w:line="102"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i w:val="1"/>
          <w:iCs w:val="1"/>
          <w:color w:val="auto"/>
        </w:rPr>
        <w:t xml:space="preserve">Robert Singer </w:t>
      </w:r>
      <w:r>
        <w:rPr>
          <w:rFonts w:ascii="Arial" w:cs="Arial" w:eastAsia="Arial" w:hAnsi="Arial"/>
          <w:sz w:val="18"/>
          <w:szCs w:val="18"/>
          <w:color w:val="auto"/>
        </w:rPr>
        <w:t>has served as our Chief Marketing Officer since October 2018. Previously, Mr. Singer served as Chief Marketing Officer for Habit,</w:t>
      </w:r>
      <w:r>
        <w:rPr>
          <w:rFonts w:ascii="Arial" w:cs="Arial" w:eastAsia="Arial" w:hAnsi="Arial"/>
          <w:sz w:val="18"/>
          <w:szCs w:val="18"/>
          <w:i w:val="1"/>
          <w:iCs w:val="1"/>
          <w:color w:val="auto"/>
        </w:rPr>
        <w:t xml:space="preserve"> </w:t>
      </w:r>
      <w:r>
        <w:rPr>
          <w:rFonts w:ascii="Arial" w:cs="Arial" w:eastAsia="Arial" w:hAnsi="Arial"/>
          <w:sz w:val="18"/>
          <w:szCs w:val="18"/>
          <w:color w:val="auto"/>
        </w:rPr>
        <w:t>LLC, a personalized nutrition company, from July 2017 to October 2018, as Chief Marketing Officer for Smule, Inc., a social music-making app company, from July 2016 to July 2017, and as Chief Marketing Officer for Ancestry.com LLC, a genealogy company, from November 2010 to July 2016. Mr. Singer holds a B.S. in Math from James Madison University.</w:t>
      </w:r>
    </w:p>
    <w:p>
      <w:pPr>
        <w:spacing w:after="0" w:line="131" w:lineRule="exact"/>
        <w:rPr>
          <w:sz w:val="20"/>
          <w:szCs w:val="20"/>
          <w:color w:val="auto"/>
        </w:rPr>
      </w:pPr>
    </w:p>
    <w:p>
      <w:pPr>
        <w:ind w:right="160" w:firstLine="324"/>
        <w:spacing w:after="0" w:line="314" w:lineRule="auto"/>
        <w:rPr>
          <w:sz w:val="20"/>
          <w:szCs w:val="20"/>
          <w:color w:val="auto"/>
        </w:rPr>
      </w:pPr>
      <w:r>
        <w:rPr>
          <w:rFonts w:ascii="Arial" w:cs="Arial" w:eastAsia="Arial" w:hAnsi="Arial"/>
          <w:sz w:val="16"/>
          <w:szCs w:val="16"/>
          <w:i w:val="1"/>
          <w:iCs w:val="1"/>
          <w:color w:val="auto"/>
        </w:rPr>
        <w:t xml:space="preserve">Saema Somalya </w:t>
      </w:r>
      <w:r>
        <w:rPr>
          <w:rFonts w:ascii="Arial" w:cs="Arial" w:eastAsia="Arial" w:hAnsi="Arial"/>
          <w:sz w:val="16"/>
          <w:szCs w:val="16"/>
          <w:color w:val="auto"/>
        </w:rPr>
        <w:t>has served as our General Counsel since December 2020. Prior to joining Remitly, Ms. Somalya served as SVP, Deputy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(Corporate) and Assistant Secretary for Fifth Third Bancorp and Fifth Third Bank, N.A., a bank, from May 2016 to November 2020 and as SVP, General Counsel and Corporate Secretary for Warren Resources, Inc., an energy company, from February 2014 to January 2016. From April 2009 to January 2014, Ms. Somalya served as Senior Legal Director and Corporate Counsel to PepsiCo, Inc., a multinational food, snack, and beverage corporation. Ms. Somalya holds a J.D. from Yale Law School and a B.A. in International Relations and Affairs from Yale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57"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i w:val="1"/>
          <w:iCs w:val="1"/>
          <w:color w:val="auto"/>
        </w:rPr>
        <w:t xml:space="preserve">René Yoakum </w:t>
      </w:r>
      <w:r>
        <w:rPr>
          <w:rFonts w:ascii="Arial" w:cs="Arial" w:eastAsia="Arial" w:hAnsi="Arial"/>
          <w:sz w:val="16"/>
          <w:szCs w:val="16"/>
          <w:color w:val="auto"/>
        </w:rPr>
        <w:t>has served as our Chief Customer and People Officer since May 2019 and previously served as our Chief Customer Officer from July</w:t>
      </w:r>
      <w:r>
        <w:rPr>
          <w:rFonts w:ascii="Arial" w:cs="Arial" w:eastAsia="Arial" w:hAnsi="Arial"/>
          <w:sz w:val="16"/>
          <w:szCs w:val="16"/>
          <w:i w:val="1"/>
          <w:iCs w:val="1"/>
          <w:color w:val="auto"/>
        </w:rPr>
        <w:t xml:space="preserve"> </w:t>
      </w:r>
      <w:r>
        <w:rPr>
          <w:rFonts w:ascii="Arial" w:cs="Arial" w:eastAsia="Arial" w:hAnsi="Arial"/>
          <w:sz w:val="16"/>
          <w:szCs w:val="16"/>
          <w:color w:val="auto"/>
        </w:rPr>
        <w:t>2018 to March 2019. Prior to joining Remitly, Ms. Yoakum served as VP Customer Service and Support for Pearson Education, Inc., an education publishing and assessment company, from June 2016 to June 2018, and in various positions at Microsoft Corporation, a multinational technology company, from September 1997 to May 2016, including most recently as GM, Global Consumer Support from June 2011 to May 2016. Ms. Yoakum holds a Post Graduate Marketing Certificate from Chartered Institute of Marketing and a B.A. in Mathematics and Computer Science from Pacific Lutheran University.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w:t>
      </w:r>
    </w:p>
    <w:p>
      <w:pPr>
        <w:spacing w:after="0" w:line="185" w:lineRule="exact"/>
        <w:rPr>
          <w:sz w:val="20"/>
          <w:szCs w:val="20"/>
          <w:color w:val="auto"/>
        </w:rPr>
      </w:pPr>
    </w:p>
    <w:p>
      <w:pPr>
        <w:ind w:right="60" w:firstLine="324"/>
        <w:spacing w:after="0" w:line="319" w:lineRule="auto"/>
        <w:rPr>
          <w:sz w:val="20"/>
          <w:szCs w:val="20"/>
          <w:color w:val="auto"/>
        </w:rPr>
      </w:pPr>
      <w:r>
        <w:rPr>
          <w:rFonts w:ascii="Arial" w:cs="Arial" w:eastAsia="Arial" w:hAnsi="Arial"/>
          <w:sz w:val="16"/>
          <w:szCs w:val="16"/>
          <w:i w:val="1"/>
          <w:iCs w:val="1"/>
          <w:color w:val="auto"/>
        </w:rPr>
        <w:t xml:space="preserve">William Bryant </w:t>
      </w:r>
      <w:r>
        <w:rPr>
          <w:rFonts w:ascii="Arial" w:cs="Arial" w:eastAsia="Arial" w:hAnsi="Arial"/>
          <w:sz w:val="16"/>
          <w:szCs w:val="16"/>
          <w:color w:val="auto"/>
        </w:rPr>
        <w:t>has served as a member of our board of directors since March 2015. Mr. Bryant has served as a general partner of Threshold Ventures,</w:t>
      </w:r>
      <w:r>
        <w:rPr>
          <w:rFonts w:ascii="Arial" w:cs="Arial" w:eastAsia="Arial" w:hAnsi="Arial"/>
          <w:sz w:val="16"/>
          <w:szCs w:val="16"/>
          <w:i w:val="1"/>
          <w:iCs w:val="1"/>
          <w:color w:val="auto"/>
        </w:rPr>
        <w:t xml:space="preserve"> </w:t>
      </w:r>
      <w:r>
        <w:rPr>
          <w:rFonts w:ascii="Arial" w:cs="Arial" w:eastAsia="Arial" w:hAnsi="Arial"/>
          <w:sz w:val="16"/>
          <w:szCs w:val="16"/>
          <w:color w:val="auto"/>
        </w:rPr>
        <w:t>a venture capital firm, since 2007 and has been a founder, board member, advisor and investor in over twenty venture backed startups. Mr. Bryant holds a Ph.C. in Business Strategy and an M.B.A. in Business Strategy and Entrepreneurship from the University of Washington. We believe Mr. Bryant is qualified to serve as a member of our board of directors because of his extensive experience in venture capital and as a public company board member.</w:t>
      </w:r>
    </w:p>
    <w:p>
      <w:pPr>
        <w:spacing w:after="0" w:line="102" w:lineRule="exact"/>
        <w:rPr>
          <w:sz w:val="20"/>
          <w:szCs w:val="20"/>
          <w:color w:val="auto"/>
        </w:rPr>
      </w:pPr>
    </w:p>
    <w:p>
      <w:pPr>
        <w:ind w:right="40" w:firstLine="324"/>
        <w:spacing w:after="0" w:line="287" w:lineRule="auto"/>
        <w:rPr>
          <w:sz w:val="20"/>
          <w:szCs w:val="20"/>
          <w:color w:val="auto"/>
        </w:rPr>
      </w:pPr>
      <w:r>
        <w:rPr>
          <w:rFonts w:ascii="Arial" w:cs="Arial" w:eastAsia="Arial" w:hAnsi="Arial"/>
          <w:sz w:val="17"/>
          <w:szCs w:val="17"/>
          <w:i w:val="1"/>
          <w:iCs w:val="1"/>
          <w:color w:val="auto"/>
        </w:rPr>
        <w:t xml:space="preserve">Bora Chung </w:t>
      </w:r>
      <w:r>
        <w:rPr>
          <w:rFonts w:ascii="Arial" w:cs="Arial" w:eastAsia="Arial" w:hAnsi="Arial"/>
          <w:sz w:val="17"/>
          <w:szCs w:val="17"/>
          <w:color w:val="auto"/>
        </w:rPr>
        <w:t>has served as a member of our board of directors since November 2020. Ms. Chung currently serves as Chief Experience Officer for</w:t>
      </w:r>
      <w:r>
        <w:rPr>
          <w:rFonts w:ascii="Arial" w:cs="Arial" w:eastAsia="Arial" w:hAnsi="Arial"/>
          <w:sz w:val="17"/>
          <w:szCs w:val="17"/>
          <w:i w:val="1"/>
          <w:iCs w:val="1"/>
          <w:color w:val="auto"/>
        </w:rPr>
        <w:t xml:space="preserve"> </w:t>
      </w:r>
      <w:r>
        <w:rPr>
          <w:rFonts w:ascii="Arial" w:cs="Arial" w:eastAsia="Arial" w:hAnsi="Arial"/>
          <w:sz w:val="17"/>
          <w:szCs w:val="17"/>
          <w:color w:val="auto"/>
        </w:rPr>
        <w:t>Bill.com Holdings, Inc., a cloud-based software company that automates back-office financial operations for small and midsize businesses. Prior to joining Bill.com, Ms. Chung served as Chief Product Officer for eBay Korea Co. Ltd., a subsidiary of eBay Inc. and an online marketplace, from September 2016 to November 2018, and as Vice President, Product Management for eBay Inc., a multinational e-commerce corporation, from December 2014 to August 2016. Ms. Chung also previously served as the Director of Worldwide Payments and Financing for Apple Online Stores at Apple Inc., a multinational technology company, from October 2010 to December 2014. Ms. Chung holds an A.B. in Economics from Harvard University and a M.B.A. from the Stanford University Graduate School of Business. We believe Ms. Chung is qualified to serve as a member of our board of directors because of her extensive industry experience, as well as her experience serving as an officer of public companies.</w:t>
      </w:r>
    </w:p>
    <w:p>
      <w:pPr>
        <w:spacing w:after="0" w:line="12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i w:val="1"/>
          <w:iCs w:val="1"/>
          <w:color w:val="auto"/>
        </w:rPr>
        <w:t xml:space="preserve">Laurent Le Moal </w:t>
      </w:r>
      <w:r>
        <w:rPr>
          <w:rFonts w:ascii="Arial" w:cs="Arial" w:eastAsia="Arial" w:hAnsi="Arial"/>
          <w:sz w:val="16"/>
          <w:szCs w:val="16"/>
          <w:color w:val="auto"/>
        </w:rPr>
        <w:t>has served as a member of our board of directors since October 2017. Since September 2019, Mr. Le Moal has served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Team of Prosus N.V., the international assets division of Naspers Group, a global internet and entertainment group, and as Chief Executive Officer of PayU, a payments and financial technology company division of Naspers Group, since January 2016. Mr. Le Moal has also served as a member of the Global Future Council on the Future of Financial and Monetary Systems of the World Economic Forum since October 2019. From September 2004 to July 2015, Mr. Le Moal was employed at PayPal Holdings, Inc., an online payments company, in various capacities, including most recently as Vice President and Managing Director for Continental Europe, Russia, Middle East and Africa. Mr. Le Moal has served as a director of Monese Ltd, a U.K. digital bank from October 2017 until April. Mr. Le Moal received an M.B.A. from the London Business School, a Master in International Management from HEC School of Management in Paris, France and a Master in International Management from Universita Commerciale Luigi Bocconi in Milan, Italy. We believe Mr. Le Moal is qualified to serve as a member of our board of directors because of his extensive industry experience.</w:t>
      </w:r>
    </w:p>
    <w:p>
      <w:pPr>
        <w:spacing w:after="0" w:line="116" w:lineRule="exact"/>
        <w:rPr>
          <w:sz w:val="20"/>
          <w:szCs w:val="20"/>
          <w:color w:val="auto"/>
        </w:rPr>
      </w:pPr>
    </w:p>
    <w:p>
      <w:pPr>
        <w:ind w:right="120" w:firstLine="324"/>
        <w:spacing w:after="0" w:line="314" w:lineRule="auto"/>
        <w:rPr>
          <w:sz w:val="20"/>
          <w:szCs w:val="20"/>
          <w:color w:val="auto"/>
        </w:rPr>
      </w:pPr>
      <w:r>
        <w:rPr>
          <w:rFonts w:ascii="Arial" w:cs="Arial" w:eastAsia="Arial" w:hAnsi="Arial"/>
          <w:sz w:val="16"/>
          <w:szCs w:val="16"/>
          <w:i w:val="1"/>
          <w:iCs w:val="1"/>
          <w:color w:val="auto"/>
        </w:rPr>
        <w:t xml:space="preserve">Nigel Morris </w:t>
      </w:r>
      <w:r>
        <w:rPr>
          <w:rFonts w:ascii="Arial" w:cs="Arial" w:eastAsia="Arial" w:hAnsi="Arial"/>
          <w:sz w:val="16"/>
          <w:szCs w:val="16"/>
          <w:color w:val="auto"/>
        </w:rPr>
        <w:t>has served as a member of our board of directors since July 2021. Since January 2008, Mr. Morris has served as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QED Investors, a venture capital fund. Previously, Mr. Morris served as Co-Founder, President and Chief Operating Officer of Capital One Financial Corporation, a bank holding company, from January 1994 to January 2004. Mr. Morris currently serves on the board of several privately held companies. Mr. Morris received an M.B.A. from the London Business School and a Bsc in Psychology from the University of East London. We believe Mr. Morris is qualified to serve as a member of our board of directors because of his extensive financial industry experience and his knowledge of the finance industry.</w:t>
      </w:r>
    </w:p>
    <w:p>
      <w:pPr>
        <w:spacing w:after="0" w:line="106"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i w:val="1"/>
          <w:iCs w:val="1"/>
          <w:color w:val="auto"/>
        </w:rPr>
        <w:t xml:space="preserve">Phillip Riese </w:t>
      </w:r>
      <w:r>
        <w:rPr>
          <w:rFonts w:ascii="Arial" w:cs="Arial" w:eastAsia="Arial" w:hAnsi="Arial"/>
          <w:sz w:val="18"/>
          <w:szCs w:val="18"/>
          <w:color w:val="auto"/>
        </w:rPr>
        <w:t>has served as a member of our board of directors since December 2016. Mr. Riese currently serves on the board of Flywire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several privately held companies. From 1980 to 1998, Mr. Riese served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440" w:right="379" w:bottom="1440" w:gutter="0" w:footer="0" w:header="0"/>
        </w:sectPr>
      </w:pPr>
    </w:p>
    <w:bookmarkStart w:id="155" w:name="page156"/>
    <w:bookmarkEnd w:id="155"/>
    <w:p>
      <w:pPr>
        <w:spacing w:after="0" w:line="15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President, Consumer Card Services and Chairman of American Express Centurion Bank for American Express Financial Corporation, a multinational financial services corporation. From 1977 to 1980, Mr. Riese served as the Division Executive and Vice President, Merchant Services for Chase Bank. Mr. Riese holds an S.M. from Massachusetts Institute of Technology, an M.B.A. from the University of Cape Town and a B. Com. in Textile Engineering and Economics from Leeds University. We believe Mr. Riese is qualified to serve as a member of our board of directors because of his extensive financial industry experience and his knowledge of technology companies.</w:t>
      </w:r>
    </w:p>
    <w:p>
      <w:pPr>
        <w:spacing w:after="0" w:line="137"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i w:val="1"/>
          <w:iCs w:val="1"/>
          <w:color w:val="auto"/>
        </w:rPr>
        <w:t xml:space="preserve">Ron Shah </w:t>
      </w:r>
      <w:r>
        <w:rPr>
          <w:rFonts w:ascii="Arial" w:cs="Arial" w:eastAsia="Arial" w:hAnsi="Arial"/>
          <w:sz w:val="18"/>
          <w:szCs w:val="18"/>
          <w:color w:val="auto"/>
        </w:rPr>
        <w:t>has served as a member of our board of directors since April 2016. Mr. Shah has served as Partner of Stripes, LLC, a venture capital firm,</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2007, and currently serves on the board of several privately held companies. Mr. Shah holds a B.A. in Philosophy from Duke University. We believe Mr. Shah is qualified to serve as a member of our board of directors because of his extensive experience in the venture capital industry and his knowledge of technology companies.</w:t>
      </w:r>
    </w:p>
    <w:p>
      <w:pPr>
        <w:spacing w:after="0" w:line="131" w:lineRule="exact"/>
        <w:rPr>
          <w:sz w:val="20"/>
          <w:szCs w:val="20"/>
          <w:color w:val="auto"/>
        </w:rPr>
      </w:pPr>
    </w:p>
    <w:p>
      <w:pPr>
        <w:ind w:firstLine="324"/>
        <w:spacing w:after="0" w:line="285" w:lineRule="auto"/>
        <w:rPr>
          <w:sz w:val="20"/>
          <w:szCs w:val="20"/>
          <w:color w:val="auto"/>
        </w:rPr>
      </w:pPr>
      <w:r>
        <w:rPr>
          <w:rFonts w:ascii="Arial" w:cs="Arial" w:eastAsia="Arial" w:hAnsi="Arial"/>
          <w:sz w:val="17"/>
          <w:szCs w:val="17"/>
          <w:i w:val="1"/>
          <w:iCs w:val="1"/>
          <w:color w:val="auto"/>
        </w:rPr>
        <w:t xml:space="preserve">Margaret M. Smyth </w:t>
      </w:r>
      <w:r>
        <w:rPr>
          <w:rFonts w:ascii="Arial" w:cs="Arial" w:eastAsia="Arial" w:hAnsi="Arial"/>
          <w:sz w:val="17"/>
          <w:szCs w:val="17"/>
          <w:color w:val="auto"/>
        </w:rPr>
        <w:t>has served as a member of our board of directors since May 2021. Ms. Smyth has also served on the board of directors of Etsy,</w:t>
      </w:r>
      <w:r>
        <w:rPr>
          <w:rFonts w:ascii="Arial" w:cs="Arial" w:eastAsia="Arial" w:hAnsi="Arial"/>
          <w:sz w:val="17"/>
          <w:szCs w:val="17"/>
          <w:i w:val="1"/>
          <w:iCs w:val="1"/>
          <w:color w:val="auto"/>
        </w:rPr>
        <w:t xml:space="preserve"> </w:t>
      </w:r>
      <w:r>
        <w:rPr>
          <w:rFonts w:ascii="Arial" w:cs="Arial" w:eastAsia="Arial" w:hAnsi="Arial"/>
          <w:sz w:val="17"/>
          <w:szCs w:val="17"/>
          <w:color w:val="auto"/>
        </w:rPr>
        <w:t>Inc., an e-commerce website, since June 2016 and on the board of directors of Frontier Communications, a telecommunications company, since June 2021, and currently serves on other privately held company boards as well. Ms. Smyth is expected to join the board of directors of Lilium GmbH upon completion of its business combination with Qell Acquisition Corp. Ms. Smyth has served as the U.S. Chief Financial Officer of National Grid plc, a multinational energy company between October 2014 and June 2021. Prior to that, Ms. Smyth was Vice President of Finance at ConEdison, Inc., an energy company, from August 2012 through September 2014. Earlier in her career, Ms. Smyth served as a Senior Managing Partner at Deloitte &amp; Touche and Arthur Andersen. Ms. Smyth also served on the board of directors of Vonage Holdings Corp., a cloud based communications provider from September 2012 to June 2016. Ms. Smyth holds an M.S. in Accounting from NYU Stern School of Business and a B.A. in Economics from Fordham University. Ms. Smyth is also experienced in advancing sustainability accounting practices and is a Sustainability Accounting Standards Board (“SASB”) FSA Credential Holder. We believe that Ms. Smyth is qualified to serve on our board of directors because of her deep experience in public company finance, accounting and strategic planning and her significant international experience and leadership through her service as an executive and director of global public companies.</w:t>
      </w:r>
    </w:p>
    <w:p>
      <w:pPr>
        <w:spacing w:after="0" w:line="131" w:lineRule="exact"/>
        <w:rPr>
          <w:sz w:val="20"/>
          <w:szCs w:val="20"/>
          <w:color w:val="auto"/>
        </w:rPr>
      </w:pPr>
    </w:p>
    <w:p>
      <w:pPr>
        <w:jc w:val="both"/>
        <w:ind w:right="300" w:firstLine="324"/>
        <w:spacing w:after="0" w:line="292" w:lineRule="auto"/>
        <w:rPr>
          <w:sz w:val="20"/>
          <w:szCs w:val="20"/>
          <w:color w:val="auto"/>
        </w:rPr>
      </w:pPr>
      <w:r>
        <w:rPr>
          <w:rFonts w:ascii="Arial" w:cs="Arial" w:eastAsia="Arial" w:hAnsi="Arial"/>
          <w:sz w:val="17"/>
          <w:szCs w:val="17"/>
          <w:i w:val="1"/>
          <w:iCs w:val="1"/>
          <w:color w:val="auto"/>
        </w:rPr>
        <w:t xml:space="preserve">Charles Stonecipher </w:t>
      </w:r>
      <w:r>
        <w:rPr>
          <w:rFonts w:ascii="Arial" w:cs="Arial" w:eastAsia="Arial" w:hAnsi="Arial"/>
          <w:sz w:val="17"/>
          <w:szCs w:val="17"/>
          <w:color w:val="auto"/>
        </w:rPr>
        <w:t>has served as a member of our board of directors since December 2012. Mr. Stonecipher has served as Managing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Trilogy Equity Partners, LLC, a venture capital firm, since November 2007, and currently serves on the board of several privately held companies. Mr. Stonecipher holds an M.B.A. from Harvard School of Business, a M.S. in Mechanical Engineering from Stanford University, and a B.S. in Mechanical Engineering from Stanford University. We believe Mr. Stonecipher is qualified to serve as a member of our board of directors because of his extensive experience in the venture capital industry and his knowledge of technology companies.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Appointment of Officers</w:t>
      </w:r>
    </w:p>
    <w:p>
      <w:pPr>
        <w:spacing w:after="0" w:line="185" w:lineRule="exact"/>
        <w:rPr>
          <w:sz w:val="20"/>
          <w:szCs w:val="20"/>
          <w:color w:val="auto"/>
        </w:rPr>
      </w:pPr>
    </w:p>
    <w:p>
      <w:pPr>
        <w:ind w:right="280" w:firstLine="324"/>
        <w:spacing w:after="0" w:line="293"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between any of our directors or executive officers.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8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7"/>
          <w:szCs w:val="17"/>
          <w:color w:val="auto"/>
        </w:rPr>
        <w:t>The number of directors is fixed by our board of directors, subject to the terms of our amended and restated certificate of incorporation and restated bylaws. Our board of directors currently consists of 10 members. Currently serving members of our board of directors will continue to serve as directors until their resignations or until their successors are duly elected by the holders of our common stock. Pursuant to our fifth amended and restated voting agreement, dated as of August 3, 2020, (1) the seat occupied by Mr. Stonecipher is elected by the holders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320" w:top="1440" w:right="399" w:bottom="1440" w:gutter="0" w:footer="0" w:header="0"/>
        </w:sectPr>
      </w:pPr>
    </w:p>
    <w:bookmarkStart w:id="156" w:name="page157"/>
    <w:bookmarkEnd w:id="156"/>
    <w:p>
      <w:pPr>
        <w:spacing w:after="0" w:line="15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majority of our Series Seed Preferred Stock and Series A Preferred Stock, voting together as a single class, as the designee of Trilogy Equity Partners, LLC; (2) the seat occupied by Mr. Bryant is elected by the holders of a majority of our Series B Preferred Stock, voting separately as a single class, as the designee of Threshold Ventures I, L.P. and Threshold Ventures I Partners Fund, LLC; (3) the seat occupied by Mr. Shah is elected by the holders of a majority of our Series C Preferred Stock, voting separately as a single class, as the designee of SG Growth Partners III, LP; (4) the seat occupied by Mr. Le Moal is elected by the holders of a majority of our Series D Preferred Stock, voting separately as a single class, as the designee of PayU Fintech Investments B.V. and its affiliates, Naspers; and (5) the seat occupied by Ms. Chung is elected by the holders of a majority of our Series E Preferred Stock, voting separately as a single class, as the designee of Generation IM Sustainable Solutions Fund III, L.P. The provisions of our amended and restated certificate of incorporation and the fifth amended and restated voting agreement by which the directors are currently elected will terminate in connection with this offering and there will be no contractual obligations regarding the election of our directors following this offering.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85" w:lineRule="exact"/>
        <w:rPr>
          <w:sz w:val="20"/>
          <w:szCs w:val="20"/>
          <w:color w:val="auto"/>
        </w:rPr>
      </w:pPr>
    </w:p>
    <w:p>
      <w:pPr>
        <w:ind w:right="280" w:firstLine="324"/>
        <w:spacing w:after="0" w:line="319" w:lineRule="auto"/>
        <w:rPr>
          <w:sz w:val="20"/>
          <w:szCs w:val="20"/>
          <w:color w:val="auto"/>
        </w:rPr>
      </w:pPr>
      <w:r>
        <w:rPr>
          <w:rFonts w:ascii="Arial" w:cs="Arial" w:eastAsia="Arial" w:hAnsi="Arial"/>
          <w:sz w:val="16"/>
          <w:szCs w:val="16"/>
          <w:color w:val="auto"/>
        </w:rPr>
        <w:t>Upon the completion of this offering, our board of directors will consist of 10 members and be divided into three classes of directors that will serve staggered three-year terms. At each annual meeting of stockholders, a class of directors will be elected for a three-year term to succeed the same class whose term is then-expiring.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02" w:lineRule="exact"/>
        <w:rPr>
          <w:sz w:val="20"/>
          <w:szCs w:val="20"/>
          <w:color w:val="auto"/>
        </w:rPr>
      </w:pPr>
    </w:p>
    <w:p>
      <w:pPr>
        <w:ind w:left="660" w:right="740" w:hanging="328"/>
        <w:spacing w:after="0" w:line="29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 directors will be William Bryant, Ron Shah and Charles Stonecipher, and their terms will expire at the first annual meeting of stockholders to be held after the completion of this offering;</w:t>
      </w:r>
    </w:p>
    <w:p>
      <w:pPr>
        <w:spacing w:after="0" w:line="115" w:lineRule="exact"/>
        <w:rPr>
          <w:rFonts w:ascii="Arial" w:cs="Arial" w:eastAsia="Arial" w:hAnsi="Arial"/>
          <w:sz w:val="18"/>
          <w:szCs w:val="18"/>
          <w:color w:val="auto"/>
        </w:rPr>
      </w:pPr>
    </w:p>
    <w:p>
      <w:pPr>
        <w:ind w:left="660" w:right="700" w:hanging="328"/>
        <w:spacing w:after="0" w:line="29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 directors will be Bora Chung, Laurent Le Moal and Nigel Morris, and their terms will expire at the second annual meeting of stockholders to be held after the completion of this offering; and</w:t>
      </w:r>
    </w:p>
    <w:p>
      <w:pPr>
        <w:spacing w:after="0" w:line="115" w:lineRule="exact"/>
        <w:rPr>
          <w:rFonts w:ascii="Arial" w:cs="Arial" w:eastAsia="Arial" w:hAnsi="Arial"/>
          <w:sz w:val="18"/>
          <w:szCs w:val="18"/>
          <w:color w:val="auto"/>
        </w:rPr>
      </w:pPr>
    </w:p>
    <w:p>
      <w:pPr>
        <w:ind w:left="660" w:right="500" w:hanging="328"/>
        <w:spacing w:after="0" w:line="29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III directors will be Joshua Hug, Matthew Oppenheimer, Phillip Riese and Margaret Smyth, and their terms will expire at the third annual meeting of stockholders to be held after the completion of this offering.</w:t>
      </w:r>
    </w:p>
    <w:p>
      <w:pPr>
        <w:spacing w:after="0" w:line="116" w:lineRule="exact"/>
        <w:rPr>
          <w:sz w:val="20"/>
          <w:szCs w:val="20"/>
          <w:color w:val="auto"/>
        </w:rPr>
      </w:pPr>
    </w:p>
    <w:p>
      <w:pPr>
        <w:ind w:right="80" w:firstLine="324"/>
        <w:spacing w:after="0" w:line="314" w:lineRule="auto"/>
        <w:rPr>
          <w:sz w:val="20"/>
          <w:szCs w:val="20"/>
          <w:color w:val="auto"/>
        </w:rPr>
      </w:pPr>
      <w:r>
        <w:rPr>
          <w:rFonts w:ascii="Arial" w:cs="Arial" w:eastAsia="Arial" w:hAnsi="Arial"/>
          <w:sz w:val="16"/>
          <w:szCs w:val="16"/>
          <w:color w:val="auto"/>
        </w:rPr>
        <w:t>Each director’s term continues until the election and qualification of his or her successor, or his or her earlier death, resignation, or removal. Our amended and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For more information, see the section titled “Description of Capital Stock—Anti-Takeover Provisions.”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In connection with this offering, we have been approved to list our common stock on the Nasdaq. Under the rules of the Nasdaq, independent directors must comprise a majority of a listed company’s board of directors within a specified period after the completion of this offering. In addition, the rules of the Nasdaq require that, subject to specified exceptions, each member of a listed company’s audit, compensation, and nominating and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7" w:lineRule="exact"/>
        <w:rPr>
          <w:sz w:val="20"/>
          <w:szCs w:val="20"/>
          <w:color w:val="auto"/>
        </w:rPr>
      </w:pPr>
    </w:p>
    <w:p>
      <w:pPr>
        <w:ind w:right="800" w:firstLine="324"/>
        <w:spacing w:after="0" w:line="293" w:lineRule="auto"/>
        <w:rPr>
          <w:sz w:val="20"/>
          <w:szCs w:val="20"/>
          <w:color w:val="auto"/>
        </w:rPr>
      </w:pPr>
      <w:r>
        <w:rPr>
          <w:rFonts w:ascii="Arial" w:cs="Arial" w:eastAsia="Arial" w:hAnsi="Arial"/>
          <w:sz w:val="18"/>
          <w:szCs w:val="18"/>
          <w:color w:val="auto"/>
        </w:rPr>
        <w:t>Additionally, talent and compensation committee members must not have a relationship with us that is material to the director’s ability to be independent from management in connection with the duties of a talent and compensation committee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57" w:lineRule="exact"/>
        <w:rPr>
          <w:sz w:val="20"/>
          <w:szCs w:val="20"/>
          <w:color w:val="auto"/>
        </w:rPr>
      </w:pPr>
    </w:p>
    <w:p>
      <w:pPr>
        <w:ind w:right="20" w:firstLine="324"/>
        <w:spacing w:after="0" w:line="292"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20"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non-employee directors are “independent directors” as defined under the applicable rules and regulations of the SEC and the listing requirements and rules of the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and risk committee will be responsible for overseeing the management of risks associated with our financial reporting, accounting and auditing matters, as well as compliance, cybersecurity and enterprise risk management; our talent and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8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7"/>
          <w:szCs w:val="17"/>
          <w:color w:val="auto"/>
        </w:rPr>
        <w:t>Our board of directors has an audit and risk committee, a talent and compensation committee, and a nominating and corporate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Our audit and risk committee is composed of Ms. Smyth, Mr. Bryant and Mr. Stonecipher. Ms. Smyth is the chair of our audit and risk committee. The members of our audit and risk committee meet the independence requirements under Nasdaq and SEC rules. Each member of our audit and risk committee is financially literate. In addition, our board of directors has determined that each member is an “audit committee financial expert” as that term is defined in Item 407(d)(5)(ii) of Regulation S-K promulgated under the Securities Act. This designation does not, however, impose on her any supplemental duties, obligations, or liabilities beyond those that are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applicable to the other members of our audit and risk committee and board of directors. Our audit and risk committee’s principal functions are to assist our board of directors in its oversight of:</w:t>
      </w:r>
    </w:p>
    <w:p>
      <w:pPr>
        <w:spacing w:after="0" w:line="116"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selecting a firm to serve as our independent registered public accounting firm to audit our consolidated financial statements;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84" w:lineRule="exact"/>
        <w:rPr>
          <w:rFonts w:ascii="Arial" w:cs="Arial" w:eastAsia="Arial" w:hAnsi="Arial"/>
          <w:sz w:val="18"/>
          <w:szCs w:val="18"/>
          <w:color w:val="auto"/>
        </w:rPr>
      </w:pPr>
    </w:p>
    <w:p>
      <w:pPr>
        <w:ind w:left="660" w:right="240" w:hanging="328"/>
        <w:spacing w:after="0" w:line="29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related-party transactions that are material or otherwise implicate disclosure requirements;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reviewing major financial risks and enterprise exposures and the steps management has taken to monitor or mitigate such risks and exposures;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cybersecurity, data privacy and other information technology risks, controls and procedures;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compliance programs and risk exposures related to legal and regulatory matters and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Talent and Compensation Committee</w:t>
      </w:r>
    </w:p>
    <w:p>
      <w:pPr>
        <w:spacing w:after="0" w:line="18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color w:val="auto"/>
        </w:rPr>
        <w:t>Our talent and compensation committee is composed of Mr. Shah, Ms. Chung and Mr. Riese. Mr. Shah is the chair of our talent and compensation committee. The members of our talent and compensation committee meet the independence requirements under Nasdaq and SEC rules. Each member of this committee is also a “non-employee director” within the meaning of Rule 16b-3 under the Exchange Act. Our talent and compensation committee is responsible for, among other things:</w:t>
      </w:r>
    </w:p>
    <w:p>
      <w:pPr>
        <w:spacing w:after="0" w:line="13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84" w:lineRule="exact"/>
        <w:rPr>
          <w:rFonts w:ascii="Arial" w:cs="Arial" w:eastAsia="Arial" w:hAnsi="Arial"/>
          <w:sz w:val="18"/>
          <w:szCs w:val="18"/>
          <w:color w:val="auto"/>
        </w:rPr>
      </w:pPr>
    </w:p>
    <w:p>
      <w:pPr>
        <w:ind w:left="660" w:right="220" w:hanging="328"/>
        <w:spacing w:after="0" w:line="293"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any compensatory agreements with our executive officers;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establishing our overall compensation philosophy.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85" w:lineRule="exact"/>
        <w:rPr>
          <w:sz w:val="20"/>
          <w:szCs w:val="20"/>
          <w:color w:val="auto"/>
        </w:rPr>
      </w:pPr>
    </w:p>
    <w:p>
      <w:pPr>
        <w:ind w:right="460" w:firstLine="324"/>
        <w:spacing w:after="0" w:line="293" w:lineRule="auto"/>
        <w:rPr>
          <w:sz w:val="20"/>
          <w:szCs w:val="20"/>
          <w:color w:val="auto"/>
        </w:rPr>
      </w:pPr>
      <w:r>
        <w:rPr>
          <w:rFonts w:ascii="Arial" w:cs="Arial" w:eastAsia="Arial" w:hAnsi="Arial"/>
          <w:sz w:val="18"/>
          <w:szCs w:val="18"/>
          <w:color w:val="auto"/>
        </w:rPr>
        <w:t>Our nominating and governance committee is composed of Mr. Morris and Mr. Shah. Mr. Morris is the chair of our nominating and governance committee. The members of our nominating and governance committee meet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1440" w:right="439" w:bottom="1440" w:gutter="0" w:footer="0" w:header="0"/>
        </w:sectPr>
      </w:pPr>
    </w:p>
    <w:bookmarkStart w:id="159" w:name="page160"/>
    <w:bookmarkEnd w:id="15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independence requirements under Nasdaq and SEC rules. Our nominating and governance committee’s principal functions include:</w:t>
      </w:r>
    </w:p>
    <w:p>
      <w:pPr>
        <w:spacing w:after="0" w:line="18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changes to our corporate governance principles;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advising our board of directors on corporate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Compensation Committee Interlocks and Insider Participation</w:t>
      </w:r>
    </w:p>
    <w:p>
      <w:pPr>
        <w:spacing w:after="0" w:line="189" w:lineRule="exact"/>
        <w:rPr>
          <w:sz w:val="20"/>
          <w:szCs w:val="20"/>
          <w:color w:val="auto"/>
        </w:rPr>
      </w:pPr>
    </w:p>
    <w:p>
      <w:pPr>
        <w:ind w:right="80" w:firstLine="324"/>
        <w:spacing w:after="0" w:line="303" w:lineRule="auto"/>
        <w:rPr>
          <w:sz w:val="20"/>
          <w:szCs w:val="20"/>
          <w:color w:val="auto"/>
        </w:rPr>
      </w:pPr>
      <w:r>
        <w:rPr>
          <w:rFonts w:ascii="Arial" w:cs="Arial" w:eastAsia="Arial" w:hAnsi="Arial"/>
          <w:sz w:val="17"/>
          <w:szCs w:val="17"/>
          <w:color w:val="auto"/>
        </w:rPr>
        <w:t>None of the members of the talent and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talent and compensation committee during the year ended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ind w:right="180" w:firstLine="324"/>
        <w:spacing w:after="0" w:line="296" w:lineRule="auto"/>
        <w:rPr>
          <w:sz w:val="20"/>
          <w:szCs w:val="20"/>
          <w:color w:val="auto"/>
        </w:rPr>
      </w:pPr>
      <w:r>
        <w:rPr>
          <w:rFonts w:ascii="Arial" w:cs="Arial" w:eastAsia="Arial" w:hAnsi="Arial"/>
          <w:sz w:val="17"/>
          <w:szCs w:val="17"/>
          <w:color w:val="auto"/>
        </w:rPr>
        <w:t>Our board of directors has adopted, effective prior to the completion of this offering, a code of business conduct and ethics that applies to all of our employees, officers and directors, including our Chief Executive Officer, Chief Financial Officer and other executive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89" w:lineRule="exact"/>
        <w:rPr>
          <w:sz w:val="20"/>
          <w:szCs w:val="20"/>
          <w:color w:val="auto"/>
        </w:rPr>
      </w:pPr>
    </w:p>
    <w:p>
      <w:pPr>
        <w:ind w:right="100" w:firstLine="324"/>
        <w:spacing w:after="0" w:line="314" w:lineRule="auto"/>
        <w:rPr>
          <w:sz w:val="20"/>
          <w:szCs w:val="20"/>
          <w:color w:val="auto"/>
        </w:rPr>
      </w:pPr>
      <w:r>
        <w:rPr>
          <w:rFonts w:ascii="Arial" w:cs="Arial" w:eastAsia="Arial" w:hAnsi="Arial"/>
          <w:sz w:val="16"/>
          <w:szCs w:val="16"/>
          <w:color w:val="auto"/>
        </w:rPr>
        <w:t>In the year ended December 31, 2020, no cash compensation was paid to the non-employee members of our board of directors. All compensation paid to Mr. Oppenheimer and Mr. Hug, our employee directors, is set forth below in the section titled “Executive Compensation—Summary Compensation Table.” The following table provides information regarding compensation of our non-employee directors for director service for the year ended December 31, 2020. Other than as set forth in the table and described more fully below, during the year ended December 31, 2020, we did not pay any fees to, make any equity awards or non-equity awards to, or pay any other compensation to the non-employee members of our board of directors.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 ($)</w:t>
            </w: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William Bryant</w:t>
            </w: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8020" w:type="dxa"/>
            <w:vAlign w:val="bottom"/>
          </w:tcPr>
          <w:p>
            <w:pPr>
              <w:ind w:left="20"/>
              <w:spacing w:after="0"/>
              <w:rPr>
                <w:sz w:val="20"/>
                <w:szCs w:val="20"/>
                <w:color w:val="auto"/>
              </w:rPr>
            </w:pPr>
            <w:r>
              <w:rPr>
                <w:rFonts w:ascii="Arial" w:cs="Arial" w:eastAsia="Arial" w:hAnsi="Arial"/>
                <w:sz w:val="18"/>
                <w:szCs w:val="18"/>
                <w:color w:val="auto"/>
              </w:rPr>
              <w:t>Bora Chung</w:t>
            </w:r>
          </w:p>
        </w:tc>
        <w:tc>
          <w:tcPr>
            <w:tcW w:w="1560" w:type="dxa"/>
            <w:vAlign w:val="bottom"/>
          </w:tcPr>
          <w:p>
            <w:pPr>
              <w:jc w:val="right"/>
              <w:spacing w:after="0"/>
              <w:rPr>
                <w:sz w:val="20"/>
                <w:szCs w:val="20"/>
                <w:color w:val="auto"/>
              </w:rPr>
            </w:pPr>
            <w:r>
              <w:rPr>
                <w:rFonts w:ascii="Arial" w:cs="Arial" w:eastAsia="Arial" w:hAnsi="Arial"/>
                <w:sz w:val="18"/>
                <w:szCs w:val="18"/>
                <w:color w:val="auto"/>
              </w:rPr>
              <w:t>329,011</w:t>
            </w:r>
            <w:r>
              <w:rPr>
                <w:rFonts w:ascii="Arial" w:cs="Arial" w:eastAsia="Arial" w:hAnsi="Arial"/>
                <w:sz w:val="23"/>
                <w:szCs w:val="23"/>
                <w:color w:val="auto"/>
                <w:vertAlign w:val="superscript"/>
              </w:rPr>
              <w:t>(2)</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329,011</w:t>
            </w:r>
          </w:p>
        </w:tc>
      </w:tr>
      <w:tr>
        <w:trPr>
          <w:trHeight w:val="26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Laurent Le Moal</w:t>
            </w: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8020" w:type="dxa"/>
            <w:vAlign w:val="bottom"/>
          </w:tcPr>
          <w:p>
            <w:pPr>
              <w:ind w:left="20"/>
              <w:spacing w:after="0"/>
              <w:rPr>
                <w:sz w:val="20"/>
                <w:szCs w:val="20"/>
                <w:color w:val="auto"/>
              </w:rPr>
            </w:pPr>
            <w:r>
              <w:rPr>
                <w:rFonts w:ascii="Arial" w:cs="Arial" w:eastAsia="Arial" w:hAnsi="Arial"/>
                <w:sz w:val="18"/>
                <w:szCs w:val="18"/>
                <w:color w:val="auto"/>
              </w:rPr>
              <w:t>Phillip Riese</w:t>
            </w:r>
          </w:p>
        </w:tc>
        <w:tc>
          <w:tcPr>
            <w:tcW w:w="1560" w:type="dxa"/>
            <w:vAlign w:val="bottom"/>
          </w:tcPr>
          <w:p>
            <w:pPr>
              <w:jc w:val="right"/>
              <w:spacing w:after="0"/>
              <w:rPr>
                <w:sz w:val="20"/>
                <w:szCs w:val="20"/>
                <w:color w:val="auto"/>
              </w:rPr>
            </w:pPr>
            <w:r>
              <w:rPr>
                <w:rFonts w:ascii="Arial" w:cs="Arial" w:eastAsia="Arial" w:hAnsi="Arial"/>
                <w:sz w:val="18"/>
                <w:szCs w:val="18"/>
                <w:color w:val="auto"/>
              </w:rPr>
              <w:t>329,011</w:t>
            </w:r>
            <w:r>
              <w:rPr>
                <w:rFonts w:ascii="Arial" w:cs="Arial" w:eastAsia="Arial" w:hAnsi="Arial"/>
                <w:sz w:val="23"/>
                <w:szCs w:val="23"/>
                <w:color w:val="auto"/>
                <w:vertAlign w:val="superscript"/>
              </w:rPr>
              <w:t>(3)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329,011</w:t>
            </w: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Ron Shah</w:t>
            </w: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Charles Stonecipher</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spacing w:after="0"/>
              <w:rPr>
                <w:sz w:val="20"/>
                <w:szCs w:val="20"/>
                <w:color w:val="auto"/>
              </w:rPr>
            </w:pPr>
            <w:r>
              <w:rPr>
                <w:rFonts w:ascii="Arial" w:cs="Arial" w:eastAsia="Arial" w:hAnsi="Arial"/>
                <w:sz w:val="18"/>
                <w:szCs w:val="18"/>
                <w:color w:val="auto"/>
              </w:rPr>
              <w:t>_______________</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40" w:right="40" w:hanging="332"/>
        <w:spacing w:after="0" w:line="296" w:lineRule="auto"/>
        <w:tabs>
          <w:tab w:leader="none" w:pos="332"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amounts reported in the Stock Awards column represent the grant date fair value of the RSU awards granted to our non-employee directors during the year ended December 31, 2020 as computed in accordance with FASB Accounting Standards Codification Topic 718. The assumptions used in calculating the grant date fair value of the RSU awards reported in the Stock Awards column are set forth in Note 10 of the notes to our consolidated financial statements included in this prospectus. Note that the amounts reported in this column reflect the accounting cost for these RSU awards and do not correspond to the actual economic value that may be received by our non-employee directors from the RSU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3" w:lineRule="exact"/>
        <w:rPr>
          <w:sz w:val="20"/>
          <w:szCs w:val="20"/>
          <w:color w:val="auto"/>
        </w:rPr>
      </w:pPr>
    </w:p>
    <w:p>
      <w:pPr>
        <w:ind w:left="340" w:right="100" w:hanging="332"/>
        <w:spacing w:after="0" w:line="263" w:lineRule="auto"/>
        <w:tabs>
          <w:tab w:leader="none" w:pos="332" w:val="left"/>
        </w:tabs>
        <w:numPr>
          <w:ilvl w:val="0"/>
          <w:numId w:val="97"/>
        </w:numPr>
        <w:rPr>
          <w:rFonts w:ascii="Arial" w:cs="Arial" w:eastAsia="Arial" w:hAnsi="Arial"/>
          <w:sz w:val="14"/>
          <w:szCs w:val="14"/>
          <w:color w:val="auto"/>
        </w:rPr>
      </w:pPr>
      <w:r>
        <w:rPr>
          <w:rFonts w:ascii="Arial" w:cs="Arial" w:eastAsia="Arial" w:hAnsi="Arial"/>
          <w:sz w:val="14"/>
          <w:szCs w:val="14"/>
          <w:color w:val="auto"/>
        </w:rPr>
        <w:t>As of December 31, 2020, Ms. Chung held an RSU award with respect to 92,941 shares, which is subject to two vesting requirements: a liquidity event requirement and a service-based requirement. The liquidity event requirement will be satisfied on the earliest to occur of (i) an initial public offering of the Company’s securities or (ii) the consummation of certain acquisition of the Company (the earliest of prong (i) or (ii) to occur, the “Initial Vesting Event”). The service-based requirement will be satisfied (a)(i) if the Initial Vesting Event has not occurred before November 20, 2021, with respect to 1/16th of the shares subject to the RSU on each Quarterly Vesting Date (defined below) between November 20, 2020 and the Initial Vesting Event or (ii) if the Initial Vesting Event has occurred before November 20, 2021, with respect to 25% of the shares subject to the RSU on the first Quarterly Vesting Date following November 20, 2021 and (b) with respect to an additional 1/16th of the shares subject to the RSU thereafter on each subsequent February 25, May 25, August 25 and November 25 (each, a “Quarterly Vesting Date”).</w:t>
      </w:r>
    </w:p>
    <w:p>
      <w:pPr>
        <w:ind w:left="340" w:right="260" w:hanging="332"/>
        <w:spacing w:after="0" w:line="283" w:lineRule="auto"/>
        <w:tabs>
          <w:tab w:leader="none" w:pos="332" w:val="left"/>
        </w:tabs>
        <w:numPr>
          <w:ilvl w:val="0"/>
          <w:numId w:val="97"/>
        </w:numPr>
        <w:rPr>
          <w:rFonts w:ascii="Arial" w:cs="Arial" w:eastAsia="Arial" w:hAnsi="Arial"/>
          <w:sz w:val="14"/>
          <w:szCs w:val="14"/>
          <w:color w:val="auto"/>
        </w:rPr>
      </w:pPr>
      <w:r>
        <w:rPr>
          <w:rFonts w:ascii="Arial" w:cs="Arial" w:eastAsia="Arial" w:hAnsi="Arial"/>
          <w:sz w:val="14"/>
          <w:szCs w:val="14"/>
          <w:color w:val="auto"/>
        </w:rPr>
        <w:t>As of December 31, 2020, Mr. Riese held an RSU award with respect to 92,941 shares and a fully vested stock option to purchase 500,000 shares. No other non-employee directors held option awards that were outstanding as of such date.</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approved the following non-employee director compensation policy, which will take effect following the completion of this offering.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 Cash Compensation</w:t>
      </w:r>
    </w:p>
    <w:p>
      <w:pPr>
        <w:spacing w:after="0" w:line="18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Upon completion of this offering, each non-employee director will be entitled to receive an annual cash retainer of $35,000, paid quarterly in arrears and pro-rated for partial quarters served, for service on the board of directors and additional annual cash compensation for committee membership as follows:</w:t>
      </w:r>
    </w:p>
    <w:p>
      <w:pPr>
        <w:spacing w:after="0" w:line="129"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audit and risk committee chair: $20,000;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audit and risk committee member: $10,000;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talent and compensation committee chair: $15,000;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talent and compensation committee member: $7,500;</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nominating and corporate governance committee chair: $8,000;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$4,000.</w:t>
      </w:r>
    </w:p>
    <w:p>
      <w:pPr>
        <w:spacing w:after="0" w:line="185" w:lineRule="exact"/>
        <w:rPr>
          <w:sz w:val="20"/>
          <w:szCs w:val="20"/>
          <w:color w:val="auto"/>
        </w:rPr>
      </w:pPr>
    </w:p>
    <w:p>
      <w:pPr>
        <w:ind w:right="380" w:firstLine="324"/>
        <w:spacing w:after="0" w:line="293" w:lineRule="auto"/>
        <w:rPr>
          <w:sz w:val="20"/>
          <w:szCs w:val="20"/>
          <w:color w:val="auto"/>
        </w:rPr>
      </w:pPr>
      <w:r>
        <w:rPr>
          <w:rFonts w:ascii="Arial" w:cs="Arial" w:eastAsia="Arial" w:hAnsi="Arial"/>
          <w:sz w:val="18"/>
          <w:szCs w:val="18"/>
          <w:color w:val="auto"/>
        </w:rPr>
        <w:t>In addition, the non-executive chairperson of the board shall receive an additional $60,000 (in lieu of any cash compensation for lead independent director compensation), and the lead independent director of the board shall receive an additional $16,000.</w:t>
      </w:r>
    </w:p>
    <w:p>
      <w:pPr>
        <w:spacing w:after="0" w:line="116" w:lineRule="exact"/>
        <w:rPr>
          <w:sz w:val="20"/>
          <w:szCs w:val="20"/>
          <w:color w:val="auto"/>
        </w:rPr>
      </w:pPr>
    </w:p>
    <w:p>
      <w:pPr>
        <w:ind w:firstLine="324"/>
        <w:spacing w:after="0" w:line="319" w:lineRule="auto"/>
        <w:rPr>
          <w:sz w:val="20"/>
          <w:szCs w:val="20"/>
          <w:color w:val="auto"/>
        </w:rPr>
      </w:pPr>
      <w:r>
        <w:rPr>
          <w:rFonts w:ascii="Arial" w:cs="Arial" w:eastAsia="Arial" w:hAnsi="Arial"/>
          <w:sz w:val="16"/>
          <w:szCs w:val="16"/>
          <w:color w:val="auto"/>
        </w:rPr>
        <w:t>Each director may elect to receive all of the cash fees for which they are eligible in the form of RSUs (the “Fee RSUs”), subject to the director’s timely execution of written election form and the terms and conditions of our non-employee director compensation policy, which Fee RSUs will generally vest quarterly over a one-year period (or earlier upon the next annual meeting of our stockholders following the grant date or the consummation of a corporate transaction (as defined in our 2021 Plan). The Fee RSUs are separate from the non-employee director equity grants noted below.</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 Equity Grants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Initial Appointment RSU Grant</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Each new non-employee director appointed to our board of directors following this offering will be granted restricted stock units (“Initial Appointment RSUs”), on the date of his or her appointment to our board of directors, under our 2021 Equity Incentive Plan, having an aggregate value of $330,000 based on the average daily closing price of our common stock on the Nasdaq Global Select Market in the 10 trading days ending on the day preceding the date of grant. The Initial Appointment RSUs will vest as to one-third of the Initial Appointment RSUs on each of the first three anniversaries following the date of grant so long as the non-employee director continues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57"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services to us through such date. In addition, the Initial Appointment RSUs will fully vest upon the consummation of a corporate transaction (as defined in our 2021 Plan).</w:t>
      </w:r>
    </w:p>
    <w:p>
      <w:pPr>
        <w:spacing w:after="0" w:line="116" w:lineRule="exact"/>
        <w:rPr>
          <w:sz w:val="20"/>
          <w:szCs w:val="20"/>
          <w:color w:val="auto"/>
        </w:rPr>
      </w:pPr>
    </w:p>
    <w:p>
      <w:pPr>
        <w:ind w:right="320" w:firstLine="324"/>
        <w:spacing w:after="0" w:line="293" w:lineRule="auto"/>
        <w:rPr>
          <w:sz w:val="20"/>
          <w:szCs w:val="20"/>
          <w:color w:val="auto"/>
        </w:rPr>
      </w:pPr>
      <w:r>
        <w:rPr>
          <w:rFonts w:ascii="Arial" w:cs="Arial" w:eastAsia="Arial" w:hAnsi="Arial"/>
          <w:sz w:val="18"/>
          <w:szCs w:val="18"/>
          <w:color w:val="auto"/>
        </w:rPr>
        <w:t>If an individual is first elected as a non-employee director at an annual meeting of stockholders, he or she will be granted an annual RSU grant, as described below, in lieu of the Initial Appointment RSUs.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RSU Grant</w:t>
      </w:r>
    </w:p>
    <w:p>
      <w:pPr>
        <w:spacing w:after="0" w:line="185" w:lineRule="exact"/>
        <w:rPr>
          <w:sz w:val="20"/>
          <w:szCs w:val="20"/>
          <w:color w:val="auto"/>
        </w:rPr>
      </w:pPr>
    </w:p>
    <w:p>
      <w:pPr>
        <w:ind w:firstLine="324"/>
        <w:spacing w:after="0" w:line="299" w:lineRule="auto"/>
        <w:rPr>
          <w:sz w:val="20"/>
          <w:szCs w:val="20"/>
          <w:color w:val="auto"/>
        </w:rPr>
      </w:pPr>
      <w:r>
        <w:rPr>
          <w:rFonts w:ascii="Arial" w:cs="Arial" w:eastAsia="Arial" w:hAnsi="Arial"/>
          <w:sz w:val="16"/>
          <w:szCs w:val="16"/>
          <w:color w:val="auto"/>
        </w:rPr>
        <w:t>On the date of each annual meeting of stockholders following the completion of this offering, commencing with our 2022 annual meeting of stockholders, each non-employee director who is serving on our board of directors, and will continue to serve on our board of directors following the date of such annual meeting, will automatically be granted restricted stock units (“Annual RSUs”), under our 2021 Equity Incentive Plan, having an aggregate value of $165,000 based on the average daily closing price of the common stock on the Nasdaq Global Select Market for the 10 trading days ending on the day preceding the date of grant. The Annual RSUs will fully vest on the earlier of (1) the date of the following year’s annual meeting of stockholders and</w:t>
      </w:r>
    </w:p>
    <w:p>
      <w:pPr>
        <w:spacing w:after="0" w:line="2" w:lineRule="exact"/>
        <w:rPr>
          <w:sz w:val="20"/>
          <w:szCs w:val="20"/>
          <w:color w:val="auto"/>
        </w:rPr>
      </w:pPr>
    </w:p>
    <w:p>
      <w:pPr>
        <w:ind w:right="60" w:firstLine="8"/>
        <w:spacing w:after="0" w:line="292"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that is one year following the date of grant. In addition, the Annual RSUs will fully vest upon the consummation of a corporate transaction (as defined in our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60"/>
          </w:cols>
          <w:pgMar w:left="320" w:top="1440" w:right="419" w:bottom="1440" w:gutter="0" w:footer="0" w:header="0"/>
        </w:sectPr>
      </w:pPr>
    </w:p>
    <w:bookmarkStart w:id="162" w:name="page163"/>
    <w:bookmarkEnd w:id="16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right="360" w:firstLine="324"/>
        <w:spacing w:after="0" w:line="319" w:lineRule="auto"/>
        <w:rPr>
          <w:sz w:val="20"/>
          <w:szCs w:val="20"/>
          <w:color w:val="auto"/>
        </w:rPr>
      </w:pPr>
      <w:r>
        <w:rPr>
          <w:rFonts w:ascii="Arial" w:cs="Arial" w:eastAsia="Arial" w:hAnsi="Arial"/>
          <w:sz w:val="16"/>
          <w:szCs w:val="16"/>
          <w:color w:val="auto"/>
        </w:rPr>
        <w:t>The following tables and accompanying narrative set forth information about compensation for the year ended December 31, 2020 provided to our principal executive officer and the two most highly compensated executive officers (other than our principal executive officer) who were serving as executive officers as of December 31, 2020. These executive officers are Matthew Oppenheimer, our Chief Executive Officer, Joshua Hug, our Chief Operating Officer, and Susanna Morgan, our Chief Financial Officer, and we refer to them in this section as our “named executive officers.”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earned by, or paid to our named executive officers for the year ended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Salary ($)</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Bonus ($)</w:t>
            </w: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 Awards ($)</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 Awards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 ($)</w:t>
            </w: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6"/>
        </w:trPr>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w w:val="97"/>
              </w:rPr>
              <w:t>Matthew Oppenheimer, President and</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3,065</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281,667</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284,732</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0"/>
              <w:spacing w:after="0"/>
              <w:rPr>
                <w:sz w:val="20"/>
                <w:szCs w:val="20"/>
                <w:color w:val="auto"/>
              </w:rPr>
            </w:pPr>
            <w:r>
              <w:rPr>
                <w:rFonts w:ascii="Arial" w:cs="Arial" w:eastAsia="Arial" w:hAnsi="Arial"/>
                <w:sz w:val="18"/>
                <w:szCs w:val="18"/>
                <w:i w:val="1"/>
                <w:iCs w:val="1"/>
                <w:color w:val="auto"/>
              </w:rPr>
              <w:t>Joshua Hug, Chief Operating Officer</w:t>
            </w:r>
          </w:p>
        </w:tc>
        <w:tc>
          <w:tcPr>
            <w:tcW w:w="1280" w:type="dxa"/>
            <w:vAlign w:val="bottom"/>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tcPr>
          <w:p>
            <w:pPr>
              <w:spacing w:after="0"/>
              <w:rPr>
                <w:sz w:val="24"/>
                <w:szCs w:val="24"/>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7,774</w:t>
            </w:r>
            <w:r>
              <w:rPr>
                <w:rFonts w:ascii="Arial" w:cs="Arial" w:eastAsia="Arial" w:hAnsi="Arial"/>
                <w:sz w:val="23"/>
                <w:szCs w:val="23"/>
                <w:color w:val="auto"/>
                <w:vertAlign w:val="superscript"/>
              </w:rPr>
              <w:t>(2)</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295,274</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Susanna Morgan, Chief Financial</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Officer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289,160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amount represents $2,065 in life insurance premiums paid on Mr. Oppenheimer’s behalf and a $1,000 contribution to Mr. Oppenheimer’s 401(k).</w:t>
      </w:r>
    </w:p>
    <w:p>
      <w:pPr>
        <w:spacing w:after="0" w:line="14" w:lineRule="exact"/>
        <w:rPr>
          <w:rFonts w:ascii="Arial" w:cs="Arial" w:eastAsia="Arial" w:hAnsi="Arial"/>
          <w:sz w:val="14"/>
          <w:szCs w:val="14"/>
          <w:color w:val="auto"/>
        </w:rPr>
      </w:pPr>
    </w:p>
    <w:p>
      <w:pPr>
        <w:ind w:left="340" w:right="260" w:hanging="332"/>
        <w:spacing w:after="0" w:line="261"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amount represents $5,454 in life insurance premiums paid on Mr. Hug’s behalf, a $1,320 contribution to Mr. Hug’s Health Savings Account, and a $1,000 contribution to Mr. Hug’s 401(k).</w:t>
      </w:r>
    </w:p>
    <w:p>
      <w:pPr>
        <w:ind w:left="320" w:hanging="312"/>
        <w:spacing w:after="0"/>
        <w:tabs>
          <w:tab w:leader="none" w:pos="3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amount represents a $660 contribution to Ms. Morgan’s Health Savings Account and a $1,000 contribution to Ms. Morgan’s 401(k).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8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From time to time, we may grant equity awards in the form of stock options and RSUs to our named executive officers, which are generally subject to vesting based on each named executive officer’s continued service with us. Each of our named executive officers currently holds outstanding options to purchase shares of our common stock that were granted under our 2011 Plan, as set forth in the table below titled “—Outstanding Equity Awards at 2020 Fiscal Year-End.”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for each of our named executive officers, information regarding outstanding equity awards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ind w:left="88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right"/>
              <w:ind w:right="844"/>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7"/>
        </w:trPr>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5"/>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Securities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Securities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5"/>
                <w:szCs w:val="15"/>
                <w:color w:val="auto"/>
              </w:rPr>
            </w:pPr>
          </w:p>
        </w:tc>
        <w:tc>
          <w:tcPr>
            <w:tcW w:w="12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Market Value of</w:t>
            </w:r>
          </w:p>
        </w:tc>
      </w:tr>
      <w:tr>
        <w:trPr>
          <w:trHeight w:val="176"/>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Unexercised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or Units of Stock</w:t>
            </w:r>
          </w:p>
        </w:tc>
        <w:tc>
          <w:tcPr>
            <w:tcW w:w="100" w:type="dxa"/>
            <w:vAlign w:val="bottom"/>
          </w:tcPr>
          <w:p>
            <w:pPr>
              <w:spacing w:after="0"/>
              <w:rPr>
                <w:sz w:val="15"/>
                <w:szCs w:val="15"/>
                <w:color w:val="auto"/>
              </w:rPr>
            </w:pPr>
          </w:p>
        </w:tc>
        <w:tc>
          <w:tcPr>
            <w:tcW w:w="12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Shares or Units of</w:t>
            </w:r>
          </w:p>
        </w:tc>
      </w:tr>
      <w:tr>
        <w:trPr>
          <w:trHeight w:val="172"/>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 Exercisable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Unexercised Options</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 Exercise</w:t>
            </w: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 Expiration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that Have Not</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Stock that Have Not</w:t>
            </w:r>
          </w:p>
        </w:tc>
      </w:tr>
      <w:tr>
        <w:trPr>
          <w:trHeight w:val="215"/>
        </w:trPr>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 (#)</w:t>
            </w:r>
            <w:r>
              <w:rPr>
                <w:rFonts w:ascii="Arial" w:cs="Arial" w:eastAsia="Arial" w:hAnsi="Arial"/>
                <w:sz w:val="18"/>
                <w:szCs w:val="18"/>
                <w:b w:val="1"/>
                <w:bCs w:val="1"/>
                <w:color w:val="auto"/>
                <w:w w:val="90"/>
                <w:vertAlign w:val="superscript"/>
              </w:rPr>
              <w:t>(3)</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Price ($)</w:t>
            </w: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Vested ($)</w:t>
            </w:r>
            <w:r>
              <w:rPr>
                <w:rFonts w:ascii="Arial" w:cs="Arial" w:eastAsia="Arial" w:hAnsi="Arial"/>
                <w:sz w:val="18"/>
                <w:szCs w:val="18"/>
                <w:b w:val="1"/>
                <w:bCs w:val="1"/>
                <w:color w:val="auto"/>
                <w:w w:val="88"/>
                <w:vertAlign w:val="superscript"/>
              </w:rPr>
              <w:t>(4)</w:t>
            </w:r>
          </w:p>
        </w:tc>
      </w:tr>
      <w:tr>
        <w:trPr>
          <w:trHeight w:val="21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Matthew</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7/13/2018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159,494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line="213" w:lineRule="exact"/>
              <w:rPr>
                <w:sz w:val="20"/>
                <w:szCs w:val="20"/>
                <w:color w:val="auto"/>
              </w:rPr>
            </w:pPr>
            <w:r>
              <w:rPr>
                <w:rFonts w:ascii="Arial" w:cs="Arial" w:eastAsia="Arial" w:hAnsi="Arial"/>
                <w:sz w:val="16"/>
                <w:szCs w:val="16"/>
                <w:color w:val="auto"/>
              </w:rPr>
              <w:t>1,543,533</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7/13/2028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Oppenheimer</w:t>
            </w: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57"/>
        </w:trPr>
        <w:tc>
          <w:tcPr>
            <w:tcW w:w="1580" w:type="dxa"/>
            <w:vAlign w:val="bottom"/>
            <w:gridSpan w:val="2"/>
          </w:tcPr>
          <w:p>
            <w:pPr>
              <w:ind w:left="20"/>
              <w:spacing w:after="0"/>
              <w:rPr>
                <w:sz w:val="20"/>
                <w:szCs w:val="20"/>
                <w:color w:val="auto"/>
              </w:rPr>
            </w:pPr>
            <w:r>
              <w:rPr>
                <w:rFonts w:ascii="Arial" w:cs="Arial" w:eastAsia="Arial" w:hAnsi="Arial"/>
                <w:sz w:val="16"/>
                <w:szCs w:val="16"/>
                <w:color w:val="auto"/>
              </w:rPr>
              <w:t>Joshua Hug</w:t>
            </w:r>
          </w:p>
        </w:tc>
        <w:tc>
          <w:tcPr>
            <w:tcW w:w="1280" w:type="dxa"/>
            <w:vAlign w:val="bottom"/>
          </w:tcPr>
          <w:p>
            <w:pPr>
              <w:jc w:val="right"/>
              <w:spacing w:after="0"/>
              <w:rPr>
                <w:sz w:val="20"/>
                <w:szCs w:val="20"/>
                <w:color w:val="auto"/>
              </w:rPr>
            </w:pPr>
            <w:r>
              <w:rPr>
                <w:rFonts w:ascii="Arial" w:cs="Arial" w:eastAsia="Arial" w:hAnsi="Arial"/>
                <w:sz w:val="16"/>
                <w:szCs w:val="16"/>
                <w:color w:val="auto"/>
              </w:rPr>
              <w:t>7/13/2018</w:t>
            </w:r>
          </w:p>
        </w:tc>
        <w:tc>
          <w:tcPr>
            <w:tcW w:w="100" w:type="dxa"/>
            <w:vAlign w:val="bottom"/>
          </w:tcPr>
          <w:p>
            <w:pPr>
              <w:spacing w:after="0"/>
              <w:rPr>
                <w:sz w:val="22"/>
                <w:szCs w:val="22"/>
                <w:color w:val="auto"/>
              </w:rPr>
            </w:pPr>
          </w:p>
        </w:tc>
        <w:tc>
          <w:tcPr>
            <w:tcW w:w="140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466,667</w:t>
            </w:r>
            <w:r>
              <w:rPr>
                <w:rFonts w:ascii="Arial" w:cs="Arial" w:eastAsia="Arial" w:hAnsi="Arial"/>
                <w:sz w:val="21"/>
                <w:szCs w:val="21"/>
                <w:color w:val="auto"/>
                <w:vertAlign w:val="superscript"/>
              </w:rPr>
              <w:t>(6)</w:t>
            </w:r>
          </w:p>
        </w:tc>
        <w:tc>
          <w:tcPr>
            <w:tcW w:w="1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2,310,002</w:t>
            </w:r>
          </w:p>
        </w:tc>
      </w:tr>
      <w:tr>
        <w:trPr>
          <w:trHeight w:val="257"/>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Susanna Morgan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8/31/2018</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421,666</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458,334</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8/31/2028</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All of the outstanding equity awards were granted under the 2011 Plan.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column reflects options that are early exercisable and vested as of December 31, 2020.</w:t>
      </w:r>
    </w:p>
    <w:p>
      <w:pPr>
        <w:spacing w:after="0" w:line="14" w:lineRule="exact"/>
        <w:rPr>
          <w:rFonts w:ascii="Arial" w:cs="Arial" w:eastAsia="Arial" w:hAnsi="Arial"/>
          <w:sz w:val="14"/>
          <w:szCs w:val="14"/>
          <w:color w:val="auto"/>
        </w:rPr>
      </w:pPr>
    </w:p>
    <w:p>
      <w:pPr>
        <w:ind w:left="340" w:right="440" w:hanging="332"/>
        <w:spacing w:after="0" w:line="26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column reflects options that are early exercisable and unvested as of December 31, 2020, subject to our right to repurchase unvested shares in the event that the named executive officer’s service with us terminates.</w:t>
      </w:r>
    </w:p>
    <w:p>
      <w:pPr>
        <w:ind w:left="340" w:right="60" w:hanging="332"/>
        <w:spacing w:after="0" w:line="26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$4.95 per share as of December 31, 2020 (the determination of the fair market value by our board of directors) multiplied by the amount shown in the column for the number of shares that have not vested.</w:t>
      </w:r>
    </w:p>
    <w:p>
      <w:pPr>
        <w:ind w:left="340" w:hanging="332"/>
        <w:spacing w:after="0" w:line="281" w:lineRule="auto"/>
        <w:tabs>
          <w:tab w:leader="none" w:pos="3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This amount reflects the remaining unexercised and unvested shares subject to an option granted to Mr. Oppenheimer following Mr. Oppenheimer’s early exercise of 800,000 shares. Subject to Mr. Oppenheimer’s continued service with us through each vesting date, the shares underlying the stock option vest as follows: with a vesting commencement date of April 1, 2018, (a) 10% of the shares subject to the option vested monthly during the first year following the vesting commencement date; (b) 15% of the shares subject to the option vested monthly during the year following the second anniversary of the vesting commencement date; (c) 20% of the shares subject to the option vested monthly during the year following the third anniversary of the vesting commencement date; (d) 25% of the shares subject to the option shall vest monthly during the year following the fourth anniversary of the vesting commencement date; and (e) 30% of the shares subject to the option shall vest monthly during the year following the fifth anniversary of the vesting commencement date.</w:t>
      </w:r>
    </w:p>
    <w:p>
      <w:pPr>
        <w:spacing w:after="0" w:line="2" w:lineRule="exact"/>
        <w:rPr>
          <w:rFonts w:ascii="Arial" w:cs="Arial" w:eastAsia="Arial" w:hAnsi="Arial"/>
          <w:sz w:val="13"/>
          <w:szCs w:val="13"/>
          <w:color w:val="auto"/>
        </w:rPr>
      </w:pPr>
    </w:p>
    <w:p>
      <w:pPr>
        <w:ind w:left="340" w:right="40" w:hanging="332"/>
        <w:spacing w:after="0" w:line="261"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This amount represents shares acquired upon the early exercise of a stock option award that remains subject to vesting conditions and forfeiture. Subject to Mr. Hug’s continued service with us through each vesting date, 16,666 shares vest monthly, subject to our right of repurchase in the event of Mr. Hug’s termination of services.</w:t>
      </w:r>
    </w:p>
    <w:p>
      <w:pPr>
        <w:ind w:left="340" w:right="220" w:hanging="332"/>
        <w:spacing w:after="0" w:line="283"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25% of the shares underlying Ms. Morgan’s stock option vested on the one-year anniversary of the August 22, 2018 vesting commencement date and an additional 1/48th of the shares of our common stock underlying the stock option vests each month thereafter, subject to Ms. Morgan’s continuous service through each such vesting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89" w:lineRule="exact"/>
        <w:rPr>
          <w:sz w:val="20"/>
          <w:szCs w:val="20"/>
          <w:color w:val="auto"/>
        </w:rPr>
      </w:pPr>
    </w:p>
    <w:p>
      <w:pPr>
        <w:ind w:right="100" w:firstLine="324"/>
        <w:spacing w:after="0" w:line="359" w:lineRule="auto"/>
        <w:rPr>
          <w:sz w:val="20"/>
          <w:szCs w:val="20"/>
          <w:color w:val="auto"/>
        </w:rPr>
      </w:pPr>
      <w:r>
        <w:rPr>
          <w:rFonts w:ascii="Arial" w:cs="Arial" w:eastAsia="Arial" w:hAnsi="Arial"/>
          <w:sz w:val="16"/>
          <w:szCs w:val="16"/>
          <w:color w:val="auto"/>
        </w:rPr>
        <w:t>We have entered into amended and restated offer letters with each of our named executive officers. Any potential payments and benefits due upon a termination of employment or a change in control of us are further described below in the section titled “--Change in Control and Severance Agreements.”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Matthew Oppenheimer</w:t>
      </w:r>
    </w:p>
    <w:p>
      <w:pPr>
        <w:spacing w:after="0" w:line="185" w:lineRule="exact"/>
        <w:rPr>
          <w:sz w:val="20"/>
          <w:szCs w:val="20"/>
          <w:color w:val="auto"/>
        </w:rPr>
      </w:pPr>
    </w:p>
    <w:p>
      <w:pPr>
        <w:ind w:right="80" w:firstLine="324"/>
        <w:spacing w:after="0" w:line="329" w:lineRule="auto"/>
        <w:rPr>
          <w:sz w:val="20"/>
          <w:szCs w:val="20"/>
          <w:color w:val="auto"/>
        </w:rPr>
      </w:pPr>
      <w:r>
        <w:rPr>
          <w:rFonts w:ascii="Arial" w:cs="Arial" w:eastAsia="Arial" w:hAnsi="Arial"/>
          <w:sz w:val="16"/>
          <w:szCs w:val="16"/>
          <w:color w:val="auto"/>
        </w:rPr>
        <w:t>In July 2018, we entered into an offer letter with Mr. Oppenheimer, our President and Chief Executive Officer, as amended and restated in September 2021. The offer letter provides that Mr. Oppenheimer will receive an annual base salary and states that Mr. Oppenheimer is an at-will employee and does not have a fixed employment term. Mr. Oppenheimer is eligible to participate in our employee benefit plans to the extent he meets eligibility requirements.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Joshua Hug</w:t>
      </w:r>
    </w:p>
    <w:p>
      <w:pPr>
        <w:spacing w:after="0" w:line="185"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8"/>
          <w:szCs w:val="18"/>
          <w:color w:val="auto"/>
        </w:rPr>
        <w:t>In July 2018, we entered into an offer letter with Mr. Hug, our Chief Operating Officer, as amended and restated in September 2021. The offer letter provides that Mr. Hug will receive an annual base salary and states that Mr. Hug is an at-will employee and does not have a fixed employment term. Mr. Hug is eligible to participate in our employee benefit plans to the extent he meets eligibility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Susanna Morgan</w:t>
      </w:r>
    </w:p>
    <w:p>
      <w:pPr>
        <w:spacing w:after="0" w:line="185"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In July 2018, we entered into an offer letter with Ms. Morgan, our Chief Financial Officer, as amended and restated in September 2021. The offer letter provides that Ms. Morgan will receive an annual base salary and states that Ms. Morgan is an at-will employee and does not have a fixed employment term. Ms. Morgan is eligible to participate in our employee benefit plans to the extent she meets eligibility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89" w:lineRule="exact"/>
        <w:rPr>
          <w:sz w:val="20"/>
          <w:szCs w:val="20"/>
          <w:color w:val="auto"/>
        </w:rPr>
      </w:pPr>
    </w:p>
    <w:p>
      <w:pPr>
        <w:ind w:right="440" w:firstLine="324"/>
        <w:spacing w:after="0" w:line="275" w:lineRule="auto"/>
        <w:rPr>
          <w:sz w:val="20"/>
          <w:szCs w:val="20"/>
          <w:color w:val="auto"/>
        </w:rPr>
      </w:pPr>
      <w:r>
        <w:rPr>
          <w:rFonts w:ascii="Arial" w:cs="Arial" w:eastAsia="Arial" w:hAnsi="Arial"/>
          <w:sz w:val="18"/>
          <w:szCs w:val="18"/>
          <w:color w:val="auto"/>
        </w:rPr>
        <w:t>In September 2021, we entered into Change in Control and Severance Agreements with each of our named executive officers, which Change in Control and Severance Agreements will become effective on the effectiveness of the registration statement of which this prospectus forms a part. The Change in Control and Severance Agreements will, once effective, supersede and replace any prior severance or acceleration protections to which the named executive officers were entitled.</w:t>
      </w:r>
    </w:p>
    <w:p>
      <w:pPr>
        <w:spacing w:after="0" w:line="13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7"/>
          <w:szCs w:val="17"/>
          <w:color w:val="auto"/>
        </w:rPr>
        <w:t>These agreements provide for benefits upon either a termination by us of the executive officer's employment without “cause” or a resignation by the executive officer for “good reason” (each as defined in the Change in Control and Severance Agreement); provided, however that Ms. Morgan is not entitled to good reason protection outside of the change in control period (defined below). We refer to either of these terminations as a “qualifying termination.” The benefits provided under the Change in Control and Severance Agreements vary depending on whether the executive officer is subject to a qualifying termination within a period commencing three months prior to a “change in control” (as defined in the Severance and Change in Control Agreement) and ending 12 months following such change of control, which period we refer to as the “change in control period.”</w:t>
      </w:r>
    </w:p>
    <w:p>
      <w:pPr>
        <w:spacing w:after="0" w:line="122"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If a qualifying termination occurs prior to or after the change of control period, subject to the executive officer's timely execution and non-revocation of a release of claims, the executive officer will be entitled to:</w:t>
      </w:r>
    </w:p>
    <w:p>
      <w:pPr>
        <w:spacing w:after="0" w:line="116" w:lineRule="exact"/>
        <w:rPr>
          <w:sz w:val="20"/>
          <w:szCs w:val="20"/>
          <w:color w:val="auto"/>
        </w:rPr>
      </w:pPr>
    </w:p>
    <w:p>
      <w:pPr>
        <w:jc w:val="both"/>
        <w:ind w:left="660" w:right="100" w:hanging="328"/>
        <w:spacing w:after="0" w:line="27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lump sum cash payment equal to 12 months’ base salary, in the case of Messrs. Oppenheimer and Hug, and 6 months’ base salary in the case of Ms. Morgan, in each case payable no later than the first regular payroll date occurring after the 60th day following the termination and subject to applicable withholdings;</w:t>
      </w:r>
    </w:p>
    <w:p>
      <w:pPr>
        <w:spacing w:after="0" w:line="128" w:lineRule="exact"/>
        <w:rPr>
          <w:rFonts w:ascii="Arial" w:cs="Arial" w:eastAsia="Arial" w:hAnsi="Arial"/>
          <w:sz w:val="18"/>
          <w:szCs w:val="18"/>
          <w:color w:val="auto"/>
        </w:rPr>
      </w:pPr>
    </w:p>
    <w:p>
      <w:pPr>
        <w:ind w:left="660" w:right="20" w:hanging="328"/>
        <w:spacing w:after="0" w:line="329" w:lineRule="auto"/>
        <w:tabs>
          <w:tab w:leader="none" w:pos="6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named executive officer elects to continue his or her health insurance coverage under the Consolidated Omnibus Budget Reconciliation Act of 1985, or COBRA, payment of the premiums for the named executive officer’s continued health insurance (or equivalent taxable cash payment, if applicable law so requires) for up to 12 months in the case of Messrs. Oppenheimer and Hug and up to 6 months in the case of Ms. Morgan; and</w:t>
      </w:r>
    </w:p>
    <w:p>
      <w:pPr>
        <w:spacing w:after="0" w:line="93" w:lineRule="exact"/>
        <w:rPr>
          <w:rFonts w:ascii="Arial" w:cs="Arial" w:eastAsia="Arial" w:hAnsi="Arial"/>
          <w:sz w:val="16"/>
          <w:szCs w:val="16"/>
          <w:color w:val="auto"/>
        </w:rPr>
      </w:pPr>
    </w:p>
    <w:p>
      <w:pPr>
        <w:ind w:left="660" w:right="160" w:hanging="328"/>
        <w:spacing w:after="0" w:line="27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Messrs. Oppenheimer and Hug, 25% of the executive’s then-unvested and outstanding equity awards will accelerate and become vested and, as applicable, exercisable (with any unearned performance-based awards to be deemed earned based on actual performance or, if not determinable, on 100% of target, unless otherwise set forth in an award agreement).</w:t>
      </w:r>
    </w:p>
    <w:p>
      <w:pPr>
        <w:spacing w:after="0" w:line="1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8"/>
          <w:szCs w:val="18"/>
          <w:color w:val="auto"/>
        </w:rPr>
        <w:t>If a qualifying termination occurs during the change of control period, subject to the named executive officer's timely execution and non-revocation of a release of claims, the named executive officer will be entitled to:</w:t>
      </w:r>
    </w:p>
    <w:p>
      <w:pPr>
        <w:spacing w:after="0" w:line="116" w:lineRule="exact"/>
        <w:rPr>
          <w:sz w:val="20"/>
          <w:szCs w:val="20"/>
          <w:color w:val="auto"/>
        </w:rPr>
      </w:pPr>
    </w:p>
    <w:p>
      <w:pPr>
        <w:ind w:left="660" w:right="160" w:hanging="328"/>
        <w:spacing w:after="0" w:line="279"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lump sum cash payment of 18 months’ base salary, in the case of Messrs. Oppenheimer and Hug and 12 months’ base salary in the case of Ms. Morgan, in each case payable no later than the first regular payroll date occurring after the 60th day following the termination and subject to applicable withholdings;</w:t>
      </w:r>
    </w:p>
    <w:p>
      <w:pPr>
        <w:spacing w:after="0" w:line="128" w:lineRule="exact"/>
        <w:rPr>
          <w:rFonts w:ascii="Arial" w:cs="Arial" w:eastAsia="Arial" w:hAnsi="Arial"/>
          <w:sz w:val="18"/>
          <w:szCs w:val="18"/>
          <w:color w:val="auto"/>
        </w:rPr>
      </w:pPr>
    </w:p>
    <w:p>
      <w:pPr>
        <w:ind w:left="660" w:right="20" w:hanging="328"/>
        <w:spacing w:after="0" w:line="279"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150% of the executive’s annual target bonus, in the case of Messrs. Oppenheimer and Hug, and 100% of the executive’s annual target bonus in the case of Ms. Morgan, in each case payable no later than the first regular payroll date occurring after the 60th day following the termination and subject to applicable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157" w:lineRule="exact"/>
        <w:rPr>
          <w:sz w:val="20"/>
          <w:szCs w:val="20"/>
          <w:color w:val="auto"/>
        </w:rPr>
      </w:pPr>
    </w:p>
    <w:p>
      <w:pPr>
        <w:ind w:left="660" w:right="100" w:hanging="328"/>
        <w:spacing w:after="0" w:line="279"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named executive officer elects to continue his or her health insurance coverage under COBRA, payment of the premiums for continued health insurance (or equivalent cash payment, if applicable law so requires) for up to 18 months in the case of Messrs. Oppenheimer and Hug and up to 12 months in the case of Ms. Morgan; and</w:t>
      </w:r>
    </w:p>
    <w:p>
      <w:pPr>
        <w:spacing w:after="0" w:line="128"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100% of each of the named executive officer’s then-outstanding and unvested equity awards will accelerate and become vested and, as applicable, exercisable (with any unearned performance-based awards to be deemed earned based on actual performance or, if not determinable, on 100% of target, unless otherwise set forth in an award agreement).</w:t>
      </w:r>
    </w:p>
    <w:p>
      <w:pPr>
        <w:spacing w:after="0" w:line="129" w:lineRule="exact"/>
        <w:rPr>
          <w:sz w:val="20"/>
          <w:szCs w:val="20"/>
          <w:color w:val="auto"/>
        </w:rPr>
      </w:pPr>
    </w:p>
    <w:p>
      <w:pPr>
        <w:jc w:val="both"/>
        <w:ind w:right="380" w:firstLine="324"/>
        <w:spacing w:after="0" w:line="359" w:lineRule="auto"/>
        <w:rPr>
          <w:sz w:val="20"/>
          <w:szCs w:val="20"/>
          <w:color w:val="auto"/>
        </w:rPr>
      </w:pPr>
      <w:r>
        <w:rPr>
          <w:rFonts w:ascii="Arial" w:cs="Arial" w:eastAsia="Arial" w:hAnsi="Arial"/>
          <w:sz w:val="16"/>
          <w:szCs w:val="16"/>
          <w:color w:val="auto"/>
        </w:rPr>
        <w:t>The Change in Control and Severance Agreements will be in effect for three years from the effective date in the case of Messrs. Oppenheimer and Hug, and two years from the effective date in the case of Ms. Morgan, in each case unless renewed, or earlier terminated, subject to certain limitations.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89"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8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color w:val="auto"/>
        </w:rPr>
        <w:t>In November 2011, we adopted the 2011 Plan, as most recently amended on February 17, 2021. The purpose of the 2011 Plan is to provide incentives to attract, retain, and motivate eligible persons whose present and potential contributions are important to our success.</w:t>
      </w:r>
    </w:p>
    <w:p>
      <w:pPr>
        <w:spacing w:after="0" w:line="1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June 30, 2021, we had 43,899,677 shares of our common stock reserved for issuance pursuant to grants under our 2011 Plan,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1,934,742 shares remained available for grant. As of June 30, 2021, options to purchase 15,627,636 shares had been exercised; options to purchase 25,355,906 shares remained outstanding, with a weighted-average exercise price of $3.13 per share; and 617,696 RSUs were issued and outstanding. As of June 30, 2021, no shares of restricted stock were granted under the 2011 Plan, and no such awards are expected to be granted prior to the offering; provided that certain options granted under the 2011 Plan are early exercisable and may be exercised for unvested shares of our common stock subject to a repurchase right. No new awards will be granted under the 2011 Plan after the offering.</w:t>
      </w:r>
    </w:p>
    <w:p>
      <w:pPr>
        <w:spacing w:after="0" w:line="122" w:lineRule="exact"/>
        <w:rPr>
          <w:sz w:val="20"/>
          <w:szCs w:val="20"/>
          <w:color w:val="auto"/>
        </w:rPr>
      </w:pPr>
    </w:p>
    <w:p>
      <w:pPr>
        <w:ind w:right="20" w:firstLine="324"/>
        <w:spacing w:after="0" w:line="296"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2011 Plan is administered by our board of directors or a committee appointed by our board of directors, referred to herein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Subject to the terms of the 2011 Plan, the administrator has the authority to, among other things, select the persons to whom awards will be granted, construe and interpret our 2011 Plan, as well as to prescribe, amend, and rescind rules and regulations relating to the 2011 Plan and awards granted thereunder. The administrator may modify awards subject to the terms of the 2011 Plan.</w:t>
      </w:r>
    </w:p>
    <w:p>
      <w:pPr>
        <w:spacing w:after="0" w:line="116" w:lineRule="exact"/>
        <w:rPr>
          <w:sz w:val="20"/>
          <w:szCs w:val="20"/>
          <w:color w:val="auto"/>
        </w:rPr>
      </w:pPr>
    </w:p>
    <w:p>
      <w:pPr>
        <w:ind w:right="340" w:firstLine="324"/>
        <w:spacing w:after="0" w:line="275"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Pursuant to the 2011 Plan, we may grant incentive stock options (“ISOs”) only to our employees or the employees of our parent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as applicable (including officers and directors who are also employees). We may grant non-statutory stock options (“NQSOs”), RSUs, and shares of restricted stock to our employees (including officers and directors who are also employees), non-employee directors, and consultants, or the employees, directors, and consultants of our parent and subsidiaries, as applicable.</w:t>
      </w:r>
    </w:p>
    <w:p>
      <w:pPr>
        <w:spacing w:after="0" w:line="131"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2011 Plan provides for the grant of both (1) ISOs, which are intended to qualify for tax treatment as set forth under Section 422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Revenue Code of 1988, as amended (“Code”) and (2) non-statutory stock options to purchase shares of our common stock, each at a stated exercise price. The exercise price of each option must be at least equal to the fair market value of our common stock on the date of grant (unless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57"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determined by the administrator). However, the exercise price of any ISO granted to an individual who owns more than ten percent of the total combined voting power of all classes of our capital stock must be at least equal to 110% of the fair market value of our common stock on the date of grant. The administrator will determine the vesting schedule applicable to each option. The maximum permitted term of options granted under our 2011 Plan is ten years from the date of grant, except that the maximum permitted term of ISOs granted to an individual who owns more than ten percent of the total combined voting power of all classes of our capital stock is five years from the date of grant.</w:t>
      </w:r>
    </w:p>
    <w:p>
      <w:pPr>
        <w:spacing w:after="0" w:line="120"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i w:val="1"/>
          <w:iCs w:val="1"/>
          <w:color w:val="auto"/>
        </w:rPr>
        <w:t xml:space="preserve">Restricted Stock, RSUs. </w:t>
      </w:r>
      <w:r>
        <w:rPr>
          <w:rFonts w:ascii="Arial" w:cs="Arial" w:eastAsia="Arial" w:hAnsi="Arial"/>
          <w:sz w:val="18"/>
          <w:szCs w:val="18"/>
          <w:color w:val="auto"/>
        </w:rPr>
        <w:t>In addition, the 2011 Plan allows for the grant of restricted stock awards (“RSAs”) and RSUs, with terms as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(in accordance with the 2011 Plan) and to be set forth in an award agreement. We have not granted any shares of restricted stock under the 2011 Plan and no such awards are expected to be granted prior to the offering; provided that certain options granted under the 2011 Plan are early exercisable and may be exercised for unvested shares of our common stock subject to a repurchase right. As of June 30, 2021, we had 617,696 RSUs issued and outstanding.</w:t>
      </w:r>
    </w:p>
    <w:p>
      <w:pPr>
        <w:spacing w:after="0" w:line="137" w:lineRule="exact"/>
        <w:rPr>
          <w:sz w:val="20"/>
          <w:szCs w:val="20"/>
          <w:color w:val="auto"/>
        </w:rPr>
      </w:pPr>
    </w:p>
    <w:p>
      <w:pPr>
        <w:ind w:right="20" w:firstLine="324"/>
        <w:spacing w:after="0" w:line="329" w:lineRule="auto"/>
        <w:rPr>
          <w:sz w:val="20"/>
          <w:szCs w:val="20"/>
          <w:color w:val="auto"/>
        </w:rPr>
      </w:pPr>
      <w:r>
        <w:rPr>
          <w:rFonts w:ascii="Arial" w:cs="Arial" w:eastAsia="Arial" w:hAnsi="Arial"/>
          <w:sz w:val="16"/>
          <w:szCs w:val="16"/>
          <w:i w:val="1"/>
          <w:iCs w:val="1"/>
          <w:color w:val="auto"/>
        </w:rPr>
        <w:t xml:space="preserve">Limited Transferability. </w:t>
      </w:r>
      <w:r>
        <w:rPr>
          <w:rFonts w:ascii="Arial" w:cs="Arial" w:eastAsia="Arial" w:hAnsi="Arial"/>
          <w:sz w:val="16"/>
          <w:szCs w:val="16"/>
          <w:color w:val="auto"/>
        </w:rPr>
        <w:t>Unless otherwise determined by the administrator, awards under the 2011 Plan generally may not be transferred or assigned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by will, the laws of descent and distribution and, with respect to non-statutory stock options, by instrument to an inter vivos or testamentary trust in which the non-statutory stock options are to be passed to beneficiaries upon the death of the trustor, or by gift to a qualified family member.</w:t>
      </w:r>
    </w:p>
    <w:p>
      <w:pPr>
        <w:spacing w:after="0" w:line="9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In the event that we are subject to an “acquisition” or “other combination” (as defined in the 2011 Plan and generally meaning,</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a merger, a sale or transfer of more than 50% of the voting power of all of our outstanding securities, or a sale of all or substantially all of our assets), the 2011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122" w:lineRule="exact"/>
        <w:rPr>
          <w:sz w:val="20"/>
          <w:szCs w:val="20"/>
          <w:color w:val="auto"/>
        </w:rPr>
      </w:pPr>
    </w:p>
    <w:p>
      <w:pPr>
        <w:ind w:right="60" w:firstLine="324"/>
        <w:spacing w:after="0" w:line="314"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In the event that the number of outstanding shares of our common stock is changed by a stock dividend, recapitalization,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reverse stock split, subdivision, combination, reclassification, or similar change in our capital structure affecting our shares without consideration, then in order to prevent diminution or enlargement of the benefits or potential benefits intended to be made available under the 2011 Plan (1) the number of shares reserved for issuance under the 2011 Plan, (2) the exercise prices of and number of shares subject to outstanding options, and (3) the purchase prices of and/or number of shares subject to other outstanding awards will be proportionately adjusted (subject to required action by the board or our stockholders).</w:t>
      </w:r>
    </w:p>
    <w:p>
      <w:pPr>
        <w:spacing w:after="0" w:line="10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8"/>
          <w:szCs w:val="18"/>
          <w:i w:val="1"/>
          <w:iCs w:val="1"/>
          <w:color w:val="auto"/>
        </w:rPr>
        <w:t xml:space="preserve">Exchange, Repricing, and Buyout of Awards. </w:t>
      </w:r>
      <w:r>
        <w:rPr>
          <w:rFonts w:ascii="Arial" w:cs="Arial" w:eastAsia="Arial" w:hAnsi="Arial"/>
          <w:sz w:val="18"/>
          <w:szCs w:val="18"/>
          <w:color w:val="auto"/>
        </w:rPr>
        <w:t>The administrator may, with the consent of the respective participants, issue new awards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surrender and cancellation of any or all outstanding awards. The administrator may also buy an award previously granted with payment in cash, shares, or other consideration, in each case, subject to the terms of the 2011 Plan.</w:t>
      </w:r>
    </w:p>
    <w:p>
      <w:pPr>
        <w:spacing w:after="0" w:line="1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Our board of directors may amend or terminate the 2011 Plan at any time and may terminate any and all outstanding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RSUs upon a dissolution or liquidation of us, provided that certain amendments will require stockholder approval or participant consent. We expect to terminate the 2011 Plan and will cease issuing awards thereunder upon the effective date of our 2021 Equity Incentive Plan (described below), which is the date immediately prior to the date of the effectiveness of the registration statement of which this prospectus forms a part. Any outstanding awards granted under the 2011 Plan will remain outstanding following the offering, subject to the terms of our 2011 Plan and applicable award agreements, until such awards are exercised or until they terminate or expire by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85" w:lineRule="exact"/>
        <w:rPr>
          <w:sz w:val="20"/>
          <w:szCs w:val="20"/>
          <w:color w:val="auto"/>
        </w:rPr>
      </w:pPr>
    </w:p>
    <w:p>
      <w:pPr>
        <w:ind w:right="80" w:firstLine="324"/>
        <w:spacing w:after="0" w:line="292" w:lineRule="auto"/>
        <w:rPr>
          <w:sz w:val="20"/>
          <w:szCs w:val="20"/>
          <w:color w:val="auto"/>
        </w:rPr>
      </w:pPr>
      <w:r>
        <w:rPr>
          <w:rFonts w:ascii="Arial" w:cs="Arial" w:eastAsia="Arial" w:hAnsi="Arial"/>
          <w:sz w:val="17"/>
          <w:szCs w:val="17"/>
          <w:color w:val="auto"/>
        </w:rPr>
        <w:t>In August and September 2021, our board of directors and our stockholders approved our 2021 Equity Incentive Plan (the “2021 Plan”) as a successor to our 2011 Plan that will become effective on the date immediately prior to the effectiveness of the registration statement of which this prospectus forms a part. The 2021 Plan authorizes the award of both ISOs, which are intended to qualify for tax treatment under Section 422 of the Code, and NQSOs, as well for the award of RSAs, stock appreciation rights (“SARs”), RSUs, and performance and stock bonus awards. Pursuant to the 2021 Plan, ISOs may be granted only to our employees. We may grant all other types of awards to our employees, directors, and consultants.</w:t>
      </w:r>
    </w:p>
    <w:p>
      <w:pPr>
        <w:spacing w:after="0" w:line="120"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initially reserved 25,000,000 shares of our common stock, plus any reserved shares not issued or subject to outstanding grants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2011 Plan on the effective date of the 2021 Plan, for issuance pursuant to awards granted under our 2021 Plan. The number of shares reserved for issuance under our 2021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talent and compensation committee, or by our board of directors acting in place of our talent and compensation committee.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Plan:</w:t>
      </w:r>
    </w:p>
    <w:p>
      <w:pPr>
        <w:spacing w:after="0" w:line="185" w:lineRule="exact"/>
        <w:rPr>
          <w:sz w:val="20"/>
          <w:szCs w:val="20"/>
          <w:color w:val="auto"/>
        </w:rPr>
      </w:pPr>
    </w:p>
    <w:p>
      <w:pPr>
        <w:ind w:left="660" w:right="160" w:hanging="328"/>
        <w:spacing w:after="0" w:line="29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Plan that cease to be subject to the option or SAR for any reason other than exercise of the option or SAR;</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shares subject to awards granted under our 2021 Plan that are subsequently forfeited or repurchased by us at the original issue price;</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subject to awards granted under our 2021 Plan that otherwise terminate without such shares being issued;</w:t>
      </w:r>
    </w:p>
    <w:p>
      <w:pPr>
        <w:spacing w:after="0" w:line="184" w:lineRule="exact"/>
        <w:rPr>
          <w:rFonts w:ascii="Arial" w:cs="Arial" w:eastAsia="Arial" w:hAnsi="Arial"/>
          <w:sz w:val="18"/>
          <w:szCs w:val="18"/>
          <w:color w:val="auto"/>
        </w:rPr>
      </w:pPr>
    </w:p>
    <w:p>
      <w:pPr>
        <w:ind w:left="660" w:right="220" w:hanging="328"/>
        <w:spacing w:after="0" w:line="29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subject to awards granted under our 2021 Plan that are surrendered, canceled, or exchanged for cash or a different award (or combination thereof);</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issuable upon the exercise of options granted under our 2011 Plan that, after the effective date of the 2021 Plan, forfeited;</w:t>
      </w:r>
    </w:p>
    <w:p>
      <w:pPr>
        <w:spacing w:after="0" w:line="184"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subject to awards granted under our 2011 Plan that are forfeited or repurchased by us at the original price after the effective date of the 2021 Plan; and</w:t>
      </w:r>
    </w:p>
    <w:p>
      <w:pPr>
        <w:spacing w:after="0" w:line="115" w:lineRule="exact"/>
        <w:rPr>
          <w:rFonts w:ascii="Arial" w:cs="Arial" w:eastAsia="Arial" w:hAnsi="Arial"/>
          <w:sz w:val="18"/>
          <w:szCs w:val="18"/>
          <w:color w:val="auto"/>
        </w:rPr>
      </w:pPr>
    </w:p>
    <w:p>
      <w:pPr>
        <w:ind w:left="660" w:right="340" w:hanging="328"/>
        <w:spacing w:after="0" w:line="29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shares subject to awards under our 2011 Plan or our 2021 Plan that are used to pay the exercise price of an option or withheld to satisfy the tax withholding obligations related to any award.</w:t>
      </w:r>
    </w:p>
    <w:p>
      <w:pPr>
        <w:spacing w:after="0" w:line="116" w:lineRule="exact"/>
        <w:rPr>
          <w:sz w:val="20"/>
          <w:szCs w:val="20"/>
          <w:color w:val="auto"/>
        </w:rPr>
      </w:pPr>
    </w:p>
    <w:p>
      <w:pPr>
        <w:ind w:right="580" w:firstLine="324"/>
        <w:spacing w:after="0" w:line="293" w:lineRule="auto"/>
        <w:rPr>
          <w:sz w:val="20"/>
          <w:szCs w:val="20"/>
          <w:color w:val="auto"/>
        </w:rPr>
      </w:pPr>
      <w:r>
        <w:rPr>
          <w:rFonts w:ascii="Arial" w:cs="Arial" w:eastAsia="Arial" w:hAnsi="Arial"/>
          <w:sz w:val="18"/>
          <w:szCs w:val="18"/>
          <w:color w:val="auto"/>
        </w:rPr>
        <w:t>The shares of common stock underlying awards granted under the 2011 Plan that are forfeited, canceled, or otherwise returned to the 2021 Plan pursuant to the foregoing will become available for grant and issuance under the 2021 Plan.</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talent and compensation committee or by our board of directors acting in place of our talent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compensation committee. Subject to the terms and conditions of the 2021 Plan, the administrator will have the authority, among other things, to select the persons to whom awards may be granted, construe and interpret our 2021 Plan as well as to determine the terms of such awards and prescribe, amend and rescind the rules and regulations relating to the plan or any award granted thereunder. The 2021 Plan provides that the administrator may delegate its authority, including the authority to grant awards, to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57"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executive officers to the extent permitted by applicable law, provided that awards granted to non-employee directors may only be determined by our board of directors.</w:t>
      </w:r>
    </w:p>
    <w:p>
      <w:pPr>
        <w:spacing w:after="0" w:line="116" w:lineRule="exact"/>
        <w:rPr>
          <w:sz w:val="20"/>
          <w:szCs w:val="20"/>
          <w:color w:val="auto"/>
        </w:rPr>
      </w:pPr>
    </w:p>
    <w:p>
      <w:pPr>
        <w:ind w:right="20" w:firstLine="324"/>
        <w:spacing w:after="0" w:line="292"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2021 Plan provides for the grant of both ISOs intended to qualify under Section 422 of the Code, and NQSOs to purchase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at a stated exercise price. ISOs may only be granted to employees, including officers and directors who are also employees. The exercise price of stock options granted under the 2021 Plan must be at least equal to the fair market value of our common stock on the date of grant. ISOs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20" w:lineRule="exact"/>
        <w:rPr>
          <w:sz w:val="20"/>
          <w:szCs w:val="20"/>
          <w:color w:val="auto"/>
        </w:rPr>
      </w:pPr>
    </w:p>
    <w:p>
      <w:pPr>
        <w:ind w:right="20" w:firstLine="324"/>
        <w:spacing w:after="0" w:line="29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ISOs may only be granted to employees, including officers and directors who are also employees, and no more than shares may be issued pursuant to incentive stock options. The maximum term of options granted under our 2021 Plan is ten years from the date of grant, except that the maximum permitted term of ISOs granted to an individual who holds, directly or by attribution, more than ten percent of the total combined voting power of all classes of our capital stock is five years from the date of grant.</w:t>
      </w:r>
    </w:p>
    <w:p>
      <w:pPr>
        <w:spacing w:after="0" w:line="122"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Holders of RSAs, unlike holders of options, will have the right to vote and any dividends or distributions paid with respect to such shares, which will be subject to the same vesting terms and other restrictions as the RSA and will be accrued and paid when the vesting terms on such shares lapse. Unless otherwise determined by the administrator, vesting will cease on the date the participant no longer provides services to us and unvested shares may be forfeited to or repurchased by us.</w:t>
      </w:r>
    </w:p>
    <w:p>
      <w:pPr>
        <w:spacing w:after="0" w:line="137" w:lineRule="exact"/>
        <w:rPr>
          <w:sz w:val="20"/>
          <w:szCs w:val="20"/>
          <w:color w:val="auto"/>
        </w:rPr>
      </w:pPr>
    </w:p>
    <w:p>
      <w:pPr>
        <w:ind w:right="40" w:firstLine="324"/>
        <w:spacing w:after="0" w:line="275"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provides for a payment, in cash or shares of our common stock (up to a specified maximum of shares, if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to the participant based upon the difference between the fair market value of our common stock on the date of exercise and a predetermined exercise price, multiplied by the number of shares. SARs may vest based on service or achievement of performance conditions. No SAR may have a term that is longer than ten years from the date of grant.</w:t>
      </w:r>
    </w:p>
    <w:p>
      <w:pPr>
        <w:spacing w:after="0" w:line="131"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the right to receive the value of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RSUs may be settled in cash, shares of our common stock or a combination of both as soon as practicable following vesting or on a later date subject to the terms of the 2021 Plan. No RSU may have a term that is longer than ten years from the date of grant.</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Plan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common stock that may be settled in cash, property or by issuance of those shares, subject to the satisfaction or achievement of specified performance conditions.</w:t>
      </w:r>
    </w:p>
    <w:p>
      <w:pPr>
        <w:spacing w:after="0" w:line="129" w:lineRule="exact"/>
        <w:rPr>
          <w:sz w:val="20"/>
          <w:szCs w:val="20"/>
          <w:color w:val="auto"/>
        </w:rPr>
      </w:pPr>
    </w:p>
    <w:p>
      <w:pPr>
        <w:jc w:val="both"/>
        <w:ind w:right="180" w:firstLine="324"/>
        <w:spacing w:after="0" w:line="329" w:lineRule="auto"/>
        <w:rPr>
          <w:sz w:val="20"/>
          <w:szCs w:val="20"/>
          <w:color w:val="auto"/>
        </w:rPr>
      </w:pPr>
      <w:r>
        <w:rPr>
          <w:rFonts w:ascii="Arial" w:cs="Arial" w:eastAsia="Arial" w:hAnsi="Arial"/>
          <w:sz w:val="16"/>
          <w:szCs w:val="16"/>
          <w:i w:val="1"/>
          <w:iCs w:val="1"/>
          <w:color w:val="auto"/>
        </w:rPr>
        <w:t xml:space="preserve">Stock Bonus Awards. </w:t>
      </w:r>
      <w:r>
        <w:rPr>
          <w:rFonts w:ascii="Arial" w:cs="Arial" w:eastAsia="Arial" w:hAnsi="Arial"/>
          <w:sz w:val="16"/>
          <w:szCs w:val="16"/>
          <w:color w:val="auto"/>
        </w:rPr>
        <w:t>A stock bonus award provides for payment in the form of cash, shares of our common stock or a combination thereof,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4" w:lineRule="exact"/>
        <w:rPr>
          <w:sz w:val="20"/>
          <w:szCs w:val="20"/>
          <w:color w:val="auto"/>
        </w:rPr>
      </w:pPr>
    </w:p>
    <w:p>
      <w:pPr>
        <w:ind w:right="360" w:firstLine="324"/>
        <w:spacing w:after="0" w:line="293" w:lineRule="auto"/>
        <w:rPr>
          <w:sz w:val="20"/>
          <w:szCs w:val="20"/>
          <w:color w:val="auto"/>
        </w:rPr>
      </w:pPr>
      <w:r>
        <w:rPr>
          <w:rFonts w:ascii="Arial" w:cs="Arial" w:eastAsia="Arial" w:hAnsi="Arial"/>
          <w:sz w:val="18"/>
          <w:szCs w:val="18"/>
          <w:i w:val="1"/>
          <w:iCs w:val="1"/>
          <w:color w:val="auto"/>
        </w:rPr>
        <w:t xml:space="preserve">Dividend Equivalents Rights. </w:t>
      </w:r>
      <w:r>
        <w:rPr>
          <w:rFonts w:ascii="Arial" w:cs="Arial" w:eastAsia="Arial" w:hAnsi="Arial"/>
          <w:sz w:val="18"/>
          <w:szCs w:val="18"/>
          <w:color w:val="auto"/>
        </w:rPr>
        <w:t>Dividend equivalent rights may be granted at the discretion of the administrator and represent the right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dividends, if any, paid by us in respect of the number of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common stock underlying an award. Dividend equivalent rights will be subject to the same vesting or performance conditions as the underlying award and will be paid only when the underlying award becomes vested or may be deemed to have been reinvested by us. Dividend equivalent rights, if any, will be credited to participants in the form of additional whole shares.</w:t>
      </w:r>
    </w:p>
    <w:p>
      <w:pPr>
        <w:spacing w:after="0" w:line="129"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Our 2021 Plan provides that, in the event of a corporate transaction that constitutes a change of control of Remitly under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plan, outstanding awards will be subject to the agreement evidencing the change of control, which need not treat all outstanding awards in an identical manner, and may include one or more of the following: (1) the continuation of the outstanding awards, (2) the assumption of the outstanding awards by the surviving corporation or its parent, (3) the substitution by the surviving corporation or its parent of new options or equity awards for the outstanding awards, (4) the full or partial acceleration of exercisability or vesting or lapse of our right to repurchase or other terms of forfeiture and accelerated expiration of the award, or (5) the settlement of the full value of the outstanding awards (whether or not then vested or exercisable) in cash, cash equivalents, or securities of the successor entity with a fair market value equal to the required amount, as determined in accordance with the 2021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 In the event the successor refuses to assume, convert, replace or substitute awards as provided above pursuant to a corporate transaction, such awards will vest and, as applicable, become exercisable, and our right to repurchase will lapse at a time to be determined by our talent and compensation committee and our talent and compensation committee will notify each participant that such award will, if exercisable, be exercisable for a period of time determined by the committee and expire after such period. The vesting of all awards held by non-employee directors will accelerate upon the consummation of a corporate transaction.</w:t>
      </w:r>
    </w:p>
    <w:p>
      <w:pPr>
        <w:spacing w:after="0" w:line="112"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or class of outstanding shares of our common stock by reason of a stock dividend, extraordinary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or distribution (other than a regular cash dividend), recapitalization, stock split, reverse stock split, subdivision, combination, consolidation reclassification, spin-off, or similar change in our capital structure, proportional adjustments will be made to (1) the number and class of shares reserved for issuance under our 2021 Plan, (2) the exercise prices, number and class of shares subject to outstanding options or SARs, (3) the number and class of shares subject to other outstanding awards and (4) the maximum number of shares that may be issued as ISOs under the 2021 Plan, subject to any required action by the board or our stockholders and compliance with applicable laws.</w:t>
      </w:r>
    </w:p>
    <w:p>
      <w:pPr>
        <w:spacing w:after="0" w:line="122" w:lineRule="exact"/>
        <w:rPr>
          <w:sz w:val="20"/>
          <w:szCs w:val="20"/>
          <w:color w:val="auto"/>
        </w:rPr>
      </w:pPr>
    </w:p>
    <w:p>
      <w:pPr>
        <w:jc w:val="both"/>
        <w:ind w:right="180" w:firstLine="324"/>
        <w:spacing w:after="0" w:line="329" w:lineRule="auto"/>
        <w:rPr>
          <w:sz w:val="20"/>
          <w:szCs w:val="20"/>
          <w:color w:val="auto"/>
        </w:rPr>
      </w:pPr>
      <w:r>
        <w:rPr>
          <w:rFonts w:ascii="Arial" w:cs="Arial" w:eastAsia="Arial" w:hAnsi="Arial"/>
          <w:sz w:val="16"/>
          <w:szCs w:val="16"/>
          <w:i w:val="1"/>
          <w:iCs w:val="1"/>
          <w:color w:val="auto"/>
        </w:rPr>
        <w:t>Exchange, Repricing and Buyout of Awards</w:t>
      </w:r>
      <w:r>
        <w:rPr>
          <w:rFonts w:ascii="Arial" w:cs="Arial" w:eastAsia="Arial" w:hAnsi="Arial"/>
          <w:sz w:val="16"/>
          <w:szCs w:val="16"/>
          <w:color w:val="auto"/>
        </w:rPr>
        <w:t>. The administrator may, without prior stockholder approval, (1) reduce the exercise price of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SARs without the consent of any participant and (2) pay cash or issue new awards in exchange for the surrender and cancellation of any, or all, outstanding awards, subject to the consent of any affected participant to the extent required by the terms of the 2021 Plan.</w:t>
      </w:r>
    </w:p>
    <w:p>
      <w:pPr>
        <w:spacing w:after="0" w:line="94"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Plan with a grant date value that when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received for his or her service as a director, exceed $750,000 in a calendar year or $1,000,000 in the calendar year of his or her initial services as a non-employee director on our board of directors.</w:t>
      </w:r>
    </w:p>
    <w:p>
      <w:pPr>
        <w:spacing w:after="0" w:line="129" w:lineRule="exact"/>
        <w:rPr>
          <w:sz w:val="20"/>
          <w:szCs w:val="20"/>
          <w:color w:val="auto"/>
        </w:rPr>
      </w:pPr>
    </w:p>
    <w:p>
      <w:pPr>
        <w:ind w:right="200" w:firstLine="324"/>
        <w:spacing w:after="0" w:line="275"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of directors or required by law during the term of service of the participant, to the extent set forth in such policy or applicable agreement. Except in limited circumstances, awards granted under our 2021 Plan may generally not be transferred in any manner other than by will or by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7" w:lineRule="exact"/>
        <w:rPr>
          <w:sz w:val="20"/>
          <w:szCs w:val="20"/>
          <w:color w:val="auto"/>
        </w:rPr>
      </w:pPr>
    </w:p>
    <w:p>
      <w:pPr>
        <w:ind w:right="460" w:firstLine="324"/>
        <w:spacing w:after="0" w:line="324"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2021 Plan, the plan administrator may establish a sub-plan under the 2021 Plan and/or modify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granted to participants outside of the United States to comply with any laws or regulations applicable to any such jurisdiction.</w:t>
      </w:r>
    </w:p>
    <w:p>
      <w:pPr>
        <w:spacing w:after="0" w:line="93" w:lineRule="exact"/>
        <w:rPr>
          <w:sz w:val="20"/>
          <w:szCs w:val="20"/>
          <w:color w:val="auto"/>
        </w:rPr>
      </w:pPr>
    </w:p>
    <w:p>
      <w:pPr>
        <w:ind w:right="40" w:firstLine="324"/>
        <w:spacing w:after="0" w:line="319"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or talent and compensation committee may amend our 2021 Plan at any time, subject to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as may be required. Our 2021 Plan will terminate ten years from the date our board of directors adopts the plan, unless it is terminated earlier by our board of directors. No termination or amendment of the 2021 Plan may adversely affect any then-outstanding award without the consent of the affected participant, except as is necessary to comply with applicable laws or as otherwise provided by the terms of the 2021 Plan.</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5" w:lineRule="exact"/>
        <w:rPr>
          <w:sz w:val="20"/>
          <w:szCs w:val="20"/>
          <w:color w:val="auto"/>
        </w:rPr>
      </w:pPr>
    </w:p>
    <w:p>
      <w:pPr>
        <w:ind w:right="80" w:firstLine="324"/>
        <w:spacing w:after="0" w:line="319" w:lineRule="auto"/>
        <w:rPr>
          <w:sz w:val="20"/>
          <w:szCs w:val="20"/>
          <w:color w:val="auto"/>
        </w:rPr>
      </w:pPr>
      <w:r>
        <w:rPr>
          <w:rFonts w:ascii="Arial" w:cs="Arial" w:eastAsia="Arial" w:hAnsi="Arial"/>
          <w:sz w:val="16"/>
          <w:szCs w:val="16"/>
          <w:color w:val="auto"/>
        </w:rPr>
        <w:t>In August and September 2021, our board of directors and our stockholders approved our 2021 Employee Stock Purchase Plan (the “ESPP”) that will become effective upon the date the registration statement of which this prospectus forms a part becomes effective to enable eligible employees to purchase shares of our common stock with accumulated payroll deductions. Our ESPP is intended to qualify under Section 423 of the Code, provided that the administrator may adopt sub-plans under our ESPP designed to be outside of the scope of Section 423 for participants who are non-U.S. residents.</w:t>
      </w:r>
    </w:p>
    <w:p>
      <w:pPr>
        <w:spacing w:after="0" w:line="102"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initially reserved 3,500,000 shares of our common stock for issuance and sale under our ESPP. The number of shares reserved</w:t>
      </w:r>
      <w:r>
        <w:rPr>
          <w:rFonts w:ascii="Arial" w:cs="Arial" w:eastAsia="Arial" w:hAnsi="Arial"/>
          <w:sz w:val="16"/>
          <w:szCs w:val="16"/>
          <w:i w:val="1"/>
          <w:iCs w:val="1"/>
          <w:color w:val="auto"/>
        </w:rPr>
        <w:t xml:space="preserve"> </w:t>
      </w:r>
      <w:r>
        <w:rPr>
          <w:rFonts w:ascii="Arial" w:cs="Arial" w:eastAsia="Arial" w:hAnsi="Arial"/>
          <w:sz w:val="16"/>
          <w:szCs w:val="16"/>
          <w:color w:val="auto"/>
        </w:rPr>
        <w:t>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talent and compensation committee, or by our board of directors acting in place of our talent and compensation committee. Subject to stock splits, recapitalizations, or similar events, no more than 35,000,000 shares of our common stock may be issued over the term of our ESPP.</w:t>
      </w:r>
    </w:p>
    <w:p>
      <w:pPr>
        <w:spacing w:after="0" w:line="106"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ESPP will be administered by our talent and compensation committee or by our board of directors acting in place of our talent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subject to the terms and conditions of our ESPP. Among other things, the administrator will have the authority to determine eligibility for participation in our ESPP, designate separate offerings under the plan, and construe, interpret and apply the terms of the plan.</w:t>
      </w:r>
    </w:p>
    <w:p>
      <w:pPr>
        <w:spacing w:after="0" w:line="94" w:lineRule="exact"/>
        <w:rPr>
          <w:sz w:val="20"/>
          <w:szCs w:val="20"/>
          <w:color w:val="auto"/>
        </w:rPr>
      </w:pPr>
    </w:p>
    <w:p>
      <w:pPr>
        <w:ind w:right="80" w:firstLine="324"/>
        <w:spacing w:after="0" w:line="288"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eligible to participate in any offering pursuant to our ESPP generally include any employee that is employed by us or certain of</w:t>
      </w:r>
      <w:r>
        <w:rPr>
          <w:rFonts w:ascii="Arial" w:cs="Arial" w:eastAsia="Arial" w:hAnsi="Arial"/>
          <w:sz w:val="17"/>
          <w:szCs w:val="17"/>
          <w:i w:val="1"/>
          <w:iCs w:val="1"/>
          <w:color w:val="auto"/>
        </w:rPr>
        <w:t xml:space="preserve"> </w:t>
      </w:r>
      <w:r>
        <w:rPr>
          <w:rFonts w:ascii="Arial" w:cs="Arial" w:eastAsia="Arial" w:hAnsi="Arial"/>
          <w:sz w:val="17"/>
          <w:szCs w:val="17"/>
          <w:color w:val="auto"/>
        </w:rPr>
        <w:t>our designated subsidiaries at the beginning of the offering period. However, the administrator may exclude employees who have been employed for less than two years,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our ESPP, will not be eligible to participate in our ESPP. The administrator may impose additional restrictions on eligibility from time to time.</w:t>
      </w:r>
    </w:p>
    <w:p>
      <w:pPr>
        <w:spacing w:after="0" w:line="127" w:lineRule="exact"/>
        <w:rPr>
          <w:sz w:val="20"/>
          <w:szCs w:val="20"/>
          <w:color w:val="auto"/>
        </w:rPr>
      </w:pPr>
    </w:p>
    <w:p>
      <w:pPr>
        <w:ind w:right="160" w:firstLine="324"/>
        <w:spacing w:after="0" w:line="272"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Under our ESPP, eligible employees will be offered the option to purchase shares of our common stock at a discount over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through accumulated payroll deductions over the period. Each offering period may itself consist of one or more purchase periods. No offering period may be longer than 27 months. The purchase price for shares purchased under our ESPP during any given purchase period will be 85% of the lesser of the fair market value of our common stock on (1) the first trading day of the applicable offering period or (2) the last trading day of the purchase period.</w:t>
      </w:r>
    </w:p>
    <w:p>
      <w:pPr>
        <w:spacing w:after="0" w:line="137" w:lineRule="exact"/>
        <w:rPr>
          <w:sz w:val="20"/>
          <w:szCs w:val="20"/>
          <w:color w:val="auto"/>
        </w:rPr>
      </w:pPr>
    </w:p>
    <w:p>
      <w:pPr>
        <w:ind w:right="480" w:firstLine="324"/>
        <w:spacing w:after="0" w:line="293" w:lineRule="auto"/>
        <w:rPr>
          <w:sz w:val="20"/>
          <w:szCs w:val="20"/>
          <w:color w:val="auto"/>
        </w:rPr>
      </w:pPr>
      <w:r>
        <w:rPr>
          <w:rFonts w:ascii="Arial" w:cs="Arial" w:eastAsia="Arial" w:hAnsi="Arial"/>
          <w:sz w:val="18"/>
          <w:szCs w:val="18"/>
          <w:color w:val="auto"/>
        </w:rPr>
        <w:t>No participant may purchase more than 2,000 shares of our common stock during any one purchase period, and may not subscribe for more than $25,000 in fair market value of shares of our common stock (determined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57"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date the offering period commences) in any calendar year in which the offering is in effect. The administrator in its discretion may set a lower maximum number of shares which may be purchased.</w:t>
      </w:r>
    </w:p>
    <w:p>
      <w:pPr>
        <w:spacing w:after="0" w:line="116" w:lineRule="exact"/>
        <w:rPr>
          <w:sz w:val="20"/>
          <w:szCs w:val="20"/>
          <w:color w:val="auto"/>
        </w:rPr>
      </w:pPr>
    </w:p>
    <w:p>
      <w:pPr>
        <w:ind w:right="160" w:firstLine="324"/>
        <w:spacing w:after="0" w:line="296" w:lineRule="auto"/>
        <w:rPr>
          <w:sz w:val="20"/>
          <w:szCs w:val="20"/>
          <w:color w:val="auto"/>
        </w:rPr>
      </w:pPr>
      <w:r>
        <w:rPr>
          <w:rFonts w:ascii="Arial" w:cs="Arial" w:eastAsia="Arial" w:hAnsi="Arial"/>
          <w:sz w:val="17"/>
          <w:szCs w:val="17"/>
          <w:i w:val="1"/>
          <w:iCs w:val="1"/>
          <w:color w:val="auto"/>
        </w:rPr>
        <w:t xml:space="preserve">Adjustments Upon Recapitalization. </w:t>
      </w:r>
      <w:r>
        <w:rPr>
          <w:rFonts w:ascii="Arial" w:cs="Arial" w:eastAsia="Arial" w:hAnsi="Arial"/>
          <w:sz w:val="17"/>
          <w:szCs w:val="17"/>
          <w:color w:val="auto"/>
        </w:rPr>
        <w:t>If the number of outstanding shares of our common stock is changed by stock dividend, recapitalization,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subdivision, combination, reclassification or similar change in our capital structure without consideration, then the administrator will proportionately adjust the number of shares of our common stock that are available under our ESPP, the purchase price and number of shares any participant has elected to purchase as well as the maximum number of shares which may be purchased by participants.</w:t>
      </w:r>
    </w:p>
    <w:p>
      <w:pPr>
        <w:spacing w:after="0" w:line="11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we experience a change of control transaction as determined under the terms of our ESPP, any offering period then in effect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29" w:lineRule="exact"/>
        <w:rPr>
          <w:sz w:val="20"/>
          <w:szCs w:val="20"/>
          <w:color w:val="auto"/>
        </w:rPr>
      </w:pPr>
    </w:p>
    <w:p>
      <w:pPr>
        <w:jc w:val="both"/>
        <w:ind w:right="40" w:firstLine="324"/>
        <w:spacing w:after="0" w:line="32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our ESPP other than by will or the laws of descent or distribution.</w:t>
      </w:r>
    </w:p>
    <w:p>
      <w:pPr>
        <w:spacing w:after="0" w:line="93" w:lineRule="exact"/>
        <w:rPr>
          <w:sz w:val="20"/>
          <w:szCs w:val="20"/>
          <w:color w:val="auto"/>
        </w:rPr>
      </w:pPr>
    </w:p>
    <w:p>
      <w:pPr>
        <w:ind w:firstLine="324"/>
        <w:spacing w:after="0" w:line="309"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board of directors or talent and compensation committee may amend, suspend or terminate our ESPP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stockholder consent, except as to the extent such amendment would increase the number of shares available for issuance under our ESPP, change the class or designation of employees eligible for participation in the plan or otherwise as required by law. If our ESPP is terminated, the administrator may elect to terminate all outstanding offering periods immediately, upon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our ESPP will terminate upon the earlier to occur of the issuance of all shares of common stock reserved for issuance under our ESPP, or the tenth anniversary of the effective date.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85" w:lineRule="exact"/>
        <w:rPr>
          <w:sz w:val="20"/>
          <w:szCs w:val="20"/>
          <w:color w:val="auto"/>
        </w:rPr>
      </w:pPr>
    </w:p>
    <w:p>
      <w:pPr>
        <w:ind w:right="40" w:firstLine="324"/>
        <w:spacing w:after="0" w:line="270" w:lineRule="auto"/>
        <w:rPr>
          <w:sz w:val="20"/>
          <w:szCs w:val="20"/>
          <w:color w:val="auto"/>
        </w:rPr>
      </w:pPr>
      <w:r>
        <w:rPr>
          <w:rFonts w:ascii="Arial" w:cs="Arial" w:eastAsia="Arial" w:hAnsi="Arial"/>
          <w:sz w:val="18"/>
          <w:szCs w:val="18"/>
          <w:color w:val="auto"/>
        </w:rPr>
        <w:t>We sponsor a retirement plan intended to qualify for favorable tax treatment under Section 401(a) of the Code, containing a cash or deferred feature that is intended to meet the requirements of Section 401(k) of the Code. With certain exceptions, all employees who have attained at least 21 years of age are eligible to participate in the plan on the first day of the month occurring after the employee satisfies the eligibility requirements. Participants may make pre-tax contributions to the plan from their eligible earnings up to the statutorily prescribed annual limit on contributions under the Code. Participant contributions are held in trust as required by law. No minimum benefit is provided under the plan. An employee’s interest in his or her deferral contributions is 100% vested when contributed. We make discretionary and matching contributions, which contributions will be subject to vesting conditions, and may make discretionary profit sharing contributions.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89" w:lineRule="exact"/>
        <w:rPr>
          <w:sz w:val="20"/>
          <w:szCs w:val="20"/>
          <w:color w:val="auto"/>
        </w:rPr>
      </w:pPr>
    </w:p>
    <w:p>
      <w:pPr>
        <w:jc w:val="both"/>
        <w:ind w:right="60" w:firstLine="324"/>
        <w:spacing w:after="0" w:line="329" w:lineRule="auto"/>
        <w:rPr>
          <w:sz w:val="20"/>
          <w:szCs w:val="20"/>
          <w:color w:val="auto"/>
        </w:rPr>
      </w:pPr>
      <w:r>
        <w:rPr>
          <w:rFonts w:ascii="Arial" w:cs="Arial" w:eastAsia="Arial" w:hAnsi="Arial"/>
          <w:sz w:val="16"/>
          <w:szCs w:val="16"/>
          <w:color w:val="auto"/>
        </w:rPr>
        <w:t>Our amended and restated certificate of incorporation that will become effective in connection with this offering contains provisions that will limit the liability of our directors for monetary damages to the fullest extent permitted by the Delaware General Corporation Law (the “DGCL”). Consequently, our directors will not be personally liable to us or our stockholders for monetary damages for any breach of fiduciary duties as directors, except liability for:</w:t>
      </w:r>
    </w:p>
    <w:p>
      <w:pPr>
        <w:spacing w:after="0" w:line="94"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320" w:top="1440" w:right="379" w:bottom="1440" w:gutter="0" w:footer="0" w:header="0"/>
        </w:sectPr>
      </w:pPr>
    </w:p>
    <w:bookmarkStart w:id="172" w:name="page173"/>
    <w:bookmarkEnd w:id="172"/>
    <w:p>
      <w:pPr>
        <w:spacing w:after="0" w:line="157"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85" w:lineRule="exact"/>
        <w:rPr>
          <w:sz w:val="20"/>
          <w:szCs w:val="20"/>
          <w:color w:val="auto"/>
        </w:rPr>
      </w:pPr>
    </w:p>
    <w:p>
      <w:pPr>
        <w:ind w:right="40" w:firstLine="324"/>
        <w:spacing w:after="0" w:line="296" w:lineRule="auto"/>
        <w:rPr>
          <w:sz w:val="20"/>
          <w:szCs w:val="20"/>
          <w:color w:val="auto"/>
        </w:rPr>
      </w:pPr>
      <w:r>
        <w:rPr>
          <w:rFonts w:ascii="Arial" w:cs="Arial" w:eastAsia="Arial" w:hAnsi="Arial"/>
          <w:sz w:val="17"/>
          <w:szCs w:val="17"/>
          <w:color w:val="auto"/>
        </w:rPr>
        <w:t>Our amended and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116" w:lineRule="exact"/>
        <w:rPr>
          <w:sz w:val="20"/>
          <w:szCs w:val="20"/>
          <w:color w:val="auto"/>
        </w:rPr>
      </w:pPr>
    </w:p>
    <w:p>
      <w:pPr>
        <w:ind w:right="420" w:firstLine="324"/>
        <w:spacing w:after="0" w:line="290"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22" w:lineRule="exact"/>
        <w:rPr>
          <w:sz w:val="20"/>
          <w:szCs w:val="20"/>
          <w:color w:val="auto"/>
        </w:rPr>
      </w:pPr>
    </w:p>
    <w:p>
      <w:pPr>
        <w:ind w:right="20" w:firstLine="324"/>
        <w:spacing w:after="0" w:line="324" w:lineRule="auto"/>
        <w:rPr>
          <w:sz w:val="20"/>
          <w:szCs w:val="20"/>
          <w:color w:val="auto"/>
        </w:rPr>
      </w:pPr>
      <w:r>
        <w:rPr>
          <w:rFonts w:ascii="Arial" w:cs="Arial" w:eastAsia="Arial" w:hAnsi="Arial"/>
          <w:sz w:val="17"/>
          <w:szCs w:val="17"/>
          <w:color w:val="auto"/>
        </w:rPr>
        <w:t>We believe that these provisions in our amended restated certificate of incorporation and indemnification agreements are necessary to attract and retain qualified persons such as directors, officers, and key employees. We also maintain directors’ and officers’ liability insurance.</w:t>
      </w:r>
    </w:p>
    <w:p>
      <w:pPr>
        <w:spacing w:after="0" w:line="93"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7" w:lineRule="exact"/>
        <w:rPr>
          <w:sz w:val="20"/>
          <w:szCs w:val="20"/>
          <w:color w:val="auto"/>
        </w:rPr>
      </w:pPr>
    </w:p>
    <w:p>
      <w:pPr>
        <w:ind w:right="260" w:firstLine="324"/>
        <w:spacing w:after="0" w:line="272" w:lineRule="auto"/>
        <w:rPr>
          <w:sz w:val="20"/>
          <w:szCs w:val="20"/>
          <w:color w:val="auto"/>
        </w:rPr>
      </w:pPr>
      <w:r>
        <w:rPr>
          <w:rFonts w:ascii="Arial" w:cs="Arial" w:eastAsia="Arial" w:hAnsi="Arial"/>
          <w:sz w:val="18"/>
          <w:szCs w:val="18"/>
          <w:color w:val="auto"/>
        </w:rPr>
        <w:t>At present, we are not aware of any pending litigation or proceeding arising out of any indemnitee’s service to us or any of our subsidiaries or any other company or enterprise to which the person provides services at our request,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37"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8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89"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PayU Fintech Investments B.V., a beneficial owner of more than 5% of our capital stock, will purchase shares of our common stock with an aggregate purchase price of approximately $25.0 million at a price per share equal to the initial offering price. Based upon the initial public offering price of $43.00 per share, this would be 581,395 shares of common stock. Sales of these shares to the private placement investor will not be registered in this offering. In addition, the private placement investor has entered into a lock-up agreement with the underwriters. Laurent Le Moal, a member of our board of directors, is the Chief Executive Officer of PayU.</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Convertible Preferred Stock Financing</w:t>
      </w:r>
    </w:p>
    <w:p>
      <w:pPr>
        <w:spacing w:after="0" w:line="189" w:lineRule="exact"/>
        <w:rPr>
          <w:sz w:val="20"/>
          <w:szCs w:val="20"/>
          <w:color w:val="auto"/>
        </w:rPr>
      </w:pPr>
    </w:p>
    <w:p>
      <w:pPr>
        <w:ind w:right="560" w:firstLine="324"/>
        <w:spacing w:after="0" w:line="303" w:lineRule="auto"/>
        <w:rPr>
          <w:sz w:val="20"/>
          <w:szCs w:val="20"/>
          <w:color w:val="auto"/>
        </w:rPr>
      </w:pPr>
      <w:r>
        <w:rPr>
          <w:rFonts w:ascii="Arial" w:cs="Arial" w:eastAsia="Arial" w:hAnsi="Arial"/>
          <w:sz w:val="17"/>
          <w:szCs w:val="17"/>
          <w:color w:val="auto"/>
        </w:rPr>
        <w:t>Between July 2020 and March 2021, we sold an aggregate of 9,622,110 shares of our Series F convertible preferred stock at a purchase price of $9.1456 per share for an aggregate purchase price of approximately $88.0 million. Each share of our Series F convertible preferred stock converts automatically into one share of our common stock immediately prior to the completion of this offering.</w:t>
      </w:r>
    </w:p>
    <w:p>
      <w:pPr>
        <w:spacing w:after="0" w:line="110"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8"/>
          <w:szCs w:val="18"/>
          <w:color w:val="auto"/>
        </w:rPr>
        <w:t>The purchasers of our Series F convertible preferred stock are entitled to specified registration rights. For additional information, see the section titled “Description of Capital Stock—Registration Rights.” See the section titled “Principal and Selling Stockholders” for more details regarding the shares held by certain of these entities.</w:t>
      </w:r>
    </w:p>
    <w:p>
      <w:pPr>
        <w:spacing w:after="0" w:line="12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The following table summarizes the Series F convertible preferred stock purchased by affiliates of members of our board of directors and holders of more than 5% of our outstanding capital stock:</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Shares of Series F Convertible</w:t>
            </w:r>
          </w:p>
        </w:tc>
        <w:tc>
          <w:tcPr>
            <w:tcW w:w="2400" w:type="dxa"/>
            <w:vAlign w:val="bottom"/>
          </w:tcPr>
          <w:p>
            <w:pPr>
              <w:spacing w:after="0"/>
              <w:rPr>
                <w:sz w:val="14"/>
                <w:szCs w:val="14"/>
                <w:color w:val="auto"/>
              </w:rPr>
            </w:pPr>
          </w:p>
        </w:tc>
      </w:tr>
      <w:tr>
        <w:trPr>
          <w:trHeight w:val="186"/>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Stockholder</w:t>
            </w: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240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 Purchase Price ($)</w:t>
            </w:r>
          </w:p>
        </w:tc>
      </w:tr>
      <w:tr>
        <w:trPr>
          <w:trHeight w:val="25"/>
        </w:trPr>
        <w:tc>
          <w:tcPr>
            <w:tcW w:w="6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77"/>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PayU Fintech Investments B.V.</w:t>
            </w:r>
            <w:r>
              <w:rPr>
                <w:rFonts w:ascii="Arial" w:cs="Arial" w:eastAsia="Arial" w:hAnsi="Arial"/>
                <w:sz w:val="23"/>
                <w:szCs w:val="23"/>
                <w:color w:val="auto"/>
                <w:vertAlign w:val="superscript"/>
              </w:rPr>
              <w:t>(1)</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5,740,465</w:t>
            </w:r>
          </w:p>
        </w:tc>
        <w:tc>
          <w:tcPr>
            <w:tcW w:w="8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52,499,997</w:t>
            </w:r>
          </w:p>
        </w:tc>
      </w:tr>
      <w:tr>
        <w:trPr>
          <w:trHeight w:val="28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Stripes III LP</w:t>
            </w:r>
            <w:r>
              <w:rPr>
                <w:rFonts w:ascii="Arial" w:cs="Arial" w:eastAsia="Arial" w:hAnsi="Arial"/>
                <w:sz w:val="23"/>
                <w:szCs w:val="23"/>
                <w:color w:val="auto"/>
                <w:vertAlign w:val="superscript"/>
              </w:rPr>
              <w:t>(2)</w:t>
            </w:r>
          </w:p>
        </w:tc>
        <w:tc>
          <w:tcPr>
            <w:tcW w:w="2380" w:type="dxa"/>
            <w:vAlign w:val="bottom"/>
          </w:tcPr>
          <w:p>
            <w:pPr>
              <w:jc w:val="right"/>
              <w:spacing w:after="0"/>
              <w:rPr>
                <w:sz w:val="20"/>
                <w:szCs w:val="20"/>
                <w:color w:val="auto"/>
              </w:rPr>
            </w:pPr>
            <w:r>
              <w:rPr>
                <w:rFonts w:ascii="Arial" w:cs="Arial" w:eastAsia="Arial" w:hAnsi="Arial"/>
                <w:sz w:val="18"/>
                <w:szCs w:val="18"/>
                <w:color w:val="auto"/>
              </w:rPr>
              <w:t>475,179</w:t>
            </w:r>
          </w:p>
        </w:tc>
        <w:tc>
          <w:tcPr>
            <w:tcW w:w="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4,345,797</w:t>
            </w:r>
          </w:p>
        </w:tc>
      </w:tr>
      <w:tr>
        <w:trPr>
          <w:trHeight w:val="284"/>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Entities affiliated with Threshold Ventures</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27,335</w:t>
            </w:r>
          </w:p>
        </w:tc>
        <w:tc>
          <w:tcPr>
            <w:tcW w:w="8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249,995</w:t>
            </w:r>
          </w:p>
        </w:tc>
      </w:tr>
      <w:tr>
        <w:trPr>
          <w:trHeight w:val="325"/>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Generation IM Sustainable Solutions Fund III, L.P.</w:t>
            </w:r>
            <w:r>
              <w:rPr>
                <w:rFonts w:ascii="Arial" w:cs="Arial" w:eastAsia="Arial" w:hAnsi="Arial"/>
                <w:sz w:val="23"/>
                <w:szCs w:val="23"/>
                <w:color w:val="auto"/>
                <w:vertAlign w:val="superscript"/>
              </w:rPr>
              <w:t>(4)</w:t>
            </w:r>
          </w:p>
        </w:tc>
        <w:tc>
          <w:tcPr>
            <w:tcW w:w="2380" w:type="dxa"/>
            <w:vAlign w:val="bottom"/>
          </w:tcPr>
          <w:p>
            <w:pPr>
              <w:jc w:val="right"/>
              <w:spacing w:after="0"/>
              <w:rPr>
                <w:sz w:val="20"/>
                <w:szCs w:val="20"/>
                <w:color w:val="auto"/>
              </w:rPr>
            </w:pPr>
            <w:r>
              <w:rPr>
                <w:rFonts w:ascii="Arial" w:cs="Arial" w:eastAsia="Arial" w:hAnsi="Arial"/>
                <w:sz w:val="18"/>
                <w:szCs w:val="18"/>
                <w:color w:val="auto"/>
              </w:rPr>
              <w:t>1,640,132</w:t>
            </w:r>
          </w:p>
        </w:tc>
        <w:tc>
          <w:tcPr>
            <w:tcW w:w="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14,999,991</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1" w:lineRule="exact"/>
        <w:rPr>
          <w:sz w:val="20"/>
          <w:szCs w:val="20"/>
          <w:color w:val="auto"/>
        </w:rPr>
      </w:pPr>
    </w:p>
    <w:p>
      <w:pPr>
        <w:ind w:left="340" w:right="380" w:hanging="332"/>
        <w:spacing w:after="0" w:line="261" w:lineRule="auto"/>
        <w:tabs>
          <w:tab w:leader="none" w:pos="33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PayU Fintech Investments B.V. (together with its affiliates, “Naspers”) holds more than 5% of our outstanding capital stock. Laurent Le Moal, a member of our board of directors, is a member of the executive team of Prosus N.V., and Chief Executive Officer of PayU, which are affiliates of Naspers, and a designee of Naspers.</w:t>
      </w:r>
    </w:p>
    <w:p>
      <w:pPr>
        <w:ind w:left="320" w:hanging="312"/>
        <w:spacing w:after="0"/>
        <w:tabs>
          <w:tab w:leader="none" w:pos="3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Stripes III LP (“Stripes”) holds more than 5% of our outstanding capital stock. Ron Shah, a member of our board of directors, is a designee of Stripes.</w:t>
      </w:r>
    </w:p>
    <w:p>
      <w:pPr>
        <w:spacing w:after="0" w:line="14" w:lineRule="exact"/>
        <w:rPr>
          <w:rFonts w:ascii="Arial" w:cs="Arial" w:eastAsia="Arial" w:hAnsi="Arial"/>
          <w:sz w:val="14"/>
          <w:szCs w:val="14"/>
          <w:color w:val="auto"/>
        </w:rPr>
      </w:pPr>
    </w:p>
    <w:p>
      <w:pPr>
        <w:ind w:left="340" w:right="140" w:hanging="332"/>
        <w:spacing w:after="0" w:line="261" w:lineRule="auto"/>
        <w:tabs>
          <w:tab w:leader="none" w:pos="33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shares purchased by Threshold Ventures I, L.P. and Threshold Ventures I Partners Fund, LLC (collectively, “Threshold”), which holds more than 5% of our outstanding capital stock. William Bryant, a member of our board of directors, is a general partner and designee of Threshold.</w:t>
      </w:r>
    </w:p>
    <w:p>
      <w:pPr>
        <w:ind w:left="340" w:right="200" w:hanging="332"/>
        <w:spacing w:after="0" w:line="283" w:lineRule="auto"/>
        <w:tabs>
          <w:tab w:leader="none" w:pos="33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Generation IM Sustainable Solutions Fund III, L.P. (“Generation”) holds more than 5% of our outstanding capital stock. Bora Chung, a member of our board of directors, is a designee of Generation.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Tender Offer</w:t>
      </w:r>
    </w:p>
    <w:p>
      <w:pPr>
        <w:spacing w:after="0" w:line="189" w:lineRule="exact"/>
        <w:rPr>
          <w:sz w:val="20"/>
          <w:szCs w:val="20"/>
          <w:color w:val="auto"/>
        </w:rPr>
      </w:pPr>
    </w:p>
    <w:p>
      <w:pPr>
        <w:jc w:val="both"/>
        <w:ind w:right="300" w:firstLine="324"/>
        <w:spacing w:after="0" w:line="279" w:lineRule="auto"/>
        <w:rPr>
          <w:sz w:val="20"/>
          <w:szCs w:val="20"/>
          <w:color w:val="auto"/>
        </w:rPr>
      </w:pPr>
      <w:r>
        <w:rPr>
          <w:rFonts w:ascii="Arial" w:cs="Arial" w:eastAsia="Arial" w:hAnsi="Arial"/>
          <w:sz w:val="18"/>
          <w:szCs w:val="18"/>
          <w:color w:val="auto"/>
        </w:rPr>
        <w:t>In September 2019, we commenced a tender offer to purchase up to an aggregate maximum of $24.0 million of shares of our outstanding common stock at a purchase price of $5.3609 per share of common stock and our outstanding Series Seed preferred stock, Series Seed Prime preferred stock and Series A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57"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(collectively, “eligible preferred stock”) at a purchase price of $5.6588 per share of eligible preferred stock pursuant to an Offer to Purchase. In October 2019, upon the closing of the tender offer, we repurchased an aggregate of 2,053,690 shares of our common stock for an aggregate repurchase price of approximately $11.0 million and repurchased an aggregate of 2,295,603 shares of eligible preferred stock for an aggregate repurchase price of approximately $13.0 million. Among other sellers, the following directors and executive officers participated in the tender offer:</w:t>
      </w:r>
    </w:p>
    <w:p>
      <w:pPr>
        <w:spacing w:after="0" w:line="102" w:lineRule="exact"/>
        <w:rPr>
          <w:sz w:val="20"/>
          <w:szCs w:val="20"/>
          <w:color w:val="auto"/>
        </w:rPr>
      </w:pPr>
    </w:p>
    <w:p>
      <w:pPr>
        <w:ind w:left="660" w:right="560" w:hanging="328"/>
        <w:spacing w:after="0" w:line="29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Matthew Oppenheimer, our President, Chief Executive Officer and director, sold 211,753 shares of common stock for an aggregate price of approximately $1.1 million;</w:t>
      </w:r>
    </w:p>
    <w:p>
      <w:pPr>
        <w:spacing w:after="0" w:line="115" w:lineRule="exact"/>
        <w:rPr>
          <w:rFonts w:ascii="Arial" w:cs="Arial" w:eastAsia="Arial" w:hAnsi="Arial"/>
          <w:sz w:val="18"/>
          <w:szCs w:val="18"/>
          <w:color w:val="auto"/>
        </w:rPr>
      </w:pPr>
    </w:p>
    <w:p>
      <w:pPr>
        <w:ind w:left="660" w:right="500" w:hanging="328"/>
        <w:spacing w:after="0" w:line="29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Arthur Oppenheimer, a stockholder and an immediate family member of Matthew Oppenheimer, our President, Chief Executive Officer and director, sold 79,980 shares of common stock for an aggregate price of approximately $0.5 million;</w:t>
      </w:r>
    </w:p>
    <w:p>
      <w:pPr>
        <w:spacing w:after="0" w:line="115" w:lineRule="exact"/>
        <w:rPr>
          <w:rFonts w:ascii="Arial" w:cs="Arial" w:eastAsia="Arial" w:hAnsi="Arial"/>
          <w:sz w:val="18"/>
          <w:szCs w:val="18"/>
          <w:color w:val="auto"/>
        </w:rPr>
      </w:pPr>
    </w:p>
    <w:p>
      <w:pPr>
        <w:ind w:left="660" w:right="60" w:hanging="328"/>
        <w:spacing w:after="0" w:line="29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Joshua Hug, our Chief Operating Officer and director, sold 161,314 shares of common stock for an aggregate price of approximately $0.9 million; and</w:t>
      </w:r>
    </w:p>
    <w:p>
      <w:pPr>
        <w:spacing w:after="0" w:line="115" w:lineRule="exact"/>
        <w:rPr>
          <w:rFonts w:ascii="Arial" w:cs="Arial" w:eastAsia="Arial" w:hAnsi="Arial"/>
          <w:sz w:val="18"/>
          <w:szCs w:val="18"/>
          <w:color w:val="auto"/>
        </w:rPr>
      </w:pPr>
    </w:p>
    <w:p>
      <w:pPr>
        <w:ind w:left="660" w:right="960" w:hanging="328"/>
        <w:spacing w:after="0" w:line="29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Trilogy Equity Partners, LLC, a 5% stockholder, sold 368,188 shares of Series A convertible preferred stock for an aggregate price of approximately $2.1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Convertible Preferred Stock Financing</w:t>
      </w:r>
    </w:p>
    <w:p>
      <w:pPr>
        <w:spacing w:after="0" w:line="189" w:lineRule="exact"/>
        <w:rPr>
          <w:sz w:val="20"/>
          <w:szCs w:val="20"/>
          <w:color w:val="auto"/>
        </w:rPr>
      </w:pPr>
    </w:p>
    <w:p>
      <w:pPr>
        <w:jc w:val="both"/>
        <w:ind w:right="620" w:firstLine="324"/>
        <w:spacing w:after="0" w:line="303" w:lineRule="auto"/>
        <w:rPr>
          <w:sz w:val="20"/>
          <w:szCs w:val="20"/>
          <w:color w:val="auto"/>
        </w:rPr>
      </w:pPr>
      <w:r>
        <w:rPr>
          <w:rFonts w:ascii="Arial" w:cs="Arial" w:eastAsia="Arial" w:hAnsi="Arial"/>
          <w:sz w:val="17"/>
          <w:szCs w:val="17"/>
          <w:color w:val="auto"/>
        </w:rPr>
        <w:t>Between May 2019 and July 2019, we sold an aggregate of 22,663,933 shares of our Series E convertible preferred stock at a purchase price of $5.9566 per share for an aggregate purchase price of approximately $135.0 million. Each share of our Series E convertible preferred stock converts automatically into one share of our common stock immediately prior to the completion of this offering.</w:t>
      </w:r>
    </w:p>
    <w:p>
      <w:pPr>
        <w:spacing w:after="0" w:line="110"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8"/>
          <w:szCs w:val="18"/>
          <w:color w:val="auto"/>
        </w:rPr>
        <w:t>The purchasers of our Series E convertible preferred stock are entitled to specified registration rights. For additional information, see the section titled “Description of Capital Stock—Registration Rights.” See the section titled “Principal and Selling Stockholders” for more details regarding the shares held by certain of these entities.</w:t>
      </w:r>
    </w:p>
    <w:p>
      <w:pPr>
        <w:spacing w:after="0" w:line="129" w:lineRule="exact"/>
        <w:rPr>
          <w:sz w:val="20"/>
          <w:szCs w:val="20"/>
          <w:color w:val="auto"/>
        </w:rPr>
      </w:pPr>
    </w:p>
    <w:p>
      <w:pPr>
        <w:ind w:right="240" w:firstLine="324"/>
        <w:spacing w:after="0" w:line="293" w:lineRule="auto"/>
        <w:rPr>
          <w:sz w:val="20"/>
          <w:szCs w:val="20"/>
          <w:color w:val="auto"/>
        </w:rPr>
      </w:pPr>
      <w:r>
        <w:rPr>
          <w:rFonts w:ascii="Arial" w:cs="Arial" w:eastAsia="Arial" w:hAnsi="Arial"/>
          <w:sz w:val="18"/>
          <w:szCs w:val="18"/>
          <w:color w:val="auto"/>
        </w:rPr>
        <w:t>The following table summarizes the Series E convertible preferred stock purchased by affiliates of members of our board of directors and holders of more than 5% of our outstanding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Series E Convertible</w:t>
            </w:r>
          </w:p>
        </w:tc>
        <w:tc>
          <w:tcPr>
            <w:tcW w:w="2400" w:type="dxa"/>
            <w:vAlign w:val="bottom"/>
          </w:tcPr>
          <w:p>
            <w:pPr>
              <w:spacing w:after="0"/>
              <w:rPr>
                <w:sz w:val="14"/>
                <w:szCs w:val="14"/>
                <w:color w:val="auto"/>
              </w:rPr>
            </w:pPr>
          </w:p>
        </w:tc>
      </w:tr>
      <w:tr>
        <w:trPr>
          <w:trHeight w:val="186"/>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Stockholder</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240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 Purchase Price($)</w:t>
            </w:r>
          </w:p>
        </w:tc>
      </w:tr>
      <w:tr>
        <w:trPr>
          <w:trHeight w:val="25"/>
        </w:trPr>
        <w:tc>
          <w:tcPr>
            <w:tcW w:w="6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77"/>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PayU Fintech Investments B.V.</w:t>
            </w:r>
            <w:r>
              <w:rPr>
                <w:rFonts w:ascii="Arial" w:cs="Arial" w:eastAsia="Arial" w:hAnsi="Arial"/>
                <w:sz w:val="23"/>
                <w:szCs w:val="23"/>
                <w:color w:val="auto"/>
                <w:vertAlign w:val="superscript"/>
              </w:rPr>
              <w:t>(1)</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1,678,810</w:t>
            </w: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84"/>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Stripes III LP</w:t>
            </w:r>
            <w:r>
              <w:rPr>
                <w:rFonts w:ascii="Arial" w:cs="Arial" w:eastAsia="Arial" w:hAnsi="Arial"/>
                <w:sz w:val="23"/>
                <w:szCs w:val="23"/>
                <w:color w:val="auto"/>
                <w:vertAlign w:val="superscript"/>
              </w:rPr>
              <w:t>(2)</w:t>
            </w:r>
          </w:p>
        </w:tc>
        <w:tc>
          <w:tcPr>
            <w:tcW w:w="2380" w:type="dxa"/>
            <w:vAlign w:val="bottom"/>
          </w:tcPr>
          <w:p>
            <w:pPr>
              <w:jc w:val="right"/>
              <w:spacing w:after="0"/>
              <w:rPr>
                <w:sz w:val="20"/>
                <w:szCs w:val="20"/>
                <w:color w:val="auto"/>
              </w:rPr>
            </w:pPr>
            <w:r>
              <w:rPr>
                <w:rFonts w:ascii="Arial" w:cs="Arial" w:eastAsia="Arial" w:hAnsi="Arial"/>
                <w:sz w:val="18"/>
                <w:szCs w:val="18"/>
                <w:color w:val="auto"/>
              </w:rPr>
              <w:t>335,762</w:t>
            </w:r>
          </w:p>
        </w:tc>
        <w:tc>
          <w:tcPr>
            <w:tcW w:w="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8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Generation IM Sustainable Solutions Fund III, L.P.</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10,072,860</w:t>
            </w: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59,999,998</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_______________</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ind w:left="340" w:right="120" w:hanging="332"/>
        <w:spacing w:after="0" w:line="257" w:lineRule="auto"/>
        <w:tabs>
          <w:tab w:leader="none" w:pos="332" w:val="left"/>
        </w:tabs>
        <w:numPr>
          <w:ilvl w:val="0"/>
          <w:numId w:val="110"/>
        </w:numPr>
        <w:rPr>
          <w:rFonts w:ascii="Arial" w:cs="Arial" w:eastAsia="Arial" w:hAnsi="Arial"/>
          <w:sz w:val="14"/>
          <w:szCs w:val="14"/>
          <w:color w:val="auto"/>
        </w:rPr>
      </w:pPr>
      <w:r>
        <w:rPr>
          <w:rFonts w:ascii="Arial" w:cs="Arial" w:eastAsia="Arial" w:hAnsi="Arial"/>
          <w:sz w:val="14"/>
          <w:szCs w:val="14"/>
          <w:color w:val="auto"/>
        </w:rPr>
        <w:t>Naspers holds more than 5% of our outstanding capital stock. Laurent Le Moal, a member of our board of directors, is a member of the executive team of Prosus N.V., and Chief Executive Officer of PayU, which are affiliates of Naspers, and a designee of Naspers.</w:t>
      </w:r>
    </w:p>
    <w:p>
      <w:pPr>
        <w:ind w:left="320" w:hanging="312"/>
        <w:spacing w:after="0"/>
        <w:tabs>
          <w:tab w:leader="none" w:pos="32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Stripes holds more than 5% of our outstanding capital stock. Ron Shah, a member of our board of directors, is a partner and designee of Stripes.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Generation IM Sustainable Solutions Fund III, L.P. holds more than 5% of our outstanding capital stock. Bora Chung, a member of our board of directors, is a designee of Generation.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Convertible Preferred Stock Financing</w:t>
      </w:r>
    </w:p>
    <w:p>
      <w:pPr>
        <w:spacing w:after="0" w:line="189"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Between November 2017 and February 2018, we sold an aggregate of 30,331,802 shares of our Series D convertible preferred stock at a purchase price of $3.7914 per share for an aggregate purchase price of approximately $115.0 million. Each share of our Series D convertible preferred stock converts automatically into one share of our common stock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57"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8"/>
          <w:szCs w:val="18"/>
          <w:color w:val="auto"/>
        </w:rPr>
        <w:t>The purchasers of our Series D convertible preferred stock are entitled to specified registration rights. For additional information, see the section titled “Description of Capital Stock—Registration Rights.” See the section titled “Principal and Selling Stockholders” for more details regarding the shares held by certain of these entities.</w:t>
      </w:r>
    </w:p>
    <w:p>
      <w:pPr>
        <w:spacing w:after="0" w:line="129"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The following table summarizes the Series D convertible preferred stock purchased by affiliates of members of our board of directors and holders of more than 5% of our outstanding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Series D Convertible</w:t>
            </w:r>
          </w:p>
        </w:tc>
        <w:tc>
          <w:tcPr>
            <w:tcW w:w="2400" w:type="dxa"/>
            <w:vAlign w:val="bottom"/>
          </w:tcPr>
          <w:p>
            <w:pPr>
              <w:jc w:val="right"/>
              <w:ind w:right="477"/>
              <w:spacing w:after="0"/>
              <w:rPr>
                <w:sz w:val="20"/>
                <w:szCs w:val="20"/>
                <w:color w:val="auto"/>
              </w:rPr>
            </w:pPr>
            <w:r>
              <w:rPr>
                <w:rFonts w:ascii="Arial" w:cs="Arial" w:eastAsia="Arial" w:hAnsi="Arial"/>
                <w:sz w:val="14"/>
                <w:szCs w:val="14"/>
                <w:b w:val="1"/>
                <w:bCs w:val="1"/>
                <w:color w:val="auto"/>
              </w:rPr>
              <w:t>Total Purchase Price</w:t>
            </w:r>
          </w:p>
        </w:tc>
      </w:tr>
      <w:tr>
        <w:trPr>
          <w:trHeight w:val="186"/>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Stockholder</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Preferred Stock</w:t>
            </w:r>
          </w:p>
        </w:tc>
        <w:tc>
          <w:tcPr>
            <w:tcW w:w="2400" w:type="dxa"/>
            <w:vAlign w:val="bottom"/>
          </w:tcPr>
          <w:p>
            <w:pPr>
              <w:jc w:val="right"/>
              <w:ind w:right="1037"/>
              <w:spacing w:after="0"/>
              <w:rPr>
                <w:sz w:val="20"/>
                <w:szCs w:val="20"/>
                <w:color w:val="auto"/>
              </w:rPr>
            </w:pPr>
            <w:r>
              <w:rPr>
                <w:rFonts w:ascii="Arial" w:cs="Arial" w:eastAsia="Arial" w:hAnsi="Arial"/>
                <w:sz w:val="14"/>
                <w:szCs w:val="14"/>
                <w:b w:val="1"/>
                <w:bCs w:val="1"/>
                <w:color w:val="auto"/>
              </w:rPr>
              <w:t>($)</w:t>
            </w:r>
          </w:p>
        </w:tc>
      </w:tr>
      <w:tr>
        <w:trPr>
          <w:trHeight w:val="26"/>
        </w:trPr>
        <w:tc>
          <w:tcPr>
            <w:tcW w:w="6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77"/>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PayU Fintech Investments B.V.</w:t>
            </w:r>
            <w:r>
              <w:rPr>
                <w:rFonts w:ascii="Arial" w:cs="Arial" w:eastAsia="Arial" w:hAnsi="Arial"/>
                <w:sz w:val="23"/>
                <w:szCs w:val="23"/>
                <w:color w:val="auto"/>
                <w:vertAlign w:val="superscript"/>
              </w:rPr>
              <w:t>(1)</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26,375,481</w:t>
            </w: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99,999,999</w:t>
            </w:r>
          </w:p>
        </w:tc>
      </w:tr>
      <w:tr>
        <w:trPr>
          <w:trHeight w:val="28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Stripes III LP</w:t>
            </w:r>
            <w:r>
              <w:rPr>
                <w:rFonts w:ascii="Arial" w:cs="Arial" w:eastAsia="Arial" w:hAnsi="Arial"/>
                <w:sz w:val="23"/>
                <w:szCs w:val="23"/>
                <w:color w:val="auto"/>
                <w:vertAlign w:val="superscript"/>
              </w:rPr>
              <w:t>(2)</w:t>
            </w:r>
          </w:p>
        </w:tc>
        <w:tc>
          <w:tcPr>
            <w:tcW w:w="2380" w:type="dxa"/>
            <w:vAlign w:val="bottom"/>
          </w:tcPr>
          <w:p>
            <w:pPr>
              <w:jc w:val="right"/>
              <w:spacing w:after="0"/>
              <w:rPr>
                <w:sz w:val="20"/>
                <w:szCs w:val="20"/>
                <w:color w:val="auto"/>
              </w:rPr>
            </w:pPr>
            <w:r>
              <w:rPr>
                <w:rFonts w:ascii="Arial" w:cs="Arial" w:eastAsia="Arial" w:hAnsi="Arial"/>
                <w:sz w:val="18"/>
                <w:szCs w:val="18"/>
                <w:color w:val="auto"/>
              </w:rPr>
              <w:t>2,110,038</w:t>
            </w:r>
          </w:p>
        </w:tc>
        <w:tc>
          <w:tcPr>
            <w:tcW w:w="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7,999,998</w:t>
            </w:r>
          </w:p>
        </w:tc>
      </w:tr>
      <w:tr>
        <w:trPr>
          <w:trHeight w:val="28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Entities affiliated with Threshold Ventures</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1,318,774</w:t>
            </w: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______________</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ind w:left="340" w:right="120" w:hanging="332"/>
        <w:spacing w:after="0" w:line="257" w:lineRule="auto"/>
        <w:tabs>
          <w:tab w:leader="none" w:pos="33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Naspers holds more than 5% of our outstanding capital stock. Laurent Le Moal, a member of our board of directors, is a member of the executive team of Prosus N.V., and Chief Executive Officer of PayU, which are affiliates of Naspers, and a designee of Naspers.</w:t>
      </w:r>
    </w:p>
    <w:p>
      <w:pPr>
        <w:ind w:left="320" w:hanging="312"/>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Stripes holds more than 5% of our outstanding capital stock. Ron Shah, a member of our board of directors, is a partner and designee of Stripes.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Threshold holds more than 5% of our outstanding capital stock. William Bryant, a member of our board of directors, is a general partner and designee of Threshold.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w:t>
      </w:r>
    </w:p>
    <w:p>
      <w:pPr>
        <w:spacing w:after="0" w:line="189" w:lineRule="exact"/>
        <w:rPr>
          <w:sz w:val="20"/>
          <w:szCs w:val="20"/>
          <w:color w:val="auto"/>
        </w:rPr>
      </w:pPr>
    </w:p>
    <w:p>
      <w:pPr>
        <w:ind w:right="240" w:firstLine="324"/>
        <w:spacing w:after="0" w:line="272" w:lineRule="auto"/>
        <w:rPr>
          <w:sz w:val="20"/>
          <w:szCs w:val="20"/>
          <w:color w:val="auto"/>
        </w:rPr>
      </w:pPr>
      <w:r>
        <w:rPr>
          <w:rFonts w:ascii="Arial" w:cs="Arial" w:eastAsia="Arial" w:hAnsi="Arial"/>
          <w:sz w:val="18"/>
          <w:szCs w:val="18"/>
          <w:color w:val="auto"/>
        </w:rPr>
        <w:t>In January 2019, we consummated a reorganization by forming Remitly Global, Inc. (“Remitly Global”), which was incorporated in Delaware on October 3, 2018, and Remitly Merger Sub, Inc. (“Merger Sub”) as a wholly owned subsidiary of Remitly Global. We merged Merger Sub with Remitly, Inc. as the surviving entity, by issuing identical shares of our capital stock to the stockholders of Remitly, Inc. in exchange for their equity interest in Remitly, Inc. After the merger, all of the stockholders of Remitly, Inc. became 100% stockholders of Remitly Global, and Remitly, Inc. became a wholly owned subsidiary of Remitly Global.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Tender Offer</w:t>
      </w:r>
    </w:p>
    <w:p>
      <w:pPr>
        <w:spacing w:after="0" w:line="189" w:lineRule="exact"/>
        <w:rPr>
          <w:sz w:val="20"/>
          <w:szCs w:val="20"/>
          <w:color w:val="auto"/>
        </w:rPr>
      </w:pPr>
    </w:p>
    <w:p>
      <w:pPr>
        <w:ind w:right="140" w:firstLine="324"/>
        <w:spacing w:after="0" w:line="296" w:lineRule="auto"/>
        <w:rPr>
          <w:sz w:val="20"/>
          <w:szCs w:val="20"/>
          <w:color w:val="auto"/>
        </w:rPr>
      </w:pPr>
      <w:r>
        <w:rPr>
          <w:rFonts w:ascii="Arial" w:cs="Arial" w:eastAsia="Arial" w:hAnsi="Arial"/>
          <w:sz w:val="17"/>
          <w:szCs w:val="17"/>
          <w:color w:val="auto"/>
        </w:rPr>
        <w:t>In December 2017, Remitly, Inc. commenced a tender offer to purchase up to an aggregate maximum of 3,956,322 shares of outstanding eligible preferred stock at a purchase price of $3.7914 per share in cash pursuant to an Offer to Purchase. In January 2018, upon the closing of the tender offer, we repurchased an aggregate of 3,956,322 shares of our common stock and eligible preferred stock for an aggregate repurchase price of approximately $15.0 million. Among other sellers, the following directors and executive officers participated in the tender offer:</w:t>
      </w:r>
    </w:p>
    <w:p>
      <w:pPr>
        <w:spacing w:after="0" w:line="116" w:lineRule="exact"/>
        <w:rPr>
          <w:sz w:val="20"/>
          <w:szCs w:val="20"/>
          <w:color w:val="auto"/>
        </w:rPr>
      </w:pPr>
    </w:p>
    <w:p>
      <w:pPr>
        <w:ind w:left="660" w:right="540" w:hanging="328"/>
        <w:spacing w:after="0" w:line="29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Matthew Oppenheimer, our President, Chief Executive Officer and director, sold 499,800 shares of common stock for an aggregate price of approximately $1.9 million;</w:t>
      </w:r>
    </w:p>
    <w:p>
      <w:pPr>
        <w:spacing w:after="0" w:line="115" w:lineRule="exact"/>
        <w:rPr>
          <w:rFonts w:ascii="Arial" w:cs="Arial" w:eastAsia="Arial" w:hAnsi="Arial"/>
          <w:sz w:val="18"/>
          <w:szCs w:val="18"/>
          <w:color w:val="auto"/>
        </w:rPr>
      </w:pPr>
    </w:p>
    <w:p>
      <w:pPr>
        <w:ind w:left="660" w:right="500" w:hanging="328"/>
        <w:spacing w:after="0" w:line="324" w:lineRule="auto"/>
        <w:tabs>
          <w:tab w:leader="none" w:pos="6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Arthur Oppenheimer, a stockholder and an immediate family member of Matthew Oppenheimer, our President, Chief Executive Officer and director, sold 59,161 shares of Series Seed preferred stock for an aggregate price of approximately $0.2 million; and</w:t>
      </w:r>
    </w:p>
    <w:p>
      <w:pPr>
        <w:spacing w:after="0" w:line="93" w:lineRule="exact"/>
        <w:rPr>
          <w:rFonts w:ascii="Arial" w:cs="Arial" w:eastAsia="Arial" w:hAnsi="Arial"/>
          <w:sz w:val="17"/>
          <w:szCs w:val="17"/>
          <w:color w:val="auto"/>
        </w:rPr>
      </w:pPr>
    </w:p>
    <w:p>
      <w:pPr>
        <w:ind w:left="660" w:hanging="328"/>
        <w:spacing w:after="0"/>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Joshua Hug, our Chief Operating Officer and director, sold 381,276 shares of common stock for an aggregate price of approximately $1.4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to our Founders</w:t>
      </w:r>
    </w:p>
    <w:p>
      <w:pPr>
        <w:spacing w:after="0" w:line="189"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In October 2018, in connection with the partial exercise of a stock option award granted under the 2011 Plan, we loaned Matthew Oppenheimer, our President, Chief Executive Officer, and director, $1.36 million at an interest rate of 2.83%. As collateral for the loan, an aggregate of 800,000 shares of our common stock beneficially owned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Mr. Oppenheimer were pledged to us pursuant to a stock pledge agreement dated October 7, 2018. The loan was repaid in full on August 23, 2021.</w:t>
      </w:r>
    </w:p>
    <w:p>
      <w:pPr>
        <w:spacing w:after="0" w:line="196" w:lineRule="exact"/>
        <w:rPr>
          <w:sz w:val="20"/>
          <w:szCs w:val="20"/>
          <w:color w:val="auto"/>
        </w:rPr>
      </w:pPr>
    </w:p>
    <w:p>
      <w:pPr>
        <w:ind w:right="40" w:firstLine="324"/>
        <w:spacing w:after="0" w:line="329" w:lineRule="auto"/>
        <w:rPr>
          <w:sz w:val="20"/>
          <w:szCs w:val="20"/>
          <w:color w:val="auto"/>
        </w:rPr>
      </w:pPr>
      <w:r>
        <w:rPr>
          <w:rFonts w:ascii="Arial" w:cs="Arial" w:eastAsia="Arial" w:hAnsi="Arial"/>
          <w:sz w:val="16"/>
          <w:szCs w:val="16"/>
          <w:color w:val="auto"/>
        </w:rPr>
        <w:t>In October 2018, in connection with the exercise of a stock option award granted under the 2011 Plan, we loaned Joshua Hug, our Chief Operating Officer and director, $1.7 million at an interest rate of 2.83%. As collateral for the loan, an aggregate of 1,000,000 shares of our common stock beneficially owned by Mr. Hug were pledged to us pursuant to a stock pledge agreement dated October 7, 2018. The loan was repaid in full on August 23,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Seventh Amended and Restated Investors’ Rights Agreement</w:t>
      </w:r>
    </w:p>
    <w:p>
      <w:pPr>
        <w:spacing w:after="0" w:line="189" w:lineRule="exact"/>
        <w:rPr>
          <w:sz w:val="20"/>
          <w:szCs w:val="20"/>
          <w:color w:val="auto"/>
        </w:rPr>
      </w:pPr>
    </w:p>
    <w:p>
      <w:pPr>
        <w:ind w:right="100" w:firstLine="324"/>
        <w:spacing w:after="0" w:line="319"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redeemable convertible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 Other than these registration rights, all other terms of the amended and restated investors’ rights agreement will terminate in connection with this offering.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In connection with this offering, we will enter into indemnification agreements with each of our directors and executive officers. The indemnification agreements, our amended and restated certificate of incorporation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8"/>
          <w:szCs w:val="18"/>
          <w:color w:val="auto"/>
        </w:rPr>
        <w:t>Our written related party transactions policy and the charters of our audit committee and nominating and corporate governance committee, which were adopted by our board of directors and will be in effect immediately prior to the completion of this offering, require that any transaction with a related person that must be reported under applicable rules of the SEC must be reviewed and approved or ratified by our audit and risk committee. However, if the related party is, or is associated with, a member of the audit and risk committee, the transaction must be reviewed and approved by our nominating and governance committee.</w:t>
      </w:r>
    </w:p>
    <w:p>
      <w:pPr>
        <w:spacing w:after="0" w:line="137"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Prior to this offering we had no formal, written policy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STOCKHOLDERS</w:t>
      </w:r>
    </w:p>
    <w:p>
      <w:pPr>
        <w:spacing w:after="0" w:line="189" w:lineRule="exact"/>
        <w:rPr>
          <w:sz w:val="20"/>
          <w:szCs w:val="20"/>
          <w:color w:val="auto"/>
        </w:rPr>
      </w:pPr>
    </w:p>
    <w:p>
      <w:pPr>
        <w:ind w:right="40" w:firstLine="324"/>
        <w:spacing w:after="0" w:line="324"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31, 2021, and as adjusted to reflect the sale of common stock by us and the selling stockholders in this offering and the private placement assuming, for:</w:t>
      </w:r>
    </w:p>
    <w:p>
      <w:pPr>
        <w:spacing w:after="0" w:line="93"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85" w:lineRule="exact"/>
        <w:rPr>
          <w:sz w:val="20"/>
          <w:szCs w:val="20"/>
          <w:color w:val="auto"/>
        </w:rPr>
      </w:pPr>
    </w:p>
    <w:p>
      <w:pPr>
        <w:ind w:right="40" w:firstLine="324"/>
        <w:spacing w:after="0" w:line="275"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31" w:lineRule="exact"/>
        <w:rPr>
          <w:sz w:val="20"/>
          <w:szCs w:val="20"/>
          <w:color w:val="auto"/>
        </w:rPr>
      </w:pPr>
    </w:p>
    <w:p>
      <w:pPr>
        <w:ind w:firstLine="324"/>
        <w:spacing w:after="0" w:line="309" w:lineRule="auto"/>
        <w:rPr>
          <w:sz w:val="20"/>
          <w:szCs w:val="20"/>
          <w:color w:val="auto"/>
        </w:rPr>
      </w:pPr>
      <w:r>
        <w:rPr>
          <w:rFonts w:ascii="Arial" w:cs="Arial" w:eastAsia="Arial" w:hAnsi="Arial"/>
          <w:sz w:val="16"/>
          <w:szCs w:val="16"/>
          <w:color w:val="auto"/>
        </w:rPr>
        <w:t>Applicable percentage ownership before this offering and the private placement is based on 154,873,454 shares of our common stock outstanding as of August 31, 2021, which assumes the conversion of all outstanding shares of convertible preferred stock into an aggregate of 127,410,631 shares of our common stock. For purposes of the table below, we have assumed that 7,000,000 shares of common stock will be issued by us, 5,162,777 shares of common stock will be sold by the selling stockholders in this offering and 581,395 shares of common stock will be issued by us in the private placement.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2021. We did not deem these shares outstanding, however, for the purpose of computing the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7"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ownership of any other person. Unless otherwise indicated, the address of each beneficial owner in the table below is c/o Remitly Global, Inc., 1111 Third Avenue, Suite 2100, Seattle WA 98101.</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w w:val="91"/>
              </w:rPr>
              <w:t>Assuming Full Exercise of the Option to Purchase</w:t>
            </w:r>
          </w:p>
        </w:tc>
        <w:tc>
          <w:tcPr>
            <w:tcW w:w="0" w:type="dxa"/>
            <w:vAlign w:val="bottom"/>
          </w:tcPr>
          <w:p>
            <w:pPr>
              <w:spacing w:after="0"/>
              <w:rPr>
                <w:sz w:val="1"/>
                <w:szCs w:val="1"/>
                <w:color w:val="auto"/>
              </w:rPr>
            </w:pPr>
          </w:p>
        </w:tc>
      </w:tr>
      <w:tr>
        <w:trPr>
          <w:trHeight w:val="164"/>
        </w:trPr>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3"/>
          </w:tcPr>
          <w:p>
            <w:pPr>
              <w:jc w:val="right"/>
              <w:ind w:right="57"/>
              <w:spacing w:after="0"/>
              <w:rPr>
                <w:sz w:val="20"/>
                <w:szCs w:val="20"/>
                <w:color w:val="auto"/>
              </w:rPr>
            </w:pPr>
            <w:r>
              <w:rPr>
                <w:rFonts w:ascii="Arial" w:cs="Arial" w:eastAsia="Arial" w:hAnsi="Arial"/>
                <w:sz w:val="13"/>
                <w:szCs w:val="13"/>
                <w:b w:val="1"/>
                <w:bCs w:val="1"/>
                <w:color w:val="auto"/>
                <w:w w:val="89"/>
              </w:rPr>
              <w:t>No Exercise of the Option to Purchase Additional Shares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3"/>
                <w:szCs w:val="13"/>
                <w:b w:val="1"/>
                <w:bCs w:val="1"/>
                <w:color w:val="auto"/>
              </w:rPr>
              <w:t>Additional Shares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2"/>
        </w:trPr>
        <w:tc>
          <w:tcPr>
            <w:tcW w:w="2520" w:type="dxa"/>
            <w:vAlign w:val="bottom"/>
          </w:tcPr>
          <w:p>
            <w:pPr>
              <w:spacing w:after="0"/>
              <w:rPr>
                <w:sz w:val="24"/>
                <w:szCs w:val="24"/>
                <w:color w:val="auto"/>
              </w:rPr>
            </w:pPr>
          </w:p>
        </w:tc>
        <w:tc>
          <w:tcPr>
            <w:tcW w:w="2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Shares Beneficially Owned Before this</w:t>
            </w:r>
          </w:p>
        </w:tc>
        <w:tc>
          <w:tcPr>
            <w:tcW w:w="80" w:type="dxa"/>
            <w:vAlign w:val="bottom"/>
          </w:tcPr>
          <w:p>
            <w:pPr>
              <w:spacing w:after="0"/>
              <w:rPr>
                <w:sz w:val="24"/>
                <w:szCs w:val="24"/>
                <w:color w:val="auto"/>
              </w:rPr>
            </w:pPr>
          </w:p>
        </w:tc>
        <w:tc>
          <w:tcPr>
            <w:tcW w:w="106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Number of</w:t>
            </w:r>
          </w:p>
        </w:tc>
        <w:tc>
          <w:tcPr>
            <w:tcW w:w="224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w w:val="92"/>
              </w:rPr>
              <w:t>Shares Beneficially Owned After this</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20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8"/>
              </w:rPr>
              <w:t>Shares Beneficially Owned After this</w:t>
            </w: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right="18"/>
              <w:spacing w:after="0"/>
              <w:rPr>
                <w:sz w:val="20"/>
                <w:szCs w:val="20"/>
                <w:color w:val="auto"/>
              </w:rPr>
            </w:pPr>
            <w:r>
              <w:rPr>
                <w:rFonts w:ascii="Arial" w:cs="Arial" w:eastAsia="Arial" w:hAnsi="Arial"/>
                <w:sz w:val="13"/>
                <w:szCs w:val="13"/>
                <w:b w:val="1"/>
                <w:bCs w:val="1"/>
                <w:color w:val="auto"/>
                <w:w w:val="84"/>
              </w:rPr>
              <w:t>Shares of</w:t>
            </w:r>
          </w:p>
        </w:tc>
        <w:tc>
          <w:tcPr>
            <w:tcW w:w="2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Shares of</w:t>
            </w:r>
          </w:p>
        </w:tc>
        <w:tc>
          <w:tcPr>
            <w:tcW w:w="2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2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Offering and Private Placement</w:t>
            </w:r>
          </w:p>
        </w:tc>
        <w:tc>
          <w:tcPr>
            <w:tcW w:w="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2240" w:type="dxa"/>
            <w:vAlign w:val="bottom"/>
            <w:gridSpan w:val="2"/>
            <w:vMerge w:val="restart"/>
          </w:tcPr>
          <w:p>
            <w:pPr>
              <w:jc w:val="right"/>
              <w:ind w:right="197"/>
              <w:spacing w:after="0"/>
              <w:rPr>
                <w:sz w:val="20"/>
                <w:szCs w:val="20"/>
                <w:color w:val="auto"/>
              </w:rPr>
            </w:pPr>
            <w:r>
              <w:rPr>
                <w:rFonts w:ascii="Arial" w:cs="Arial" w:eastAsia="Arial" w:hAnsi="Arial"/>
                <w:sz w:val="13"/>
                <w:szCs w:val="13"/>
                <w:b w:val="1"/>
                <w:bCs w:val="1"/>
                <w:color w:val="auto"/>
              </w:rPr>
              <w:t>Offering and Private Placement</w:t>
            </w: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060" w:type="dxa"/>
            <w:vAlign w:val="bottom"/>
            <w:gridSpan w:val="2"/>
            <w:vMerge w:val="restart"/>
          </w:tcPr>
          <w:p>
            <w:pPr>
              <w:jc w:val="right"/>
              <w:ind w:right="117"/>
              <w:spacing w:after="0"/>
              <w:rPr>
                <w:sz w:val="20"/>
                <w:szCs w:val="20"/>
                <w:color w:val="auto"/>
              </w:rPr>
            </w:pPr>
            <w:r>
              <w:rPr>
                <w:rFonts w:ascii="Arial" w:cs="Arial" w:eastAsia="Arial" w:hAnsi="Arial"/>
                <w:sz w:val="13"/>
                <w:szCs w:val="13"/>
                <w:b w:val="1"/>
                <w:bCs w:val="1"/>
                <w:color w:val="auto"/>
                <w:w w:val="96"/>
              </w:rPr>
              <w:t>Offering and Private Placement</w:t>
            </w: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right="18"/>
              <w:spacing w:after="0" w:line="106" w:lineRule="exact"/>
              <w:rPr>
                <w:sz w:val="20"/>
                <w:szCs w:val="20"/>
                <w:color w:val="auto"/>
              </w:rPr>
            </w:pPr>
            <w:r>
              <w:rPr>
                <w:rFonts w:ascii="Arial" w:cs="Arial" w:eastAsia="Arial" w:hAnsi="Arial"/>
                <w:sz w:val="12"/>
                <w:szCs w:val="12"/>
                <w:b w:val="1"/>
                <w:bCs w:val="1"/>
                <w:color w:val="auto"/>
                <w:w w:val="93"/>
              </w:rPr>
              <w:t>Common Stock</w:t>
            </w:r>
          </w:p>
        </w:tc>
        <w:tc>
          <w:tcPr>
            <w:tcW w:w="2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jc w:val="center"/>
              <w:spacing w:after="0" w:line="106" w:lineRule="exact"/>
              <w:rPr>
                <w:sz w:val="20"/>
                <w:szCs w:val="20"/>
                <w:color w:val="auto"/>
              </w:rPr>
            </w:pPr>
            <w:r>
              <w:rPr>
                <w:rFonts w:ascii="Arial" w:cs="Arial" w:eastAsia="Arial" w:hAnsi="Arial"/>
                <w:sz w:val="12"/>
                <w:szCs w:val="12"/>
                <w:b w:val="1"/>
                <w:bCs w:val="1"/>
                <w:color w:val="auto"/>
                <w:w w:val="93"/>
              </w:rPr>
              <w:t>Common Stock</w:t>
            </w:r>
          </w:p>
        </w:tc>
        <w:tc>
          <w:tcPr>
            <w:tcW w:w="2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20"/>
                <w:szCs w:val="20"/>
                <w:color w:val="auto"/>
              </w:rPr>
            </w:pPr>
            <w:r>
              <w:rPr>
                <w:rFonts w:ascii="Arial" w:cs="Arial" w:eastAsia="Arial" w:hAnsi="Arial"/>
                <w:sz w:val="13"/>
                <w:szCs w:val="13"/>
                <w:b w:val="1"/>
                <w:bCs w:val="1"/>
                <w:color w:val="auto"/>
              </w:rPr>
              <w:t>Name of Beneficial Owner</w:t>
            </w:r>
          </w:p>
        </w:tc>
        <w:tc>
          <w:tcPr>
            <w:tcW w:w="1220" w:type="dxa"/>
            <w:vAlign w:val="bottom"/>
          </w:tcPr>
          <w:p>
            <w:pPr>
              <w:ind w:left="400"/>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Arial" w:cs="Arial" w:eastAsia="Arial" w:hAnsi="Arial"/>
                <w:sz w:val="13"/>
                <w:szCs w:val="13"/>
                <w:b w:val="1"/>
                <w:bCs w:val="1"/>
                <w:color w:val="auto"/>
                <w:w w:val="88"/>
              </w:rPr>
              <w:t>Being Offered</w:t>
            </w:r>
          </w:p>
        </w:tc>
        <w:tc>
          <w:tcPr>
            <w:tcW w:w="1240" w:type="dxa"/>
            <w:vAlign w:val="bottom"/>
          </w:tcPr>
          <w:p>
            <w:pPr>
              <w:ind w:left="420"/>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8"/>
              </w:rPr>
              <w:t>Being Offered</w:t>
            </w:r>
          </w:p>
        </w:tc>
        <w:tc>
          <w:tcPr>
            <w:tcW w:w="1280" w:type="dxa"/>
            <w:vAlign w:val="bottom"/>
          </w:tcPr>
          <w:p>
            <w:pPr>
              <w:ind w:left="32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Named Executive Officers and</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Directors: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720" w:type="dxa"/>
            <w:vAlign w:val="bottom"/>
          </w:tcPr>
          <w:p>
            <w:pPr>
              <w:spacing w:after="0"/>
              <w:rPr>
                <w:sz w:val="20"/>
                <w:szCs w:val="20"/>
                <w:color w:val="auto"/>
              </w:rPr>
            </w:pPr>
            <w:r>
              <w:rPr>
                <w:rFonts w:ascii="Arial" w:cs="Arial" w:eastAsia="Arial" w:hAnsi="Arial"/>
                <w:sz w:val="14"/>
                <w:szCs w:val="14"/>
                <w:color w:val="auto"/>
              </w:rPr>
              <w:t>Matthew Oppenheimer</w:t>
            </w:r>
            <w:r>
              <w:rPr>
                <w:rFonts w:ascii="Arial" w:cs="Arial" w:eastAsia="Arial" w:hAnsi="Arial"/>
                <w:sz w:val="18"/>
                <w:szCs w:val="18"/>
                <w:color w:val="auto"/>
                <w:vertAlign w:val="superscript"/>
              </w:rPr>
              <w:t>(1)</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7,841,474</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2720" w:type="dxa"/>
            <w:vAlign w:val="bottom"/>
          </w:tcPr>
          <w:p>
            <w:pPr>
              <w:spacing w:after="0"/>
              <w:rPr>
                <w:sz w:val="20"/>
                <w:szCs w:val="20"/>
                <w:color w:val="auto"/>
              </w:rPr>
            </w:pPr>
            <w:r>
              <w:rPr>
                <w:rFonts w:ascii="Arial" w:cs="Arial" w:eastAsia="Arial" w:hAnsi="Arial"/>
                <w:sz w:val="14"/>
                <w:szCs w:val="14"/>
                <w:color w:val="auto"/>
              </w:rPr>
              <w:t>Joshua Hug</w:t>
            </w:r>
            <w:r>
              <w:rPr>
                <w:rFonts w:ascii="Arial" w:cs="Arial" w:eastAsia="Arial" w:hAnsi="Arial"/>
                <w:sz w:val="18"/>
                <w:szCs w:val="18"/>
                <w:color w:val="auto"/>
                <w:vertAlign w:val="superscript"/>
              </w:rPr>
              <w:t>(2)</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4,992,410</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3.2</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2720" w:type="dxa"/>
            <w:vAlign w:val="bottom"/>
          </w:tcPr>
          <w:p>
            <w:pPr>
              <w:spacing w:after="0"/>
              <w:rPr>
                <w:sz w:val="20"/>
                <w:szCs w:val="20"/>
                <w:color w:val="auto"/>
              </w:rPr>
            </w:pPr>
            <w:r>
              <w:rPr>
                <w:rFonts w:ascii="Arial" w:cs="Arial" w:eastAsia="Arial" w:hAnsi="Arial"/>
                <w:sz w:val="14"/>
                <w:szCs w:val="14"/>
                <w:color w:val="auto"/>
              </w:rPr>
              <w:t>Susanna Morgan</w:t>
            </w:r>
            <w:r>
              <w:rPr>
                <w:rFonts w:ascii="Arial" w:cs="Arial" w:eastAsia="Arial" w:hAnsi="Arial"/>
                <w:sz w:val="18"/>
                <w:szCs w:val="18"/>
                <w:color w:val="auto"/>
                <w:vertAlign w:val="superscript"/>
              </w:rPr>
              <w:t>(3)</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1,321,667</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5"/>
        </w:trPr>
        <w:tc>
          <w:tcPr>
            <w:tcW w:w="2720" w:type="dxa"/>
            <w:vAlign w:val="bottom"/>
          </w:tcPr>
          <w:p>
            <w:pPr>
              <w:spacing w:after="0"/>
              <w:rPr>
                <w:sz w:val="20"/>
                <w:szCs w:val="20"/>
                <w:color w:val="auto"/>
              </w:rPr>
            </w:pPr>
            <w:r>
              <w:rPr>
                <w:rFonts w:ascii="Arial" w:cs="Arial" w:eastAsia="Arial" w:hAnsi="Arial"/>
                <w:sz w:val="14"/>
                <w:szCs w:val="14"/>
                <w:color w:val="auto"/>
              </w:rPr>
              <w:t>William Bryant</w:t>
            </w:r>
            <w:r>
              <w:rPr>
                <w:rFonts w:ascii="Arial" w:cs="Arial" w:eastAsia="Arial" w:hAnsi="Arial"/>
                <w:sz w:val="18"/>
                <w:szCs w:val="18"/>
                <w:color w:val="auto"/>
                <w:vertAlign w:val="superscript"/>
              </w:rPr>
              <w:t>(4)</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Bora Chung</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2"/>
        </w:trPr>
        <w:tc>
          <w:tcPr>
            <w:tcW w:w="2720" w:type="dxa"/>
            <w:vAlign w:val="bottom"/>
          </w:tcPr>
          <w:p>
            <w:pPr>
              <w:spacing w:after="0"/>
              <w:rPr>
                <w:sz w:val="20"/>
                <w:szCs w:val="20"/>
                <w:color w:val="auto"/>
              </w:rPr>
            </w:pPr>
            <w:r>
              <w:rPr>
                <w:rFonts w:ascii="Arial" w:cs="Arial" w:eastAsia="Arial" w:hAnsi="Arial"/>
                <w:sz w:val="14"/>
                <w:szCs w:val="14"/>
                <w:color w:val="auto"/>
              </w:rPr>
              <w:t>Laurent Le Moal</w:t>
            </w:r>
            <w:r>
              <w:rPr>
                <w:rFonts w:ascii="Arial" w:cs="Arial" w:eastAsia="Arial" w:hAnsi="Arial"/>
                <w:sz w:val="18"/>
                <w:szCs w:val="18"/>
                <w:color w:val="auto"/>
                <w:vertAlign w:val="superscript"/>
              </w:rPr>
              <w:t>(5)</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2720" w:type="dxa"/>
            <w:vAlign w:val="bottom"/>
          </w:tcPr>
          <w:p>
            <w:pPr>
              <w:spacing w:after="0"/>
              <w:rPr>
                <w:sz w:val="20"/>
                <w:szCs w:val="20"/>
                <w:color w:val="auto"/>
              </w:rPr>
            </w:pPr>
            <w:r>
              <w:rPr>
                <w:rFonts w:ascii="Arial" w:cs="Arial" w:eastAsia="Arial" w:hAnsi="Arial"/>
                <w:sz w:val="14"/>
                <w:szCs w:val="14"/>
                <w:color w:val="auto"/>
              </w:rPr>
              <w:t>Nigel Morris</w:t>
            </w:r>
            <w:r>
              <w:rPr>
                <w:rFonts w:ascii="Arial" w:cs="Arial" w:eastAsia="Arial" w:hAnsi="Arial"/>
                <w:sz w:val="18"/>
                <w:szCs w:val="18"/>
                <w:color w:val="auto"/>
                <w:vertAlign w:val="superscript"/>
              </w:rPr>
              <w:t>(6)</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3,429,540</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2.2</w:t>
            </w:r>
          </w:p>
        </w:tc>
        <w:tc>
          <w:tcPr>
            <w:tcW w:w="780" w:type="dxa"/>
            <w:vAlign w:val="bottom"/>
          </w:tcPr>
          <w:p>
            <w:pPr>
              <w:jc w:val="right"/>
              <w:spacing w:after="0"/>
              <w:rPr>
                <w:sz w:val="20"/>
                <w:szCs w:val="20"/>
                <w:color w:val="auto"/>
              </w:rPr>
            </w:pPr>
            <w:r>
              <w:rPr>
                <w:rFonts w:ascii="Arial" w:cs="Arial" w:eastAsia="Arial" w:hAnsi="Arial"/>
                <w:sz w:val="14"/>
                <w:szCs w:val="14"/>
                <w:color w:val="auto"/>
              </w:rPr>
              <w:t>1,715,000</w:t>
            </w:r>
          </w:p>
        </w:tc>
      </w:tr>
      <w:tr>
        <w:trPr>
          <w:trHeight w:val="230"/>
        </w:trPr>
        <w:tc>
          <w:tcPr>
            <w:tcW w:w="2720" w:type="dxa"/>
            <w:vAlign w:val="bottom"/>
          </w:tcPr>
          <w:p>
            <w:pPr>
              <w:spacing w:after="0"/>
              <w:rPr>
                <w:sz w:val="20"/>
                <w:szCs w:val="20"/>
                <w:color w:val="auto"/>
              </w:rPr>
            </w:pPr>
            <w:r>
              <w:rPr>
                <w:rFonts w:ascii="Arial" w:cs="Arial" w:eastAsia="Arial" w:hAnsi="Arial"/>
                <w:sz w:val="14"/>
                <w:szCs w:val="14"/>
                <w:color w:val="auto"/>
              </w:rPr>
              <w:t>Phillip Riese</w:t>
            </w:r>
            <w:r>
              <w:rPr>
                <w:rFonts w:ascii="Arial" w:cs="Arial" w:eastAsia="Arial" w:hAnsi="Arial"/>
                <w:sz w:val="18"/>
                <w:szCs w:val="18"/>
                <w:color w:val="auto"/>
                <w:vertAlign w:val="superscript"/>
              </w:rPr>
              <w:t>(7)</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523,235</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5"/>
        </w:trPr>
        <w:tc>
          <w:tcPr>
            <w:tcW w:w="2720" w:type="dxa"/>
            <w:vAlign w:val="bottom"/>
          </w:tcPr>
          <w:p>
            <w:pPr>
              <w:spacing w:after="0"/>
              <w:rPr>
                <w:sz w:val="20"/>
                <w:szCs w:val="20"/>
                <w:color w:val="auto"/>
              </w:rPr>
            </w:pPr>
            <w:r>
              <w:rPr>
                <w:rFonts w:ascii="Arial" w:cs="Arial" w:eastAsia="Arial" w:hAnsi="Arial"/>
                <w:sz w:val="14"/>
                <w:szCs w:val="14"/>
                <w:color w:val="auto"/>
              </w:rPr>
              <w:t>Ron Shah</w:t>
            </w:r>
            <w:r>
              <w:rPr>
                <w:rFonts w:ascii="Arial" w:cs="Arial" w:eastAsia="Arial" w:hAnsi="Arial"/>
                <w:sz w:val="18"/>
                <w:szCs w:val="18"/>
                <w:color w:val="auto"/>
                <w:vertAlign w:val="superscript"/>
              </w:rPr>
              <w:t>(8)</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Margaret M. Smyth</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3"/>
        </w:trPr>
        <w:tc>
          <w:tcPr>
            <w:tcW w:w="2720" w:type="dxa"/>
            <w:vAlign w:val="bottom"/>
          </w:tcPr>
          <w:p>
            <w:pPr>
              <w:spacing w:after="0"/>
              <w:rPr>
                <w:sz w:val="20"/>
                <w:szCs w:val="20"/>
                <w:color w:val="auto"/>
              </w:rPr>
            </w:pPr>
            <w:r>
              <w:rPr>
                <w:rFonts w:ascii="Arial" w:cs="Arial" w:eastAsia="Arial" w:hAnsi="Arial"/>
                <w:sz w:val="14"/>
                <w:szCs w:val="14"/>
                <w:color w:val="auto"/>
              </w:rPr>
              <w:t>Charles Stonecipher</w:t>
            </w:r>
            <w:r>
              <w:rPr>
                <w:rFonts w:ascii="Arial" w:cs="Arial" w:eastAsia="Arial" w:hAnsi="Arial"/>
                <w:sz w:val="18"/>
                <w:szCs w:val="18"/>
                <w:color w:val="auto"/>
                <w:vertAlign w:val="superscript"/>
              </w:rPr>
              <w:t>(9)</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2720" w:type="dxa"/>
            <w:vAlign w:val="bottom"/>
          </w:tcPr>
          <w:p>
            <w:pPr>
              <w:spacing w:after="0"/>
              <w:rPr>
                <w:sz w:val="20"/>
                <w:szCs w:val="20"/>
                <w:color w:val="auto"/>
              </w:rPr>
            </w:pPr>
            <w:r>
              <w:rPr>
                <w:rFonts w:ascii="Arial" w:cs="Arial" w:eastAsia="Arial" w:hAnsi="Arial"/>
                <w:sz w:val="14"/>
                <w:szCs w:val="14"/>
                <w:b w:val="1"/>
                <w:bCs w:val="1"/>
                <w:color w:val="auto"/>
              </w:rPr>
              <w:t>Total Executive Officers and Directors</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3"/>
        </w:trPr>
        <w:tc>
          <w:tcPr>
            <w:tcW w:w="2720" w:type="dxa"/>
            <w:vAlign w:val="bottom"/>
          </w:tcPr>
          <w:p>
            <w:pPr>
              <w:ind w:left="160"/>
              <w:spacing w:after="0"/>
              <w:rPr>
                <w:sz w:val="20"/>
                <w:szCs w:val="20"/>
                <w:color w:val="auto"/>
              </w:rPr>
            </w:pPr>
            <w:r>
              <w:rPr>
                <w:rFonts w:ascii="Arial" w:cs="Arial" w:eastAsia="Arial" w:hAnsi="Arial"/>
                <w:sz w:val="14"/>
                <w:szCs w:val="14"/>
                <w:b w:val="1"/>
                <w:bCs w:val="1"/>
                <w:color w:val="auto"/>
              </w:rPr>
              <w:t>as a Group (11 people)</w:t>
            </w:r>
            <w:r>
              <w:rPr>
                <w:rFonts w:ascii="Arial" w:cs="Arial" w:eastAsia="Arial" w:hAnsi="Arial"/>
                <w:sz w:val="18"/>
                <w:szCs w:val="18"/>
                <w:b w:val="1"/>
                <w:bCs w:val="1"/>
                <w:color w:val="auto"/>
                <w:vertAlign w:val="superscript"/>
              </w:rPr>
              <w:t>(10)</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18,108,326</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11.4</w:t>
            </w:r>
          </w:p>
        </w:tc>
        <w:tc>
          <w:tcPr>
            <w:tcW w:w="780" w:type="dxa"/>
            <w:vAlign w:val="bottom"/>
          </w:tcPr>
          <w:p>
            <w:pPr>
              <w:jc w:val="right"/>
              <w:spacing w:after="0"/>
              <w:rPr>
                <w:sz w:val="20"/>
                <w:szCs w:val="20"/>
                <w:color w:val="auto"/>
              </w:rPr>
            </w:pPr>
            <w:r>
              <w:rPr>
                <w:rFonts w:ascii="Arial" w:cs="Arial" w:eastAsia="Arial" w:hAnsi="Arial"/>
                <w:sz w:val="14"/>
                <w:szCs w:val="14"/>
                <w:color w:val="auto"/>
              </w:rPr>
              <w:t>1,715,000</w:t>
            </w:r>
          </w:p>
        </w:tc>
      </w:tr>
      <w:tr>
        <w:trPr>
          <w:trHeight w:val="186"/>
        </w:trPr>
        <w:tc>
          <w:tcPr>
            <w:tcW w:w="2720" w:type="dxa"/>
            <w:vAlign w:val="bottom"/>
          </w:tcPr>
          <w:p>
            <w:pPr>
              <w:spacing w:after="0"/>
              <w:rPr>
                <w:sz w:val="20"/>
                <w:szCs w:val="20"/>
                <w:color w:val="auto"/>
              </w:rPr>
            </w:pPr>
            <w:r>
              <w:rPr>
                <w:rFonts w:ascii="Arial" w:cs="Arial" w:eastAsia="Arial" w:hAnsi="Arial"/>
                <w:sz w:val="14"/>
                <w:szCs w:val="14"/>
                <w:b w:val="1"/>
                <w:bCs w:val="1"/>
                <w:color w:val="auto"/>
              </w:rPr>
              <w:t>5% Stockholders:</w:t>
            </w: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2"/>
        </w:trPr>
        <w:tc>
          <w:tcPr>
            <w:tcW w:w="2720" w:type="dxa"/>
            <w:vAlign w:val="bottom"/>
          </w:tcPr>
          <w:p>
            <w:pPr>
              <w:spacing w:after="0"/>
              <w:rPr>
                <w:sz w:val="20"/>
                <w:szCs w:val="20"/>
                <w:color w:val="auto"/>
              </w:rPr>
            </w:pPr>
            <w:r>
              <w:rPr>
                <w:rFonts w:ascii="Arial" w:cs="Arial" w:eastAsia="Arial" w:hAnsi="Arial"/>
                <w:sz w:val="14"/>
                <w:szCs w:val="14"/>
                <w:color w:val="auto"/>
              </w:rPr>
              <w:t>PayU Fintech Investments B.V.</w:t>
            </w:r>
            <w:r>
              <w:rPr>
                <w:rFonts w:ascii="Arial" w:cs="Arial" w:eastAsia="Arial" w:hAnsi="Arial"/>
                <w:sz w:val="18"/>
                <w:szCs w:val="18"/>
                <w:color w:val="auto"/>
                <w:vertAlign w:val="superscript"/>
              </w:rPr>
              <w:t>(5)</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36,760,350</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5"/>
        </w:trPr>
        <w:tc>
          <w:tcPr>
            <w:tcW w:w="2720" w:type="dxa"/>
            <w:vAlign w:val="bottom"/>
          </w:tcPr>
          <w:p>
            <w:pPr>
              <w:spacing w:after="0"/>
              <w:rPr>
                <w:sz w:val="20"/>
                <w:szCs w:val="20"/>
                <w:color w:val="auto"/>
              </w:rPr>
            </w:pPr>
            <w:r>
              <w:rPr>
                <w:rFonts w:ascii="Arial" w:cs="Arial" w:eastAsia="Arial" w:hAnsi="Arial"/>
                <w:sz w:val="14"/>
                <w:szCs w:val="14"/>
                <w:color w:val="auto"/>
              </w:rPr>
              <w:t>Stripes III LP</w:t>
            </w:r>
            <w:r>
              <w:rPr>
                <w:rFonts w:ascii="Arial" w:cs="Arial" w:eastAsia="Arial" w:hAnsi="Arial"/>
                <w:sz w:val="18"/>
                <w:szCs w:val="18"/>
                <w:color w:val="auto"/>
                <w:vertAlign w:val="superscript"/>
              </w:rPr>
              <w:t>(7)</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18,596,453</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12.0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720" w:type="dxa"/>
            <w:vAlign w:val="bottom"/>
          </w:tcPr>
          <w:p>
            <w:pPr>
              <w:spacing w:after="0"/>
              <w:rPr>
                <w:sz w:val="20"/>
                <w:szCs w:val="20"/>
                <w:color w:val="auto"/>
              </w:rPr>
            </w:pPr>
            <w:r>
              <w:rPr>
                <w:rFonts w:ascii="Arial" w:cs="Arial" w:eastAsia="Arial" w:hAnsi="Arial"/>
                <w:sz w:val="14"/>
                <w:szCs w:val="14"/>
                <w:color w:val="auto"/>
              </w:rPr>
              <w:t>Entities affiliated with Threshold</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5"/>
        </w:trPr>
        <w:tc>
          <w:tcPr>
            <w:tcW w:w="2720" w:type="dxa"/>
            <w:vAlign w:val="bottom"/>
          </w:tcPr>
          <w:p>
            <w:pPr>
              <w:ind w:left="160"/>
              <w:spacing w:after="0"/>
              <w:rPr>
                <w:sz w:val="20"/>
                <w:szCs w:val="20"/>
                <w:color w:val="auto"/>
              </w:rPr>
            </w:pPr>
            <w:r>
              <w:rPr>
                <w:rFonts w:ascii="Arial" w:cs="Arial" w:eastAsia="Arial" w:hAnsi="Arial"/>
                <w:sz w:val="14"/>
                <w:szCs w:val="14"/>
                <w:color w:val="auto"/>
              </w:rPr>
              <w:t>Ventures</w:t>
            </w:r>
            <w:r>
              <w:rPr>
                <w:rFonts w:ascii="Arial" w:cs="Arial" w:eastAsia="Arial" w:hAnsi="Arial"/>
                <w:sz w:val="18"/>
                <w:szCs w:val="18"/>
                <w:color w:val="auto"/>
                <w:vertAlign w:val="superscript"/>
              </w:rPr>
              <w:t>(4)</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14,421,913</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720" w:type="dxa"/>
            <w:vAlign w:val="bottom"/>
          </w:tcPr>
          <w:p>
            <w:pPr>
              <w:spacing w:after="0"/>
              <w:rPr>
                <w:sz w:val="20"/>
                <w:szCs w:val="20"/>
                <w:color w:val="auto"/>
              </w:rPr>
            </w:pPr>
            <w:r>
              <w:rPr>
                <w:rFonts w:ascii="Arial" w:cs="Arial" w:eastAsia="Arial" w:hAnsi="Arial"/>
                <w:sz w:val="14"/>
                <w:szCs w:val="14"/>
                <w:color w:val="auto"/>
              </w:rPr>
              <w:t>Generation IM Sustainable Solutions Fund</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2720" w:type="dxa"/>
            <w:vAlign w:val="bottom"/>
          </w:tcPr>
          <w:p>
            <w:pPr>
              <w:ind w:left="160"/>
              <w:spacing w:after="0"/>
              <w:rPr>
                <w:sz w:val="20"/>
                <w:szCs w:val="20"/>
                <w:color w:val="auto"/>
              </w:rPr>
            </w:pPr>
            <w:r>
              <w:rPr>
                <w:rFonts w:ascii="Arial" w:cs="Arial" w:eastAsia="Arial" w:hAnsi="Arial"/>
                <w:sz w:val="14"/>
                <w:szCs w:val="14"/>
                <w:color w:val="auto"/>
              </w:rPr>
              <w:t>III, L.P.</w:t>
            </w:r>
            <w:r>
              <w:rPr>
                <w:rFonts w:ascii="Arial" w:cs="Arial" w:eastAsia="Arial" w:hAnsi="Arial"/>
                <w:sz w:val="18"/>
                <w:szCs w:val="18"/>
                <w:color w:val="auto"/>
                <w:vertAlign w:val="superscript"/>
              </w:rPr>
              <w:t>(11)</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12,306,523</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8.0</w:t>
            </w:r>
          </w:p>
        </w:tc>
        <w:tc>
          <w:tcPr>
            <w:tcW w:w="780" w:type="dxa"/>
            <w:vAlign w:val="bottom"/>
          </w:tcPr>
          <w:p>
            <w:pPr>
              <w:jc w:val="right"/>
              <w:spacing w:after="0"/>
              <w:rPr>
                <w:sz w:val="20"/>
                <w:szCs w:val="20"/>
                <w:color w:val="auto"/>
              </w:rPr>
            </w:pPr>
            <w:r>
              <w:rPr>
                <w:rFonts w:ascii="Arial" w:cs="Arial" w:eastAsia="Arial" w:hAnsi="Arial"/>
                <w:sz w:val="14"/>
                <w:szCs w:val="14"/>
                <w:color w:val="auto"/>
              </w:rPr>
              <w:t>1,230,652</w:t>
            </w:r>
          </w:p>
        </w:tc>
      </w:tr>
      <w:tr>
        <w:trPr>
          <w:trHeight w:val="231"/>
        </w:trPr>
        <w:tc>
          <w:tcPr>
            <w:tcW w:w="2720" w:type="dxa"/>
            <w:vAlign w:val="bottom"/>
          </w:tcPr>
          <w:p>
            <w:pPr>
              <w:spacing w:after="0"/>
              <w:rPr>
                <w:sz w:val="20"/>
                <w:szCs w:val="20"/>
                <w:color w:val="auto"/>
              </w:rPr>
            </w:pPr>
            <w:r>
              <w:rPr>
                <w:rFonts w:ascii="Arial" w:cs="Arial" w:eastAsia="Arial" w:hAnsi="Arial"/>
                <w:sz w:val="14"/>
                <w:szCs w:val="14"/>
                <w:color w:val="auto"/>
              </w:rPr>
              <w:t>Trilogy Equity Partners, LLC</w:t>
            </w:r>
            <w:r>
              <w:rPr>
                <w:rFonts w:ascii="Arial" w:cs="Arial" w:eastAsia="Arial" w:hAnsi="Arial"/>
                <w:sz w:val="18"/>
                <w:szCs w:val="18"/>
                <w:color w:val="auto"/>
                <w:vertAlign w:val="superscript"/>
              </w:rPr>
              <w:t>(9)</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9,516,597</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720" w:type="dxa"/>
            <w:vAlign w:val="bottom"/>
          </w:tcPr>
          <w:p>
            <w:pPr>
              <w:spacing w:after="0"/>
              <w:rPr>
                <w:sz w:val="20"/>
                <w:szCs w:val="20"/>
                <w:color w:val="auto"/>
              </w:rPr>
            </w:pPr>
            <w:r>
              <w:rPr>
                <w:rFonts w:ascii="Arial" w:cs="Arial" w:eastAsia="Arial" w:hAnsi="Arial"/>
                <w:sz w:val="14"/>
                <w:szCs w:val="14"/>
                <w:b w:val="1"/>
                <w:bCs w:val="1"/>
                <w:color w:val="auto"/>
              </w:rPr>
              <w:t>Other Selling Stockholders:</w:t>
            </w:r>
          </w:p>
        </w:tc>
        <w:tc>
          <w:tcPr>
            <w:tcW w:w="1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8"/>
        </w:trPr>
        <w:tc>
          <w:tcPr>
            <w:tcW w:w="2720" w:type="dxa"/>
            <w:vAlign w:val="bottom"/>
          </w:tcPr>
          <w:p>
            <w:pPr>
              <w:spacing w:after="0"/>
              <w:rPr>
                <w:sz w:val="20"/>
                <w:szCs w:val="20"/>
                <w:color w:val="auto"/>
              </w:rPr>
            </w:pPr>
            <w:r>
              <w:rPr>
                <w:rFonts w:ascii="Arial" w:cs="Arial" w:eastAsia="Arial" w:hAnsi="Arial"/>
                <w:sz w:val="14"/>
                <w:szCs w:val="14"/>
                <w:color w:val="auto"/>
              </w:rPr>
              <w:t>DN Capital - Global Venture Capital III</w:t>
            </w: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5"/>
        </w:trPr>
        <w:tc>
          <w:tcPr>
            <w:tcW w:w="2720" w:type="dxa"/>
            <w:vAlign w:val="bottom"/>
          </w:tcPr>
          <w:p>
            <w:pPr>
              <w:ind w:left="160"/>
              <w:spacing w:after="0" w:line="235" w:lineRule="exact"/>
              <w:rPr>
                <w:sz w:val="20"/>
                <w:szCs w:val="20"/>
                <w:color w:val="auto"/>
              </w:rPr>
            </w:pPr>
            <w:r>
              <w:rPr>
                <w:rFonts w:ascii="Arial" w:cs="Arial" w:eastAsia="Arial" w:hAnsi="Arial"/>
                <w:sz w:val="27"/>
                <w:szCs w:val="27"/>
                <w:color w:val="auto"/>
                <w:vertAlign w:val="subscript"/>
              </w:rPr>
              <w:t>LP</w:t>
            </w:r>
            <w:r>
              <w:rPr>
                <w:rFonts w:ascii="Arial" w:cs="Arial" w:eastAsia="Arial" w:hAnsi="Arial"/>
                <w:sz w:val="9"/>
                <w:szCs w:val="9"/>
                <w:color w:val="auto"/>
              </w:rPr>
              <w:t>(12)</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5,846,640</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3.8</w:t>
            </w:r>
          </w:p>
        </w:tc>
        <w:tc>
          <w:tcPr>
            <w:tcW w:w="780" w:type="dxa"/>
            <w:vAlign w:val="bottom"/>
          </w:tcPr>
          <w:p>
            <w:pPr>
              <w:jc w:val="right"/>
              <w:spacing w:after="0"/>
              <w:rPr>
                <w:sz w:val="20"/>
                <w:szCs w:val="20"/>
                <w:color w:val="auto"/>
              </w:rPr>
            </w:pPr>
            <w:r>
              <w:rPr>
                <w:rFonts w:ascii="Arial" w:cs="Arial" w:eastAsia="Arial" w:hAnsi="Arial"/>
                <w:sz w:val="14"/>
                <w:szCs w:val="14"/>
                <w:color w:val="auto"/>
              </w:rPr>
              <w:t>1,461,660</w:t>
            </w:r>
          </w:p>
        </w:tc>
      </w:tr>
      <w:tr>
        <w:trPr>
          <w:trHeight w:val="170"/>
        </w:trPr>
        <w:tc>
          <w:tcPr>
            <w:tcW w:w="2720" w:type="dxa"/>
            <w:vAlign w:val="bottom"/>
          </w:tcPr>
          <w:p>
            <w:pPr>
              <w:spacing w:after="0"/>
              <w:rPr>
                <w:sz w:val="20"/>
                <w:szCs w:val="20"/>
                <w:color w:val="auto"/>
              </w:rPr>
            </w:pPr>
            <w:r>
              <w:rPr>
                <w:rFonts w:ascii="Arial" w:cs="Arial" w:eastAsia="Arial" w:hAnsi="Arial"/>
                <w:sz w:val="14"/>
                <w:szCs w:val="14"/>
                <w:color w:val="auto"/>
              </w:rPr>
              <w:t>Prudential Impact Investments Private</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44"/>
        </w:trPr>
        <w:tc>
          <w:tcPr>
            <w:tcW w:w="2720" w:type="dxa"/>
            <w:vAlign w:val="bottom"/>
          </w:tcPr>
          <w:p>
            <w:pPr>
              <w:ind w:left="160"/>
              <w:spacing w:after="0"/>
              <w:rPr>
                <w:sz w:val="20"/>
                <w:szCs w:val="20"/>
                <w:color w:val="auto"/>
              </w:rPr>
            </w:pPr>
            <w:r>
              <w:rPr>
                <w:rFonts w:ascii="Arial" w:cs="Arial" w:eastAsia="Arial" w:hAnsi="Arial"/>
                <w:sz w:val="14"/>
                <w:szCs w:val="14"/>
                <w:color w:val="auto"/>
              </w:rPr>
              <w:t>Equity LLC</w:t>
            </w:r>
            <w:r>
              <w:rPr>
                <w:rFonts w:ascii="Arial" w:cs="Arial" w:eastAsia="Arial" w:hAnsi="Arial"/>
                <w:sz w:val="18"/>
                <w:szCs w:val="18"/>
                <w:color w:val="auto"/>
                <w:vertAlign w:val="superscript"/>
              </w:rPr>
              <w:t>(13)</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2,518,215</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1.6</w:t>
            </w:r>
          </w:p>
        </w:tc>
        <w:tc>
          <w:tcPr>
            <w:tcW w:w="780" w:type="dxa"/>
            <w:vAlign w:val="bottom"/>
          </w:tcPr>
          <w:p>
            <w:pPr>
              <w:jc w:val="right"/>
              <w:spacing w:after="0"/>
              <w:rPr>
                <w:sz w:val="20"/>
                <w:szCs w:val="20"/>
                <w:color w:val="auto"/>
              </w:rPr>
            </w:pPr>
            <w:r>
              <w:rPr>
                <w:rFonts w:ascii="Arial" w:cs="Arial" w:eastAsia="Arial" w:hAnsi="Arial"/>
                <w:sz w:val="14"/>
                <w:szCs w:val="14"/>
                <w:color w:val="auto"/>
              </w:rPr>
              <w:t>755,465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-3491230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-3199765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-2616835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-2325370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-2033905</wp:posOffset>
            </wp:positionV>
            <wp:extent cx="7132320"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-1631315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-1339850</wp:posOffset>
            </wp:positionV>
            <wp:extent cx="7132320"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7,841,474</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4.8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350,000</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7,491,474</w:t>
            </w: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4,992,410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3.1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120,000</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4,872,410</w:t>
            </w: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30"/>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1,321,667</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84,790</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1,236,877</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1,714,540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1,714,540</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30"/>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523,235</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9"/>
                <w:szCs w:val="19"/>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523,235</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05"/>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88"/>
              </w:rPr>
              <w:t>16,393,326</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9.8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554,790</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15,838,536</w:t>
            </w:r>
          </w:p>
        </w:tc>
        <w:tc>
          <w:tcPr>
            <w:tcW w:w="6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459"/>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88"/>
              </w:rPr>
              <w:t>37,341,745</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23.0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37,341,745</w:t>
            </w:r>
          </w:p>
        </w:tc>
        <w:tc>
          <w:tcPr>
            <w:tcW w:w="6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30"/>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88"/>
              </w:rPr>
              <w:t>18,596,453</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11.4</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18,596,453</w:t>
            </w:r>
          </w:p>
        </w:tc>
        <w:tc>
          <w:tcPr>
            <w:tcW w:w="6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405"/>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88"/>
              </w:rPr>
              <w:t>14,421,913</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8.9</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14,421,913</w:t>
            </w: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405"/>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88"/>
              </w:rPr>
              <w:t>11,075,871</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6.8</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11,075,871</w:t>
            </w: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29"/>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9,516,597</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5.9</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9,516,597</w:t>
            </w: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635"/>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4,384,980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2.7</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4,384,980</w:t>
            </w: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405"/>
        </w:trPr>
        <w:tc>
          <w:tcPr>
            <w:tcW w:w="1040" w:type="dxa"/>
            <w:vAlign w:val="bottom"/>
          </w:tcPr>
          <w:p>
            <w:pPr>
              <w:jc w:val="right"/>
              <w:ind w:right="328"/>
              <w:spacing w:after="0"/>
              <w:rPr>
                <w:sz w:val="20"/>
                <w:szCs w:val="20"/>
                <w:color w:val="auto"/>
              </w:rPr>
            </w:pPr>
            <w:r>
              <w:rPr>
                <w:rFonts w:ascii="Arial" w:cs="Arial" w:eastAsia="Arial" w:hAnsi="Arial"/>
                <w:sz w:val="14"/>
                <w:szCs w:val="14"/>
                <w:color w:val="auto"/>
                <w:w w:val="99"/>
              </w:rPr>
              <w:t>1,762,750</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1.1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8"/>
              <w:spacing w:after="0"/>
              <w:rPr>
                <w:sz w:val="20"/>
                <w:szCs w:val="20"/>
                <w:color w:val="auto"/>
              </w:rPr>
            </w:pPr>
            <w:r>
              <w:rPr>
                <w:rFonts w:ascii="Arial" w:cs="Arial" w:eastAsia="Arial" w:hAnsi="Arial"/>
                <w:sz w:val="14"/>
                <w:szCs w:val="14"/>
                <w:color w:val="auto"/>
              </w:rPr>
              <w:t>1,762,750</w:t>
            </w: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106" w:lineRule="exact"/>
        <w:rPr>
          <w:sz w:val="20"/>
          <w:szCs w:val="20"/>
          <w:color w:val="auto"/>
        </w:rPr>
      </w:pPr>
    </w:p>
    <w:p>
      <w:pPr>
        <w:sectPr>
          <w:pgSz w:w="11900" w:h="16838" w:orient="portrait"/>
          <w:cols w:equalWidth="0" w:num="2">
            <w:col w:w="5720" w:space="660"/>
            <w:col w:w="486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Represents beneficial ownership of less than one percent.</w:t>
      </w:r>
    </w:p>
    <w:p>
      <w:pPr>
        <w:spacing w:after="0" w:line="9" w:lineRule="exact"/>
        <w:rPr>
          <w:sz w:val="20"/>
          <w:szCs w:val="20"/>
          <w:color w:val="auto"/>
        </w:rPr>
      </w:pPr>
    </w:p>
    <w:p>
      <w:pPr>
        <w:ind w:left="340" w:right="140" w:hanging="332"/>
        <w:spacing w:after="0" w:line="261" w:lineRule="auto"/>
        <w:tabs>
          <w:tab w:leader="none" w:pos="33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(a) 5,338,447 shares of common stock and (b) 2,503,027 shares underlying options to purchase common stock that are exercisable within 60 days of August 31, 2021, of which 1,863,786 shares are unvested, early exercisable and, if exercised, subject to repurchase by us.</w:t>
      </w:r>
    </w:p>
    <w:p>
      <w:pPr>
        <w:ind w:left="340" w:right="40" w:hanging="332"/>
        <w:spacing w:after="0" w:line="261" w:lineRule="auto"/>
        <w:tabs>
          <w:tab w:leader="none" w:pos="33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(a) 4,162,410 shares of common stock, of which 333,334 shares are unvested and subject to repurchase by us as of August 31, 2021, (b) 300,000 shares of common stock held by a family trust, of which Mr. Hug’s spouse is the trustee, and (c) 530,000 shares underlying options to purchase common stock that are exercisable within 60 days of August 31, 2021, of which 509,584 shares are unvested, early exercisable and, if exercised, subject to repurchase by us.</w:t>
      </w:r>
    </w:p>
    <w:p>
      <w:pPr>
        <w:spacing w:after="0" w:line="1" w:lineRule="exact"/>
        <w:rPr>
          <w:rFonts w:ascii="Arial" w:cs="Arial" w:eastAsia="Arial" w:hAnsi="Arial"/>
          <w:sz w:val="14"/>
          <w:szCs w:val="14"/>
          <w:color w:val="auto"/>
        </w:rPr>
      </w:pPr>
    </w:p>
    <w:p>
      <w:pPr>
        <w:ind w:left="340" w:right="360" w:hanging="332"/>
        <w:spacing w:after="0" w:line="261" w:lineRule="auto"/>
        <w:tabs>
          <w:tab w:leader="none" w:pos="33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(a) 570,000 shares of common stock and (b) 751,667 shares underlying options to purchase common stock that are exercisable within 60 days of August 31, 2021, of which 450,834 shares are unvested, early exercisable and, if exercised, subject to repurchase by us.</w:t>
      </w:r>
    </w:p>
    <w:p>
      <w:pPr>
        <w:ind w:left="340" w:right="320" w:hanging="332"/>
        <w:spacing w:after="0" w:line="283" w:lineRule="auto"/>
        <w:tabs>
          <w:tab w:leader="none" w:pos="33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(a) 12,979,723 shares held by Threshold Ventures I, L.P. (“Threshold L.P.”) and (b) 1,442,190 shares held by Threshold Ventures I Partners Fund, LLC (“Threshold Partners LLC”). Threshold Ventures I General Partner LLC (“Threshold GP LLC”)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type w:val="continuous"/>
        </w:sectPr>
      </w:pPr>
    </w:p>
    <w:bookmarkStart w:id="179" w:name="page180"/>
    <w:bookmarkEnd w:id="179"/>
    <w:p>
      <w:pPr>
        <w:spacing w:after="0" w:line="153" w:lineRule="exact"/>
        <w:rPr>
          <w:sz w:val="20"/>
          <w:szCs w:val="20"/>
          <w:color w:val="auto"/>
        </w:rPr>
      </w:pPr>
    </w:p>
    <w:p>
      <w:pPr>
        <w:ind w:left="332" w:right="160"/>
        <w:spacing w:after="0" w:line="264" w:lineRule="auto"/>
        <w:rPr>
          <w:sz w:val="20"/>
          <w:szCs w:val="20"/>
          <w:color w:val="auto"/>
        </w:rPr>
      </w:pPr>
      <w:r>
        <w:rPr>
          <w:rFonts w:ascii="Arial" w:cs="Arial" w:eastAsia="Arial" w:hAnsi="Arial"/>
          <w:sz w:val="14"/>
          <w:szCs w:val="14"/>
          <w:color w:val="auto"/>
        </w:rPr>
        <w:t>general partner of Threshold L.P. Josh Stein and Andreas Stavropoulos are the managing members of each of Threshold GP LLC and Threshold Partners LLC, and thus may be deemed to have shared voting and dispositive control over the shares held by both Threshold L.P. and Threshold Partners LLC. William Bryant, a member of our board of directors, is a partner of Threshold Ventures, but has no voting or dispositive control over the shares held by Threshold L.P. or Threshold Partners LLC. The address for Threshold Partners LLC is 2882 Sand Hill Road, Suite 150, Menlo Park, California 94025.</w:t>
      </w:r>
    </w:p>
    <w:p>
      <w:pPr>
        <w:ind w:left="332" w:hanging="332"/>
        <w:spacing w:after="0" w:line="281" w:lineRule="auto"/>
        <w:tabs>
          <w:tab w:leader="none" w:pos="324"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36,760,350 shares held by PayU Fintech Investments B.V. (“PayU”). Amounts after the offering and the private placement reflect 581,395 shares of common stock to be purchased by PayU in the private placement. PayU is a subsidiary of MIH Fintech Holdings B.V., which in turn is a subsidiary of MIH e-Commerce Holdings B.V., which in turn is a subsidiary of MIH Internet Holdings B.V., which is in turn a subsidiary of Prosus N.V., which is an indirect, majority-owned subsidiary of Naspers Ltd. PayU is controlled by Prosus N.V. and Naspers Ltd., which share voting and dispositive control over the shares held by PayU. Laurent Le Moal, a member of our board of directors, is the Chief Executive Officer of PayU, but has no voting or dispositive control over the shares held by PayU. The address of PayU is Gustav Mahlerplein 5, 1082 MS, Amsterdam, Netherlands.</w:t>
      </w:r>
    </w:p>
    <w:p>
      <w:pPr>
        <w:spacing w:after="0" w:line="2" w:lineRule="exact"/>
        <w:rPr>
          <w:rFonts w:ascii="Arial" w:cs="Arial" w:eastAsia="Arial" w:hAnsi="Arial"/>
          <w:sz w:val="13"/>
          <w:szCs w:val="13"/>
          <w:color w:val="auto"/>
        </w:rPr>
      </w:pPr>
    </w:p>
    <w:p>
      <w:pPr>
        <w:ind w:left="332" w:right="40" w:hanging="332"/>
        <w:spacing w:after="0" w:line="261" w:lineRule="auto"/>
        <w:tabs>
          <w:tab w:leader="none" w:pos="32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(a) 3,279,540 shares held by QED Fund II LP (“QED”) and (b) 150,000 shares underlying options to purchase common stock that are held by QED and are exercisable within 60 days of August 31, 2021. QED is managed by QED Partners II LLC. Nigel Morris is the managing partner of QED Investors LLC and QED Partners II, LLC and may be deemed to have voting and dispositive control over the shares held by QED. The address of QED is 405 Cameron Street, Alexandria, Virginia 22314.</w:t>
      </w:r>
    </w:p>
    <w:p>
      <w:pPr>
        <w:spacing w:after="0" w:line="1" w:lineRule="exact"/>
        <w:rPr>
          <w:rFonts w:ascii="Arial" w:cs="Arial" w:eastAsia="Arial" w:hAnsi="Arial"/>
          <w:sz w:val="14"/>
          <w:szCs w:val="14"/>
          <w:color w:val="auto"/>
        </w:rPr>
      </w:pPr>
    </w:p>
    <w:p>
      <w:pPr>
        <w:ind w:left="332" w:right="320" w:hanging="332"/>
        <w:spacing w:after="0" w:line="261" w:lineRule="auto"/>
        <w:tabs>
          <w:tab w:leader="none" w:pos="32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(a) 500,000 shares underlying options to purchase common stock that are exercisable within 60 days of August 31, 2021 and (b) 23,235 vested shares underlying a restricted stock unit award as of August 31, 2021, which shares will be settled within 60 days of August 31, 2021.</w:t>
      </w:r>
    </w:p>
    <w:p>
      <w:pPr>
        <w:ind w:left="332" w:hanging="332"/>
        <w:spacing w:after="0" w:line="261" w:lineRule="auto"/>
        <w:tabs>
          <w:tab w:leader="none" w:pos="32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18,596,453 shares of common stock held by Stripes III LP (“Stripes LP”). Stripes Holdings, LLC (“Stripes Holdings”) is the managing member of Stripes GP III, LLC (“Stripes GP”), which is the general partner of Stripes LP. Kenneth A. Fox is the managing member of Stripes Holdings and may be deemed to have sole voting and dispositive control over the shares held by Stripes LP. Ron Shah, a member of our board of directors, is a partner at Stripes GP but has no voting or dispositive control over the shares held by Stripes LP. The address for Stripes LP is 402 West 13th Street, 4th Floor, New York, New York 10014.</w:t>
      </w:r>
    </w:p>
    <w:p>
      <w:pPr>
        <w:spacing w:after="0" w:line="1" w:lineRule="exact"/>
        <w:rPr>
          <w:rFonts w:ascii="Arial" w:cs="Arial" w:eastAsia="Arial" w:hAnsi="Arial"/>
          <w:sz w:val="14"/>
          <w:szCs w:val="14"/>
          <w:color w:val="auto"/>
        </w:rPr>
      </w:pPr>
    </w:p>
    <w:p>
      <w:pPr>
        <w:ind w:left="332" w:right="60" w:hanging="332"/>
        <w:spacing w:after="0" w:line="281" w:lineRule="auto"/>
        <w:tabs>
          <w:tab w:leader="none" w:pos="324"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9,516,597 shares of common stock held by Trilogy Equity Partners, LLC (“Trilogy”). John Stanton, Theresa Gillespie, Mikal Thomsen, Peter van Oppen, and Amy McCullough are the members of the board of managers of Trilogy, which has voting and dispositive power over the shares held by Trilogy. Charles Stonecipher, a member of our board of directors, is a managing director at Trilogy, but has no voting or dispositive control over the shares held by Trilogy. The address for Trilogy is 155 108th Ave NE, Suite 400, Bellevue, Washington 98004.</w:t>
      </w:r>
    </w:p>
    <w:p>
      <w:pPr>
        <w:spacing w:after="0" w:line="1" w:lineRule="exact"/>
        <w:rPr>
          <w:rFonts w:ascii="Arial" w:cs="Arial" w:eastAsia="Arial" w:hAnsi="Arial"/>
          <w:sz w:val="13"/>
          <w:szCs w:val="13"/>
          <w:color w:val="auto"/>
        </w:rPr>
      </w:pPr>
    </w:p>
    <w:p>
      <w:pPr>
        <w:ind w:left="332" w:right="100" w:hanging="332"/>
        <w:spacing w:after="0" w:line="261" w:lineRule="auto"/>
        <w:tabs>
          <w:tab w:leader="none" w:pos="32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(a) 13,650,397 shares of our common stock held directly and indirectly by our executive officers and directors; (b) 4,434,694 shares of our common stock issuable to them upon exercise of stock options within 60 days of August 31, 2021, of which 2,824,204 shares are unvested and subject to repurchase by us; and (c) 23,235 vested shares underlying a restricted stock unit award as of August 31, 2021, which shares will settle within 60 days of August 31, 2021.</w:t>
      </w:r>
    </w:p>
    <w:p>
      <w:pPr>
        <w:spacing w:after="0" w:line="1" w:lineRule="exact"/>
        <w:rPr>
          <w:rFonts w:ascii="Arial" w:cs="Arial" w:eastAsia="Arial" w:hAnsi="Arial"/>
          <w:sz w:val="14"/>
          <w:szCs w:val="14"/>
          <w:color w:val="auto"/>
        </w:rPr>
      </w:pPr>
    </w:p>
    <w:p>
      <w:pPr>
        <w:ind w:left="332" w:right="120" w:hanging="332"/>
        <w:spacing w:after="0" w:line="261" w:lineRule="auto"/>
        <w:tabs>
          <w:tab w:leader="none" w:pos="323"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12,306,523 shares held by Generation IM Sustainable Solutions Fund III, L.P. (“Generation III”). Al Gore, David Blood, Lisa Anderson, Mark Ferguson, Esther Gilmore, Alex Marshall, Miguel Nogales and Lila Preston are the members of the management committee, which has voting and dispositive power over the shares held by Generation III. The address for Generation III is PO Box 255 Trafalgar Court, Les Banques, St Peter Port Guernsey, GYI 3QL (c/o 20 Air Street, London, W1B 5AN).</w:t>
      </w:r>
    </w:p>
    <w:p>
      <w:pPr>
        <w:spacing w:after="0" w:line="1" w:lineRule="exact"/>
        <w:rPr>
          <w:rFonts w:ascii="Arial" w:cs="Arial" w:eastAsia="Arial" w:hAnsi="Arial"/>
          <w:sz w:val="14"/>
          <w:szCs w:val="14"/>
          <w:color w:val="auto"/>
        </w:rPr>
      </w:pPr>
    </w:p>
    <w:p>
      <w:pPr>
        <w:ind w:left="332" w:right="120" w:hanging="332"/>
        <w:spacing w:after="0" w:line="261" w:lineRule="auto"/>
        <w:tabs>
          <w:tab w:leader="none" w:pos="32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5,846,640 shares of common stock held by DN Capital - Global Venture Capital III LP (“GVC III”). DN Capital - GVC III General Partner Limited is the ultimate parent entity of GVC III, and Shane Hollywood, Andrew Wignall and Keith Mackenzie, all of whom are directors, have voting and dispositive power over the shares held by GVC III. The address for GVC III is 26 New Street, St Heller, Jersey JE2 3RA.</w:t>
      </w:r>
    </w:p>
    <w:p>
      <w:pPr>
        <w:spacing w:after="0" w:line="1" w:lineRule="exact"/>
        <w:rPr>
          <w:rFonts w:ascii="Arial" w:cs="Arial" w:eastAsia="Arial" w:hAnsi="Arial"/>
          <w:sz w:val="14"/>
          <w:szCs w:val="14"/>
          <w:color w:val="auto"/>
        </w:rPr>
      </w:pPr>
    </w:p>
    <w:p>
      <w:pPr>
        <w:ind w:left="332" w:right="260" w:hanging="332"/>
        <w:spacing w:after="0" w:line="283" w:lineRule="auto"/>
        <w:tabs>
          <w:tab w:leader="none" w:pos="32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2,518,215 shares of common stock held by Prudential Impact Investments Private Equity LLC (“Prudential”). Prudential is an indirect wholly owned subsidiary of Prudential Financial, Inc., a publicly traded company. The address for Prudential is 751 Broad Street Plaza, 15th Floor, Newark, New Jersey 07102.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32"/>
          </w:cols>
          <w:pgMar w:left="328" w:top="1440" w:right="339" w:bottom="1440" w:gutter="0" w:footer="0" w:header="0"/>
        </w:sectPr>
      </w:pPr>
    </w:p>
    <w:bookmarkStart w:id="180" w:name="page181"/>
    <w:bookmarkEnd w:id="18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and restated bylaws, which are included as exhibits to the registration statement of which this prospectus forms a part, and to the applicable provisions of Delaware law.</w:t>
      </w:r>
    </w:p>
    <w:p>
      <w:pPr>
        <w:spacing w:after="0" w:line="13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8"/>
          <w:szCs w:val="18"/>
          <w:color w:val="auto"/>
        </w:rPr>
        <w:t>Upon the completion of this offering, our authorized capital stock will consist of 725,000,000 shares of common stock, $0.0001 par value per share, and 50,000,000 shares of undesignated preferred stock, $0.0001 par value per share.</w:t>
      </w:r>
    </w:p>
    <w:p>
      <w:pPr>
        <w:spacing w:after="0" w:line="116"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provisions of our current certificate of incorporation, immediately prior to the completion of this offering, each outstanding share of our redeemable convertible preferred stock will automatically convert into common stock at a ratio of 1:1. Assuming the conversion of all outstanding shares of our redeemable convertible preferred stock into 127,410,631 shares of our common stock, as of June 30, 2021, there were:</w:t>
      </w:r>
    </w:p>
    <w:p>
      <w:pPr>
        <w:spacing w:after="0" w:line="11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153,796,274 shares of our common stock outstanding, held by 293 stockholders of record;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25,355,906 shares of our common stock issuable upon exercise of outstanding stock options;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617,696 shares of our common stock issuable upon the settlement of outstanding RSUs; and</w:t>
      </w:r>
    </w:p>
    <w:p>
      <w:pPr>
        <w:spacing w:after="0" w:line="184" w:lineRule="exact"/>
        <w:rPr>
          <w:rFonts w:ascii="Arial" w:cs="Arial" w:eastAsia="Arial" w:hAnsi="Arial"/>
          <w:sz w:val="18"/>
          <w:szCs w:val="18"/>
          <w:color w:val="auto"/>
        </w:rPr>
      </w:pPr>
    </w:p>
    <w:p>
      <w:pPr>
        <w:ind w:left="660" w:right="360" w:hanging="328"/>
        <w:spacing w:after="0" w:line="29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256,250 shares of our common stock issuable upon the exercise of outstanding warrants to purchase common stock outstanding as of June 30,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8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85" w:lineRule="exact"/>
        <w:rPr>
          <w:sz w:val="20"/>
          <w:szCs w:val="20"/>
          <w:color w:val="auto"/>
        </w:rPr>
      </w:pPr>
    </w:p>
    <w:p>
      <w:pPr>
        <w:ind w:right="40" w:firstLine="324"/>
        <w:spacing w:after="0" w:line="292" w:lineRule="auto"/>
        <w:rPr>
          <w:sz w:val="20"/>
          <w:szCs w:val="20"/>
          <w:color w:val="auto"/>
        </w:rPr>
      </w:pPr>
      <w:r>
        <w:rPr>
          <w:rFonts w:ascii="Arial" w:cs="Arial" w:eastAsia="Arial" w:hAnsi="Arial"/>
          <w:sz w:val="17"/>
          <w:szCs w:val="17"/>
          <w:color w:val="auto"/>
        </w:rPr>
        <w:t>Holders of our common stock are entitled to one vote for each share of common stock held on all matters submitted to a vote of stockholders.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8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After the completion of this offering, no shares of our preferred stock will be outstanding. Following this offering and the private placement,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8"/>
          <w:szCs w:val="18"/>
          <w:color w:val="auto"/>
        </w:rPr>
        <w:t>As of June 30, 2021, we had outstanding stock options to purchase an aggregate of 25,355,906 shares of our common stock, with a weighted-average exercise price of $3.13 per share. Between June 30, 2021 and August 31, 2021, we granted stock options to purchase 1,040,500 shares of our common stock under the 2011 Plan, with an weighted-average exercise price of $13.12 per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As of June 30, 2021, we had outstanding warrants to purchase an aggregate of 256,250 shares of our common stock, with a weighted-average exercise price of $0.42 per share.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Following the completion of this offering and the private placement, the holders of 141,905,235 shares of our common stock or their permitted transferees, which include shares to be issued in the private placement,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convertible preferred stock financings, and includes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127" w:lineRule="exact"/>
        <w:rPr>
          <w:sz w:val="20"/>
          <w:szCs w:val="20"/>
          <w:color w:val="auto"/>
        </w:rPr>
      </w:pPr>
    </w:p>
    <w:p>
      <w:pPr>
        <w:ind w:right="340" w:firstLine="324"/>
        <w:spacing w:after="0" w:line="293" w:lineRule="auto"/>
        <w:rPr>
          <w:sz w:val="20"/>
          <w:szCs w:val="20"/>
          <w:color w:val="auto"/>
        </w:rPr>
      </w:pPr>
      <w:r>
        <w:rPr>
          <w:rFonts w:ascii="Arial" w:cs="Arial" w:eastAsia="Arial" w:hAnsi="Arial"/>
          <w:sz w:val="18"/>
          <w:szCs w:val="18"/>
          <w:color w:val="auto"/>
        </w:rPr>
        <w:t>The registration rights terminate three years following the completion of this offering or, with respect to any particular stockholder, at the time that stockholder can sell all of its shares during any 90-day period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holders of an aggregate of 127,992,026 shares of our common stock, or their permitted transferees, are entitled to demand registration rights at any time after the earlier of (1) five years after the date of the amended and restated investors rights agreement or (2)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90 days of the date of the request, all or a portion of these shares for public resale, if the aggregate price to the public of the shares offered is at least $15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85"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color w:val="auto"/>
        </w:rPr>
        <w:t>The holders of an aggregate of 127,992,026 shares of our common stock or their permitted transferees are also entitled to Form S-3 registration rights. One or more holders of 40% of the outstanding shares having registration rights can request that we register all or part of their shares on Form S-3 if we are eligible to file a registration statement on Form S-3 and if the aggregate price to the public of the shares offered is at least $3.0 million, net of selling expenses. We will be required, as soon as practicable and in any event within 45 days of the request, to file a registration statement on Form S-3 to register these shares for public resale. The holders may only require us to effect at most two registrations on Form S-3 in any 12-month period. We may postpone the filing of a registration statement for up to 90 days in a 12-month period if our board of directors determines that the filing would be materially detrimental to us. We are not required to effect a Form S-3 registration under certain additional circumstances specified in the amended and restated investors’ rights agreement.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85"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If we register any of our common stock for public sale under the Securities Act and solely for cash, holders of an aggregate of 141,905,235 shares of our 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w:t>
      </w:r>
    </w:p>
    <w:p>
      <w:pPr>
        <w:spacing w:after="0" w:line="13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8"/>
          <w:szCs w:val="18"/>
          <w:color w:val="auto"/>
        </w:rPr>
        <w:t>The underwriters of any underwritten 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 (1) unless all other securities (other than securities to be sold by our company) are first excluded from the offering or (2) below 30% of the total shares covered by the registration statement, other than in the initial public offering.</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85" w:lineRule="exact"/>
        <w:rPr>
          <w:sz w:val="20"/>
          <w:szCs w:val="20"/>
          <w:color w:val="auto"/>
        </w:rPr>
      </w:pPr>
    </w:p>
    <w:p>
      <w:pPr>
        <w:ind w:right="120" w:firstLine="324"/>
        <w:spacing w:after="0" w:line="329" w:lineRule="auto"/>
        <w:rPr>
          <w:sz w:val="20"/>
          <w:szCs w:val="20"/>
          <w:color w:val="auto"/>
        </w:rPr>
      </w:pPr>
      <w:r>
        <w:rPr>
          <w:rFonts w:ascii="Arial" w:cs="Arial" w:eastAsia="Arial" w:hAnsi="Arial"/>
          <w:sz w:val="16"/>
          <w:szCs w:val="16"/>
          <w:color w:val="auto"/>
        </w:rPr>
        <w:t>The provisions of the DGCL, various state money transmitter laws to which we are subject, our amended and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takeover bids and encourage persons seeking to acquire control of our company to first negotiate with our board of directors or seek approval from the appropriate regulators.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85" w:lineRule="exact"/>
        <w:rPr>
          <w:sz w:val="20"/>
          <w:szCs w:val="20"/>
          <w:color w:val="auto"/>
        </w:rPr>
      </w:pPr>
    </w:p>
    <w:p>
      <w:pPr>
        <w:ind w:right="440" w:firstLine="324"/>
        <w:spacing w:after="0" w:line="319"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02" w:lineRule="exact"/>
        <w:rPr>
          <w:sz w:val="20"/>
          <w:szCs w:val="20"/>
          <w:color w:val="auto"/>
        </w:rPr>
      </w:pPr>
    </w:p>
    <w:p>
      <w:pPr>
        <w:ind w:left="660" w:right="80" w:hanging="328"/>
        <w:spacing w:after="0" w:line="293"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15"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31"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defines a business combination to include:</w:t>
      </w:r>
    </w:p>
    <w:p>
      <w:pPr>
        <w:spacing w:after="0" w:line="185"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196" w:lineRule="exact"/>
        <w:rPr>
          <w:rFonts w:ascii="Arial" w:cs="Arial" w:eastAsia="Arial" w:hAnsi="Arial"/>
          <w:sz w:val="17"/>
          <w:szCs w:val="17"/>
          <w:color w:val="auto"/>
        </w:rPr>
      </w:pPr>
    </w:p>
    <w:p>
      <w:pPr>
        <w:ind w:left="660" w:right="320" w:hanging="328"/>
        <w:spacing w:after="0" w:line="29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15"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15" w:lineRule="exact"/>
        <w:rPr>
          <w:rFonts w:ascii="Arial" w:cs="Arial" w:eastAsia="Arial" w:hAnsi="Arial"/>
          <w:sz w:val="18"/>
          <w:szCs w:val="18"/>
          <w:color w:val="auto"/>
        </w:rPr>
      </w:pPr>
    </w:p>
    <w:p>
      <w:pPr>
        <w:ind w:left="660" w:right="500" w:hanging="328"/>
        <w:spacing w:after="0" w:line="29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1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Transmitter Licensing Statutes</w:t>
      </w:r>
    </w:p>
    <w:p>
      <w:pPr>
        <w:spacing w:after="0" w:line="18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7"/>
          <w:szCs w:val="17"/>
          <w:color w:val="auto"/>
        </w:rPr>
        <w:t>Acquisitions of our stock above certain thresholds will be subject to prior regulatory notice or approval under state money transmitter licensing 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1440" w:right="379" w:bottom="1440" w:gutter="0" w:footer="0" w:header="0"/>
        </w:sectPr>
      </w:pPr>
    </w:p>
    <w:bookmarkStart w:id="184" w:name="page185"/>
    <w:bookmarkEnd w:id="184"/>
    <w:p>
      <w:pPr>
        <w:spacing w:after="0" w:line="157"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prospective investors seeking to acquire 10% or greater ownership of our stock in the aggregate would need to first obtain such regulatory approvals and provide such notices to the relevant regulators.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Restated Bylaw Provisions</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8"/>
          <w:szCs w:val="18"/>
          <w:color w:val="auto"/>
        </w:rPr>
        <w:t>Our amended and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29" w:lineRule="exact"/>
        <w:rPr>
          <w:sz w:val="20"/>
          <w:szCs w:val="20"/>
          <w:color w:val="auto"/>
        </w:rPr>
      </w:pPr>
    </w:p>
    <w:p>
      <w:pPr>
        <w:ind w:left="660" w:right="160" w:hanging="328"/>
        <w:spacing w:after="0" w:line="272"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Vacancies. </w:t>
      </w:r>
      <w:r>
        <w:rPr>
          <w:rFonts w:ascii="Arial" w:cs="Arial" w:eastAsia="Arial" w:hAnsi="Arial"/>
          <w:sz w:val="18"/>
          <w:szCs w:val="18"/>
          <w:color w:val="auto"/>
        </w:rPr>
        <w:t>Our restated bylaws and certificate of incorporation will authorize generally only our board of directors to fill vacant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36" w:lineRule="exact"/>
        <w:rPr>
          <w:rFonts w:ascii="Arial" w:cs="Arial" w:eastAsia="Arial" w:hAnsi="Arial"/>
          <w:sz w:val="18"/>
          <w:szCs w:val="18"/>
          <w:color w:val="auto"/>
        </w:rPr>
      </w:pPr>
    </w:p>
    <w:p>
      <w:pPr>
        <w:ind w:left="660" w:right="220" w:hanging="328"/>
        <w:spacing w:after="0" w:line="275"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and restated bylaws will provide that our board of directors is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31" w:lineRule="exact"/>
        <w:rPr>
          <w:rFonts w:ascii="Arial" w:cs="Arial" w:eastAsia="Arial" w:hAnsi="Arial"/>
          <w:sz w:val="18"/>
          <w:szCs w:val="18"/>
          <w:color w:val="auto"/>
        </w:rPr>
      </w:pPr>
    </w:p>
    <w:p>
      <w:pPr>
        <w:ind w:left="660" w:right="260" w:hanging="328"/>
        <w:spacing w:after="0" w:line="293"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Directors Removed Only for Cause. </w:t>
      </w:r>
      <w:r>
        <w:rPr>
          <w:rFonts w:ascii="Arial" w:cs="Arial" w:eastAsia="Arial" w:hAnsi="Arial"/>
          <w:sz w:val="18"/>
          <w:szCs w:val="18"/>
          <w:color w:val="auto"/>
        </w:rPr>
        <w:t>Our amended and restated certificate of incorporation will provide that stockholders may remove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for cause.</w:t>
      </w:r>
    </w:p>
    <w:p>
      <w:pPr>
        <w:spacing w:after="0" w:line="115" w:lineRule="exact"/>
        <w:rPr>
          <w:rFonts w:ascii="Arial" w:cs="Arial" w:eastAsia="Arial" w:hAnsi="Arial"/>
          <w:sz w:val="18"/>
          <w:szCs w:val="18"/>
          <w:color w:val="auto"/>
        </w:rPr>
      </w:pPr>
    </w:p>
    <w:p>
      <w:pPr>
        <w:ind w:left="660" w:right="140" w:hanging="328"/>
        <w:spacing w:after="0" w:line="311"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Supermajority Requirements for Amendments of Our Amended and Restated Certificate of Incorporation and Restated Bylaws. </w:t>
      </w:r>
      <w:r>
        <w:rPr>
          <w:rFonts w:ascii="Arial" w:cs="Arial" w:eastAsia="Arial" w:hAnsi="Arial"/>
          <w:sz w:val="16"/>
          <w:szCs w:val="16"/>
          <w:color w:val="auto"/>
        </w:rPr>
        <w:t>Our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restated certificate of incorporation will further provide that the affirmative vote of holders of at least 66 2/3%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outstanding common stock will be required to amend or repeal our restated bylaws, although our restated bylaws may be amended by a simple majority vote of our board of directors.</w:t>
      </w:r>
    </w:p>
    <w:p>
      <w:pPr>
        <w:spacing w:after="0" w:line="108" w:lineRule="exact"/>
        <w:rPr>
          <w:rFonts w:ascii="Arial" w:cs="Arial" w:eastAsia="Arial" w:hAnsi="Arial"/>
          <w:sz w:val="16"/>
          <w:szCs w:val="16"/>
          <w:color w:val="auto"/>
        </w:rPr>
      </w:pPr>
    </w:p>
    <w:p>
      <w:pPr>
        <w:ind w:left="660" w:right="180" w:hanging="328"/>
        <w:spacing w:after="0" w:line="288" w:lineRule="auto"/>
        <w:tabs>
          <w:tab w:leader="none" w:pos="655"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Stockholder Action; Special Meetings of Stockholders. </w:t>
      </w:r>
      <w:r>
        <w:rPr>
          <w:rFonts w:ascii="Arial" w:cs="Arial" w:eastAsia="Arial" w:hAnsi="Arial"/>
          <w:sz w:val="17"/>
          <w:szCs w:val="17"/>
          <w:color w:val="auto"/>
        </w:rPr>
        <w:t>Our amended and restated certificate of incorporation will provide that our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not 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26" w:lineRule="exact"/>
        <w:rPr>
          <w:rFonts w:ascii="Arial" w:cs="Arial" w:eastAsia="Arial" w:hAnsi="Arial"/>
          <w:sz w:val="17"/>
          <w:szCs w:val="17"/>
          <w:color w:val="auto"/>
        </w:rPr>
      </w:pPr>
    </w:p>
    <w:p>
      <w:pPr>
        <w:ind w:left="660" w:hanging="328"/>
        <w:spacing w:after="0" w:line="272"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57" w:lineRule="exact"/>
        <w:rPr>
          <w:sz w:val="20"/>
          <w:szCs w:val="20"/>
          <w:color w:val="auto"/>
        </w:rPr>
      </w:pPr>
    </w:p>
    <w:p>
      <w:pPr>
        <w:ind w:left="660" w:right="20"/>
        <w:spacing w:after="0" w:line="293" w:lineRule="auto"/>
        <w:rPr>
          <w:sz w:val="20"/>
          <w:szCs w:val="20"/>
          <w:color w:val="auto"/>
        </w:rPr>
      </w:pPr>
      <w:r>
        <w:rPr>
          <w:rFonts w:ascii="Arial" w:cs="Arial" w:eastAsia="Arial" w:hAnsi="Arial"/>
          <w:sz w:val="18"/>
          <w:szCs w:val="18"/>
          <w:color w:val="auto"/>
        </w:rPr>
        <w:t>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16" w:lineRule="exact"/>
        <w:rPr>
          <w:sz w:val="20"/>
          <w:szCs w:val="20"/>
          <w:color w:val="auto"/>
        </w:rPr>
      </w:pPr>
    </w:p>
    <w:p>
      <w:pPr>
        <w:jc w:val="both"/>
        <w:ind w:left="660" w:right="160" w:hanging="328"/>
        <w:spacing w:after="0" w:line="279"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Cumulative Voting. </w:t>
      </w:r>
      <w:r>
        <w:rPr>
          <w:rFonts w:ascii="Arial" w:cs="Arial" w:eastAsia="Arial" w:hAnsi="Arial"/>
          <w:sz w:val="18"/>
          <w:szCs w:val="18"/>
          <w:color w:val="auto"/>
        </w:rPr>
        <w:t>The DGCL provides that stockholders are not entitled to the right to cumulate votes in the election of directors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provides otherwise. Our amended and restated certificate of incorporation and restated bylaws will not provide for cumulative voting.</w:t>
      </w:r>
    </w:p>
    <w:p>
      <w:pPr>
        <w:spacing w:after="0" w:line="128" w:lineRule="exact"/>
        <w:rPr>
          <w:rFonts w:ascii="Arial" w:cs="Arial" w:eastAsia="Arial" w:hAnsi="Arial"/>
          <w:sz w:val="18"/>
          <w:szCs w:val="18"/>
          <w:color w:val="auto"/>
        </w:rPr>
      </w:pPr>
    </w:p>
    <w:p>
      <w:pPr>
        <w:ind w:left="660" w:right="80" w:hanging="328"/>
        <w:spacing w:after="0" w:line="272"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Issuance of Undesignated Preferred Stock. </w:t>
      </w:r>
      <w:r>
        <w:rPr>
          <w:rFonts w:ascii="Arial" w:cs="Arial" w:eastAsia="Arial" w:hAnsi="Arial"/>
          <w:sz w:val="18"/>
          <w:szCs w:val="18"/>
          <w:color w:val="auto"/>
        </w:rPr>
        <w:t>We anticipate that after the filing of our amended and restated certificate of incorporation,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have 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36" w:lineRule="exact"/>
        <w:rPr>
          <w:rFonts w:ascii="Arial" w:cs="Arial" w:eastAsia="Arial" w:hAnsi="Arial"/>
          <w:sz w:val="18"/>
          <w:szCs w:val="18"/>
          <w:color w:val="auto"/>
        </w:rPr>
      </w:pPr>
    </w:p>
    <w:p>
      <w:pPr>
        <w:ind w:left="660" w:hanging="328"/>
        <w:spacing w:after="0" w:line="302" w:lineRule="auto"/>
        <w:tabs>
          <w:tab w:leader="none" w:pos="655" w:val="left"/>
        </w:tabs>
        <w:numPr>
          <w:ilvl w:val="0"/>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Choice of Forum. </w:t>
      </w:r>
      <w:r>
        <w:rPr>
          <w:rFonts w:ascii="Arial" w:cs="Arial" w:eastAsia="Arial" w:hAnsi="Arial"/>
          <w:sz w:val="16"/>
          <w:szCs w:val="16"/>
          <w:color w:val="auto"/>
        </w:rPr>
        <w:t>Our amended and restated certificate of incorporation will provide that, to the fullest extent permitted by law, the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will also provide that the federal district courts of the United States will be the exclusive forum for resolving any complaint asserting a cause of action arising under the Securities Act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 American Stock Transfer &amp; Trust Company,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agent’s address is 6201 15th Avenue, Brooklyn, NY 11219, and its telephone number is (800) 937-5449.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60"/>
          </w:cols>
          <w:pgMar w:left="320" w:top="1440" w:right="419" w:bottom="1440" w:gutter="0" w:footer="0" w:header="0"/>
        </w:sectPr>
      </w:pPr>
    </w:p>
    <w:bookmarkStart w:id="186" w:name="page187"/>
    <w:bookmarkEnd w:id="186"/>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89" w:lineRule="exact"/>
        <w:rPr>
          <w:sz w:val="20"/>
          <w:szCs w:val="20"/>
          <w:color w:val="auto"/>
        </w:rPr>
      </w:pPr>
    </w:p>
    <w:p>
      <w:pPr>
        <w:jc w:val="both"/>
        <w:ind w:right="80" w:firstLine="324"/>
        <w:spacing w:after="0" w:line="359" w:lineRule="auto"/>
        <w:rPr>
          <w:sz w:val="20"/>
          <w:szCs w:val="20"/>
          <w:color w:val="auto"/>
        </w:rPr>
      </w:pPr>
      <w:r>
        <w:rPr>
          <w:rFonts w:ascii="Arial" w:cs="Arial" w:eastAsia="Arial" w:hAnsi="Arial"/>
          <w:sz w:val="16"/>
          <w:szCs w:val="16"/>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71" w:lineRule="exact"/>
        <w:rPr>
          <w:sz w:val="20"/>
          <w:szCs w:val="20"/>
          <w:color w:val="auto"/>
        </w:rPr>
      </w:pPr>
    </w:p>
    <w:p>
      <w:pPr>
        <w:ind w:right="200" w:firstLine="324"/>
        <w:spacing w:after="0" w:line="329" w:lineRule="auto"/>
        <w:rPr>
          <w:sz w:val="20"/>
          <w:szCs w:val="20"/>
          <w:color w:val="auto"/>
        </w:rPr>
      </w:pPr>
      <w:r>
        <w:rPr>
          <w:rFonts w:ascii="Arial" w:cs="Arial" w:eastAsia="Arial" w:hAnsi="Arial"/>
          <w:sz w:val="16"/>
          <w:szCs w:val="16"/>
          <w:color w:val="auto"/>
        </w:rPr>
        <w:t>Nevertheless, sales of substantial amounts of our common stock, including shares issued upon exercise of outstanding stock options, shares issued upon settlement of RSUs and shares issued upon exercise of outstanding warrants, in the public market following this offering and the private placement could adversely affect market prices prevailing from time to time and could impair our ability to raise capital through the sale of our equity securities.</w:t>
      </w:r>
    </w:p>
    <w:p>
      <w:pPr>
        <w:spacing w:after="0" w:line="9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7"/>
          <w:szCs w:val="17"/>
          <w:color w:val="auto"/>
        </w:rPr>
        <w:t>Upon the completion of this offering and the private placement, based on the 153,796,274 shares of our common stock outstanding as of June 30, 2021, we will have a total of 161,421,274 shares of our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16" w:lineRule="exact"/>
        <w:rPr>
          <w:sz w:val="20"/>
          <w:szCs w:val="20"/>
          <w:color w:val="auto"/>
        </w:rPr>
      </w:pPr>
    </w:p>
    <w:p>
      <w:pPr>
        <w:ind w:right="60" w:firstLine="324"/>
        <w:spacing w:after="0" w:line="292" w:lineRule="auto"/>
        <w:rPr>
          <w:sz w:val="20"/>
          <w:szCs w:val="20"/>
          <w:color w:val="auto"/>
        </w:rPr>
      </w:pPr>
      <w:r>
        <w:rPr>
          <w:rFonts w:ascii="Arial" w:cs="Arial" w:eastAsia="Arial" w:hAnsi="Arial"/>
          <w:sz w:val="17"/>
          <w:szCs w:val="17"/>
          <w:color w:val="auto"/>
        </w:rPr>
        <w:t>The remaining outstanding shares of our common stock, including the common stock to be issued in the private placement,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will be subject to a lock-up period under the lock-up agreements described below.</w:t>
      </w:r>
    </w:p>
    <w:p>
      <w:pPr>
        <w:spacing w:after="0" w:line="12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8"/>
          <w:szCs w:val="18"/>
          <w:color w:val="auto"/>
        </w:rPr>
        <w:t>As a result of the market standoff agreements with us or lock-up agreements with the underwriters and subject to the provisions of Rule 144 and Rule 701, shares of our common stock will be available for sale in the public market as follows:</w:t>
      </w:r>
    </w:p>
    <w:p>
      <w:pPr>
        <w:spacing w:after="0" w:line="116" w:lineRule="exact"/>
        <w:rPr>
          <w:sz w:val="20"/>
          <w:szCs w:val="20"/>
          <w:color w:val="auto"/>
        </w:rPr>
      </w:pPr>
    </w:p>
    <w:p>
      <w:pPr>
        <w:ind w:left="660" w:right="420" w:hanging="328"/>
        <w:spacing w:after="0" w:line="293"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beginning on the first trading day on which our common stock is traded on Nasdaq, all of the shares sold in this offering will be immediately available for sale in the public market;</w:t>
      </w:r>
    </w:p>
    <w:p>
      <w:pPr>
        <w:spacing w:after="0" w:line="115" w:lineRule="exact"/>
        <w:rPr>
          <w:rFonts w:ascii="Arial" w:cs="Arial" w:eastAsia="Arial" w:hAnsi="Arial"/>
          <w:sz w:val="18"/>
          <w:szCs w:val="18"/>
          <w:color w:val="auto"/>
        </w:rPr>
      </w:pPr>
    </w:p>
    <w:p>
      <w:pPr>
        <w:ind w:left="660" w:right="60" w:hanging="328"/>
        <w:spacing w:after="0" w:line="279"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beginning on the first trading day on which our common stock is traded on Nasdaq, up to approximately 3.2 million shares will become eligible for sale in the public market, which shares are held by our current and former service providers (including shares issuable upon exercise of vested options);</w:t>
      </w:r>
    </w:p>
    <w:p>
      <w:pPr>
        <w:spacing w:after="0" w:line="128" w:lineRule="exact"/>
        <w:rPr>
          <w:rFonts w:ascii="Arial" w:cs="Arial" w:eastAsia="Arial" w:hAnsi="Arial"/>
          <w:sz w:val="18"/>
          <w:szCs w:val="18"/>
          <w:color w:val="auto"/>
        </w:rPr>
      </w:pPr>
    </w:p>
    <w:p>
      <w:pPr>
        <w:ind w:left="660" w:hanging="328"/>
        <w:spacing w:after="0" w:line="272"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immediately prior to the commencement of trading on November 24, 2021, up to approximately 23.6 million shares (including shares issuable upon exercise of vested options and vesting of RSUs) may become eligible for sale in the public market if (i) we release our earnings announcement for the quarter ending September 30, 2021 on or before November 15, 2021 and (ii) the closing price of our common stock on the Nasdaq is at least 20% greater than the price per share set forth on the cover page of this prospectus for at least four of the five trading days during the period commencing on November 15, 2021 and ending on November 19, 2021;</w:t>
      </w:r>
    </w:p>
    <w:p>
      <w:pPr>
        <w:spacing w:after="0" w:line="136"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the 181st day after the date of this prospectus (subject to earlier termination if such date would occur during a blackout period under our insider trading policy as described under the section titled “Underwriting”), all remaining shares held by our stockholders not previously eligible for sale, subject to the volume and other restrictions of Rule 144 applicable to affiliates, as described below, will become eligible for sale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1440" w:right="379" w:bottom="1440" w:gutter="0" w:footer="0" w:header="0"/>
        </w:sectPr>
      </w:pPr>
    </w:p>
    <w:bookmarkStart w:id="187" w:name="page188"/>
    <w:bookmarkEnd w:id="18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All of our executive officers, directors and other holders of substantially all of our equity securities, including the private placement investor, are subject to lock-up agreements that prohibit them from offering for sale, selling, contracting to sell, pledging, granting any option to purchase, lend or otherwise dispose of any shares of our common stock, or any securities convertible into, exchangeable for or that represent the right to receive shares of such common stock (such options, warrants or other securities, collectively, “derivative instruments”), engaging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any shares of such common stock or derivative instruments, or publicly disclosing the intention to engage in any such transaction, for a period of 180 days following the date of this prospectus, subject to earlier termination if such date would occur during a blackout period under our insider trading policy as described under the section titled “Underwriting”, without the prior written consent of Goldman Sachs &amp; Co. LLC and J.P. Morgan Securities LLC, provided that:</w:t>
      </w:r>
    </w:p>
    <w:p>
      <w:pPr>
        <w:spacing w:after="0" w:line="124" w:lineRule="exact"/>
        <w:rPr>
          <w:sz w:val="20"/>
          <w:szCs w:val="20"/>
          <w:color w:val="auto"/>
        </w:rPr>
      </w:pPr>
    </w:p>
    <w:p>
      <w:pPr>
        <w:ind w:left="660" w:hanging="328"/>
        <w:spacing w:after="0" w:line="319" w:lineRule="auto"/>
        <w:tabs>
          <w:tab w:leader="none" w:pos="655"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The First Release: </w:t>
      </w:r>
      <w:r>
        <w:rPr>
          <w:rFonts w:ascii="Arial" w:cs="Arial" w:eastAsia="Arial" w:hAnsi="Arial"/>
          <w:sz w:val="16"/>
          <w:szCs w:val="16"/>
          <w:color w:val="auto"/>
        </w:rPr>
        <w:t>on the first trading day on which our common stock is traded on Nasdaq, up to 15% of the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shares issuable upon exercise of options and 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101" w:lineRule="exact"/>
        <w:rPr>
          <w:rFonts w:ascii="Arial" w:cs="Arial" w:eastAsia="Arial" w:hAnsi="Arial"/>
          <w:sz w:val="16"/>
          <w:szCs w:val="16"/>
          <w:color w:val="auto"/>
        </w:rPr>
      </w:pPr>
    </w:p>
    <w:p>
      <w:pPr>
        <w:ind w:left="660" w:right="340" w:hanging="328"/>
        <w:spacing w:after="0" w:line="29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The Second Release: </w:t>
      </w:r>
      <w:r>
        <w:rPr>
          <w:rFonts w:ascii="Arial" w:cs="Arial" w:eastAsia="Arial" w:hAnsi="Arial"/>
          <w:sz w:val="18"/>
          <w:szCs w:val="18"/>
          <w:color w:val="auto"/>
        </w:rPr>
        <w:t>if the conditions to the Second Release described under the section titled “Underwriting” are satisfied, then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24, 2021:</w:t>
      </w:r>
    </w:p>
    <w:p>
      <w:pPr>
        <w:spacing w:after="0" w:line="102" w:lineRule="exact"/>
        <w:rPr>
          <w:rFonts w:ascii="Arial" w:cs="Arial" w:eastAsia="Arial" w:hAnsi="Arial"/>
          <w:sz w:val="18"/>
          <w:szCs w:val="18"/>
          <w:color w:val="auto"/>
        </w:rPr>
      </w:pPr>
    </w:p>
    <w:p>
      <w:pPr>
        <w:ind w:left="980" w:right="40" w:hanging="324"/>
        <w:spacing w:after="0" w:line="259" w:lineRule="auto"/>
        <w:tabs>
          <w:tab w:leader="none" w:pos="97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132" w:lineRule="exact"/>
        <w:rPr>
          <w:rFonts w:ascii="Arial" w:cs="Arial" w:eastAsia="Arial" w:hAnsi="Arial"/>
          <w:sz w:val="18"/>
          <w:szCs w:val="18"/>
          <w:color w:val="auto"/>
        </w:rPr>
      </w:pPr>
    </w:p>
    <w:p>
      <w:pPr>
        <w:ind w:left="980" w:right="240" w:hanging="324"/>
        <w:spacing w:after="0" w:line="263" w:lineRule="auto"/>
        <w:tabs>
          <w:tab w:leader="none" w:pos="97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143" w:lineRule="exact"/>
        <w:rPr>
          <w:sz w:val="20"/>
          <w:szCs w:val="20"/>
          <w:color w:val="auto"/>
        </w:rPr>
      </w:pPr>
    </w:p>
    <w:p>
      <w:pPr>
        <w:ind w:right="300" w:firstLine="324"/>
        <w:spacing w:after="0" w:line="275" w:lineRule="auto"/>
        <w:rPr>
          <w:sz w:val="20"/>
          <w:szCs w:val="20"/>
          <w:color w:val="auto"/>
        </w:rPr>
      </w:pPr>
      <w:r>
        <w:rPr>
          <w:rFonts w:ascii="Arial" w:cs="Arial" w:eastAsia="Arial" w:hAnsi="Arial"/>
          <w:sz w:val="18"/>
          <w:szCs w:val="18"/>
          <w:color w:val="auto"/>
        </w:rPr>
        <w:t>We currently expect that the number of shares eligible to be sold in the First Release would equal approximately 3.2 million shares, which includes shares issuable upon exercise of vested options. We currently expect that the number of shares eligible to be sold in the Second Release would equal approximately 23.6 million shares, which includes shares issuable upon exercise of vested options and settlement of RSUs and assuming all shares that were eligible to be sold on the First Release were sold during such period.</w:t>
      </w:r>
    </w:p>
    <w:p>
      <w:pPr>
        <w:spacing w:after="0" w:line="131" w:lineRule="exact"/>
        <w:rPr>
          <w:sz w:val="20"/>
          <w:szCs w:val="20"/>
          <w:color w:val="auto"/>
        </w:rPr>
      </w:pPr>
    </w:p>
    <w:p>
      <w:pPr>
        <w:ind w:right="60" w:firstLine="324"/>
        <w:spacing w:after="0" w:line="270" w:lineRule="auto"/>
        <w:rPr>
          <w:sz w:val="20"/>
          <w:szCs w:val="20"/>
          <w:color w:val="auto"/>
        </w:rPr>
      </w:pPr>
      <w:r>
        <w:rPr>
          <w:rFonts w:ascii="Arial" w:cs="Arial" w:eastAsia="Arial" w:hAnsi="Arial"/>
          <w:sz w:val="18"/>
          <w:szCs w:val="18"/>
          <w:color w:val="auto"/>
        </w:rPr>
        <w:t>These lock-up agreements are also subject to certain customary exceptions. Additionally, if the 180-day lock-up period is scheduled to end during a broadly applicable period during which trading in our securities would not be permitted under our insider trading policy, or a blackout period, or within the five trading days prior to a blackout period, then the lock-up period applicable to our directors, officers, and securityholders will instead end prior to the commencement of trading on the second trading day following the release of our regular earnings announcement for the fiscal year ended December 31, 2021; provided that in no event will the lock-up period end prior to 120 days after the date of this prospectus. We will publicly announce the date of any early release described in this paragraph at least two trading days prior to such early release. See the section titled “Underwriting”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89" w:lineRule="exact"/>
        <w:rPr>
          <w:sz w:val="20"/>
          <w:szCs w:val="20"/>
          <w:color w:val="auto"/>
        </w:rPr>
      </w:pPr>
    </w:p>
    <w:p>
      <w:pPr>
        <w:ind w:right="60" w:firstLine="324"/>
        <w:spacing w:after="0" w:line="270"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8" w:lineRule="exact"/>
        <w:rPr>
          <w:sz w:val="20"/>
          <w:szCs w:val="20"/>
          <w:color w:val="auto"/>
        </w:rPr>
      </w:pPr>
    </w:p>
    <w:p>
      <w:pPr>
        <w:ind w:right="20" w:firstLine="324"/>
        <w:spacing w:after="0" w:line="359"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71" w:lineRule="exact"/>
        <w:rPr>
          <w:sz w:val="20"/>
          <w:szCs w:val="20"/>
          <w:color w:val="auto"/>
        </w:rPr>
      </w:pPr>
    </w:p>
    <w:p>
      <w:pPr>
        <w:ind w:left="660" w:right="500" w:hanging="328"/>
        <w:spacing w:after="0" w:line="293"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1,614,213 shares immediately after this offering and the private placement; or</w:t>
      </w:r>
    </w:p>
    <w:p>
      <w:pPr>
        <w:spacing w:after="0" w:line="115" w:lineRule="exact"/>
        <w:rPr>
          <w:rFonts w:ascii="Arial" w:cs="Arial" w:eastAsia="Arial" w:hAnsi="Arial"/>
          <w:sz w:val="18"/>
          <w:szCs w:val="18"/>
          <w:color w:val="auto"/>
        </w:rPr>
      </w:pPr>
    </w:p>
    <w:p>
      <w:pPr>
        <w:ind w:left="660" w:right="40" w:hanging="328"/>
        <w:spacing w:after="0" w:line="293"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16" w:lineRule="exact"/>
        <w:rPr>
          <w:sz w:val="20"/>
          <w:szCs w:val="20"/>
          <w:color w:val="auto"/>
        </w:rPr>
      </w:pPr>
    </w:p>
    <w:p>
      <w:pPr>
        <w:ind w:right="420" w:firstLine="324"/>
        <w:spacing w:after="0" w:line="293"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89" w:lineRule="exact"/>
        <w:rPr>
          <w:sz w:val="20"/>
          <w:szCs w:val="20"/>
          <w:color w:val="auto"/>
        </w:rPr>
      </w:pPr>
    </w:p>
    <w:p>
      <w:pPr>
        <w:jc w:val="both"/>
        <w:ind w:right="60" w:firstLine="324"/>
        <w:spacing w:after="0" w:line="314"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As soon as practicable after the completion of this offering, we intend to file one or more registration statements on Form S-8 under the Securities Act covering all of the shares of our common stock subject to outstanding options and restricted stock units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registration, except for shares purchased by affiliates. For a further description of these rights, see the section titled “Description of Capital Stock—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620"/>
          </w:cols>
          <w:pgMar w:left="320" w:top="1440" w:right="959" w:bottom="1440" w:gutter="0" w:footer="0" w:header="0"/>
        </w:sectPr>
      </w:pPr>
    </w:p>
    <w:bookmarkStart w:id="190" w:name="page191"/>
    <w:bookmarkEnd w:id="19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18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or estate tax laws (except to the limited extent provided below), or any non-U.S. tax consequences that may be relevant to Non-U.S. Holders in light of their particular circumstances.</w:t>
      </w:r>
    </w:p>
    <w:p>
      <w:pPr>
        <w:spacing w:after="0" w:line="137" w:lineRule="exact"/>
        <w:rPr>
          <w:sz w:val="20"/>
          <w:szCs w:val="20"/>
          <w:color w:val="auto"/>
        </w:rPr>
      </w:pPr>
    </w:p>
    <w:p>
      <w:pPr>
        <w:ind w:right="500" w:firstLine="324"/>
        <w:spacing w:after="0" w:line="293"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1988, as amended (the “Code”), such as:</w:t>
      </w:r>
    </w:p>
    <w:p>
      <w:pPr>
        <w:spacing w:after="0" w:line="116"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84" w:lineRule="exact"/>
        <w:rPr>
          <w:rFonts w:ascii="Arial" w:cs="Arial" w:eastAsia="Arial" w:hAnsi="Arial"/>
          <w:sz w:val="18"/>
          <w:szCs w:val="18"/>
          <w:color w:val="auto"/>
        </w:rPr>
      </w:pPr>
    </w:p>
    <w:p>
      <w:pPr>
        <w:ind w:left="660" w:right="80" w:hanging="328"/>
        <w:spacing w:after="0" w:line="29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115" w:lineRule="exact"/>
        <w:rPr>
          <w:rFonts w:ascii="Arial" w:cs="Arial" w:eastAsia="Arial" w:hAnsi="Arial"/>
          <w:sz w:val="18"/>
          <w:szCs w:val="18"/>
          <w:color w:val="auto"/>
        </w:rPr>
      </w:pPr>
    </w:p>
    <w:p>
      <w:pPr>
        <w:ind w:left="660" w:right="80" w:hanging="328"/>
        <w:spacing w:after="0" w:line="29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non-U.S. governments and international organizations;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common stock;</w:t>
      </w:r>
    </w:p>
    <w:p>
      <w:pPr>
        <w:spacing w:after="0" w:line="184" w:lineRule="exact"/>
        <w:rPr>
          <w:rFonts w:ascii="Arial" w:cs="Arial" w:eastAsia="Arial" w:hAnsi="Arial"/>
          <w:sz w:val="18"/>
          <w:szCs w:val="18"/>
          <w:color w:val="auto"/>
        </w:rPr>
      </w:pPr>
    </w:p>
    <w:p>
      <w:pPr>
        <w:ind w:left="660" w:right="540" w:hanging="328"/>
        <w:spacing w:after="0" w:line="29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5" w:lineRule="exact"/>
        <w:rPr>
          <w:rFonts w:ascii="Arial" w:cs="Arial" w:eastAsia="Arial" w:hAnsi="Arial"/>
          <w:sz w:val="18"/>
          <w:szCs w:val="18"/>
          <w:color w:val="auto"/>
        </w:rPr>
      </w:pPr>
    </w:p>
    <w:p>
      <w:pPr>
        <w:ind w:left="660" w:right="280" w:hanging="328"/>
        <w:spacing w:after="0" w:line="29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115" w:lineRule="exact"/>
        <w:rPr>
          <w:rFonts w:ascii="Arial" w:cs="Arial" w:eastAsia="Arial" w:hAnsi="Arial"/>
          <w:sz w:val="18"/>
          <w:szCs w:val="18"/>
          <w:color w:val="auto"/>
        </w:rPr>
      </w:pPr>
    </w:p>
    <w:p>
      <w:pPr>
        <w:ind w:left="660" w:right="800" w:hanging="328"/>
        <w:spacing w:after="0" w:line="29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and</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partnerships and other pass-through entities, and investors in such pass-through entities (regardless of their places of organization or formation).</w:t>
      </w:r>
    </w:p>
    <w:p>
      <w:pPr>
        <w:spacing w:after="0" w:line="208"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Furthermore, the discussion below is based upon the provisions of the Code,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(the “IRS”) with respect to the statements made and the conclusions reached in the following summary, and there can be no assurance that the IRS will agree with such statements and conclusions or that the IRS will not take a contrary position regarding the tax consequences described herein, or that any such contrary position would not be sustained by a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57" w:lineRule="exact"/>
        <w:rPr>
          <w:sz w:val="20"/>
          <w:szCs w:val="20"/>
          <w:color w:val="auto"/>
        </w:rPr>
      </w:pPr>
    </w:p>
    <w:p>
      <w:pPr>
        <w:ind w:right="60" w:firstLine="324"/>
        <w:spacing w:after="0" w:line="292"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120" w:lineRule="exact"/>
        <w:rPr>
          <w:sz w:val="20"/>
          <w:szCs w:val="20"/>
          <w:color w:val="auto"/>
        </w:rPr>
      </w:pPr>
    </w:p>
    <w:p>
      <w:pPr>
        <w:ind w:right="40" w:firstLine="324"/>
        <w:spacing w:after="0" w:line="288" w:lineRule="auto"/>
        <w:rPr>
          <w:sz w:val="20"/>
          <w:szCs w:val="20"/>
          <w:color w:val="auto"/>
        </w:rPr>
      </w:pPr>
      <w:r>
        <w:rPr>
          <w:rFonts w:ascii="Arial" w:cs="Arial" w:eastAsia="Arial" w:hAnsi="Arial"/>
          <w:sz w:val="17"/>
          <w:szCs w:val="17"/>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127"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color w:val="auto"/>
        </w:rPr>
        <w:t>If you are an individual non-U.S. citizen, you may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31"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89"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We do not anticipate paying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“—Gain on Disposition of Our Common Stock.”</w:t>
      </w:r>
    </w:p>
    <w:p>
      <w:pPr>
        <w:spacing w:after="0" w:line="137"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Non-U.S.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Non-U.S. Holder’s behalf, the Non-U.S. Holder will be required to provide appropriate documentation to such agent. The Non-U.S. Holder’s agent will then be required to provide certification to the applicable withholding agent, either directly or through other intermediaries. If you are eligible for a reduced rate of U.S.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157"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under an income tax treaty, you should consult with your own tax advisor to determine if you are able to obtain a refund or credit of any excess amounts withheld by timely filing an appropriate claim for a refund with the IRS.</w:t>
      </w:r>
    </w:p>
    <w:p>
      <w:pPr>
        <w:spacing w:after="0" w:line="116" w:lineRule="exact"/>
        <w:rPr>
          <w:sz w:val="20"/>
          <w:szCs w:val="20"/>
          <w:color w:val="auto"/>
        </w:rPr>
      </w:pPr>
    </w:p>
    <w:p>
      <w:pPr>
        <w:ind w:right="20" w:firstLine="324"/>
        <w:spacing w:after="0" w:line="288"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Non-U.S.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27"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See also the section below titled “—Foreign Accounts” for additional withholding rules that may apply to dividends paid to certain foreign financial institutions or non-financial foreign entities.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Subject to the discussions below per the sections titled “—Backup Withholding and Information Reporting” and “—Foreign Accounts,” a Non-U.S. Holder generally will not be subject to U.S. federal income or withholding tax with respect to gain realized on a sale or other disposition of our common stock unless (1) the gain is effectively connected with a trade or business of the Non-U.S.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12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If you are a Non-U.S. Holder, gain described in (1) above will be subject to tax on the net gain derived from the sale at the regular U.S. federal income tax rates applicable to U.S. persons. If you are a corporate Non-U.S. Holder, gain described in (1) above may also be subject to the additional branch profits tax at a 30% rate or such lower rate as may be specified by an applicable income tax treaty. If you are an individual Non-U.S. Holder described in (2)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(3) above, in general, we would be a U.S. real property holding corporation if U.S. real property interests (as defined in the Code and the Treasury Regulations)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or (ii) the Non-U.S. Holder’s holding period and (2) our common stock is regularly traded on an established securities market for purposes of the relevant rules. There can be no assurance that our common stock will qualify as regularly traded on an established securities market for this purpose.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89" w:lineRule="exact"/>
        <w:rPr>
          <w:sz w:val="20"/>
          <w:szCs w:val="20"/>
          <w:color w:val="auto"/>
        </w:rPr>
      </w:pPr>
    </w:p>
    <w:p>
      <w:pPr>
        <w:ind w:right="140" w:firstLine="324"/>
        <w:spacing w:after="0" w:line="329" w:lineRule="auto"/>
        <w:rPr>
          <w:sz w:val="20"/>
          <w:szCs w:val="20"/>
          <w:color w:val="auto"/>
        </w:rPr>
      </w:pPr>
      <w:r>
        <w:rPr>
          <w:rFonts w:ascii="Arial" w:cs="Arial" w:eastAsia="Arial" w:hAnsi="Arial"/>
          <w:sz w:val="16"/>
          <w:szCs w:val="16"/>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57"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8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8"/>
          <w:szCs w:val="18"/>
          <w:color w:val="auto"/>
        </w:rPr>
        <w:t>Generally, we or an applicable withholding agent must report information to the IRS with respect to any dividends we pay on our common stock,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in the recipient’s country of residence.</w:t>
      </w:r>
    </w:p>
    <w:p>
      <w:pPr>
        <w:spacing w:after="0" w:line="131"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94" w:lineRule="exact"/>
        <w:rPr>
          <w:sz w:val="20"/>
          <w:szCs w:val="20"/>
          <w:color w:val="auto"/>
        </w:rPr>
      </w:pPr>
    </w:p>
    <w:p>
      <w:pPr>
        <w:ind w:right="60" w:firstLine="324"/>
        <w:spacing w:after="0" w:line="287"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Non-U.S. Holder is, in fact, a U.S. person. For information reporting purposes only, certain brokers with substantial U.S. ownership or operations will generally be treated in a manner similar to U.S. brokers.</w:t>
      </w:r>
    </w:p>
    <w:p>
      <w:pPr>
        <w:spacing w:after="0" w:line="128" w:lineRule="exact"/>
        <w:rPr>
          <w:sz w:val="20"/>
          <w:szCs w:val="20"/>
          <w:color w:val="auto"/>
        </w:rPr>
      </w:pPr>
    </w:p>
    <w:p>
      <w:pPr>
        <w:ind w:right="480" w:firstLine="324"/>
        <w:spacing w:after="0" w:line="293"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are able to obtain a tax refund or credit of the overpaid amount.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89" w:lineRule="exact"/>
        <w:rPr>
          <w:sz w:val="20"/>
          <w:szCs w:val="20"/>
          <w:color w:val="auto"/>
        </w:rPr>
      </w:pPr>
    </w:p>
    <w:p>
      <w:pPr>
        <w:ind w:right="40" w:firstLine="324"/>
        <w:spacing w:after="0" w:line="304" w:lineRule="auto"/>
        <w:rPr>
          <w:sz w:val="20"/>
          <w:szCs w:val="20"/>
          <w:color w:val="auto"/>
        </w:rPr>
      </w:pPr>
      <w:r>
        <w:rPr>
          <w:rFonts w:ascii="Arial" w:cs="Arial" w:eastAsia="Arial" w:hAnsi="Arial"/>
          <w:sz w:val="16"/>
          <w:szCs w:val="16"/>
          <w:color w:val="auto"/>
        </w:rPr>
        <w:t>In addition, U.S. federal withholding taxes may apply under the Foreign Account Tax Compliance Act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previously finalized Treasury Regulations and administrative guidance, withholding under FATCA generally also would apply to payments of gross proceeds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the sale or other disposition of common stock, but proposed Treasury Regulations provide that no withholding will apply with respect to payments of gross proceeds with respect to the disposition of our common stock. The preamble to the proposed regulations specifies that taxpayers are permitted to rely on such proposed Treasury Regulations pending finalization.</w:t>
      </w:r>
    </w:p>
    <w:p>
      <w:pPr>
        <w:spacing w:after="0" w:line="129" w:lineRule="exact"/>
        <w:rPr>
          <w:sz w:val="20"/>
          <w:szCs w:val="20"/>
          <w:color w:val="auto"/>
        </w:rPr>
      </w:pPr>
    </w:p>
    <w:p>
      <w:pPr>
        <w:ind w:right="460" w:firstLine="324"/>
        <w:spacing w:after="0" w:line="293"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EACH PROSPECTIVE INVESTOR SHOULD CONSULT ITS OWN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the selling stockholders and the underwriters named below will enter into an underwriting agreement with respect to the shares being offered.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of common stock indicated in the following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 and J.P. Morgan Securities LLC are the representatives of the underwriters.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60" w:type="dxa"/>
            <w:vAlign w:val="bottom"/>
          </w:tcPr>
          <w:p>
            <w:pPr>
              <w:ind w:left="20"/>
              <w:spacing w:after="0"/>
              <w:rPr>
                <w:sz w:val="20"/>
                <w:szCs w:val="20"/>
                <w:color w:val="auto"/>
              </w:rPr>
            </w:pPr>
            <w:r>
              <w:rPr>
                <w:rFonts w:ascii="Arial" w:cs="Arial" w:eastAsia="Arial" w:hAnsi="Arial"/>
                <w:sz w:val="14"/>
                <w:szCs w:val="14"/>
                <w:b w:val="1"/>
                <w:bCs w:val="1"/>
                <w:color w:val="auto"/>
              </w:rPr>
              <w:t>Underwriters</w:t>
            </w:r>
          </w:p>
        </w:tc>
        <w:tc>
          <w:tcPr>
            <w:tcW w:w="2380" w:type="dxa"/>
            <w:vAlign w:val="bottom"/>
          </w:tcPr>
          <w:p>
            <w:pPr>
              <w:jc w:val="right"/>
              <w:ind w:right="532"/>
              <w:spacing w:after="0"/>
              <w:rPr>
                <w:sz w:val="20"/>
                <w:szCs w:val="20"/>
                <w:color w:val="auto"/>
              </w:rPr>
            </w:pPr>
            <w:r>
              <w:rPr>
                <w:rFonts w:ascii="Arial" w:cs="Arial" w:eastAsia="Arial" w:hAnsi="Arial"/>
                <w:sz w:val="14"/>
                <w:szCs w:val="14"/>
                <w:b w:val="1"/>
                <w:bCs w:val="1"/>
                <w:color w:val="auto"/>
              </w:rPr>
              <w:t>Number of Shares</w:t>
            </w:r>
          </w:p>
        </w:tc>
      </w:tr>
      <w:tr>
        <w:trPr>
          <w:trHeight w:val="26"/>
        </w:trPr>
        <w:tc>
          <w:tcPr>
            <w:tcW w:w="88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57"/>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Goldman Sachs &amp; Co. LLC</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3,770,461</w:t>
            </w: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J.P. Morgan Securities LLC</w:t>
            </w:r>
          </w:p>
        </w:tc>
        <w:tc>
          <w:tcPr>
            <w:tcW w:w="2380" w:type="dxa"/>
            <w:vAlign w:val="bottom"/>
          </w:tcPr>
          <w:p>
            <w:pPr>
              <w:jc w:val="right"/>
              <w:spacing w:after="0"/>
              <w:rPr>
                <w:sz w:val="20"/>
                <w:szCs w:val="20"/>
                <w:color w:val="auto"/>
              </w:rPr>
            </w:pPr>
            <w:r>
              <w:rPr>
                <w:rFonts w:ascii="Arial" w:cs="Arial" w:eastAsia="Arial" w:hAnsi="Arial"/>
                <w:sz w:val="18"/>
                <w:szCs w:val="18"/>
                <w:color w:val="auto"/>
              </w:rPr>
              <w:t>3,466,391</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63"/>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Barclays Capital Inc.</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1,337,906</w:t>
            </w: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Citigroup Global Markets Inc.</w:t>
            </w:r>
          </w:p>
        </w:tc>
        <w:tc>
          <w:tcPr>
            <w:tcW w:w="2380" w:type="dxa"/>
            <w:vAlign w:val="bottom"/>
          </w:tcPr>
          <w:p>
            <w:pPr>
              <w:jc w:val="right"/>
              <w:spacing w:after="0"/>
              <w:rPr>
                <w:sz w:val="20"/>
                <w:szCs w:val="20"/>
                <w:color w:val="auto"/>
              </w:rPr>
            </w:pPr>
            <w:r>
              <w:rPr>
                <w:rFonts w:ascii="Arial" w:cs="Arial" w:eastAsia="Arial" w:hAnsi="Arial"/>
                <w:sz w:val="18"/>
                <w:szCs w:val="18"/>
                <w:color w:val="auto"/>
              </w:rPr>
              <w:t>1,216,278</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64"/>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William Blair &amp; Company, L.L.C.</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973,022</w:t>
            </w: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JMP Securities LLC</w:t>
            </w:r>
          </w:p>
        </w:tc>
        <w:tc>
          <w:tcPr>
            <w:tcW w:w="2380" w:type="dxa"/>
            <w:vAlign w:val="bottom"/>
          </w:tcPr>
          <w:p>
            <w:pPr>
              <w:jc w:val="right"/>
              <w:spacing w:after="0"/>
              <w:rPr>
                <w:sz w:val="20"/>
                <w:szCs w:val="20"/>
                <w:color w:val="auto"/>
              </w:rPr>
            </w:pPr>
            <w:r>
              <w:rPr>
                <w:rFonts w:ascii="Arial" w:cs="Arial" w:eastAsia="Arial" w:hAnsi="Arial"/>
                <w:sz w:val="18"/>
                <w:szCs w:val="18"/>
                <w:color w:val="auto"/>
              </w:rPr>
              <w:t>425,697</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63"/>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KeyBanc Capital Markets Inc.</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425,697</w:t>
            </w: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Nomura Securities International, Inc.</w:t>
            </w:r>
          </w:p>
        </w:tc>
        <w:tc>
          <w:tcPr>
            <w:tcW w:w="2380" w:type="dxa"/>
            <w:vAlign w:val="bottom"/>
          </w:tcPr>
          <w:p>
            <w:pPr>
              <w:jc w:val="right"/>
              <w:spacing w:after="0"/>
              <w:rPr>
                <w:sz w:val="20"/>
                <w:szCs w:val="20"/>
                <w:color w:val="auto"/>
              </w:rPr>
            </w:pPr>
            <w:r>
              <w:rPr>
                <w:rFonts w:ascii="Arial" w:cs="Arial" w:eastAsia="Arial" w:hAnsi="Arial"/>
                <w:sz w:val="18"/>
                <w:szCs w:val="18"/>
                <w:color w:val="auto"/>
              </w:rPr>
              <w:t>425,697</w:t>
            </w:r>
          </w:p>
        </w:tc>
      </w:tr>
      <w:tr>
        <w:trPr>
          <w:trHeight w:val="27"/>
        </w:trPr>
        <w:tc>
          <w:tcPr>
            <w:tcW w:w="88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63"/>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Blaylock Van, LLC</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60,814</w:t>
            </w: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Cabrera Capital Markets LLC</w:t>
            </w:r>
          </w:p>
        </w:tc>
        <w:tc>
          <w:tcPr>
            <w:tcW w:w="2380" w:type="dxa"/>
            <w:vAlign w:val="bottom"/>
          </w:tcPr>
          <w:p>
            <w:pPr>
              <w:jc w:val="right"/>
              <w:spacing w:after="0"/>
              <w:rPr>
                <w:sz w:val="20"/>
                <w:szCs w:val="20"/>
                <w:color w:val="auto"/>
              </w:rPr>
            </w:pPr>
            <w:r>
              <w:rPr>
                <w:rFonts w:ascii="Arial" w:cs="Arial" w:eastAsia="Arial" w:hAnsi="Arial"/>
                <w:sz w:val="18"/>
                <w:szCs w:val="18"/>
                <w:color w:val="auto"/>
              </w:rPr>
              <w:t>60,814</w:t>
            </w:r>
          </w:p>
        </w:tc>
      </w:tr>
      <w:tr>
        <w:trPr>
          <w:trHeight w:val="27"/>
        </w:trPr>
        <w:tc>
          <w:tcPr>
            <w:tcW w:w="88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02"/>
        </w:trPr>
        <w:tc>
          <w:tcPr>
            <w:tcW w:w="8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12,162,777</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20" w:firstLine="324"/>
        <w:spacing w:after="0" w:line="293"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16"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color w:val="auto"/>
        </w:rPr>
        <w:t>The underwriters have an option to buy up to an additional 1,269,627 shares of common stock from us and up to an additional 554,790 shares of common stock from the selling stockholders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31" w:lineRule="exact"/>
        <w:rPr>
          <w:sz w:val="20"/>
          <w:szCs w:val="20"/>
          <w:color w:val="auto"/>
        </w:rPr>
      </w:pPr>
    </w:p>
    <w:p>
      <w:pPr>
        <w:ind w:right="380" w:firstLine="324"/>
        <w:spacing w:after="0" w:line="279"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and the selling stockholders. Such amounts are shown assuming both no exercise and full exercise of the underwriters’ option to purchase 1,824,417 additional shares from us and the selling stockholders.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Per</w:t>
            </w:r>
          </w:p>
        </w:tc>
        <w:tc>
          <w:tcPr>
            <w:tcW w:w="260" w:type="dxa"/>
            <w:vAlign w:val="bottom"/>
          </w:tcPr>
          <w:p>
            <w:pPr>
              <w:spacing w:after="0"/>
              <w:rPr>
                <w:sz w:val="16"/>
                <w:szCs w:val="16"/>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6"/>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7"/>
                <w:szCs w:val="17"/>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25"/>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discounts and commissions paid by:</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6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2.365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16,555,000</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19,557,668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selling stockholders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2.365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12,209,968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13,522,046</w:t>
            </w:r>
          </w:p>
        </w:tc>
        <w:tc>
          <w:tcPr>
            <w:tcW w:w="0" w:type="dxa"/>
            <w:vAlign w:val="bottom"/>
          </w:tcPr>
          <w:p>
            <w:pPr>
              <w:spacing w:after="0"/>
              <w:rPr>
                <w:sz w:val="1"/>
                <w:szCs w:val="1"/>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40.635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284,445,000</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336,036,293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40.635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209,789,443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232,333,335</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60" w:firstLine="324"/>
        <w:spacing w:after="0" w:line="292"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Certain of the underwriters may offer and sell the shares through one or more of their respective affiliates or other registered broker-dealers or selling agents. Any shares sold by the underwriters to securities dealers may be sold at a discount of up to $1.419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spacing w:after="0" w:line="157" w:lineRule="exact"/>
        <w:rPr>
          <w:sz w:val="20"/>
          <w:szCs w:val="20"/>
          <w:color w:val="auto"/>
        </w:rPr>
      </w:pPr>
    </w:p>
    <w:p>
      <w:pPr>
        <w:ind w:right="20" w:firstLine="324"/>
        <w:spacing w:after="0" w:line="279" w:lineRule="auto"/>
        <w:rPr>
          <w:sz w:val="20"/>
          <w:szCs w:val="20"/>
          <w:color w:val="auto"/>
        </w:rPr>
      </w:pPr>
      <w:r>
        <w:rPr>
          <w:rFonts w:ascii="Arial" w:cs="Arial" w:eastAsia="Arial" w:hAnsi="Arial"/>
          <w:sz w:val="18"/>
          <w:szCs w:val="18"/>
          <w:color w:val="auto"/>
        </w:rPr>
        <w:t>Our executive officers, directors and other holders of substantially all of our equity securities, have agreed with the underwriters, subject to certain exceptions, not to, except with the prior written consent of Goldman Sachs &amp; Co. LLC and J.P. Morgan Securities LLC, in their sole discretion, through the date 180 days after the date of this prospectus:</w:t>
      </w:r>
    </w:p>
    <w:p>
      <w:pPr>
        <w:spacing w:after="0" w:line="129" w:lineRule="exact"/>
        <w:rPr>
          <w:sz w:val="20"/>
          <w:szCs w:val="20"/>
          <w:color w:val="auto"/>
        </w:rPr>
      </w:pPr>
    </w:p>
    <w:p>
      <w:pPr>
        <w:ind w:left="660" w:right="220" w:hanging="328"/>
        <w:spacing w:after="0" w:line="303" w:lineRule="auto"/>
        <w:tabs>
          <w:tab w:leader="none" w:pos="6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lend or otherwise dispose of any shares of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w:t>
      </w:r>
    </w:p>
    <w:p>
      <w:pPr>
        <w:spacing w:after="0" w:line="110" w:lineRule="exact"/>
        <w:rPr>
          <w:rFonts w:ascii="Arial" w:cs="Arial" w:eastAsia="Arial" w:hAnsi="Arial"/>
          <w:sz w:val="17"/>
          <w:szCs w:val="17"/>
          <w:color w:val="auto"/>
        </w:rPr>
      </w:pPr>
    </w:p>
    <w:p>
      <w:pPr>
        <w:ind w:left="660" w:right="80" w:hanging="328"/>
        <w:spacing w:after="0" w:line="271"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such common stock or derivative instruments, whether any such transaction or arrangement (or instrument provided for thereunder) would be settled by delivery of such common stock or other securities, in cash or otherwise; or</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any of the foregoing.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the foregoing,</w:t>
      </w:r>
    </w:p>
    <w:p>
      <w:pPr>
        <w:spacing w:after="0" w:line="185" w:lineRule="exact"/>
        <w:rPr>
          <w:sz w:val="20"/>
          <w:szCs w:val="20"/>
          <w:color w:val="auto"/>
        </w:rPr>
      </w:pPr>
    </w:p>
    <w:p>
      <w:pPr>
        <w:ind w:left="660" w:hanging="328"/>
        <w:spacing w:after="0" w:line="319" w:lineRule="auto"/>
        <w:tabs>
          <w:tab w:leader="none" w:pos="655"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The First Release: </w:t>
      </w:r>
      <w:r>
        <w:rPr>
          <w:rFonts w:ascii="Arial" w:cs="Arial" w:eastAsia="Arial" w:hAnsi="Arial"/>
          <w:sz w:val="16"/>
          <w:szCs w:val="16"/>
          <w:color w:val="auto"/>
        </w:rPr>
        <w:t>on the first trading day on which our common stock is traded on Nasdaq, up to 15% of the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shares issuable upon exercise of options and shares of common stock that are subject to vesting conditions due to the early exercise of options that, in each case, will vest on or prior to September 30, 2021) held by current or former employees, consultants and advisors (excluding our current executive officers and directors) on the date of the initial preliminary prospectus filed in connection with this offering may be sold; and</w:t>
      </w:r>
    </w:p>
    <w:p>
      <w:pPr>
        <w:spacing w:after="0" w:line="101" w:lineRule="exact"/>
        <w:rPr>
          <w:rFonts w:ascii="Arial" w:cs="Arial" w:eastAsia="Arial" w:hAnsi="Arial"/>
          <w:sz w:val="16"/>
          <w:szCs w:val="16"/>
          <w:color w:val="auto"/>
        </w:rPr>
      </w:pPr>
    </w:p>
    <w:p>
      <w:pPr>
        <w:ind w:left="660" w:right="400" w:hanging="328"/>
        <w:spacing w:after="0" w:line="329" w:lineRule="auto"/>
        <w:tabs>
          <w:tab w:leader="none" w:pos="655"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The Second Release: </w:t>
      </w:r>
      <w:r>
        <w:rPr>
          <w:rFonts w:ascii="Arial" w:cs="Arial" w:eastAsia="Arial" w:hAnsi="Arial"/>
          <w:sz w:val="16"/>
          <w:szCs w:val="16"/>
          <w:color w:val="auto"/>
        </w:rPr>
        <w:t>if we have announced our earnings results for the quarter ended September 30, 2021 by November 15, 2021 and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closing price of our common stock is at least 20% greater than the initial public offering price for 4 out of 5 trading days during the period commencing on November 15, 2021 and ending on November 19, 2021, then beginning on November 24, 2021:</w:t>
      </w:r>
    </w:p>
    <w:p>
      <w:pPr>
        <w:spacing w:after="0" w:line="80" w:lineRule="exact"/>
        <w:rPr>
          <w:rFonts w:ascii="Arial" w:cs="Arial" w:eastAsia="Arial" w:hAnsi="Arial"/>
          <w:sz w:val="16"/>
          <w:szCs w:val="16"/>
          <w:color w:val="auto"/>
        </w:rPr>
      </w:pPr>
    </w:p>
    <w:p>
      <w:pPr>
        <w:ind w:left="980" w:right="40" w:hanging="324"/>
        <w:spacing w:after="0" w:line="259" w:lineRule="auto"/>
        <w:tabs>
          <w:tab w:leader="none" w:pos="97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current or former employees, consultants and advisors (excluding our current executive officers and directors) may sell up to 15% of the shares of common stock held as of November 19, 2021 (including shares issuable upon exercise of options, shares of common stock that are subject to vesting conditions due to the early exercise of options and RSUs that, in each case, will vest on or prior to December 15, 2021) (the “Second Release Eligible Securities”); and</w:t>
      </w:r>
    </w:p>
    <w:p>
      <w:pPr>
        <w:spacing w:after="0" w:line="132" w:lineRule="exact"/>
        <w:rPr>
          <w:rFonts w:ascii="Arial" w:cs="Arial" w:eastAsia="Arial" w:hAnsi="Arial"/>
          <w:sz w:val="18"/>
          <w:szCs w:val="18"/>
          <w:color w:val="auto"/>
        </w:rPr>
      </w:pPr>
    </w:p>
    <w:p>
      <w:pPr>
        <w:ind w:left="980" w:right="240" w:hanging="324"/>
        <w:spacing w:after="0" w:line="263" w:lineRule="auto"/>
        <w:tabs>
          <w:tab w:leader="none" w:pos="97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other stockholders may sell up to the greater of (x) the number of shares of common stock that would result in receipt of net proceeds to the holder in an amount equal to the exercise and tax costs incurred by such holder with respect to options exercised in the 18 months preceding this offering and (y) 15% of the Second Release Eligible Securities.</w:t>
      </w:r>
    </w:p>
    <w:p>
      <w:pPr>
        <w:spacing w:after="0" w:line="143"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The foregoing restrictions do not apply to, among other things, and subject in certain cases to various conditions (including no filing requirements and the transfer of the lock-up restrictions), to transfers of common stock or derivative instruments:</w:t>
      </w:r>
    </w:p>
    <w:p>
      <w:pPr>
        <w:spacing w:after="0" w:line="116" w:lineRule="exact"/>
        <w:rPr>
          <w:sz w:val="20"/>
          <w:szCs w:val="20"/>
          <w:color w:val="auto"/>
        </w:rPr>
      </w:pPr>
    </w:p>
    <w:p>
      <w:pPr>
        <w:ind w:left="640" w:hanging="308"/>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acquired in open market transactions after the completion of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a bona fide gift or charitable contribution, or for bona fide estate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1440" w:right="359" w:bottom="1440" w:gutter="0" w:footer="0" w:header="0"/>
        </w:sectPr>
      </w:pPr>
    </w:p>
    <w:bookmarkStart w:id="197" w:name="page198"/>
    <w:bookmarkEnd w:id="197"/>
    <w:p>
      <w:pPr>
        <w:spacing w:after="0" w:line="157" w:lineRule="exact"/>
        <w:rPr>
          <w:sz w:val="20"/>
          <w:szCs w:val="20"/>
          <w:color w:val="auto"/>
        </w:rPr>
      </w:pPr>
    </w:p>
    <w:p>
      <w:pPr>
        <w:ind w:left="660" w:right="40" w:hanging="328"/>
        <w:spacing w:after="0" w:line="293" w:lineRule="auto"/>
        <w:tabs>
          <w:tab w:leader="none" w:pos="6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 immediate family member or a trust, partnership, limited liability company or any other entity for the direct or indirect benefit of the lock-up party or an immediate family member of such lock-up party;</w:t>
      </w:r>
    </w:p>
    <w:p>
      <w:pPr>
        <w:spacing w:after="0" w:line="115" w:lineRule="exact"/>
        <w:rPr>
          <w:rFonts w:ascii="Arial" w:cs="Arial" w:eastAsia="Arial" w:hAnsi="Arial"/>
          <w:sz w:val="18"/>
          <w:szCs w:val="18"/>
          <w:color w:val="auto"/>
        </w:rPr>
      </w:pPr>
    </w:p>
    <w:p>
      <w:pPr>
        <w:ind w:left="660" w:right="60" w:hanging="328"/>
        <w:spacing w:after="0" w:line="293" w:lineRule="auto"/>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beneficiary of or estate of a beneficiary of the lock-up party pursuant to a trust, will, other testamentary document or intestate succession or applicable laws of descent in connection with the death of the lock-up party;</w:t>
      </w:r>
    </w:p>
    <w:p>
      <w:pPr>
        <w:spacing w:after="0" w:line="115" w:lineRule="exact"/>
        <w:rPr>
          <w:rFonts w:ascii="Arial" w:cs="Arial" w:eastAsia="Arial" w:hAnsi="Arial"/>
          <w:sz w:val="18"/>
          <w:szCs w:val="18"/>
          <w:color w:val="auto"/>
        </w:rPr>
      </w:pPr>
    </w:p>
    <w:p>
      <w:pPr>
        <w:ind w:left="660" w:right="660" w:hanging="328"/>
        <w:spacing w:after="0" w:line="293" w:lineRule="auto"/>
        <w:tabs>
          <w:tab w:leader="none" w:pos="6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of a court (including a divorce settlement, divorce decree or separation agreement) or regulatory agency;</w:t>
      </w:r>
    </w:p>
    <w:p>
      <w:pPr>
        <w:spacing w:after="0" w:line="115" w:lineRule="exact"/>
        <w:rPr>
          <w:rFonts w:ascii="Arial" w:cs="Arial" w:eastAsia="Arial" w:hAnsi="Arial"/>
          <w:sz w:val="18"/>
          <w:szCs w:val="18"/>
          <w:color w:val="auto"/>
        </w:rPr>
      </w:pPr>
    </w:p>
    <w:p>
      <w:pPr>
        <w:ind w:left="660" w:hanging="328"/>
        <w:spacing w:after="0" w:line="319" w:lineRule="auto"/>
        <w:tabs>
          <w:tab w:leader="none" w:pos="6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limited partners, general partners, members, stockholders or holders of similar equity interests of the lock-up party, or to any investment fund or other entity controlling, controlled by, managing or managed by or under common control with the lock-up party, or to any affiliates of the lock-up party (including, for the avoidance of doubt, where the lock-up party is a partnership, to its general partner or a successor partnership or fund, or any other funds managed by such partnership, and where the lock-up party is a corporation, to any wholly-owned subsidiary of such corporation);</w:t>
      </w:r>
    </w:p>
    <w:p>
      <w:pPr>
        <w:spacing w:after="0" w:line="101" w:lineRule="exact"/>
        <w:rPr>
          <w:rFonts w:ascii="Arial" w:cs="Arial" w:eastAsia="Arial" w:hAnsi="Arial"/>
          <w:sz w:val="16"/>
          <w:szCs w:val="16"/>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lock-up party is a trust, to a trustor or beneficiary of the trust or to the estate of a beneficiary of such trust;</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clauses (ii) through (vii);</w:t>
      </w:r>
    </w:p>
    <w:p>
      <w:pPr>
        <w:spacing w:after="0" w:line="184" w:lineRule="exact"/>
        <w:rPr>
          <w:rFonts w:ascii="Arial" w:cs="Arial" w:eastAsia="Arial" w:hAnsi="Arial"/>
          <w:sz w:val="18"/>
          <w:szCs w:val="18"/>
          <w:color w:val="auto"/>
        </w:rPr>
      </w:pPr>
    </w:p>
    <w:p>
      <w:pPr>
        <w:ind w:left="660" w:right="60" w:hanging="328"/>
        <w:spacing w:after="0" w:line="293" w:lineRule="auto"/>
        <w:tabs>
          <w:tab w:leader="none" w:pos="65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us or our subsidiaries in connection with the repurchase of the lock-up party’s shares in connection with the termination of such lock-up party’s employment or any other relationship with us pursuant to contractual agreements with us;</w:t>
      </w:r>
    </w:p>
    <w:p>
      <w:pPr>
        <w:spacing w:after="0" w:line="115" w:lineRule="exact"/>
        <w:rPr>
          <w:rFonts w:ascii="Arial" w:cs="Arial" w:eastAsia="Arial" w:hAnsi="Arial"/>
          <w:sz w:val="18"/>
          <w:szCs w:val="18"/>
          <w:color w:val="auto"/>
        </w:rPr>
      </w:pPr>
    </w:p>
    <w:p>
      <w:pPr>
        <w:jc w:val="both"/>
        <w:ind w:left="660" w:right="200" w:hanging="328"/>
        <w:spacing w:after="0" w:line="275"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through the disposition or forfeiture of the lock-up party’s shares to us or our subsidiaries to satisfy any income, employment or tax withholding and remittance obligations of the lock-up party or the employer of the lock-up party in connection with the vesting of restricted stock, restricted stock units or other incentive awards settled in shares of common stock held by the lock-up party or the payment due for the exercise of options (including a transfer to us for the “net” or “cashless” exercise of options);</w:t>
      </w:r>
    </w:p>
    <w:p>
      <w:pPr>
        <w:spacing w:after="0" w:line="131" w:lineRule="exact"/>
        <w:rPr>
          <w:rFonts w:ascii="Arial" w:cs="Arial" w:eastAsia="Arial" w:hAnsi="Arial"/>
          <w:sz w:val="18"/>
          <w:szCs w:val="18"/>
          <w:color w:val="auto"/>
        </w:rPr>
      </w:pPr>
    </w:p>
    <w:p>
      <w:pPr>
        <w:ind w:left="660" w:right="140" w:hanging="328"/>
        <w:spacing w:after="0" w:line="359" w:lineRule="auto"/>
        <w:tabs>
          <w:tab w:leader="none" w:pos="6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us or our subsidiaries through the exercise of a stock option granted under a stock incentive plan or stock purchase plan or a warrant described in this prospectus by the lock-up party, and the receipt by the lock-up party from us of shares of common stock upon any such exercise;</w:t>
      </w:r>
    </w:p>
    <w:p>
      <w:pPr>
        <w:spacing w:after="0" w:line="70" w:lineRule="exact"/>
        <w:rPr>
          <w:rFonts w:ascii="Arial" w:cs="Arial" w:eastAsia="Arial" w:hAnsi="Arial"/>
          <w:sz w:val="16"/>
          <w:szCs w:val="16"/>
          <w:color w:val="auto"/>
        </w:rPr>
      </w:pPr>
    </w:p>
    <w:p>
      <w:pPr>
        <w:ind w:left="660" w:right="280" w:hanging="328"/>
        <w:spacing w:after="0" w:line="293" w:lineRule="auto"/>
        <w:tabs>
          <w:tab w:leader="none" w:pos="6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pursuant to a bona fide third party tender offer for all outstanding common stock, merger, consolidation or other similar transaction involving a change of control of us and approved by our board of directors;</w:t>
      </w:r>
    </w:p>
    <w:p>
      <w:pPr>
        <w:spacing w:after="0" w:line="115" w:lineRule="exact"/>
        <w:rPr>
          <w:rFonts w:ascii="Arial" w:cs="Arial" w:eastAsia="Arial" w:hAnsi="Arial"/>
          <w:sz w:val="18"/>
          <w:szCs w:val="18"/>
          <w:color w:val="auto"/>
        </w:rPr>
      </w:pPr>
    </w:p>
    <w:p>
      <w:pPr>
        <w:ind w:left="660" w:right="80" w:hanging="328"/>
        <w:spacing w:after="0" w:line="293" w:lineRule="auto"/>
        <w:tabs>
          <w:tab w:leader="none" w:pos="64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us in connection with the reclassification, repurchase, redemption, conversion or exchange of our common stock or outstanding preferred stock in connection with the consummation of this offering;</w:t>
      </w:r>
    </w:p>
    <w:p>
      <w:pPr>
        <w:spacing w:after="0" w:line="115" w:lineRule="exact"/>
        <w:rPr>
          <w:rFonts w:ascii="Arial" w:cs="Arial" w:eastAsia="Arial" w:hAnsi="Arial"/>
          <w:sz w:val="18"/>
          <w:szCs w:val="18"/>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sales of shares of common stock pursuant to the terms of the Underwriting Agreement; or</w:t>
      </w:r>
    </w:p>
    <w:p>
      <w:pPr>
        <w:spacing w:after="0" w:line="184" w:lineRule="exact"/>
        <w:rPr>
          <w:rFonts w:ascii="Arial" w:cs="Arial" w:eastAsia="Arial" w:hAnsi="Arial"/>
          <w:sz w:val="18"/>
          <w:szCs w:val="18"/>
          <w:color w:val="auto"/>
        </w:rPr>
      </w:pPr>
    </w:p>
    <w:p>
      <w:pPr>
        <w:ind w:left="660" w:right="20" w:hanging="328"/>
        <w:spacing w:after="0" w:line="279" w:lineRule="auto"/>
        <w:tabs>
          <w:tab w:leader="none" w:pos="6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our Chief Executive Officer and Chief Operating Officer, as an existing pledge by the lock-up party that creates a mere security interest in such shares pursuant to a bona fide loan or indebtedness transaction for so long as the lock-up party continues to exercise voting control over such pledged shares.</w:t>
      </w:r>
    </w:p>
    <w:p>
      <w:pPr>
        <w:spacing w:after="0" w:line="1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8"/>
          <w:szCs w:val="18"/>
          <w:color w:val="auto"/>
        </w:rPr>
        <w:t>Goldman Sachs &amp; Co. LLC and J.P. Morgan Securities LLC, in their sole discretion, may release the common stock and other securities subject to the lock-up agreements described above in whole or in part at any time.</w:t>
      </w:r>
    </w:p>
    <w:p>
      <w:pPr>
        <w:spacing w:after="0" w:line="11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8"/>
          <w:szCs w:val="18"/>
          <w:color w:val="auto"/>
        </w:rPr>
        <w:t>Additionally, if the 180-day lock-up period is scheduled to end during a broadly applicable period during which trading in our securities would not be permitted under our insider trading policy, or a blackout period, or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57" w:lineRule="exact"/>
        <w:rPr>
          <w:sz w:val="20"/>
          <w:szCs w:val="20"/>
          <w:color w:val="auto"/>
        </w:rPr>
      </w:pPr>
    </w:p>
    <w:p>
      <w:pPr>
        <w:jc w:val="both"/>
        <w:ind w:right="280"/>
        <w:spacing w:after="0" w:line="296" w:lineRule="auto"/>
        <w:rPr>
          <w:sz w:val="20"/>
          <w:szCs w:val="20"/>
          <w:color w:val="auto"/>
        </w:rPr>
      </w:pPr>
      <w:r>
        <w:rPr>
          <w:rFonts w:ascii="Arial" w:cs="Arial" w:eastAsia="Arial" w:hAnsi="Arial"/>
          <w:sz w:val="17"/>
          <w:szCs w:val="17"/>
          <w:color w:val="auto"/>
        </w:rPr>
        <w:t>five trading days prior to a blackout period, then the lock-up period applicable to our directors, officers, and securityholders will instead end prior to the commencement of trading on the second trading day following the release of our regular earnings announcement for the fiscal year ended December 31, 2021; provided that in no event will the lock-up period end prior to 120 days after the date of this prospectus. We will publicly announce the date of any early release described in this paragraph at least two trading days prior to such early release.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agreed with the underwriters, subject to certain exceptions, not to, except with the prior written consent of Goldman Sachs &amp; Co. LLC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 during the period from the date of this prospectus continuing through the date 180 days after the date of this prospectus:</w:t>
      </w:r>
    </w:p>
    <w:p>
      <w:pPr>
        <w:spacing w:after="0" w:line="195" w:lineRule="exact"/>
        <w:rPr>
          <w:sz w:val="20"/>
          <w:szCs w:val="20"/>
          <w:color w:val="auto"/>
        </w:rPr>
      </w:pPr>
    </w:p>
    <w:p>
      <w:pPr>
        <w:ind w:left="660" w:right="40" w:hanging="328"/>
        <w:spacing w:after="0" w:line="359" w:lineRule="auto"/>
        <w:tabs>
          <w:tab w:leader="none" w:pos="6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offer, sell, contract to sell, pledge, grant any option to purchase, make any short sale or otherwise transfer or dispose of, directly or indirectly, or publicly file with the SEC a registration statement under the Securities Act relating to, any shares of common stock, or any derivative instruments;</w:t>
      </w:r>
    </w:p>
    <w:p>
      <w:pPr>
        <w:spacing w:after="0" w:line="70" w:lineRule="exact"/>
        <w:rPr>
          <w:rFonts w:ascii="Arial" w:cs="Arial" w:eastAsia="Arial" w:hAnsi="Arial"/>
          <w:sz w:val="16"/>
          <w:szCs w:val="16"/>
          <w:color w:val="auto"/>
        </w:rPr>
      </w:pPr>
    </w:p>
    <w:p>
      <w:pPr>
        <w:ind w:left="660" w:hanging="328"/>
        <w:spacing w:after="0" w:line="293"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the common stock, or any derivative instruments; or</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any of the foregoing.</w:t>
      </w:r>
    </w:p>
    <w:p>
      <w:pPr>
        <w:spacing w:after="0" w:line="18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7"/>
          <w:szCs w:val="17"/>
          <w:color w:val="auto"/>
        </w:rPr>
        <w:t>Prior to the offering, there has been no public market for the shares of our common stock. The initial public offering price was negotiated among us. the selling stockholders, and the representatives. Among the factors considered in determining the initial public 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“RELY.”</w:t>
      </w:r>
    </w:p>
    <w:p>
      <w:pPr>
        <w:spacing w:after="0" w:line="185"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1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9" w:lineRule="exact"/>
        <w:rPr>
          <w:sz w:val="20"/>
          <w:szCs w:val="20"/>
          <w:color w:val="auto"/>
        </w:rPr>
      </w:pPr>
    </w:p>
    <w:p>
      <w:pPr>
        <w:ind w:right="280" w:firstLine="324"/>
        <w:spacing w:after="0" w:line="29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estimate that our share of the total expenses of this offering, excluding underwriting discounts and commissions, will be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$5.0 million. We have agreed to reimburse the underwriters for certain expenses incurred by them in connection with the offering, including up to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$55,000 relating to the clearance of this offering with FINRA. We, the selling stockholders and the underwriters have agreed to indemnify each other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against certain liabilities, including liabilities under the Securities Act.</w:t>
      </w:r>
    </w:p>
    <w:p>
      <w:pPr>
        <w:spacing w:after="0" w:line="184" w:lineRule="exact"/>
        <w:rPr>
          <w:sz w:val="20"/>
          <w:szCs w:val="20"/>
          <w:color w:val="auto"/>
        </w:rPr>
      </w:pPr>
    </w:p>
    <w:p>
      <w:pPr>
        <w:ind w:right="300" w:firstLine="324"/>
        <w:spacing w:after="0" w:line="275"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Affiliates of certain of the underwriters are also lenders under our Credit Agreement and may be lenders under the New Revolving Credit Facility in the future. In the ordinary course of our business, we have relationships with affiliates of certain of the underwriters governing payment acceptance.</w:t>
      </w:r>
    </w:p>
    <w:p>
      <w:pPr>
        <w:spacing w:after="0" w:line="109" w:lineRule="exact"/>
        <w:rPr>
          <w:sz w:val="20"/>
          <w:szCs w:val="20"/>
          <w:color w:val="auto"/>
        </w:rPr>
      </w:pPr>
    </w:p>
    <w:p>
      <w:pPr>
        <w:ind w:right="60" w:firstLine="324"/>
        <w:spacing w:after="0" w:line="288"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85" w:lineRule="exact"/>
        <w:rPr>
          <w:sz w:val="20"/>
          <w:szCs w:val="20"/>
          <w:color w:val="auto"/>
        </w:rPr>
      </w:pPr>
    </w:p>
    <w:p>
      <w:pPr>
        <w:jc w:val="both"/>
        <w:ind w:right="240" w:firstLine="324"/>
        <w:spacing w:after="0" w:line="272" w:lineRule="auto"/>
        <w:rPr>
          <w:sz w:val="20"/>
          <w:szCs w:val="20"/>
          <w:color w:val="auto"/>
        </w:rPr>
      </w:pPr>
      <w:r>
        <w:rPr>
          <w:rFonts w:ascii="Arial" w:cs="Arial" w:eastAsia="Arial" w:hAnsi="Arial"/>
          <w:sz w:val="18"/>
          <w:szCs w:val="18"/>
          <w:color w:val="auto"/>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7"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7" w:lineRule="exact"/>
        <w:rPr>
          <w:sz w:val="20"/>
          <w:szCs w:val="20"/>
          <w:color w:val="auto"/>
        </w:rPr>
      </w:pPr>
    </w:p>
    <w:p>
      <w:pPr>
        <w:ind w:left="660" w:right="340" w:hanging="328"/>
        <w:spacing w:after="0" w:line="293" w:lineRule="auto"/>
        <w:tabs>
          <w:tab w:leader="none" w:pos="6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representatives; or</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85" w:lineRule="exact"/>
        <w:rPr>
          <w:sz w:val="20"/>
          <w:szCs w:val="20"/>
          <w:color w:val="auto"/>
        </w:rPr>
      </w:pPr>
    </w:p>
    <w:p>
      <w:pPr>
        <w:ind w:right="20" w:firstLine="324"/>
        <w:spacing w:after="0" w:line="308" w:lineRule="auto"/>
        <w:rPr>
          <w:sz w:val="20"/>
          <w:szCs w:val="20"/>
          <w:color w:val="auto"/>
        </w:rPr>
      </w:pPr>
      <w:r>
        <w:rPr>
          <w:rFonts w:ascii="Arial" w:cs="Arial" w:eastAsia="Arial" w:hAnsi="Arial"/>
          <w:sz w:val="16"/>
          <w:szCs w:val="16"/>
          <w:color w:val="auto"/>
        </w:rPr>
        <w:t>provided that no such offer of the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09" w:lineRule="exact"/>
        <w:rPr>
          <w:sz w:val="20"/>
          <w:szCs w:val="20"/>
          <w:color w:val="auto"/>
        </w:rPr>
      </w:pPr>
    </w:p>
    <w:p>
      <w:pPr>
        <w:ind w:firstLine="324"/>
        <w:spacing w:after="0" w:line="303"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9"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84" w:lineRule="exact"/>
        <w:rPr>
          <w:rFonts w:ascii="Arial" w:cs="Arial" w:eastAsia="Arial" w:hAnsi="Arial"/>
          <w:sz w:val="18"/>
          <w:szCs w:val="18"/>
          <w:color w:val="auto"/>
        </w:rPr>
      </w:pPr>
    </w:p>
    <w:p>
      <w:pPr>
        <w:ind w:left="660" w:right="60" w:hanging="328"/>
        <w:spacing w:after="0" w:line="293" w:lineRule="auto"/>
        <w:tabs>
          <w:tab w:leader="none" w:pos="6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or</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85" w:lineRule="exact"/>
        <w:rPr>
          <w:sz w:val="20"/>
          <w:szCs w:val="20"/>
          <w:color w:val="auto"/>
        </w:rPr>
      </w:pPr>
    </w:p>
    <w:p>
      <w:pPr>
        <w:ind w:firstLine="324"/>
        <w:spacing w:after="0" w:line="292"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0" w:lineRule="exact"/>
        <w:rPr>
          <w:sz w:val="20"/>
          <w:szCs w:val="20"/>
          <w:color w:val="auto"/>
        </w:rPr>
      </w:pPr>
    </w:p>
    <w:p>
      <w:pPr>
        <w:ind w:right="60" w:firstLine="324"/>
        <w:spacing w:after="0" w:line="359" w:lineRule="auto"/>
        <w:rPr>
          <w:sz w:val="20"/>
          <w:szCs w:val="20"/>
          <w:color w:val="auto"/>
        </w:rPr>
      </w:pPr>
      <w:r>
        <w:rPr>
          <w:rFonts w:ascii="Arial" w:cs="Arial" w:eastAsia="Arial" w:hAnsi="Arial"/>
          <w:sz w:val="16"/>
          <w:szCs w:val="16"/>
          <w:color w:val="auto"/>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71"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our common stock in, from or otherwise involving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320" w:top="1440" w:right="399" w:bottom="1440" w:gutter="0" w:footer="0" w:header="0"/>
        </w:sectPr>
      </w:pPr>
    </w:p>
    <w:bookmarkStart w:id="201" w:name="page202"/>
    <w:bookmarkEnd w:id="20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85" w:lineRule="exact"/>
        <w:rPr>
          <w:sz w:val="20"/>
          <w:szCs w:val="20"/>
          <w:color w:val="auto"/>
        </w:rPr>
      </w:pPr>
    </w:p>
    <w:p>
      <w:pPr>
        <w:ind w:right="180" w:firstLine="324"/>
        <w:spacing w:after="0" w:line="29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0" w:lineRule="exact"/>
        <w:rPr>
          <w:sz w:val="20"/>
          <w:szCs w:val="20"/>
          <w:color w:val="auto"/>
        </w:rPr>
      </w:pPr>
    </w:p>
    <w:p>
      <w:pPr>
        <w:jc w:val="both"/>
        <w:ind w:right="80" w:firstLine="324"/>
        <w:spacing w:after="0" w:line="272"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6" w:lineRule="exact"/>
        <w:rPr>
          <w:sz w:val="20"/>
          <w:szCs w:val="20"/>
          <w:color w:val="auto"/>
        </w:rPr>
      </w:pPr>
    </w:p>
    <w:p>
      <w:pPr>
        <w:ind w:right="400" w:firstLine="324"/>
        <w:spacing w:after="0" w:line="29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right="40" w:firstLine="324"/>
        <w:spacing w:after="0" w:line="287"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for or purchased under Section 275 of the SFA by a relevant person which is:</w:t>
      </w:r>
    </w:p>
    <w:p>
      <w:pPr>
        <w:spacing w:after="0" w:line="185" w:lineRule="exact"/>
        <w:rPr>
          <w:sz w:val="20"/>
          <w:szCs w:val="20"/>
          <w:color w:val="auto"/>
        </w:rPr>
      </w:pPr>
    </w:p>
    <w:p>
      <w:pPr>
        <w:ind w:left="660" w:right="40" w:hanging="328"/>
        <w:spacing w:after="0" w:line="293" w:lineRule="auto"/>
        <w:tabs>
          <w:tab w:leader="none" w:pos="6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5" w:lineRule="exact"/>
        <w:rPr>
          <w:rFonts w:ascii="Arial" w:cs="Arial" w:eastAsia="Arial" w:hAnsi="Arial"/>
          <w:sz w:val="18"/>
          <w:szCs w:val="18"/>
          <w:color w:val="auto"/>
        </w:rPr>
      </w:pPr>
    </w:p>
    <w:p>
      <w:pPr>
        <w:ind w:left="660" w:right="60" w:hanging="328"/>
        <w:spacing w:after="0" w:line="293"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9" w:lineRule="exact"/>
        <w:rPr>
          <w:sz w:val="20"/>
          <w:szCs w:val="20"/>
          <w:color w:val="auto"/>
        </w:rPr>
      </w:pPr>
    </w:p>
    <w:p>
      <w:pPr>
        <w:ind w:left="660" w:right="40" w:hanging="328"/>
        <w:spacing w:after="0" w:line="293" w:lineRule="auto"/>
        <w:tabs>
          <w:tab w:leader="none" w:pos="65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arising from an offer referred to in Section 275(1A) or Section 276(4)(i)(B) of the SFA;</w:t>
      </w:r>
    </w:p>
    <w:p>
      <w:pPr>
        <w:spacing w:after="0" w:line="115" w:lineRule="exact"/>
        <w:rPr>
          <w:rFonts w:ascii="Arial" w:cs="Arial" w:eastAsia="Arial" w:hAnsi="Arial"/>
          <w:sz w:val="18"/>
          <w:szCs w:val="18"/>
          <w:color w:val="auto"/>
        </w:rPr>
      </w:pPr>
    </w:p>
    <w:p>
      <w:pPr>
        <w:ind w:left="640" w:hanging="30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6"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right="20" w:firstLine="324"/>
        <w:spacing w:after="0" w:line="292"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320" w:top="1440" w:right="379" w:bottom="1440" w:gutter="0" w:footer="0" w:header="0"/>
        </w:sectPr>
      </w:pPr>
    </w:p>
    <w:bookmarkStart w:id="203" w:name="page204"/>
    <w:bookmarkEnd w:id="20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w:t>
      </w:r>
    </w:p>
    <w:p>
      <w:pPr>
        <w:spacing w:after="0" w:line="185"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85"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1"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31" w:lineRule="exact"/>
        <w:rPr>
          <w:sz w:val="20"/>
          <w:szCs w:val="20"/>
          <w:color w:val="auto"/>
        </w:rPr>
      </w:pPr>
    </w:p>
    <w:p>
      <w:pPr>
        <w:ind w:firstLine="324"/>
        <w:spacing w:after="0" w:line="296"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6"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8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Brazil</w:t>
      </w:r>
    </w:p>
    <w:p>
      <w:pPr>
        <w:spacing w:after="0" w:line="18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The shares have not been, and will not be, registered with the Brazilian Securities Commission (Comissão de Valores Mobiliários) (the “CVM”). The shares may not be offered or sold in Brazil, except in circumstances that do not constitute a public offering or unauthorized distribution under Brazilian laws and regulations. The shares are not being offered into Brazil. Documents relating to the offering of the shares, as well as information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1440" w:right="379" w:bottom="1440" w:gutter="0" w:footer="0" w:header="0"/>
        </w:sectPr>
      </w:pPr>
    </w:p>
    <w:bookmarkStart w:id="204" w:name="page205"/>
    <w:bookmarkEnd w:id="204"/>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may not be supplied to the public in Brazil, nor be used in connection with any public offer for subscription or sale of the shares to the public in Brazil.</w:t>
      </w:r>
    </w:p>
    <w:p>
      <w:pPr>
        <w:sectPr>
          <w:pgSz w:w="11900" w:h="16838" w:orient="portrait"/>
          <w:cols w:equalWidth="0" w:num="1">
            <w:col w:w="10880"/>
          </w:cols>
          <w:pgMar w:left="32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0880"/>
          </w:cols>
          <w:pgMar w:left="320" w:top="1440" w:right="699" w:bottom="1440" w:gutter="0" w:footer="0" w:header="0"/>
          <w:type w:val="continuous"/>
        </w:sectPr>
      </w:pPr>
    </w:p>
    <w:bookmarkStart w:id="205" w:name="page206"/>
    <w:bookmarkEnd w:id="20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PRIVATE PLACEMENT</w:t>
      </w:r>
    </w:p>
    <w:p>
      <w:pPr>
        <w:spacing w:after="0" w:line="189"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PayU Fintech Investments B.V., an existing stockholder (“PayU”), will purchase from us in a private placement a number of shares of our common stock with an aggregate purchase price equal to (1) approximately $25.0 million or (2) if a $25.0 million purchase of shares of our common stock results in PayU possessing the right to vote securities that in the aggregate represents more than 24.99% of the outstanding voting power of the company immediately after the closing of the initial public offering and the private placement (the “ownership threshold”), then the dollar amount below $25.0 million that results in PayU purchasing shares of our common stock up to the ownership threshold, at a price per share equal to the initial public offering price. Based upon the initial public offering price of $43.00 per share, and assuming PayU purchases shares of common stock equal to approximately $25.0 million, this would be 581,395 shares of common stock. Sales. The private placement is conditioned upon the closing of this offering and other conditions to closing. Accordingly, this offering is not contingent upon the closing of the private placement and there can be no assurance that the private placement will be consummated. The sale of these shares to PayU will not be registered in this offering.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right="80" w:firstLine="324"/>
        <w:spacing w:after="0" w:line="359" w:lineRule="auto"/>
        <w:rPr>
          <w:sz w:val="20"/>
          <w:szCs w:val="20"/>
          <w:color w:val="auto"/>
        </w:rPr>
      </w:pPr>
      <w:r>
        <w:rPr>
          <w:rFonts w:ascii="Arial" w:cs="Arial" w:eastAsia="Arial" w:hAnsi="Arial"/>
          <w:sz w:val="16"/>
          <w:szCs w:val="16"/>
          <w:color w:val="auto"/>
        </w:rPr>
        <w:t>Fenwick &amp; West LLP, Seattle, Washington, which has acted as our counsel in connection with this offering, will pass upon the validity of the issuance of the shares of our common stock offered by this prospectus. Davis Polk &amp; Wardwell LLP, New York, New York, is acting as counsel to the underwriters.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80" w:firstLine="324"/>
        <w:spacing w:after="0" w:line="279" w:lineRule="auto"/>
        <w:rPr>
          <w:sz w:val="20"/>
          <w:szCs w:val="20"/>
          <w:color w:val="auto"/>
        </w:rPr>
      </w:pPr>
      <w:r>
        <w:rPr>
          <w:rFonts w:ascii="Arial" w:cs="Arial" w:eastAsia="Arial" w:hAnsi="Arial"/>
          <w:sz w:val="18"/>
          <w:szCs w:val="18"/>
          <w:color w:val="auto"/>
        </w:rPr>
        <w:t>The consolidated financial statements as of December 31, 2019 and 2020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common stock covered by this prospectus. This prospectus, which constitutes a part of the registration statement, does not contain all of the information set forth in the registration statement or the exhibits filed therewith. For further information about us and our common stock, we refer you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27"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www.remitly.com. Upon the effectiveness of the registration statement of which this prospectus forms a part, you may access these materials free of charge as soon as reasonably practicable after they are electronically filed with, or furnished to, the SEC. The inclusion of our website address in this prospectus is an inactive textual reference only. The information contained in or accessible through our website is not part of this prospectus or the registration statement of which this prospectus forms a part, and investors should not rely on such information in making a decision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0" w:right="359" w:bottom="1440" w:gutter="0" w:footer="0" w:header="0"/>
        </w:sectPr>
      </w:pPr>
    </w:p>
    <w:bookmarkStart w:id="206" w:name="page207"/>
    <w:bookmarkEnd w:id="2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60" w:type="dxa"/>
            <w:vAlign w:val="bottom"/>
            <w:gridSpan w:val="3"/>
          </w:tcPr>
          <w:p>
            <w:pPr>
              <w:ind w:left="1800"/>
              <w:spacing w:after="0"/>
              <w:rPr>
                <w:sz w:val="20"/>
                <w:szCs w:val="20"/>
                <w:color w:val="auto"/>
              </w:rPr>
            </w:pPr>
            <w:r>
              <w:rPr>
                <w:rFonts w:ascii="Arial" w:cs="Arial" w:eastAsia="Arial" w:hAnsi="Arial"/>
                <w:sz w:val="18"/>
                <w:szCs w:val="18"/>
                <w:color w:val="auto"/>
              </w:rPr>
              <w:t>Page</w:t>
            </w:r>
          </w:p>
        </w:tc>
      </w:tr>
      <w:tr>
        <w:trPr>
          <w:trHeight w:val="27"/>
        </w:trPr>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520" w:type="dxa"/>
            <w:vAlign w:val="bottom"/>
            <w:gridSpan w:val="6"/>
          </w:tcPr>
          <w:p>
            <w:pPr>
              <w:spacing w:after="0"/>
              <w:rPr>
                <w:rFonts w:ascii="Arial" w:cs="Arial" w:eastAsia="Arial" w:hAnsi="Arial"/>
                <w:sz w:val="18"/>
                <w:szCs w:val="18"/>
                <w:color w:val="0000FF"/>
                <w:w w:val="90"/>
              </w:rPr>
            </w:pPr>
            <w:hyperlink w:anchor="page207">
              <w:r>
                <w:rPr>
                  <w:rFonts w:ascii="Arial" w:cs="Arial" w:eastAsia="Arial" w:hAnsi="Arial"/>
                  <w:sz w:val="18"/>
                  <w:szCs w:val="18"/>
                  <w:color w:val="0000FF"/>
                  <w:w w:val="90"/>
                </w:rPr>
                <w:t xml:space="preserve">Report of PricewaterhouseCoopers, </w:t>
              </w:r>
            </w:hyperlink>
            <w:r>
              <w:rPr>
                <w:rFonts w:ascii="Arial" w:cs="Arial" w:eastAsia="Arial" w:hAnsi="Arial"/>
                <w:sz w:val="18"/>
                <w:szCs w:val="18"/>
                <w:color w:val="0000FF"/>
                <w:w w:val="90"/>
              </w:rPr>
              <w:t xml:space="preserve">LLP, </w:t>
            </w:r>
            <w:hyperlink w:anchor="page207">
              <w:r>
                <w:rPr>
                  <w:rFonts w:ascii="Arial" w:cs="Arial" w:eastAsia="Arial" w:hAnsi="Arial"/>
                  <w:sz w:val="18"/>
                  <w:szCs w:val="18"/>
                  <w:color w:val="0000FF"/>
                  <w:w w:val="90"/>
                </w:rPr>
                <w:t>Independent Registered Public Accounting Firm</w:t>
              </w:r>
            </w:hyperlink>
          </w:p>
        </w:tc>
        <w:tc>
          <w:tcPr>
            <w:tcW w:w="21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gridSpan w:val="2"/>
          </w:tcPr>
          <w:p>
            <w:pPr>
              <w:spacing w:after="0"/>
              <w:rPr>
                <w:rFonts w:ascii="Arial" w:cs="Arial" w:eastAsia="Arial" w:hAnsi="Arial"/>
                <w:sz w:val="18"/>
                <w:szCs w:val="18"/>
                <w:color w:val="0000FF"/>
                <w:w w:val="88"/>
              </w:rPr>
            </w:pPr>
            <w:hyperlink w:anchor="page207">
              <w:r>
                <w:rPr>
                  <w:rFonts w:ascii="Arial" w:cs="Arial" w:eastAsia="Arial" w:hAnsi="Arial"/>
                  <w:sz w:val="18"/>
                  <w:szCs w:val="18"/>
                  <w:color w:val="0000FF"/>
                  <w:w w:val="88"/>
                </w:rPr>
                <w:t>F-2</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100" w:type="dxa"/>
            <w:vAlign w:val="bottom"/>
          </w:tcPr>
          <w:p>
            <w:pPr>
              <w:spacing w:after="0"/>
              <w:rPr>
                <w:rFonts w:ascii="Arial" w:cs="Arial" w:eastAsia="Arial" w:hAnsi="Arial"/>
                <w:sz w:val="18"/>
                <w:szCs w:val="18"/>
                <w:color w:val="0000FF"/>
                <w:w w:val="88"/>
              </w:rPr>
            </w:pPr>
            <w:hyperlink w:anchor="page208">
              <w:r>
                <w:rPr>
                  <w:rFonts w:ascii="Arial" w:cs="Arial" w:eastAsia="Arial" w:hAnsi="Arial"/>
                  <w:sz w:val="18"/>
                  <w:szCs w:val="18"/>
                  <w:color w:val="0000FF"/>
                  <w:w w:val="88"/>
                </w:rPr>
                <w:t>Consolidated Balance Sheets</w:t>
              </w:r>
            </w:hyperlink>
          </w:p>
        </w:tc>
        <w:tc>
          <w:tcPr>
            <w:tcW w:w="4420" w:type="dxa"/>
            <w:vAlign w:val="bottom"/>
            <w:gridSpan w:val="5"/>
          </w:tcPr>
          <w:p>
            <w:pPr>
              <w:spacing w:after="0"/>
              <w:rPr>
                <w:sz w:val="22"/>
                <w:szCs w:val="22"/>
                <w:color w:val="auto"/>
              </w:rPr>
            </w:pPr>
          </w:p>
        </w:tc>
        <w:tc>
          <w:tcPr>
            <w:tcW w:w="2140" w:type="dxa"/>
            <w:vAlign w:val="bottom"/>
            <w:gridSpan w:val="2"/>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gridSpan w:val="2"/>
          </w:tcPr>
          <w:p>
            <w:pPr>
              <w:spacing w:after="0"/>
              <w:rPr>
                <w:rFonts w:ascii="Arial" w:cs="Arial" w:eastAsia="Arial" w:hAnsi="Arial"/>
                <w:sz w:val="18"/>
                <w:szCs w:val="18"/>
                <w:color w:val="0000FF"/>
                <w:w w:val="88"/>
              </w:rPr>
            </w:pPr>
            <w:hyperlink w:anchor="page208">
              <w:r>
                <w:rPr>
                  <w:rFonts w:ascii="Arial" w:cs="Arial" w:eastAsia="Arial" w:hAnsi="Arial"/>
                  <w:sz w:val="18"/>
                  <w:szCs w:val="18"/>
                  <w:color w:val="0000FF"/>
                  <w:w w:val="88"/>
                </w:rPr>
                <w:t>F-3</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gridSpan w:val="2"/>
          </w:tcPr>
          <w:p>
            <w:pPr>
              <w:spacing w:after="0"/>
              <w:rPr>
                <w:rFonts w:ascii="Arial" w:cs="Arial" w:eastAsia="Arial" w:hAnsi="Arial"/>
                <w:sz w:val="18"/>
                <w:szCs w:val="18"/>
                <w:color w:val="0000FF"/>
                <w:w w:val="89"/>
              </w:rPr>
            </w:pPr>
            <w:hyperlink w:anchor="page209">
              <w:r>
                <w:rPr>
                  <w:rFonts w:ascii="Arial" w:cs="Arial" w:eastAsia="Arial" w:hAnsi="Arial"/>
                  <w:sz w:val="18"/>
                  <w:szCs w:val="18"/>
                  <w:color w:val="0000FF"/>
                  <w:w w:val="89"/>
                </w:rPr>
                <w:t>Consolidated Statements of Operations</w:t>
              </w:r>
            </w:hyperlink>
          </w:p>
        </w:tc>
        <w:tc>
          <w:tcPr>
            <w:tcW w:w="5840" w:type="dxa"/>
            <w:vAlign w:val="bottom"/>
            <w:gridSpan w:val="6"/>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gridSpan w:val="2"/>
          </w:tcPr>
          <w:p>
            <w:pPr>
              <w:spacing w:after="0"/>
              <w:rPr>
                <w:rFonts w:ascii="Arial" w:cs="Arial" w:eastAsia="Arial" w:hAnsi="Arial"/>
                <w:sz w:val="18"/>
                <w:szCs w:val="18"/>
                <w:color w:val="0000FF"/>
                <w:w w:val="88"/>
              </w:rPr>
            </w:pPr>
            <w:hyperlink w:anchor="page209">
              <w:r>
                <w:rPr>
                  <w:rFonts w:ascii="Arial" w:cs="Arial" w:eastAsia="Arial" w:hAnsi="Arial"/>
                  <w:sz w:val="18"/>
                  <w:szCs w:val="18"/>
                  <w:color w:val="0000FF"/>
                  <w:w w:val="88"/>
                </w:rPr>
                <w:t>F-4</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gridSpan w:val="8"/>
          </w:tcPr>
          <w:p>
            <w:pPr>
              <w:spacing w:after="0"/>
              <w:rPr>
                <w:rFonts w:ascii="Arial" w:cs="Arial" w:eastAsia="Arial" w:hAnsi="Arial"/>
                <w:sz w:val="18"/>
                <w:szCs w:val="18"/>
                <w:color w:val="0000FF"/>
              </w:rPr>
            </w:pPr>
            <w:hyperlink w:anchor="page210">
              <w:r>
                <w:rPr>
                  <w:rFonts w:ascii="Arial" w:cs="Arial" w:eastAsia="Arial" w:hAnsi="Arial"/>
                  <w:sz w:val="18"/>
                  <w:szCs w:val="18"/>
                  <w:color w:val="0000FF"/>
                </w:rPr>
                <w:t>Consolidated Statements of Comprehensive Loss</w:t>
              </w:r>
            </w:hyperlink>
          </w:p>
        </w:tc>
        <w:tc>
          <w:tcPr>
            <w:tcW w:w="2300" w:type="dxa"/>
            <w:vAlign w:val="bottom"/>
          </w:tcPr>
          <w:p>
            <w:pPr>
              <w:spacing w:after="0"/>
              <w:rPr>
                <w:sz w:val="22"/>
                <w:szCs w:val="22"/>
                <w:color w:val="auto"/>
              </w:rPr>
            </w:pPr>
          </w:p>
        </w:tc>
        <w:tc>
          <w:tcPr>
            <w:tcW w:w="260" w:type="dxa"/>
            <w:vAlign w:val="bottom"/>
            <w:gridSpan w:val="2"/>
          </w:tcPr>
          <w:p>
            <w:pPr>
              <w:spacing w:after="0"/>
              <w:rPr>
                <w:rFonts w:ascii="Arial" w:cs="Arial" w:eastAsia="Arial" w:hAnsi="Arial"/>
                <w:sz w:val="18"/>
                <w:szCs w:val="18"/>
                <w:color w:val="0000FF"/>
                <w:w w:val="88"/>
              </w:rPr>
            </w:pPr>
            <w:hyperlink w:anchor="page210">
              <w:r>
                <w:rPr>
                  <w:rFonts w:ascii="Arial" w:cs="Arial" w:eastAsia="Arial" w:hAnsi="Arial"/>
                  <w:sz w:val="18"/>
                  <w:szCs w:val="18"/>
                  <w:color w:val="0000FF"/>
                  <w:w w:val="88"/>
                </w:rPr>
                <w:t>F-5</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gridSpan w:val="7"/>
          </w:tcPr>
          <w:p>
            <w:pPr>
              <w:spacing w:after="0"/>
              <w:rPr>
                <w:rFonts w:ascii="Arial" w:cs="Arial" w:eastAsia="Arial" w:hAnsi="Arial"/>
                <w:sz w:val="18"/>
                <w:szCs w:val="18"/>
                <w:color w:val="0000FF"/>
                <w:w w:val="90"/>
              </w:rPr>
            </w:pPr>
            <w:hyperlink w:anchor="page211">
              <w:r>
                <w:rPr>
                  <w:rFonts w:ascii="Arial" w:cs="Arial" w:eastAsia="Arial" w:hAnsi="Arial"/>
                  <w:sz w:val="18"/>
                  <w:szCs w:val="18"/>
                  <w:color w:val="0000FF"/>
                  <w:w w:val="90"/>
                </w:rPr>
                <w:t xml:space="preserve">Consolidated Statements of Redeemable Convertible Preferred </w:t>
              </w:r>
            </w:hyperlink>
            <w:r>
              <w:rPr>
                <w:rFonts w:ascii="Arial" w:cs="Arial" w:eastAsia="Arial" w:hAnsi="Arial"/>
                <w:sz w:val="18"/>
                <w:szCs w:val="18"/>
                <w:color w:val="0000FF"/>
                <w:w w:val="90"/>
              </w:rPr>
              <w:t xml:space="preserve">Stock </w:t>
            </w:r>
            <w:hyperlink w:anchor="page211">
              <w:r>
                <w:rPr>
                  <w:rFonts w:ascii="Arial" w:cs="Arial" w:eastAsia="Arial" w:hAnsi="Arial"/>
                  <w:sz w:val="18"/>
                  <w:szCs w:val="18"/>
                  <w:color w:val="0000FF"/>
                  <w:w w:val="90"/>
                </w:rPr>
                <w:t>and Stockholders’ Deficit</w:t>
              </w:r>
            </w:hyperlink>
          </w:p>
        </w:tc>
        <w:tc>
          <w:tcPr>
            <w:tcW w:w="17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gridSpan w:val="2"/>
          </w:tcPr>
          <w:p>
            <w:pPr>
              <w:spacing w:after="0"/>
              <w:rPr>
                <w:rFonts w:ascii="Arial" w:cs="Arial" w:eastAsia="Arial" w:hAnsi="Arial"/>
                <w:sz w:val="18"/>
                <w:szCs w:val="18"/>
                <w:color w:val="0000FF"/>
                <w:w w:val="88"/>
              </w:rPr>
            </w:pPr>
            <w:hyperlink w:anchor="page211">
              <w:r>
                <w:rPr>
                  <w:rFonts w:ascii="Arial" w:cs="Arial" w:eastAsia="Arial" w:hAnsi="Arial"/>
                  <w:sz w:val="18"/>
                  <w:szCs w:val="18"/>
                  <w:color w:val="0000FF"/>
                  <w:w w:val="88"/>
                </w:rPr>
                <w:t>F-6</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880" w:type="dxa"/>
            <w:vAlign w:val="bottom"/>
            <w:gridSpan w:val="3"/>
          </w:tcPr>
          <w:p>
            <w:pPr>
              <w:spacing w:after="0"/>
              <w:rPr>
                <w:rFonts w:ascii="Arial" w:cs="Arial" w:eastAsia="Arial" w:hAnsi="Arial"/>
                <w:sz w:val="18"/>
                <w:szCs w:val="18"/>
                <w:color w:val="0000FF"/>
                <w:w w:val="89"/>
              </w:rPr>
            </w:pPr>
            <w:hyperlink w:anchor="page213">
              <w:r>
                <w:rPr>
                  <w:rFonts w:ascii="Arial" w:cs="Arial" w:eastAsia="Arial" w:hAnsi="Arial"/>
                  <w:sz w:val="18"/>
                  <w:szCs w:val="18"/>
                  <w:color w:val="0000FF"/>
                  <w:w w:val="89"/>
                </w:rPr>
                <w:t>Consolidated Statements of Cash Flows</w:t>
              </w:r>
            </w:hyperlink>
          </w:p>
        </w:tc>
        <w:tc>
          <w:tcPr>
            <w:tcW w:w="4000" w:type="dxa"/>
            <w:vAlign w:val="bottom"/>
            <w:gridSpan w:val="4"/>
          </w:tcPr>
          <w:p>
            <w:pPr>
              <w:spacing w:after="0"/>
              <w:rPr>
                <w:sz w:val="22"/>
                <w:szCs w:val="22"/>
                <w:color w:val="auto"/>
              </w:rPr>
            </w:pPr>
          </w:p>
        </w:tc>
        <w:tc>
          <w:tcPr>
            <w:tcW w:w="17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gridSpan w:val="2"/>
          </w:tcPr>
          <w:p>
            <w:pPr>
              <w:spacing w:after="0"/>
              <w:rPr>
                <w:rFonts w:ascii="Arial" w:cs="Arial" w:eastAsia="Arial" w:hAnsi="Arial"/>
                <w:sz w:val="18"/>
                <w:szCs w:val="18"/>
                <w:color w:val="0000FF"/>
                <w:w w:val="88"/>
              </w:rPr>
            </w:pPr>
            <w:hyperlink w:anchor="page213">
              <w:r>
                <w:rPr>
                  <w:rFonts w:ascii="Arial" w:cs="Arial" w:eastAsia="Arial" w:hAnsi="Arial"/>
                  <w:sz w:val="18"/>
                  <w:szCs w:val="18"/>
                  <w:color w:val="0000FF"/>
                  <w:w w:val="88"/>
                </w:rPr>
                <w:t>F-8</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160" w:type="dxa"/>
            <w:vAlign w:val="bottom"/>
            <w:gridSpan w:val="4"/>
          </w:tcPr>
          <w:p>
            <w:pPr>
              <w:spacing w:after="0"/>
              <w:rPr>
                <w:rFonts w:ascii="Arial" w:cs="Arial" w:eastAsia="Arial" w:hAnsi="Arial"/>
                <w:sz w:val="18"/>
                <w:szCs w:val="18"/>
                <w:color w:val="0000FF"/>
                <w:w w:val="89"/>
              </w:rPr>
            </w:pPr>
            <w:hyperlink w:anchor="page214">
              <w:r>
                <w:rPr>
                  <w:rFonts w:ascii="Arial" w:cs="Arial" w:eastAsia="Arial" w:hAnsi="Arial"/>
                  <w:sz w:val="18"/>
                  <w:szCs w:val="18"/>
                  <w:color w:val="0000FF"/>
                  <w:w w:val="89"/>
                </w:rPr>
                <w:t>Notes to Consolidated Financial Statements</w:t>
              </w:r>
            </w:hyperlink>
          </w:p>
        </w:tc>
        <w:tc>
          <w:tcPr>
            <w:tcW w:w="5500" w:type="dxa"/>
            <w:vAlign w:val="bottom"/>
            <w:gridSpan w:val="4"/>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gridSpan w:val="2"/>
          </w:tcPr>
          <w:p>
            <w:pPr>
              <w:spacing w:after="0"/>
              <w:rPr>
                <w:rFonts w:ascii="Arial" w:cs="Arial" w:eastAsia="Arial" w:hAnsi="Arial"/>
                <w:sz w:val="18"/>
                <w:szCs w:val="18"/>
                <w:color w:val="0000FF"/>
                <w:w w:val="88"/>
              </w:rPr>
            </w:pPr>
            <w:hyperlink w:anchor="page214">
              <w:r>
                <w:rPr>
                  <w:rFonts w:ascii="Arial" w:cs="Arial" w:eastAsia="Arial" w:hAnsi="Arial"/>
                  <w:sz w:val="18"/>
                  <w:szCs w:val="18"/>
                  <w:color w:val="0000FF"/>
                  <w:w w:val="88"/>
                </w:rPr>
                <w:t>F-9</w:t>
              </w:r>
            </w:hyperlink>
          </w:p>
        </w:tc>
      </w:tr>
      <w:tr>
        <w:trPr>
          <w:trHeight w:val="304"/>
        </w:trPr>
        <w:tc>
          <w:tcPr>
            <w:tcW w:w="20" w:type="dxa"/>
            <w:vAlign w:val="bottom"/>
          </w:tcPr>
          <w:p>
            <w:pPr>
              <w:spacing w:after="0"/>
              <w:rPr>
                <w:sz w:val="24"/>
                <w:szCs w:val="24"/>
                <w:color w:val="auto"/>
              </w:rPr>
            </w:pPr>
          </w:p>
        </w:tc>
        <w:tc>
          <w:tcPr>
            <w:tcW w:w="3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Financial Statement Schedules.</w:t>
            </w:r>
          </w:p>
        </w:tc>
        <w:tc>
          <w:tcPr>
            <w:tcW w:w="5500" w:type="dxa"/>
            <w:vAlign w:val="bottom"/>
            <w:gridSpan w:val="4"/>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8660" w:type="dxa"/>
            <w:vAlign w:val="bottom"/>
            <w:gridSpan w:val="8"/>
          </w:tcPr>
          <w:p>
            <w:pPr>
              <w:ind w:left="160"/>
              <w:spacing w:after="0"/>
              <w:rPr>
                <w:sz w:val="20"/>
                <w:szCs w:val="20"/>
                <w:color w:val="auto"/>
              </w:rPr>
            </w:pPr>
            <w:r>
              <w:rPr>
                <w:rFonts w:ascii="Arial" w:cs="Arial" w:eastAsia="Arial" w:hAnsi="Arial"/>
                <w:sz w:val="18"/>
                <w:szCs w:val="18"/>
                <w:color w:val="auto"/>
              </w:rPr>
              <w:t>Schedule II—Valuation and Qualifying Accounts</w:t>
            </w:r>
          </w:p>
        </w:tc>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0" w:lineRule="exact"/>
        <w:rPr>
          <w:sz w:val="20"/>
          <w:szCs w:val="20"/>
          <w:color w:val="auto"/>
        </w:rPr>
      </w:pPr>
    </w:p>
    <w:p>
      <w:pPr>
        <w:ind w:right="2500" w:firstLine="2535"/>
        <w:spacing w:after="0" w:line="52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Remitly Global, Inc. </w:t>
      </w:r>
      <w:r>
        <w:rPr>
          <w:rFonts w:ascii="Arial" w:cs="Arial" w:eastAsia="Arial" w:hAnsi="Arial"/>
          <w:sz w:val="18"/>
          <w:szCs w:val="18"/>
          <w:b w:val="1"/>
          <w:bCs w:val="1"/>
          <w:i w:val="1"/>
          <w:iCs w:val="1"/>
          <w:color w:val="auto"/>
        </w:rPr>
        <w:t>Opinion on the Financial Statements</w:t>
      </w:r>
    </w:p>
    <w:p>
      <w:pPr>
        <w:spacing w:after="0" w:line="2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audited the accompanying consolidated balance sheets of Remitly Global, Inc. and its subsidiaries (the “Company”) as of December 31, 2020 and 2019, and the related consolidated statements of operations, of comprehensive loss, of redeemable convertible preferred stock and stockholders' deficit and of cash flows for the years then ended, including the related notes and schedule of valuation and qualifying accounts for the years ended December 31, 2020 and 2019 appearing under Item 16(b)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494949"/>
        </w:rPr>
        <w:t>/s/ PricewaterhouseCoopers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494949"/>
        </w:rPr>
        <w:t>Seattle, Washington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494949"/>
        </w:rPr>
        <w:t>April 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208" w:name="page209"/>
    <w:bookmarkEnd w:id="20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8"/>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7"/>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182,354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186,694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173,363</w:t>
            </w:r>
          </w:p>
        </w:tc>
      </w:tr>
      <w:tr>
        <w:trPr>
          <w:trHeight w:val="223"/>
        </w:trPr>
        <w:tc>
          <w:tcPr>
            <w:tcW w:w="6360" w:type="dxa"/>
            <w:vAlign w:val="bottom"/>
          </w:tcPr>
          <w:p>
            <w:pPr>
              <w:ind w:left="180"/>
              <w:spacing w:after="0"/>
              <w:rPr>
                <w:sz w:val="20"/>
                <w:szCs w:val="20"/>
                <w:color w:val="auto"/>
              </w:rPr>
            </w:pPr>
            <w:r>
              <w:rPr>
                <w:rFonts w:ascii="Arial" w:cs="Arial" w:eastAsia="Arial" w:hAnsi="Arial"/>
                <w:sz w:val="16"/>
                <w:szCs w:val="16"/>
                <w:color w:val="auto"/>
              </w:rPr>
              <w:t>Disbursement prefunding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51,248</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funds receivable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59,567</w:t>
            </w:r>
          </w:p>
        </w:tc>
      </w:tr>
      <w:tr>
        <w:trPr>
          <w:trHeight w:val="224"/>
        </w:trPr>
        <w:tc>
          <w:tcPr>
            <w:tcW w:w="636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12,188</w:t>
            </w:r>
          </w:p>
        </w:tc>
      </w:tr>
      <w:tr>
        <w:trPr>
          <w:trHeight w:val="3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248,531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345,331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296,366</w:t>
            </w:r>
          </w:p>
        </w:tc>
      </w:tr>
      <w:tr>
        <w:trPr>
          <w:trHeight w:val="223"/>
        </w:trPr>
        <w:tc>
          <w:tcPr>
            <w:tcW w:w="63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9,397</w:t>
            </w:r>
          </w:p>
        </w:tc>
      </w:tr>
      <w:tr>
        <w:trPr>
          <w:trHeight w:val="224"/>
        </w:trPr>
        <w:tc>
          <w:tcPr>
            <w:tcW w:w="63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4,518</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2,081</w:t>
            </w:r>
          </w:p>
        </w:tc>
      </w:tr>
      <w:tr>
        <w:trPr>
          <w:trHeight w:val="247"/>
        </w:trPr>
        <w:tc>
          <w:tcPr>
            <w:tcW w:w="636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266,059</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362,989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312,633</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7,332</w:t>
            </w:r>
          </w:p>
        </w:tc>
      </w:tr>
      <w:tr>
        <w:trPr>
          <w:trHeight w:val="223"/>
        </w:trPr>
        <w:tc>
          <w:tcPr>
            <w:tcW w:w="636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83,015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72,398</w:t>
            </w:r>
          </w:p>
        </w:tc>
      </w:tr>
      <w:tr>
        <w:trPr>
          <w:trHeight w:val="223"/>
        </w:trPr>
        <w:tc>
          <w:tcPr>
            <w:tcW w:w="63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47,930</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r>
      <w:tr>
        <w:trPr>
          <w:trHeight w:val="217"/>
        </w:trPr>
        <w:tc>
          <w:tcPr>
            <w:tcW w:w="63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144,570</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181,776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130,486</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r>
      <w:tr>
        <w:trPr>
          <w:trHeight w:val="223"/>
        </w:trPr>
        <w:tc>
          <w:tcPr>
            <w:tcW w:w="63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892</w:t>
            </w:r>
          </w:p>
        </w:tc>
      </w:tr>
      <w:tr>
        <w:trPr>
          <w:trHeight w:val="3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186,611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134,081</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Redeemable convertible preferred stock, $0.0001 par value; 122,833,938, 132,674,735 and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132,674,735 shares authorized as of December 31, 2019, December 31, 2020 and June 30,</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2021 (unaudited), respectively; 117,788,521, 127,082,605 and 127,410,631 shares issued and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outstanding as of December 31, 2019, December 31, 2020 and June 30, 2021 (unaudited),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respectively; liquidation preference of $314,815, $399,815, and $402,815 as of December 31,</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 and 2020 and June 30, 2021 (unaudited),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302,873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387,707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390,687</w:t>
            </w:r>
          </w:p>
        </w:tc>
      </w:tr>
      <w:tr>
        <w:trPr>
          <w:trHeight w:val="224"/>
        </w:trPr>
        <w:tc>
          <w:tcPr>
            <w:tcW w:w="6360" w:type="dxa"/>
            <w:vAlign w:val="bottom"/>
          </w:tcPr>
          <w:p>
            <w:pPr>
              <w:ind w:left="20"/>
              <w:spacing w:after="0"/>
              <w:rPr>
                <w:sz w:val="20"/>
                <w:szCs w:val="20"/>
                <w:color w:val="auto"/>
              </w:rPr>
            </w:pPr>
            <w:r>
              <w:rPr>
                <w:rFonts w:ascii="Arial" w:cs="Arial" w:eastAsia="Arial" w:hAnsi="Arial"/>
                <w:sz w:val="16"/>
                <w:szCs w:val="16"/>
                <w:color w:val="auto"/>
              </w:rPr>
              <w:t>Stockholders' deficit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Common stock, $0.0001 par value; 168,000,000 as of December 31, 2019 and 190,000,000</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shares authorized as of December 31, 2020 and June 30, 2021 (unaudited), respectively;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3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22,425,112, 24,289,906 and 26,385,643 shares issued and outstanding, as of December 31,</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9"/>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 December 31, 2020 and June 30, 2021 (unaudited),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63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17,193</w:t>
            </w:r>
          </w:p>
        </w:tc>
      </w:tr>
      <w:tr>
        <w:trPr>
          <w:trHeight w:val="3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23"/>
        </w:trPr>
        <w:tc>
          <w:tcPr>
            <w:tcW w:w="636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(188,124)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(220,688)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(229,906)</w:t>
            </w:r>
          </w:p>
        </w:tc>
      </w:tr>
      <w:tr>
        <w:trPr>
          <w:trHeight w:val="3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stockholders' deficit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(212,135)</w:t>
            </w:r>
          </w:p>
        </w:tc>
      </w:tr>
      <w:tr>
        <w:trPr>
          <w:trHeight w:val="247"/>
        </w:trPr>
        <w:tc>
          <w:tcPr>
            <w:tcW w:w="6360" w:type="dxa"/>
            <w:vAlign w:val="bottom"/>
          </w:tcPr>
          <w:p>
            <w:pPr>
              <w:ind w:left="36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266,059</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362,989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312,633</w:t>
            </w: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240"/>
          </w:cols>
          <w:pgMar w:left="320" w:top="1440" w:right="339" w:bottom="1440" w:gutter="0" w:footer="0" w:header="0"/>
          <w:type w:val="continuous"/>
        </w:sectPr>
      </w:pPr>
    </w:p>
    <w:bookmarkStart w:id="209" w:name="page210"/>
    <w:bookmarkEnd w:id="20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202,106</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87,615</w:t>
            </w:r>
          </w:p>
        </w:tc>
        <w:tc>
          <w:tcPr>
            <w:tcW w:w="0" w:type="dxa"/>
            <w:vAlign w:val="bottom"/>
          </w:tcPr>
          <w:p>
            <w:pPr>
              <w:spacing w:after="0"/>
              <w:rPr>
                <w:sz w:val="1"/>
                <w:szCs w:val="1"/>
                <w:color w:val="auto"/>
              </w:rPr>
            </w:pPr>
          </w:p>
        </w:tc>
      </w:tr>
      <w:tr>
        <w:trPr>
          <w:trHeight w:val="283"/>
        </w:trPr>
        <w:tc>
          <w:tcPr>
            <w:tcW w:w="4700" w:type="dxa"/>
            <w:vAlign w:val="bottom"/>
          </w:tcPr>
          <w:p>
            <w:pPr>
              <w:ind w:left="20"/>
              <w:spacing w:after="0"/>
              <w:rPr>
                <w:sz w:val="20"/>
                <w:szCs w:val="20"/>
                <w:color w:val="auto"/>
              </w:rPr>
            </w:pPr>
            <w:r>
              <w:rPr>
                <w:rFonts w:ascii="Arial" w:cs="Arial" w:eastAsia="Arial" w:hAnsi="Arial"/>
                <w:sz w:val="18"/>
                <w:szCs w:val="18"/>
                <w:color w:val="auto"/>
              </w:rPr>
              <w:t>Customer Support and Operations</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8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52,274</w:t>
            </w:r>
          </w:p>
        </w:tc>
        <w:tc>
          <w:tcPr>
            <w:tcW w:w="0" w:type="dxa"/>
            <w:vAlign w:val="bottom"/>
          </w:tcPr>
          <w:p>
            <w:pPr>
              <w:spacing w:after="0"/>
              <w:rPr>
                <w:sz w:val="1"/>
                <w:szCs w:val="1"/>
                <w:color w:val="auto"/>
              </w:rPr>
            </w:pPr>
          </w:p>
        </w:tc>
      </w:tr>
      <w:tr>
        <w:trPr>
          <w:trHeight w:val="283"/>
        </w:trPr>
        <w:tc>
          <w:tcPr>
            <w:tcW w:w="4700" w:type="dxa"/>
            <w:vAlign w:val="bottom"/>
          </w:tcPr>
          <w:p>
            <w:pPr>
              <w:ind w:left="20"/>
              <w:spacing w:after="0"/>
              <w:rPr>
                <w:sz w:val="20"/>
                <w:szCs w:val="20"/>
                <w:color w:val="auto"/>
              </w:rPr>
            </w:pPr>
            <w:r>
              <w:rPr>
                <w:rFonts w:ascii="Arial" w:cs="Arial" w:eastAsia="Arial" w:hAnsi="Arial"/>
                <w:sz w:val="18"/>
                <w:szCs w:val="18"/>
                <w:color w:val="auto"/>
              </w:rPr>
              <w:t>Technology and Development</w:t>
            </w:r>
            <w:r>
              <w:rPr>
                <w:rFonts w:ascii="Arial" w:cs="Arial" w:eastAsia="Arial" w:hAnsi="Arial"/>
                <w:sz w:val="23"/>
                <w:szCs w:val="23"/>
                <w:color w:val="auto"/>
                <w:vertAlign w:val="superscript"/>
              </w:rPr>
              <w:t>(1)</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32,008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19,059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26,842</w:t>
            </w:r>
          </w:p>
        </w:tc>
        <w:tc>
          <w:tcPr>
            <w:tcW w:w="0" w:type="dxa"/>
            <w:vAlign w:val="bottom"/>
          </w:tcPr>
          <w:p>
            <w:pPr>
              <w:spacing w:after="0"/>
              <w:rPr>
                <w:sz w:val="1"/>
                <w:szCs w:val="1"/>
                <w:color w:val="auto"/>
              </w:rPr>
            </w:pPr>
          </w:p>
        </w:tc>
      </w:tr>
      <w:tr>
        <w:trPr>
          <w:trHeight w:val="28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177,169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123,737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212,622</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(50,602)</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(18,588)</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4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(51,133)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(31,401)</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(51,392)</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Deemed dividend on redeemable convertible preferred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stock</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70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(63,526)</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21,290,784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21,459,062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20,840,834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23,216,865</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(1) Exclusive of depreciation and amortization, shown separately, above</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6"/>
                <w:szCs w:val="16"/>
                <w:color w:val="auto"/>
              </w:rPr>
            </w:pPr>
          </w:p>
        </w:tc>
        <w:tc>
          <w:tcPr>
            <w:tcW w:w="286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6"/>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7"/>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6"/>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(9,218)</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46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(51,325)</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(32,007)</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(21,193)</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w:t>
            </w:r>
          </w:p>
        </w:tc>
      </w:tr>
      <w:tr>
        <w:trPr>
          <w:trHeight w:val="21"/>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amounts</w:t>
      </w:r>
      <w:r>
        <w:rPr>
          <w:rFonts w:ascii="Arial" w:cs="Arial" w:eastAsia="Arial" w:hAnsi="Arial"/>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2220" w:type="dxa"/>
            <w:vAlign w:val="bottom"/>
            <w:tcBorders>
              <w:right w:val="single" w:sz="8" w:color="auto"/>
            </w:tcBorders>
            <w:gridSpan w:val="5"/>
            <w:vMerge w:val="restart"/>
          </w:tcPr>
          <w:p>
            <w:pPr>
              <w:ind w:lef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222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2220" w:type="dxa"/>
            <w:vAlign w:val="bottom"/>
            <w:tcBorders>
              <w:right w:val="single" w:sz="8" w:color="auto"/>
            </w:tcBorders>
            <w:gridSpan w:val="5"/>
            <w:vMerge w:val="restart"/>
          </w:tcPr>
          <w:p>
            <w:pPr>
              <w:ind w:left="5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5"/>
                <w:szCs w:val="5"/>
                <w:color w:val="auto"/>
              </w:rPr>
            </w:pPr>
          </w:p>
        </w:tc>
        <w:tc>
          <w:tcPr>
            <w:tcW w:w="188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22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vMerge w:val="restart"/>
          </w:tcPr>
          <w:p>
            <w:pPr>
              <w:jc w:val="center"/>
              <w:ind w:right="8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940" w:type="dxa"/>
            <w:vAlign w:val="bottom"/>
            <w:vMerge w:val="restart"/>
          </w:tcPr>
          <w:p>
            <w:pPr>
              <w:jc w:val="center"/>
              <w:ind w:right="28"/>
              <w:spacing w:after="0" w:line="12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6"/>
        </w:trPr>
        <w:tc>
          <w:tcPr>
            <w:tcW w:w="2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1, 2019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97,420,191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173,958</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22,595,886</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(123,746)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(121,004)</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Issuance of Series E redeemable</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rPr>
                <w:sz w:val="20"/>
                <w:szCs w:val="20"/>
                <w:color w:val="auto"/>
              </w:rPr>
            </w:pPr>
            <w:r>
              <w:rPr>
                <w:rFonts w:ascii="Arial" w:cs="Arial" w:eastAsia="Arial" w:hAnsi="Arial"/>
                <w:sz w:val="14"/>
                <w:szCs w:val="14"/>
                <w:color w:val="auto"/>
              </w:rPr>
              <w:t>convertible preferred stock, net of</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issuance costs of $5,230</w:t>
            </w:r>
          </w:p>
        </w:tc>
        <w:tc>
          <w:tcPr>
            <w:tcW w:w="1020" w:type="dxa"/>
            <w:vAlign w:val="bottom"/>
          </w:tcPr>
          <w:p>
            <w:pPr>
              <w:jc w:val="right"/>
              <w:spacing w:after="0"/>
              <w:rPr>
                <w:sz w:val="20"/>
                <w:szCs w:val="20"/>
                <w:color w:val="auto"/>
              </w:rPr>
            </w:pPr>
            <w:r>
              <w:rPr>
                <w:rFonts w:ascii="Arial" w:cs="Arial" w:eastAsia="Arial" w:hAnsi="Arial"/>
                <w:sz w:val="14"/>
                <w:szCs w:val="14"/>
                <w:color w:val="auto"/>
              </w:rPr>
              <w:t>22,663,933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129,770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Repurchase and retirement of preferred</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common stock in connection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with tender offer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(2,295,603)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(2,053,690)</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(12,986)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(19,159)</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Issuance of common stock in</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rPr>
                <w:sz w:val="20"/>
                <w:szCs w:val="20"/>
                <w:color w:val="auto"/>
              </w:rPr>
            </w:pPr>
            <w:r>
              <w:rPr>
                <w:rFonts w:ascii="Arial" w:cs="Arial" w:eastAsia="Arial" w:hAnsi="Arial"/>
                <w:sz w:val="14"/>
                <w:szCs w:val="14"/>
                <w:color w:val="auto"/>
              </w:rPr>
              <w:t>connection with stock option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exercises and vesting of early</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exercised options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1,882,916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(51,392)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(51,392)</w:t>
            </w:r>
          </w:p>
        </w:tc>
        <w:tc>
          <w:tcPr>
            <w:tcW w:w="0" w:type="dxa"/>
            <w:vAlign w:val="bottom"/>
          </w:tcPr>
          <w:p>
            <w:pPr>
              <w:spacing w:after="0"/>
              <w:rPr>
                <w:sz w:val="1"/>
                <w:szCs w:val="1"/>
                <w:color w:val="auto"/>
              </w:rPr>
            </w:pPr>
          </w:p>
        </w:tc>
      </w:tr>
      <w:tr>
        <w:trPr>
          <w:trHeight w:val="198"/>
        </w:trPr>
        <w:tc>
          <w:tcPr>
            <w:tcW w:w="2380" w:type="dxa"/>
            <w:vAlign w:val="bottom"/>
          </w:tcPr>
          <w:p>
            <w:pPr>
              <w:ind w:left="20"/>
              <w:spacing w:after="0"/>
              <w:rPr>
                <w:sz w:val="20"/>
                <w:szCs w:val="20"/>
                <w:color w:val="auto"/>
              </w:rPr>
            </w:pPr>
            <w:r>
              <w:rPr>
                <w:rFonts w:ascii="Arial" w:cs="Arial" w:eastAsia="Arial" w:hAnsi="Arial"/>
                <w:sz w:val="14"/>
                <w:szCs w:val="14"/>
                <w:color w:val="auto"/>
              </w:rPr>
              <w:t>Balances as of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302,873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22,425,112</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(188,124)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(186,796)</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Series F redeemable</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preferred stock, net of</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costs of $167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9,294,084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84,834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w w:val="95"/>
              </w:rPr>
              <w:t>Repurchase and retirement of preferred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and common stock in connection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with tender offer</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connection with stock option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exercises and vesting of early</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exercised options</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1,864,794</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5,262</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(32,564)</w:t>
            </w: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2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6"/>
              </w:rPr>
              <w:t>Redeemable Convertible</w:t>
            </w:r>
          </w:p>
        </w:tc>
        <w:tc>
          <w:tcPr>
            <w:tcW w:w="80" w:type="dxa"/>
            <w:vAlign w:val="bottom"/>
            <w:tcBorders>
              <w:lef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8"/>
                <w:szCs w:val="8"/>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center"/>
              <w:ind w:right="5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22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tcBorders>
              <w:left w:val="single" w:sz="8" w:color="auto"/>
            </w:tcBorders>
          </w:tcPr>
          <w:p>
            <w:pPr>
              <w:spacing w:after="0"/>
              <w:rPr>
                <w:sz w:val="5"/>
                <w:szCs w:val="5"/>
                <w:color w:val="auto"/>
              </w:rPr>
            </w:pPr>
          </w:p>
        </w:tc>
        <w:tc>
          <w:tcPr>
            <w:tcW w:w="1880" w:type="dxa"/>
            <w:vAlign w:val="bottom"/>
            <w:gridSpan w:val="3"/>
            <w:vMerge w:val="restart"/>
          </w:tcPr>
          <w:p>
            <w:pPr>
              <w:jc w:val="right"/>
              <w:ind w:right="331"/>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380" w:type="dxa"/>
            <w:vAlign w:val="bottom"/>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240"/>
              <w:spacing w:after="0" w:line="106" w:lineRule="exact"/>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8"/>
                <w:szCs w:val="8"/>
                <w:color w:val="auto"/>
              </w:rPr>
            </w:pPr>
          </w:p>
        </w:tc>
        <w:tc>
          <w:tcPr>
            <w:tcW w:w="1040" w:type="dxa"/>
            <w:vAlign w:val="bottom"/>
            <w:gridSpan w:val="2"/>
            <w:vMerge w:val="restart"/>
          </w:tcPr>
          <w:p>
            <w:pPr>
              <w:jc w:val="center"/>
              <w:ind w:right="16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8"/>
                <w:szCs w:val="8"/>
                <w:color w:val="auto"/>
              </w:rPr>
            </w:pPr>
          </w:p>
        </w:tc>
        <w:tc>
          <w:tcPr>
            <w:tcW w:w="980" w:type="dxa"/>
            <w:vAlign w:val="bottom"/>
            <w:gridSpan w:val="2"/>
            <w:vMerge w:val="restart"/>
          </w:tcPr>
          <w:p>
            <w:pPr>
              <w:jc w:val="center"/>
              <w:ind w:right="22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8"/>
                <w:szCs w:val="8"/>
                <w:color w:val="auto"/>
              </w:rPr>
            </w:pPr>
          </w:p>
        </w:tc>
        <w:tc>
          <w:tcPr>
            <w:tcW w:w="920" w:type="dxa"/>
            <w:vAlign w:val="bottom"/>
            <w:vMerge w:val="restart"/>
          </w:tcPr>
          <w:p>
            <w:pPr>
              <w:jc w:val="center"/>
              <w:ind w:right="51"/>
              <w:spacing w:after="0" w:line="10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left w:val="single" w:sz="8" w:color="auto"/>
            </w:tcBorders>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92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9"/>
        </w:trPr>
        <w:tc>
          <w:tcPr>
            <w:tcW w:w="2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left w:val="single" w:sz="8" w:color="auto"/>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1,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302,873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left w:val="single" w:sz="8" w:color="auto"/>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22,425,112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1,292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(188,124)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(186,796)</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Issuance of common stock upon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180"/>
              <w:spacing w:after="0"/>
              <w:rPr>
                <w:sz w:val="20"/>
                <w:szCs w:val="20"/>
                <w:color w:val="auto"/>
              </w:rPr>
            </w:pPr>
            <w:r>
              <w:rPr>
                <w:rFonts w:ascii="Arial" w:cs="Arial" w:eastAsia="Arial" w:hAnsi="Arial"/>
                <w:sz w:val="14"/>
                <w:szCs w:val="14"/>
                <w:color w:val="auto"/>
                <w:w w:val="95"/>
              </w:rPr>
              <w:t>exercise of stock options and vesting</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of early exercised options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701,803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926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2,523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(21,130)</w:t>
            </w:r>
          </w:p>
        </w:tc>
        <w:tc>
          <w:tcPr>
            <w:tcW w:w="0" w:type="dxa"/>
            <w:vAlign w:val="bottom"/>
          </w:tcPr>
          <w:p>
            <w:pPr>
              <w:spacing w:after="0"/>
              <w:rPr>
                <w:sz w:val="1"/>
                <w:szCs w:val="1"/>
                <w:color w:val="auto"/>
              </w:rPr>
            </w:pPr>
          </w:p>
        </w:tc>
      </w:tr>
      <w:tr>
        <w:trPr>
          <w:trHeight w:val="263"/>
        </w:trPr>
        <w:tc>
          <w:tcPr>
            <w:tcW w:w="2380" w:type="dxa"/>
            <w:vAlign w:val="bottom"/>
          </w:tcPr>
          <w:p>
            <w:pPr>
              <w:ind w:left="20"/>
              <w:spacing w:after="0"/>
              <w:rPr>
                <w:sz w:val="20"/>
                <w:szCs w:val="20"/>
                <w:color w:val="auto"/>
              </w:rPr>
            </w:pPr>
            <w:r>
              <w:rPr>
                <w:rFonts w:ascii="Arial" w:cs="Arial" w:eastAsia="Arial" w:hAnsi="Arial"/>
                <w:sz w:val="14"/>
                <w:szCs w:val="14"/>
                <w:color w:val="auto"/>
              </w:rPr>
              <w:t>Balances as of June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117,788,521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302,873</w:t>
            </w:r>
          </w:p>
        </w:tc>
        <w:tc>
          <w:tcPr>
            <w:tcW w:w="80" w:type="dxa"/>
            <w:vAlign w:val="bottom"/>
          </w:tcPr>
          <w:p>
            <w:pPr>
              <w:spacing w:after="0"/>
              <w:rPr>
                <w:sz w:val="22"/>
                <w:szCs w:val="22"/>
                <w:color w:val="auto"/>
              </w:rPr>
            </w:pPr>
          </w:p>
        </w:tc>
        <w:tc>
          <w:tcPr>
            <w:tcW w:w="80" w:type="dxa"/>
            <w:vAlign w:val="bottom"/>
            <w:tcBorders>
              <w:left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23,126,915</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4,741</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(209,254)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(204,540)</w:t>
            </w:r>
          </w:p>
        </w:tc>
        <w:tc>
          <w:tcPr>
            <w:tcW w:w="0" w:type="dxa"/>
            <w:vAlign w:val="bottom"/>
          </w:tcPr>
          <w:p>
            <w:pPr>
              <w:spacing w:after="0"/>
              <w:rPr>
                <w:sz w:val="1"/>
                <w:szCs w:val="1"/>
                <w:color w:val="auto"/>
              </w:rPr>
            </w:pPr>
          </w:p>
        </w:tc>
      </w:tr>
      <w:tr>
        <w:trPr>
          <w:trHeight w:val="386"/>
        </w:trPr>
        <w:tc>
          <w:tcPr>
            <w:tcW w:w="2380" w:type="dxa"/>
            <w:vAlign w:val="bottom"/>
          </w:tcPr>
          <w:p>
            <w:pPr>
              <w:spacing w:after="0"/>
              <w:rPr>
                <w:sz w:val="24"/>
                <w:szCs w:val="24"/>
                <w:color w:val="auto"/>
              </w:rPr>
            </w:pPr>
          </w:p>
        </w:tc>
        <w:tc>
          <w:tcPr>
            <w:tcW w:w="22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6"/>
              </w:rPr>
              <w:t>Redeemable Convertible</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8"/>
                <w:szCs w:val="8"/>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center"/>
              <w:ind w:right="5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380" w:type="dxa"/>
            <w:vAlign w:val="bottom"/>
          </w:tcPr>
          <w:p>
            <w:pPr>
              <w:spacing w:after="0"/>
              <w:rPr>
                <w:sz w:val="5"/>
                <w:szCs w:val="5"/>
                <w:color w:val="auto"/>
              </w:rPr>
            </w:pPr>
          </w:p>
        </w:tc>
        <w:tc>
          <w:tcPr>
            <w:tcW w:w="2200" w:type="dxa"/>
            <w:vAlign w:val="bottom"/>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tcBorders>
              <w:left w:val="single" w:sz="8" w:color="auto"/>
            </w:tcBorders>
          </w:tcPr>
          <w:p>
            <w:pPr>
              <w:spacing w:after="0"/>
              <w:rPr>
                <w:sz w:val="5"/>
                <w:szCs w:val="5"/>
                <w:color w:val="auto"/>
              </w:rPr>
            </w:pPr>
          </w:p>
        </w:tc>
        <w:tc>
          <w:tcPr>
            <w:tcW w:w="1880" w:type="dxa"/>
            <w:vAlign w:val="bottom"/>
            <w:gridSpan w:val="3"/>
            <w:vMerge w:val="restart"/>
          </w:tcPr>
          <w:p>
            <w:pPr>
              <w:jc w:val="right"/>
              <w:ind w:right="331"/>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380" w:type="dxa"/>
            <w:vAlign w:val="bottom"/>
          </w:tcPr>
          <w:p>
            <w:pPr>
              <w:spacing w:after="0"/>
              <w:rPr>
                <w:sz w:val="8"/>
                <w:szCs w:val="8"/>
                <w:color w:val="auto"/>
              </w:rPr>
            </w:pPr>
          </w:p>
        </w:tc>
        <w:tc>
          <w:tcPr>
            <w:tcW w:w="2200" w:type="dxa"/>
            <w:vAlign w:val="bottom"/>
            <w:gridSpan w:val="5"/>
            <w:vMerge w:val="continue"/>
          </w:tcPr>
          <w:p>
            <w:pPr>
              <w:spacing w:after="0"/>
              <w:rPr>
                <w:sz w:val="8"/>
                <w:szCs w:val="8"/>
                <w:color w:val="auto"/>
              </w:rPr>
            </w:pPr>
          </w:p>
        </w:tc>
        <w:tc>
          <w:tcPr>
            <w:tcW w:w="80" w:type="dxa"/>
            <w:vAlign w:val="bottom"/>
            <w:tcBorders>
              <w:left w:val="single" w:sz="8" w:color="auto"/>
            </w:tcBorders>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restart"/>
          </w:tcPr>
          <w:p>
            <w:pPr>
              <w:jc w:val="center"/>
              <w:ind w:right="240"/>
              <w:spacing w:after="0" w:line="106" w:lineRule="exact"/>
              <w:rPr>
                <w:sz w:val="20"/>
                <w:szCs w:val="20"/>
                <w:color w:val="auto"/>
              </w:rPr>
            </w:pPr>
            <w:r>
              <w:rPr>
                <w:rFonts w:ascii="Arial" w:cs="Arial" w:eastAsia="Arial" w:hAnsi="Arial"/>
                <w:sz w:val="12"/>
                <w:szCs w:val="12"/>
                <w:b w:val="1"/>
                <w:bCs w:val="1"/>
                <w:color w:val="auto"/>
                <w:w w:val="99"/>
              </w:rPr>
              <w:t>Paid-in</w:t>
            </w:r>
          </w:p>
        </w:tc>
        <w:tc>
          <w:tcPr>
            <w:tcW w:w="80" w:type="dxa"/>
            <w:vAlign w:val="bottom"/>
          </w:tcPr>
          <w:p>
            <w:pPr>
              <w:spacing w:after="0"/>
              <w:rPr>
                <w:sz w:val="8"/>
                <w:szCs w:val="8"/>
                <w:color w:val="auto"/>
              </w:rPr>
            </w:pPr>
          </w:p>
        </w:tc>
        <w:tc>
          <w:tcPr>
            <w:tcW w:w="1040" w:type="dxa"/>
            <w:vAlign w:val="bottom"/>
            <w:gridSpan w:val="2"/>
            <w:vMerge w:val="restart"/>
          </w:tcPr>
          <w:p>
            <w:pPr>
              <w:jc w:val="center"/>
              <w:ind w:right="16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8"/>
                <w:szCs w:val="8"/>
                <w:color w:val="auto"/>
              </w:rPr>
            </w:pPr>
          </w:p>
        </w:tc>
        <w:tc>
          <w:tcPr>
            <w:tcW w:w="980" w:type="dxa"/>
            <w:vAlign w:val="bottom"/>
            <w:gridSpan w:val="2"/>
            <w:vMerge w:val="restart"/>
          </w:tcPr>
          <w:p>
            <w:pPr>
              <w:jc w:val="center"/>
              <w:ind w:right="22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8"/>
                <w:szCs w:val="8"/>
                <w:color w:val="auto"/>
              </w:rPr>
            </w:pPr>
          </w:p>
        </w:tc>
        <w:tc>
          <w:tcPr>
            <w:tcW w:w="920" w:type="dxa"/>
            <w:vAlign w:val="bottom"/>
            <w:vMerge w:val="restart"/>
          </w:tcPr>
          <w:p>
            <w:pPr>
              <w:jc w:val="center"/>
              <w:ind w:right="51"/>
              <w:spacing w:after="0" w:line="10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29"/>
        </w:trPr>
        <w:tc>
          <w:tcPr>
            <w:tcW w:w="23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left w:val="single" w:sz="8" w:color="auto"/>
            </w:tcBorders>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92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30"/>
        </w:trPr>
        <w:tc>
          <w:tcPr>
            <w:tcW w:w="2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left w:val="single" w:sz="8" w:color="auto"/>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January 1, 2021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left w:val="single" w:sz="8" w:color="auto"/>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197"/>
        </w:trPr>
        <w:tc>
          <w:tcPr>
            <w:tcW w:w="2380" w:type="dxa"/>
            <w:vAlign w:val="bottom"/>
          </w:tcPr>
          <w:p>
            <w:pPr>
              <w:ind w:left="20"/>
              <w:spacing w:after="0"/>
              <w:rPr>
                <w:sz w:val="20"/>
                <w:szCs w:val="20"/>
                <w:color w:val="auto"/>
              </w:rPr>
            </w:pPr>
            <w:r>
              <w:rPr>
                <w:rFonts w:ascii="Arial" w:cs="Arial" w:eastAsia="Arial" w:hAnsi="Arial"/>
                <w:sz w:val="14"/>
                <w:szCs w:val="14"/>
                <w:color w:val="auto"/>
              </w:rPr>
              <w:t>Issuance of Series F redeemable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convertible preferred stock, net of</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1020" w:type="dxa"/>
            <w:vAlign w:val="bottom"/>
          </w:tcPr>
          <w:p>
            <w:pPr>
              <w:jc w:val="right"/>
              <w:spacing w:after="0"/>
              <w:rPr>
                <w:sz w:val="20"/>
                <w:szCs w:val="20"/>
                <w:color w:val="auto"/>
              </w:rPr>
            </w:pPr>
            <w:r>
              <w:rPr>
                <w:rFonts w:ascii="Arial" w:cs="Arial" w:eastAsia="Arial" w:hAnsi="Arial"/>
                <w:sz w:val="14"/>
                <w:szCs w:val="14"/>
                <w:color w:val="auto"/>
              </w:rPr>
              <w:t>328,026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2,980</w:t>
            </w:r>
          </w:p>
        </w:tc>
        <w:tc>
          <w:tcPr>
            <w:tcW w:w="8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left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exercise of stock options and vesting</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left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early exercised options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2,069,978</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4,033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25,759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4,225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0" w:type="dxa"/>
            <w:vAlign w:val="bottom"/>
          </w:tcPr>
          <w:p>
            <w:pPr>
              <w:spacing w:after="0"/>
              <w:rPr>
                <w:sz w:val="1"/>
                <w:szCs w:val="1"/>
                <w:color w:val="auto"/>
              </w:rPr>
            </w:pPr>
          </w:p>
        </w:tc>
      </w:tr>
      <w:tr>
        <w:trPr>
          <w:trHeight w:val="204"/>
        </w:trPr>
        <w:tc>
          <w:tcPr>
            <w:tcW w:w="238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tcBorders>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auto"/>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263"/>
        </w:trPr>
        <w:tc>
          <w:tcPr>
            <w:tcW w:w="2380" w:type="dxa"/>
            <w:vAlign w:val="bottom"/>
          </w:tcPr>
          <w:p>
            <w:pPr>
              <w:ind w:left="20"/>
              <w:spacing w:after="0"/>
              <w:rPr>
                <w:sz w:val="20"/>
                <w:szCs w:val="20"/>
                <w:color w:val="auto"/>
              </w:rPr>
            </w:pPr>
            <w:r>
              <w:rPr>
                <w:rFonts w:ascii="Arial" w:cs="Arial" w:eastAsia="Arial" w:hAnsi="Arial"/>
                <w:sz w:val="14"/>
                <w:szCs w:val="14"/>
                <w:color w:val="auto"/>
              </w:rPr>
              <w:t>Balances as of June 30, 2021</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127,410,631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390,687</w:t>
            </w:r>
          </w:p>
        </w:tc>
        <w:tc>
          <w:tcPr>
            <w:tcW w:w="80" w:type="dxa"/>
            <w:vAlign w:val="bottom"/>
          </w:tcPr>
          <w:p>
            <w:pPr>
              <w:spacing w:after="0"/>
              <w:rPr>
                <w:sz w:val="22"/>
                <w:szCs w:val="22"/>
                <w:color w:val="auto"/>
              </w:rPr>
            </w:pPr>
          </w:p>
        </w:tc>
        <w:tc>
          <w:tcPr>
            <w:tcW w:w="80" w:type="dxa"/>
            <w:vAlign w:val="bottom"/>
            <w:tcBorders>
              <w:left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26,385,643</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17,193</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(229,906)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p>
      <w:pPr>
        <w:spacing w:after="0" w:line="216"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32385</wp:posOffset>
            </wp:positionV>
            <wp:extent cx="19113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62"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46990</wp:posOffset>
            </wp:positionV>
            <wp:extent cx="19113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32385</wp:posOffset>
            </wp:positionV>
            <wp:extent cx="1911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62" w:lineRule="exact"/>
        <w:rPr>
          <w:sz w:val="20"/>
          <w:szCs w:val="20"/>
          <w:color w:val="auto"/>
        </w:rPr>
      </w:pPr>
    </w:p>
    <w:p>
      <w:pPr>
        <w:spacing w:after="0"/>
        <w:tabs>
          <w:tab w:leader="none" w:pos="15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39370</wp:posOffset>
            </wp:positionV>
            <wp:extent cx="19113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8100" w:space="720"/>
            <w:col w:w="24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(51,392)</w:t>
            </w:r>
          </w:p>
        </w:tc>
        <w:tc>
          <w:tcPr>
            <w:tcW w:w="10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7"/>
                <w:szCs w:val="17"/>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(21,130)</w:t>
            </w:r>
          </w:p>
        </w:tc>
        <w:tc>
          <w:tcPr>
            <w:tcW w:w="100" w:type="dxa"/>
            <w:vAlign w:val="bottom"/>
          </w:tcPr>
          <w:p>
            <w:pPr>
              <w:spacing w:after="0"/>
              <w:rPr>
                <w:sz w:val="17"/>
                <w:szCs w:val="17"/>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(9,218)</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Adjustments to reconcile net loss to net cash (used in) provided by operating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4"/>
        </w:trPr>
        <w:tc>
          <w:tcPr>
            <w:tcW w:w="51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4,060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2,571</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9"/>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5,264</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r>
      <w:tr>
        <w:trPr>
          <w:trHeight w:val="204"/>
        </w:trPr>
        <w:tc>
          <w:tcPr>
            <w:tcW w:w="5120" w:type="dxa"/>
            <w:vAlign w:val="bottom"/>
          </w:tcPr>
          <w:p>
            <w:pPr>
              <w:ind w:left="240"/>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4"/>
        </w:trPr>
        <w:tc>
          <w:tcPr>
            <w:tcW w:w="5120" w:type="dxa"/>
            <w:vAlign w:val="bottom"/>
          </w:tcPr>
          <w:p>
            <w:pPr>
              <w:ind w:left="460"/>
              <w:spacing w:after="0"/>
              <w:rPr>
                <w:sz w:val="20"/>
                <w:szCs w:val="20"/>
                <w:color w:val="auto"/>
              </w:rPr>
            </w:pPr>
            <w:r>
              <w:rPr>
                <w:rFonts w:ascii="Arial" w:cs="Arial" w:eastAsia="Arial" w:hAnsi="Arial"/>
                <w:sz w:val="14"/>
                <w:szCs w:val="14"/>
                <w:color w:val="auto"/>
              </w:rPr>
              <w:t>Disbursement prefunding</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(69,719)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50,310</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Customer funds receivable</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(17,410)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(20,028)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(8,863)</w:t>
            </w:r>
          </w:p>
        </w:tc>
      </w:tr>
      <w:tr>
        <w:trPr>
          <w:trHeight w:val="204"/>
        </w:trPr>
        <w:tc>
          <w:tcPr>
            <w:tcW w:w="512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(5,527)</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9"/>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right-of-use assets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1,336</w:t>
            </w:r>
          </w:p>
        </w:tc>
      </w:tr>
      <w:tr>
        <w:trPr>
          <w:trHeight w:val="204"/>
        </w:trPr>
        <w:tc>
          <w:tcPr>
            <w:tcW w:w="512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4,044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1,845</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9"/>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Customer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54,182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(29,073)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(27,658)</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17,376</w:t>
            </w:r>
          </w:p>
        </w:tc>
      </w:tr>
      <w:tr>
        <w:trPr>
          <w:trHeight w:val="204"/>
        </w:trPr>
        <w:tc>
          <w:tcPr>
            <w:tcW w:w="5120" w:type="dxa"/>
            <w:vAlign w:val="bottom"/>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25,935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8,188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7,937</w:t>
            </w:r>
          </w:p>
        </w:tc>
      </w:tr>
      <w:tr>
        <w:trPr>
          <w:trHeight w:val="26"/>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(1,678)</w:t>
            </w:r>
          </w:p>
        </w:tc>
      </w:tr>
      <w:tr>
        <w:trPr>
          <w:trHeight w:val="198"/>
        </w:trPr>
        <w:tc>
          <w:tcPr>
            <w:tcW w:w="5120" w:type="dxa"/>
            <w:vAlign w:val="bottom"/>
          </w:tcPr>
          <w:p>
            <w:pPr>
              <w:ind w:left="680"/>
              <w:spacing w:after="0"/>
              <w:rPr>
                <w:sz w:val="20"/>
                <w:szCs w:val="20"/>
                <w:color w:val="auto"/>
              </w:rPr>
            </w:pPr>
            <w:r>
              <w:rPr>
                <w:rFonts w:ascii="Arial" w:cs="Arial" w:eastAsia="Arial" w:hAnsi="Arial"/>
                <w:sz w:val="14"/>
                <w:szCs w:val="14"/>
                <w:color w:val="auto"/>
              </w:rPr>
              <w:t>Net cash provided by (used in) operating activities</w:t>
            </w: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8,435</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(114,209)</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(47,586)</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60,276</w:t>
            </w:r>
          </w:p>
        </w:tc>
      </w:tr>
      <w:tr>
        <w:trPr>
          <w:trHeight w:val="25"/>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(5,049)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(2,064)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(671)</w:t>
            </w:r>
          </w:p>
        </w:tc>
      </w:tr>
      <w:tr>
        <w:trPr>
          <w:trHeight w:val="25"/>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Capitalized internal-use software costs</w:t>
            </w: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r>
      <w:tr>
        <w:trPr>
          <w:trHeight w:val="198"/>
        </w:trPr>
        <w:tc>
          <w:tcPr>
            <w:tcW w:w="5120" w:type="dxa"/>
            <w:vAlign w:val="bottom"/>
          </w:tcPr>
          <w:p>
            <w:pPr>
              <w:ind w:left="68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(7,209)</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(4,370)</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(2,252)</w:t>
            </w:r>
          </w:p>
        </w:tc>
      </w:tr>
      <w:tr>
        <w:trPr>
          <w:trHeight w:val="25"/>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4,374</w:t>
            </w:r>
          </w:p>
        </w:tc>
      </w:tr>
      <w:tr>
        <w:trPr>
          <w:trHeight w:val="25"/>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 in connection with tender offer</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120" w:type="dxa"/>
            <w:vAlign w:val="bottom"/>
          </w:tcPr>
          <w:p>
            <w:pPr>
              <w:ind w:left="20"/>
              <w:spacing w:after="0"/>
              <w:rPr>
                <w:sz w:val="20"/>
                <w:szCs w:val="20"/>
                <w:color w:val="auto"/>
              </w:rPr>
            </w:pPr>
            <w:r>
              <w:rPr>
                <w:rFonts w:ascii="Arial" w:cs="Arial" w:eastAsia="Arial" w:hAnsi="Arial"/>
                <w:sz w:val="14"/>
                <w:szCs w:val="14"/>
                <w:color w:val="auto"/>
              </w:rPr>
              <w:t>Repayment of term loan</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(payments of) revolving credit facility borrowings, net</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(27,000)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(80,000)</w:t>
            </w:r>
          </w:p>
        </w:tc>
      </w:tr>
      <w:tr>
        <w:trPr>
          <w:trHeight w:val="197"/>
        </w:trPr>
        <w:tc>
          <w:tcPr>
            <w:tcW w:w="5120" w:type="dxa"/>
            <w:vAlign w:val="bottom"/>
          </w:tcPr>
          <w:p>
            <w:pPr>
              <w:ind w:left="20"/>
              <w:spacing w:after="0"/>
              <w:rPr>
                <w:sz w:val="20"/>
                <w:szCs w:val="20"/>
                <w:color w:val="auto"/>
              </w:rPr>
            </w:pPr>
            <w:r>
              <w:rPr>
                <w:rFonts w:ascii="Arial" w:cs="Arial" w:eastAsia="Arial" w:hAnsi="Arial"/>
                <w:sz w:val="14"/>
                <w:szCs w:val="14"/>
                <w:color w:val="auto"/>
                <w:w w:val="98"/>
              </w:rPr>
              <w:t>Repurchase and retirement of redeemable convertible preferred stock in connection</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2"/>
        </w:trPr>
        <w:tc>
          <w:tcPr>
            <w:tcW w:w="5120" w:type="dxa"/>
            <w:vAlign w:val="bottom"/>
          </w:tcPr>
          <w:p>
            <w:pPr>
              <w:ind w:left="180"/>
              <w:spacing w:after="0"/>
              <w:rPr>
                <w:sz w:val="20"/>
                <w:szCs w:val="20"/>
                <w:color w:val="auto"/>
              </w:rPr>
            </w:pPr>
            <w:r>
              <w:rPr>
                <w:rFonts w:ascii="Arial" w:cs="Arial" w:eastAsia="Arial" w:hAnsi="Arial"/>
                <w:sz w:val="14"/>
                <w:szCs w:val="14"/>
                <w:color w:val="auto"/>
              </w:rPr>
              <w:t>with tender offer</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(12,991)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Net proceeds from issuance of Series F and E redeemable convertible preferred stock,</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8"/>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of issuance costs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129,770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84,834</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2,980</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117,017</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122,216</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(25,981)</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(72,646)</w:t>
            </w:r>
          </w:p>
        </w:tc>
      </w:tr>
      <w:tr>
        <w:trPr>
          <w:trHeight w:val="25"/>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Effect of foreign exchange rate changes on cash, cash equivalents and restricted cash</w:t>
            </w: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118,572</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4,555</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(76,061)</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(14,441)</w:t>
            </w:r>
          </w:p>
        </w:tc>
      </w:tr>
      <w:tr>
        <w:trPr>
          <w:trHeight w:val="25"/>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64,948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183,520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183,520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188,075</w:t>
            </w:r>
          </w:p>
        </w:tc>
      </w:tr>
      <w:tr>
        <w:trPr>
          <w:trHeight w:val="198"/>
        </w:trPr>
        <w:tc>
          <w:tcPr>
            <w:tcW w:w="51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183,520</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188,075</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107,459</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173,634</w:t>
            </w:r>
          </w:p>
        </w:tc>
      </w:tr>
      <w:tr>
        <w:trPr>
          <w:trHeight w:val="25"/>
        </w:trPr>
        <w:tc>
          <w:tcPr>
            <w:tcW w:w="5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5"/>
        </w:trPr>
        <w:tc>
          <w:tcPr>
            <w:tcW w:w="5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ind w:left="20"/>
        <w:spacing w:after="0"/>
        <w:tabs>
          <w:tab w:leader="none" w:pos="5120" w:val="left"/>
        </w:tabs>
        <w:rPr>
          <w:sz w:val="20"/>
          <w:szCs w:val="20"/>
          <w:color w:val="auto"/>
        </w:rPr>
      </w:pPr>
      <w:r>
        <w:rPr>
          <w:rFonts w:ascii="Arial" w:cs="Arial" w:eastAsia="Arial" w:hAnsi="Arial"/>
          <w:sz w:val="14"/>
          <w:szCs w:val="14"/>
          <w:color w:val="auto"/>
        </w:rPr>
        <w:t>Cash paid for interest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tabs>
          <w:tab w:leader="none" w:pos="5120" w:val="left"/>
        </w:tabs>
        <w:rPr>
          <w:sz w:val="20"/>
          <w:szCs w:val="20"/>
          <w:color w:val="auto"/>
        </w:rPr>
      </w:pPr>
      <w:r>
        <w:rPr>
          <w:rFonts w:ascii="Arial" w:cs="Arial" w:eastAsia="Arial" w:hAnsi="Arial"/>
          <w:sz w:val="14"/>
          <w:szCs w:val="14"/>
          <w:color w:val="auto"/>
        </w:rPr>
        <w:t>Cash paid for income taxes</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ind w:left="20"/>
        <w:spacing w:after="0"/>
        <w:tabs>
          <w:tab w:leader="none" w:pos="5120" w:val="left"/>
        </w:tabs>
        <w:rPr>
          <w:sz w:val="20"/>
          <w:szCs w:val="20"/>
          <w:color w:val="auto"/>
        </w:rPr>
      </w:pPr>
      <w:r>
        <w:rPr>
          <w:rFonts w:ascii="Arial" w:cs="Arial" w:eastAsia="Arial" w:hAnsi="Arial"/>
          <w:sz w:val="13"/>
          <w:szCs w:val="13"/>
          <w:color w:val="auto"/>
        </w:rPr>
        <w:t>Operating lease right-of-use assets obtained in exchange for operating lease liabilities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tabs>
          <w:tab w:leader="none" w:pos="5120" w:val="left"/>
        </w:tabs>
        <w:rPr>
          <w:sz w:val="20"/>
          <w:szCs w:val="20"/>
          <w:color w:val="auto"/>
        </w:rPr>
      </w:pPr>
      <w:r>
        <w:rPr>
          <w:rFonts w:ascii="Arial" w:cs="Arial" w:eastAsia="Arial" w:hAnsi="Arial"/>
          <w:sz w:val="14"/>
          <w:szCs w:val="14"/>
          <w:color w:val="auto"/>
        </w:rPr>
        <w:t>Vesting of early exercised options</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ind w:left="20"/>
        <w:spacing w:after="0"/>
        <w:tabs>
          <w:tab w:leader="none" w:pos="5120" w:val="left"/>
        </w:tabs>
        <w:rPr>
          <w:sz w:val="20"/>
          <w:szCs w:val="20"/>
          <w:color w:val="auto"/>
        </w:rPr>
      </w:pPr>
      <w:r>
        <w:rPr>
          <w:rFonts w:ascii="Arial" w:cs="Arial" w:eastAsia="Arial" w:hAnsi="Arial"/>
          <w:sz w:val="14"/>
          <w:szCs w:val="14"/>
          <w:color w:val="auto"/>
        </w:rPr>
        <w:t>Net change in deferred offering costs, accrued but not paid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jc w:val="right"/>
              <w:ind w:right="8"/>
              <w:spacing w:after="0"/>
              <w:rPr>
                <w:sz w:val="20"/>
                <w:szCs w:val="20"/>
                <w:color w:val="auto"/>
              </w:rPr>
            </w:pPr>
            <w:r>
              <w:rPr>
                <w:rFonts w:ascii="Arial" w:cs="Arial" w:eastAsia="Arial" w:hAnsi="Arial"/>
                <w:sz w:val="14"/>
                <w:szCs w:val="14"/>
                <w:color w:val="auto"/>
                <w:w w:val="85"/>
              </w:rPr>
              <w:t>1,563</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1,061</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230"/>
        </w:trPr>
        <w:tc>
          <w:tcPr>
            <w:tcW w:w="400" w:type="dxa"/>
            <w:vAlign w:val="bottom"/>
          </w:tcPr>
          <w:p>
            <w:pPr>
              <w:jc w:val="right"/>
              <w:ind w:right="8"/>
              <w:spacing w:after="0"/>
              <w:rPr>
                <w:sz w:val="20"/>
                <w:szCs w:val="20"/>
                <w:color w:val="auto"/>
              </w:rPr>
            </w:pPr>
            <w:r>
              <w:rPr>
                <w:rFonts w:ascii="Arial" w:cs="Arial" w:eastAsia="Arial" w:hAnsi="Arial"/>
                <w:sz w:val="14"/>
                <w:szCs w:val="14"/>
                <w:color w:val="auto"/>
              </w:rPr>
              <w:t>186</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421</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29"/>
        </w:trPr>
        <w:tc>
          <w:tcPr>
            <w:tcW w:w="400" w:type="dxa"/>
            <w:vAlign w:val="bottom"/>
          </w:tcPr>
          <w:p>
            <w:pPr>
              <w:jc w:val="right"/>
              <w:ind w:right="8"/>
              <w:spacing w:after="0"/>
              <w:rPr>
                <w:sz w:val="20"/>
                <w:szCs w:val="20"/>
                <w:color w:val="auto"/>
              </w:rPr>
            </w:pPr>
            <w:r>
              <w:rPr>
                <w:rFonts w:ascii="Arial" w:cs="Arial" w:eastAsia="Arial" w:hAnsi="Arial"/>
                <w:sz w:val="14"/>
                <w:szCs w:val="14"/>
                <w:color w:val="auto"/>
                <w:w w:val="85"/>
              </w:rPr>
              <w:t>8,455</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1,523</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1,899</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230"/>
        </w:trPr>
        <w:tc>
          <w:tcPr>
            <w:tcW w:w="4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30"/>
        </w:trPr>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1,231</w:t>
            </w:r>
          </w:p>
        </w:tc>
      </w:tr>
    </w:tbl>
    <w:p>
      <w:pPr>
        <w:spacing w:after="0" w:line="277" w:lineRule="exact"/>
        <w:rPr>
          <w:sz w:val="20"/>
          <w:szCs w:val="20"/>
          <w:color w:val="auto"/>
        </w:rPr>
      </w:pPr>
    </w:p>
    <w:p>
      <w:pPr>
        <w:sectPr>
          <w:pgSz w:w="11900" w:h="16838" w:orient="portrait"/>
          <w:cols w:equalWidth="0" w:num="2">
            <w:col w:w="5480" w:space="720"/>
            <w:col w:w="50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1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182,354</w:t>
            </w:r>
          </w:p>
        </w:tc>
        <w:tc>
          <w:tcPr>
            <w:tcW w:w="10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186,694</w:t>
            </w:r>
          </w:p>
        </w:tc>
        <w:tc>
          <w:tcPr>
            <w:tcW w:w="8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106,276</w:t>
            </w:r>
          </w:p>
        </w:tc>
        <w:tc>
          <w:tcPr>
            <w:tcW w:w="10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173,363</w:t>
            </w:r>
          </w:p>
        </w:tc>
      </w:tr>
      <w:tr>
        <w:trPr>
          <w:trHeight w:val="25"/>
        </w:trPr>
        <w:tc>
          <w:tcPr>
            <w:tcW w:w="5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223"/>
        </w:trPr>
        <w:tc>
          <w:tcPr>
            <w:tcW w:w="512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183,520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188,075</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107,459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173,634</w:t>
            </w:r>
          </w:p>
        </w:tc>
      </w:tr>
      <w:tr>
        <w:trPr>
          <w:trHeight w:val="21"/>
        </w:trPr>
        <w:tc>
          <w:tcPr>
            <w:tcW w:w="5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40"/>
          </w:cols>
          <w:pgMar w:left="320" w:top="1440" w:right="339" w:bottom="1440" w:gutter="0" w:footer="0" w:header="0"/>
          <w:type w:val="continuous"/>
        </w:sectPr>
      </w:pPr>
    </w:p>
    <w:bookmarkStart w:id="214" w:name="page215"/>
    <w:bookmarkEnd w:id="21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REMITLY GLOBAL,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ind w:right="260" w:firstLine="324"/>
        <w:spacing w:after="0" w:line="293" w:lineRule="auto"/>
        <w:rPr>
          <w:sz w:val="20"/>
          <w:szCs w:val="20"/>
          <w:color w:val="auto"/>
        </w:rPr>
      </w:pPr>
      <w:r>
        <w:rPr>
          <w:rFonts w:ascii="Arial" w:cs="Arial" w:eastAsia="Arial" w:hAnsi="Arial"/>
          <w:sz w:val="18"/>
          <w:szCs w:val="18"/>
          <w:color w:val="auto"/>
        </w:rPr>
        <w:t>Remitly Global, Inc. (the “Company”) was incorporated in the State of Delaware in October 2018 and is headquartered in Seattle, Washington, with various other global office locations.</w:t>
      </w:r>
    </w:p>
    <w:p>
      <w:pPr>
        <w:spacing w:after="0" w:line="11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8"/>
          <w:szCs w:val="18"/>
          <w:color w:val="auto"/>
        </w:rPr>
        <w:t>Remitly, Inc. is a wholly owned subsidiary of Remitly Global, Inc. and was incorporated in the State of Delaware in May 2011. Remitly, Inc. provides integrated financial services to immigrants, including helping customers send money internationally in a quick, reliable, and more cost-effective manner by leveraging digital channels. Remitly, Inc. supports cross-border transmissions across the globe.</w:t>
      </w:r>
    </w:p>
    <w:p>
      <w:pPr>
        <w:spacing w:after="0" w:line="111" w:lineRule="exact"/>
        <w:rPr>
          <w:sz w:val="20"/>
          <w:szCs w:val="20"/>
          <w:color w:val="auto"/>
        </w:rPr>
      </w:pPr>
    </w:p>
    <w:p>
      <w:pPr>
        <w:jc w:val="both"/>
        <w:ind w:right="7160" w:firstLine="8"/>
        <w:spacing w:after="0" w:line="538" w:lineRule="auto"/>
        <w:tabs>
          <w:tab w:leader="none" w:pos="648"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 and Basis of Presentation</w:t>
      </w:r>
    </w:p>
    <w:p>
      <w:pPr>
        <w:jc w:val="both"/>
        <w:ind w:right="320" w:firstLine="324"/>
        <w:spacing w:after="0" w:line="303" w:lineRule="auto"/>
        <w:rPr>
          <w:sz w:val="20"/>
          <w:szCs w:val="20"/>
          <w:color w:val="auto"/>
        </w:rPr>
      </w:pPr>
      <w:r>
        <w:rPr>
          <w:rFonts w:ascii="Arial" w:cs="Arial" w:eastAsia="Arial" w:hAnsi="Arial"/>
          <w:sz w:val="17"/>
          <w:szCs w:val="17"/>
          <w:color w:val="auto"/>
        </w:rPr>
        <w:t>The consolidated financial statements include the accounts of Remitly Global, Inc. and its wholly owned subsidiaries. All significant intercompany transactions and balances have been eliminated in consolidation. The consolidated financial statements and accompanying notes have been prepared in accordance with accounting principles generally accepted in the United States of America (“GAAP”).</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Consolidated Financial Information</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accompanying interim consolidated balance sheet as of June 30, 2021, the interim consolidated statements of operations, of comprehensive loss, of cash flows, and of redeemable convertible preferred stock and stockholders’ deficit for the six months ended June 30,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reflect all adjustments, which include only normal recurring adjustments necessary for the fair statement of the Company’s financial position as of June 30, 2021 and the results of operations and cash flows for the six months ended June 30, 2020 and 2021.The results of operations for the six months ended June 30, 2021 are not necessarily indicative of the results to be expected for the full year or any other future interim or annual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Company continues to be subject to the risks and challenges associated with other companies at a similar stage of development, including risks associated with: dependence on key personnel; successful marketing and use of its service and adaptation of such solutions to changing market dynamics and customer preferences; competition from alternative products and services, including from larger companies that have greater name recognition, longer operating histories, more and better established customer relationships and greater resources than the Company; and the ability to raise additional borrowing or capital to support future growth. The Company believes that existing cash and cash equivalents will be sufficient to meet projected operating requirements for at least the next 12 months from the annual issuance of April 1, 2021 and the interim issuance of August 30, 2021 (unaudited). Since inception through December 31, 2019 and 2020 and June 30, 2021 (unaudited), the Company has incurred losses from operations, negative cash flows from operations, and had an accumulated deficit of $188.1 million, $220.7 million and $229.9 million, respectively, and has been dependent on equity and debt financing to fund operations.</w:t>
      </w:r>
    </w:p>
    <w:p>
      <w:pPr>
        <w:spacing w:after="0" w:line="124"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The Company’s ability to provide a reliable service largely depends on the efficient and uninterrupted operation of its computer information systems and those of its service providers. Any significant interruptions could harm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business and reputation and result in a loss of business. Further, the Company has been and continues to be the subject of cyber-attacks, including distributed denial of service attacks. These attacks are primarily aimed at interrupting its business, exposing the Company to financial losses, or exploiting information security vulnerabilities. Historically, none of these attacks or breaches has individually or in the aggregate resulted in any material liability to the Company or any material damage to its reputation, and disruptions related to cybersecurity have not caused any material disruption to the Company’s business. Although the Company has taken steps and made investments to prevent security breaches and systems disruptions, the Company’s measures may not be successful, and it may experience material breaches, disruptions or other problems in the future.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8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The COVID-19 pandemic has caused significant disruption worldwide and many of the Company’s customers and employees have been impacted. With travel restrictions and shelter-in-place policies, the demand for digital remittances has increased, and this has driven a significant acceleration in the Company’s new customer and revenue growth.</w:t>
      </w:r>
    </w:p>
    <w:p>
      <w:pPr>
        <w:spacing w:after="0" w:line="129" w:lineRule="exact"/>
        <w:rPr>
          <w:sz w:val="20"/>
          <w:szCs w:val="20"/>
          <w:color w:val="auto"/>
        </w:rPr>
      </w:pPr>
    </w:p>
    <w:p>
      <w:pPr>
        <w:ind w:right="260" w:firstLine="324"/>
        <w:spacing w:after="0" w:line="296" w:lineRule="auto"/>
        <w:rPr>
          <w:sz w:val="20"/>
          <w:szCs w:val="20"/>
          <w:color w:val="auto"/>
        </w:rPr>
      </w:pPr>
      <w:r>
        <w:rPr>
          <w:rFonts w:ascii="Arial" w:cs="Arial" w:eastAsia="Arial" w:hAnsi="Arial"/>
          <w:sz w:val="17"/>
          <w:szCs w:val="17"/>
          <w:color w:val="auto"/>
        </w:rPr>
        <w:t>The Company has also experienced, and may continue to experience, a modest adverse impact on the Company’s business practices, including as a result of transitioning part of the Company’s workforce to work from home and establishing strict health and safety protocols for the Company’s offices. The Company’s customer support and operations teams, both internal and third-party, have been impacted, which has affected the Company’s ability to service customer needs due to longer wait times and its ability to hire personnel quickly.</w:t>
      </w:r>
    </w:p>
    <w:p>
      <w:pPr>
        <w:spacing w:after="0" w:line="116" w:lineRule="exact"/>
        <w:rPr>
          <w:sz w:val="20"/>
          <w:szCs w:val="20"/>
          <w:color w:val="auto"/>
        </w:rPr>
      </w:pPr>
    </w:p>
    <w:p>
      <w:pPr>
        <w:jc w:val="both"/>
        <w:ind w:right="120" w:firstLine="324"/>
        <w:spacing w:after="0" w:line="319" w:lineRule="auto"/>
        <w:rPr>
          <w:sz w:val="20"/>
          <w:szCs w:val="20"/>
          <w:color w:val="auto"/>
        </w:rPr>
      </w:pPr>
      <w:r>
        <w:rPr>
          <w:rFonts w:ascii="Arial" w:cs="Arial" w:eastAsia="Arial" w:hAnsi="Arial"/>
          <w:sz w:val="16"/>
          <w:szCs w:val="16"/>
          <w:color w:val="auto"/>
        </w:rPr>
        <w:t>Certain operating expenses have grown more slowly due to reduced business travel and the virtualization or cancellation of events. While a reduction in some operating expenses may have an immediate positive impact on the Company’s operating results, the Company does not yet have visibility into the full impact this will have on the Company’s business longer term. As COVID-19 vaccination rates increase and people begin to return to offices and other workplaces and travel more, the positive impacts of the COVID-19 pandemic on the Company’s business may slow or decline.</w:t>
      </w:r>
    </w:p>
    <w:p>
      <w:pPr>
        <w:spacing w:after="0" w:line="10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The full extent to which the COVID-19 pandemic will directly or indirectly impact the Company’s business, results of operations, cash flows, and financial condition will depend on future developments that are highly uncertain and cannot be accurately predicted. The Company does not yet know the full extent of potential impacts on its business or operations.</w:t>
      </w:r>
    </w:p>
    <w:p>
      <w:pPr>
        <w:spacing w:after="0" w:line="129" w:lineRule="exact"/>
        <w:rPr>
          <w:sz w:val="20"/>
          <w:szCs w:val="20"/>
          <w:color w:val="auto"/>
        </w:rPr>
      </w:pPr>
    </w:p>
    <w:p>
      <w:pPr>
        <w:ind w:right="240" w:firstLine="324"/>
        <w:spacing w:after="0" w:line="359" w:lineRule="auto"/>
        <w:rPr>
          <w:sz w:val="20"/>
          <w:szCs w:val="20"/>
          <w:color w:val="auto"/>
        </w:rPr>
      </w:pPr>
      <w:r>
        <w:rPr>
          <w:rFonts w:ascii="Arial" w:cs="Arial" w:eastAsia="Arial" w:hAnsi="Arial"/>
          <w:sz w:val="16"/>
          <w:szCs w:val="16"/>
          <w:color w:val="auto"/>
        </w:rPr>
        <w:t>The Company will continue to actively monitor the situation and may take further actions that may alter its business practices as may be required by federal, state, or local authorities or that it determines are in the best interests of the Company’s employees, customers, or business partners.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140" w:firstLine="324"/>
        <w:spacing w:after="0" w:line="270" w:lineRule="auto"/>
        <w:rPr>
          <w:sz w:val="20"/>
          <w:szCs w:val="20"/>
          <w:color w:val="auto"/>
        </w:rPr>
      </w:pPr>
      <w:r>
        <w:rPr>
          <w:rFonts w:ascii="Arial" w:cs="Arial" w:eastAsia="Arial" w:hAnsi="Arial"/>
          <w:sz w:val="18"/>
          <w:szCs w:val="18"/>
          <w:color w:val="auto"/>
        </w:rPr>
        <w:t>The preparation of the accompanying consolidated financial statements in conformity with GAAP requires management to make estimates and assumptions that affect the amounts reported and disclosed in the consolidated financial statements and accompanying notes. These estimates and assumptions include, but are not limited to, revenue recognition including the treatment of sales incentive programs, reserves for transaction losses, stock-based compensation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in our consolidated balance sheets, typically as disbursement prefunding balances. Cash and cash equivalents consist of cash on hand and various deposit accounts.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color w:val="auto"/>
        </w:rPr>
        <w:t>Restricted cash primarily consists of cash collateral that the Company maintains with various payment processors in connection with its contractual obligation. 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As of December 31, 2019 and 2020 and June 30, 2021 (unaudited), the Company had $1.2 million, $1.4 million and $0.3 million of restricted cash, respectively.</w:t>
      </w:r>
    </w:p>
    <w:p>
      <w:pPr>
        <w:spacing w:after="0" w:line="137"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color w:val="auto"/>
        </w:rPr>
        <w:t>Restricted cash has been classified as a non-current asset on the consolidated balance sheets as it is not expected to be released within one year of the balance sheet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Prefunding</w:t>
      </w:r>
    </w:p>
    <w:p>
      <w:pPr>
        <w:spacing w:after="0" w:line="189"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Company maintains relationships with disbursement partners in various countries. These partners are responsible for disbursing funds to recipients. The Company may maintain prefunding balances with these disbursement partners, so they are able to fulfill customer requests. The Company does not earn interest on these balances. The balances are not compensating balances and are not legally restricted. The Company is exposed to the risk of loss in the event the Company’s disbursement partners fail, for any reason, to disburse funds to recipients according to the Company’s instructions. Such reasons could include mistakes by the Company’s disbursement partners in processing payment instructions or failing to correctly classify and process error categories, or insolvency or fraud by the Company’s disbursement partners. The Company maintains a loss reserve for these accounts and is included in accrued expenses and other current liabilities within the consolidated balance sheets. However, historical losses for the disbursement funding accounts have been inconsequential.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Funds Receivable</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8"/>
          <w:szCs w:val="18"/>
          <w:color w:val="auto"/>
        </w:rPr>
        <w:t>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into cash usually in one to three business days. These card and electronic funds are treated as a receivable from the bank until the cash is received by the Company. The Company does not maintain a reserve as historical losses have not been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80" w:firstLine="324"/>
        <w:spacing w:after="0" w:line="314" w:lineRule="auto"/>
        <w:rPr>
          <w:sz w:val="20"/>
          <w:szCs w:val="20"/>
          <w:color w:val="auto"/>
        </w:rPr>
      </w:pPr>
      <w:r>
        <w:rPr>
          <w:rFonts w:ascii="Arial" w:cs="Arial" w:eastAsia="Arial" w:hAnsi="Arial"/>
          <w:sz w:val="16"/>
          <w:szCs w:val="16"/>
          <w:color w:val="auto"/>
        </w:rPr>
        <w:t>The functional currencies of the Company’s international subsidiaries in Australia, Canada, Ireland, United Kingdom, and Singapore are each country’s local currency. The functional currency of the Company’s international subsidiaries in Poland and Nicaragua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300" w:firstLine="324"/>
        <w:spacing w:after="0" w:line="288" w:lineRule="auto"/>
        <w:rPr>
          <w:sz w:val="20"/>
          <w:szCs w:val="20"/>
          <w:color w:val="auto"/>
        </w:rPr>
      </w:pPr>
      <w:r>
        <w:rPr>
          <w:rFonts w:ascii="Arial" w:cs="Arial" w:eastAsia="Arial" w:hAnsi="Arial"/>
          <w:sz w:val="17"/>
          <w:szCs w:val="17"/>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12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8"/>
          <w:szCs w:val="18"/>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unadjusted quoted prices in active markets for identical assets or liabilities.</w:t>
      </w:r>
    </w:p>
    <w:p>
      <w:pPr>
        <w:spacing w:after="0" w:line="171" w:lineRule="exact"/>
        <w:rPr>
          <w:sz w:val="20"/>
          <w:szCs w:val="20"/>
          <w:color w:val="auto"/>
        </w:rPr>
      </w:pPr>
    </w:p>
    <w:p>
      <w:pPr>
        <w:ind w:left="980" w:right="500" w:hanging="647"/>
        <w:spacing w:after="0" w:line="308" w:lineRule="auto"/>
        <w:rPr>
          <w:sz w:val="20"/>
          <w:szCs w:val="20"/>
          <w:color w:val="auto"/>
        </w:rPr>
      </w:pPr>
      <w:r>
        <w:rPr>
          <w:rFonts w:ascii="Arial" w:cs="Arial" w:eastAsia="Arial" w:hAnsi="Arial"/>
          <w:sz w:val="17"/>
          <w:szCs w:val="17"/>
          <w:color w:val="auto"/>
        </w:rPr>
        <w:t>Level 2 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92" w:lineRule="exact"/>
        <w:rPr>
          <w:sz w:val="20"/>
          <w:szCs w:val="20"/>
          <w:color w:val="auto"/>
        </w:rPr>
      </w:pPr>
    </w:p>
    <w:p>
      <w:pPr>
        <w:ind w:left="980" w:right="500" w:hanging="647"/>
        <w:spacing w:after="0" w:line="277" w:lineRule="auto"/>
        <w:rPr>
          <w:sz w:val="20"/>
          <w:szCs w:val="20"/>
          <w:color w:val="auto"/>
        </w:rPr>
      </w:pPr>
      <w:r>
        <w:rPr>
          <w:rFonts w:ascii="Arial" w:cs="Arial" w:eastAsia="Arial" w:hAnsi="Arial"/>
          <w:sz w:val="18"/>
          <w:szCs w:val="18"/>
          <w:color w:val="auto"/>
        </w:rPr>
        <w:t>Level 3 Inputs are unobservable inputs based on the Company’s own assumptions used to measure assets and liabilities at fair value. The inputs require significant management judgment or estimation.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Australia, Canada, Nicaragua, the Philippines, Poland, Singapore, India and the United Kingdom. The Company also prefunds amounts which are held by the Company’s disbursement partners, primarily in the Philippines and Mexico. The Company has not experienced any significant losses on its deposits of cash and cash equivalents, disbursement prefunding, restricted cash or customer funds receivable for the years ended December 31, 2019 and 2020 and the six months ended June 30, 2020 and 2021 (unaudited).</w:t>
      </w:r>
    </w:p>
    <w:p>
      <w:pPr>
        <w:spacing w:after="0" w:line="127"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color w:val="auto"/>
        </w:rPr>
        <w:t>For the years ended December 31, 2019 and 2020 and the six months ended June 30, 2020 and 2021 (unaudited), no individual customer represented 10% or more of the Company’s total revenue or customer funds receivable.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89"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Deferred offering costs of $1.2 million have been recorded as other non-current assets on the consolidated balance sheet as of June 30, 2021 (unaudited) and consist of expenses incurred in connection with the anticipated sale of the Company's common stock in an initial public offering ("IPO"), including legal, accounting, printing, and other IPO-related costs. Upon completion of the IPO, these deferred offering costs will be reclassified to stockholders' deficit and recorded against the proceeds from the offering. If the Company terminates its planned IPO or if there is a significant delay, all of the deferred offering costs will be immediately written off to operating expenses in the consolidated statement of operations. As of December 31, 2020, the Company had not incurred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is stated at cost, less accumulated depreciation and amortization.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assets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4380" w:type="dxa"/>
            <w:vAlign w:val="bottom"/>
          </w:tcPr>
          <w:p>
            <w:pPr>
              <w:jc w:val="right"/>
              <w:ind w:right="1394"/>
              <w:spacing w:after="0"/>
              <w:rPr>
                <w:sz w:val="20"/>
                <w:szCs w:val="20"/>
                <w:color w:val="auto"/>
              </w:rPr>
            </w:pPr>
            <w:r>
              <w:rPr>
                <w:rFonts w:ascii="Arial" w:cs="Arial" w:eastAsia="Arial" w:hAnsi="Arial"/>
                <w:sz w:val="14"/>
                <w:szCs w:val="14"/>
                <w:b w:val="1"/>
                <w:bCs w:val="1"/>
                <w:color w:val="auto"/>
              </w:rPr>
              <w:t>Estimated Useful Lives</w:t>
            </w:r>
          </w:p>
        </w:tc>
      </w:tr>
      <w:tr>
        <w:trPr>
          <w:trHeight w:val="26"/>
        </w:trPr>
        <w:tc>
          <w:tcPr>
            <w:tcW w:w="6860" w:type="dxa"/>
            <w:vAlign w:val="bottom"/>
            <w:tcBorders>
              <w:bottom w:val="single" w:sz="8" w:color="CCEEFF"/>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438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7"/>
        </w:trPr>
        <w:tc>
          <w:tcPr>
            <w:tcW w:w="68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380" w:type="dxa"/>
            <w:vAlign w:val="bottom"/>
          </w:tcPr>
          <w:p>
            <w:pPr>
              <w:jc w:val="right"/>
              <w:spacing w:after="0"/>
              <w:rPr>
                <w:sz w:val="20"/>
                <w:szCs w:val="20"/>
                <w:color w:val="auto"/>
              </w:rPr>
            </w:pPr>
            <w:r>
              <w:rPr>
                <w:rFonts w:ascii="Arial" w:cs="Arial" w:eastAsia="Arial" w:hAnsi="Arial"/>
                <w:sz w:val="18"/>
                <w:szCs w:val="18"/>
                <w:color w:val="auto"/>
              </w:rPr>
              <w:t>Lesser of useful life or remaining lease term</w:t>
            </w:r>
          </w:p>
        </w:tc>
      </w:tr>
    </w:tbl>
    <w:p>
      <w:pPr>
        <w:spacing w:after="0" w:line="188"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8"/>
          <w:szCs w:val="18"/>
          <w:color w:val="auto"/>
        </w:rPr>
        <w:t>When assets are retired or disposed of, the cost and accumulated depreciation are removed from the accounts, and any resulting gains or losses are included in the consolidated statements of operations in the period of disposition. Maintenance and repairs that do not improve or extend the lives of the respective assets are charged to expense in the period incurred.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8"/>
          <w:szCs w:val="18"/>
          <w:color w:val="auto"/>
        </w:rPr>
        <w:t>A lease is defined as a contract, or part of a contract, that conveys the right to control the use of identified property, plant or equipment for a period of time in exchange for consideration. The Company adopted ASU No</w:t>
      </w:r>
      <w:r>
        <w:rPr>
          <w:rFonts w:ascii="Arial" w:cs="Arial" w:eastAsia="Arial" w:hAnsi="Arial"/>
          <w:sz w:val="18"/>
          <w:szCs w:val="18"/>
          <w:i w:val="1"/>
          <w:iCs w:val="1"/>
          <w:color w:val="auto"/>
        </w:rPr>
        <w:t>. 2016-02 “Leases - Topic 842”</w:t>
      </w:r>
      <w:r>
        <w:rPr>
          <w:rFonts w:ascii="Arial" w:cs="Arial" w:eastAsia="Arial" w:hAnsi="Arial"/>
          <w:sz w:val="18"/>
          <w:szCs w:val="18"/>
          <w:color w:val="auto"/>
        </w:rPr>
        <w:t xml:space="preserve"> (“ASC 842”) and all subsequent ASUs that modified ASC 842 on January 1, 2020 and elected to apply the guidance to the comparative period.</w:t>
      </w:r>
    </w:p>
    <w:p>
      <w:pPr>
        <w:spacing w:after="0" w:line="129"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Company’s lease portfolio is primarily office space that is classified as operating leases. 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Operating leases are included in operating lease right-of-use (“ROU”) assets and operating lease liabilities on the consolidated balance sheets. ROU assets represent the Company’s right to use an underlying asset for the lease term, and lease liabilities represent the Company’s obligation to make lease payments arising from the lease. The lease liability is recognized at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commencement date. The Company’s lease terms may include options to extend the lease when it is reasonably certain that the Company will exercise that option.</w:t>
      </w:r>
    </w:p>
    <w:p>
      <w:pPr>
        <w:spacing w:after="0" w:line="11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131"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8"/>
          <w:szCs w:val="18"/>
          <w:color w:val="auto"/>
        </w:rPr>
        <w:t>Lease expense for operating leases is recognized on a straight-line basis over the lease term, which is the non-cancelable term adjusted for any renewal and termination options that are considered reasonably certain. Operating leases are included in operating lease ROU assets, operating lease liabilities, and operating lease liabilities, non-current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57" w:lineRule="exact"/>
        <w:rPr>
          <w:sz w:val="20"/>
          <w:szCs w:val="20"/>
          <w:color w:val="auto"/>
        </w:rPr>
      </w:pPr>
    </w:p>
    <w:p>
      <w:pPr>
        <w:ind w:right="260" w:firstLine="324"/>
        <w:spacing w:after="0" w:line="293" w:lineRule="auto"/>
        <w:rPr>
          <w:sz w:val="20"/>
          <w:szCs w:val="20"/>
          <w:color w:val="auto"/>
        </w:rPr>
      </w:pPr>
      <w:r>
        <w:rPr>
          <w:rFonts w:ascii="Arial" w:cs="Arial" w:eastAsia="Arial" w:hAnsi="Arial"/>
          <w:sz w:val="18"/>
          <w:szCs w:val="18"/>
          <w:color w:val="auto"/>
        </w:rPr>
        <w:t>During the years ended December 31, 2019 and 2020 and the six months ended June 30, 2020 and 2021 (unaudited), the Company did not have any material finance leases.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right="60" w:firstLine="324"/>
        <w:spacing w:after="0" w:line="319"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fully recoverable. When such events occur, management determines whether there has been impairment by comparing the anticipated undiscounted future net cash flows to the carrying value of the asset. If impairment exists, the asset is written down to its estimated fair value. During the years ended December 31, 2019 and 2020 and the six months ended June 30, 2020 and 2021 (unaudited), no impairment of long-lived assets was recorded.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Liabilities</w:t>
      </w:r>
    </w:p>
    <w:p>
      <w:pPr>
        <w:spacing w:after="0" w:line="189" w:lineRule="exact"/>
        <w:rPr>
          <w:sz w:val="20"/>
          <w:szCs w:val="20"/>
          <w:color w:val="auto"/>
        </w:rPr>
      </w:pPr>
    </w:p>
    <w:p>
      <w:pPr>
        <w:ind w:right="560" w:firstLine="324"/>
        <w:spacing w:after="0" w:line="324" w:lineRule="auto"/>
        <w:rPr>
          <w:sz w:val="20"/>
          <w:szCs w:val="20"/>
          <w:color w:val="auto"/>
        </w:rPr>
      </w:pPr>
      <w:r>
        <w:rPr>
          <w:rFonts w:ascii="Arial" w:cs="Arial" w:eastAsia="Arial" w:hAnsi="Arial"/>
          <w:sz w:val="17"/>
          <w:szCs w:val="17"/>
          <w:color w:val="auto"/>
        </w:rPr>
        <w:t>The Company recognizes transactions processed from customers but not yet disbursed to recipients as customer liabilities on the accompanying consolidated balance sheets. Customer liabilities are typically funds in-transit and the duration is typically one-two days.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information related to the Company’s 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Incentives</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spacing w:after="0" w:line="131"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For the years ended December 31, 2019 and 2020, payments made to customers resulted in: reductions to revenue of $7.9 million and $15.7 million, respectively; and, charges to sales and marketing expense of $6.1 million and $9.8 million, respectively.</w:t>
      </w:r>
    </w:p>
    <w:p>
      <w:pPr>
        <w:spacing w:after="0" w:line="116" w:lineRule="exact"/>
        <w:rPr>
          <w:sz w:val="20"/>
          <w:szCs w:val="20"/>
          <w:color w:val="auto"/>
        </w:rPr>
      </w:pPr>
    </w:p>
    <w:p>
      <w:pPr>
        <w:ind w:right="60" w:firstLine="324"/>
        <w:spacing w:after="0" w:line="293" w:lineRule="auto"/>
        <w:rPr>
          <w:sz w:val="20"/>
          <w:szCs w:val="20"/>
          <w:color w:val="auto"/>
        </w:rPr>
      </w:pPr>
      <w:r>
        <w:rPr>
          <w:rFonts w:ascii="Arial" w:cs="Arial" w:eastAsia="Arial" w:hAnsi="Arial"/>
          <w:sz w:val="18"/>
          <w:szCs w:val="18"/>
          <w:color w:val="auto"/>
        </w:rPr>
        <w:t>For the six months ended June 30, 2020 and 2021 (unaudited), payments made to customers resulted in: reductions to revenue of $8.5 million and $9.0 million, respectively; and, charges to sales and marketing expense of $5.2 million and $5.8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Expenses</w:t>
      </w:r>
    </w:p>
    <w:p>
      <w:pPr>
        <w:spacing w:after="0" w:line="189" w:lineRule="exact"/>
        <w:rPr>
          <w:sz w:val="20"/>
          <w:szCs w:val="20"/>
          <w:color w:val="auto"/>
        </w:rPr>
      </w:pPr>
    </w:p>
    <w:p>
      <w:pPr>
        <w:ind w:right="620" w:firstLine="324"/>
        <w:spacing w:after="0" w:line="324" w:lineRule="auto"/>
        <w:rPr>
          <w:sz w:val="20"/>
          <w:szCs w:val="20"/>
          <w:color w:val="auto"/>
        </w:rPr>
      </w:pPr>
      <w:r>
        <w:rPr>
          <w:rFonts w:ascii="Arial" w:cs="Arial" w:eastAsia="Arial" w:hAnsi="Arial"/>
          <w:sz w:val="17"/>
          <w:szCs w:val="17"/>
          <w:color w:val="auto"/>
        </w:rPr>
        <w:t>Transaction expenses include fees paid to disbursement partners for paying funds to the recipient, provisions for transaction losses, fees paid to payment processors for funding transactions, bad debt expense, fraud prevention costs and costs for compliance tools.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Transaction Losses</w:t>
      </w:r>
    </w:p>
    <w:p>
      <w:pPr>
        <w:spacing w:after="0" w:line="189" w:lineRule="exact"/>
        <w:rPr>
          <w:sz w:val="20"/>
          <w:szCs w:val="20"/>
          <w:color w:val="auto"/>
        </w:rPr>
      </w:pPr>
    </w:p>
    <w:p>
      <w:pPr>
        <w:ind w:right="80" w:firstLine="324"/>
        <w:spacing w:after="0" w:line="296" w:lineRule="auto"/>
        <w:rPr>
          <w:sz w:val="20"/>
          <w:szCs w:val="20"/>
          <w:color w:val="auto"/>
        </w:rPr>
      </w:pPr>
      <w:r>
        <w:rPr>
          <w:rFonts w:ascii="Arial" w:cs="Arial" w:eastAsia="Arial" w:hAnsi="Arial"/>
          <w:sz w:val="17"/>
          <w:szCs w:val="17"/>
          <w:color w:val="auto"/>
        </w:rPr>
        <w:t>The Company is exposed to transaction losses including chargebacks, unauthorized credit card use, and fraud associated with customer transactions. The Company establishes reserves for such losses based on historical trends and any specific risks identified in processing customer transactions. This reserve is included in accrued expenses and other current liabilities on the consolidated balance sheets. The provision for transaction losses is included as a component of transaction expenses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Company’s reserve for transaction losses for the years ended December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57"/>
        </w:trPr>
        <w:tc>
          <w:tcPr>
            <w:tcW w:w="8020" w:type="dxa"/>
            <w:vAlign w:val="bottom"/>
          </w:tcPr>
          <w:p>
            <w:pPr>
              <w:ind w:left="180"/>
              <w:spacing w:after="0"/>
              <w:rPr>
                <w:sz w:val="20"/>
                <w:szCs w:val="20"/>
                <w:color w:val="auto"/>
              </w:rPr>
            </w:pPr>
            <w:r>
              <w:rPr>
                <w:rFonts w:ascii="Arial" w:cs="Arial" w:eastAsia="Arial" w:hAnsi="Arial"/>
                <w:sz w:val="18"/>
                <w:szCs w:val="18"/>
                <w:color w:val="auto"/>
              </w:rPr>
              <w:t>Provisions for transaction losses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19,663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incurred, net of recoveries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0" w:type="dxa"/>
            <w:vAlign w:val="bottom"/>
          </w:tcPr>
          <w:p>
            <w:pPr>
              <w:spacing w:after="0"/>
              <w:rPr>
                <w:sz w:val="1"/>
                <w:szCs w:val="1"/>
                <w:color w:val="auto"/>
              </w:rPr>
            </w:pPr>
          </w:p>
        </w:tc>
      </w:tr>
      <w:tr>
        <w:trPr>
          <w:trHeight w:val="250"/>
        </w:trPr>
        <w:tc>
          <w:tcPr>
            <w:tcW w:w="80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Company’s reserve for transaction losses for the six months ended June 30, 2020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the beginning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57"/>
        </w:trPr>
        <w:tc>
          <w:tcPr>
            <w:tcW w:w="8020" w:type="dxa"/>
            <w:vAlign w:val="bottom"/>
          </w:tcPr>
          <w:p>
            <w:pPr>
              <w:ind w:left="180"/>
              <w:spacing w:after="0"/>
              <w:rPr>
                <w:sz w:val="20"/>
                <w:szCs w:val="20"/>
                <w:color w:val="auto"/>
              </w:rPr>
            </w:pPr>
            <w:r>
              <w:rPr>
                <w:rFonts w:ascii="Arial" w:cs="Arial" w:eastAsia="Arial" w:hAnsi="Arial"/>
                <w:sz w:val="18"/>
                <w:szCs w:val="18"/>
                <w:color w:val="auto"/>
              </w:rPr>
              <w:t>Provisions for transaction losses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incurred, net of recoveries</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50"/>
        </w:trPr>
        <w:tc>
          <w:tcPr>
            <w:tcW w:w="80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9" w:lineRule="exact"/>
        <w:rPr>
          <w:sz w:val="20"/>
          <w:szCs w:val="20"/>
          <w:color w:val="auto"/>
        </w:rPr>
      </w:pPr>
    </w:p>
    <w:p>
      <w:pPr>
        <w:ind w:right="440" w:firstLine="324"/>
        <w:spacing w:after="0" w:line="359" w:lineRule="auto"/>
        <w:rPr>
          <w:sz w:val="20"/>
          <w:szCs w:val="20"/>
          <w:color w:val="auto"/>
        </w:rPr>
      </w:pPr>
      <w:r>
        <w:rPr>
          <w:rFonts w:ascii="Arial" w:cs="Arial" w:eastAsia="Arial" w:hAnsi="Arial"/>
          <w:sz w:val="16"/>
          <w:szCs w:val="16"/>
          <w:color w:val="auto"/>
        </w:rPr>
        <w:t>Advertising expenses are charged to operations as incurred and are included as a component of marketing expenses. Advertising expenses totaled $33.0 million and $62.0 million during the years ended December 31, 2019 and 2020, respectively, and are used primarily to attract new customers.</w:t>
      </w:r>
    </w:p>
    <w:p>
      <w:pPr>
        <w:spacing w:after="0" w:line="71" w:lineRule="exact"/>
        <w:rPr>
          <w:sz w:val="20"/>
          <w:szCs w:val="20"/>
          <w:color w:val="auto"/>
        </w:rPr>
      </w:pPr>
    </w:p>
    <w:p>
      <w:pPr>
        <w:ind w:right="780" w:firstLine="324"/>
        <w:spacing w:after="0" w:line="446" w:lineRule="auto"/>
        <w:rPr>
          <w:sz w:val="20"/>
          <w:szCs w:val="20"/>
          <w:color w:val="auto"/>
        </w:rPr>
      </w:pPr>
      <w:r>
        <w:rPr>
          <w:rFonts w:ascii="Arial" w:cs="Arial" w:eastAsia="Arial" w:hAnsi="Arial"/>
          <w:sz w:val="18"/>
          <w:szCs w:val="18"/>
          <w:color w:val="auto"/>
        </w:rPr>
        <w:t xml:space="preserve">Advertising expenses totaled $26.6 million and $44.5 million during the six months ended June 30, 2020 and 2021 (unaudited), respectively. </w:t>
      </w:r>
      <w:r>
        <w:rPr>
          <w:rFonts w:ascii="Arial" w:cs="Arial" w:eastAsia="Arial" w:hAnsi="Arial"/>
          <w:sz w:val="18"/>
          <w:szCs w:val="18"/>
          <w:b w:val="1"/>
          <w:bCs w:val="1"/>
          <w:color w:val="auto"/>
        </w:rPr>
        <w:t>Customer Support and Operations</w:t>
      </w:r>
    </w:p>
    <w:p>
      <w:pPr>
        <w:ind w:right="260" w:firstLine="324"/>
        <w:spacing w:after="0" w:line="290" w:lineRule="auto"/>
        <w:rPr>
          <w:sz w:val="20"/>
          <w:szCs w:val="20"/>
          <w:color w:val="auto"/>
        </w:rPr>
      </w:pPr>
      <w:r>
        <w:rPr>
          <w:rFonts w:ascii="Arial" w:cs="Arial" w:eastAsia="Arial" w:hAnsi="Arial"/>
          <w:sz w:val="17"/>
          <w:szCs w:val="17"/>
          <w:color w:val="auto"/>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and investments in tools to effectively service the Company’s customers, as well as increased customer self-service capabilities. Customer support and operations expenses also include corporate communication costs and professional services fees.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right="160" w:firstLine="324"/>
        <w:spacing w:after="0" w:line="329" w:lineRule="auto"/>
        <w:rPr>
          <w:sz w:val="20"/>
          <w:szCs w:val="20"/>
          <w:color w:val="auto"/>
        </w:rPr>
      </w:pPr>
      <w:r>
        <w:rPr>
          <w:rFonts w:ascii="Arial" w:cs="Arial" w:eastAsia="Arial" w:hAnsi="Arial"/>
          <w:sz w:val="16"/>
          <w:szCs w:val="16"/>
          <w:color w:val="auto"/>
        </w:rPr>
        <w:t>Marketing expenses consist primarily of advertising costs used to attract new customers. Marketing expenses also include personnel-related expenses associated with the Company’s marketing organization, including salaries, benefits, and stock-based compensation, promotions, costs for software subscription services dedicated for use by the Company’s marketing organization, and outside services contracted for marketing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8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8"/>
          <w:szCs w:val="18"/>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Technology and development expenses also include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57" w:lineRule="exact"/>
        <w:rPr>
          <w:sz w:val="20"/>
          <w:szCs w:val="20"/>
          <w:color w:val="auto"/>
        </w:rPr>
      </w:pPr>
    </w:p>
    <w:p>
      <w:pPr>
        <w:ind w:right="460"/>
        <w:spacing w:after="0" w:line="319" w:lineRule="auto"/>
        <w:rPr>
          <w:sz w:val="20"/>
          <w:szCs w:val="20"/>
          <w:color w:val="auto"/>
        </w:rPr>
      </w:pPr>
      <w:r>
        <w:rPr>
          <w:rFonts w:ascii="Arial" w:cs="Arial" w:eastAsia="Arial" w:hAnsi="Arial"/>
          <w:sz w:val="16"/>
          <w:szCs w:val="16"/>
          <w:color w:val="auto"/>
        </w:rPr>
        <w:t xml:space="preserve">services fees and costs for software subscription services dedicated for use by the Company’s technology and development teams. Technology and development costs are generally expensed as incurred and do not include software development costs which qualify for capitalization as internal-use software. The amortization of Internal use-software costs which were capitalized in accordance with ASC 350-40, </w:t>
      </w:r>
      <w:r>
        <w:rPr>
          <w:rFonts w:ascii="Arial" w:cs="Arial" w:eastAsia="Arial" w:hAnsi="Arial"/>
          <w:sz w:val="16"/>
          <w:szCs w:val="16"/>
          <w:i w:val="1"/>
          <w:iCs w:val="1"/>
          <w:color w:val="auto"/>
        </w:rPr>
        <w:t>Intangibles - Goodwill and Other-Internal Use Software</w:t>
      </w:r>
      <w:r>
        <w:rPr>
          <w:rFonts w:ascii="Arial" w:cs="Arial" w:eastAsia="Arial" w:hAnsi="Arial"/>
          <w:sz w:val="16"/>
          <w:szCs w:val="16"/>
          <w:color w:val="auto"/>
        </w:rPr>
        <w:t>, are separately presented under the caption ‘Depreciation and Amortization’ in our Consolidated Statements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9" w:lineRule="exact"/>
        <w:rPr>
          <w:sz w:val="20"/>
          <w:szCs w:val="20"/>
          <w:color w:val="auto"/>
        </w:rPr>
      </w:pPr>
    </w:p>
    <w:p>
      <w:pPr>
        <w:ind w:right="20" w:firstLine="324"/>
        <w:spacing w:after="0" w:line="279" w:lineRule="auto"/>
        <w:rPr>
          <w:sz w:val="20"/>
          <w:szCs w:val="20"/>
          <w:color w:val="auto"/>
        </w:rPr>
      </w:pPr>
      <w:r>
        <w:rPr>
          <w:rFonts w:ascii="Arial" w:cs="Arial" w:eastAsia="Arial" w:hAnsi="Arial"/>
          <w:sz w:val="18"/>
          <w:szCs w:val="18"/>
          <w:color w:val="auto"/>
        </w:rPr>
        <w:t>General and administrative expenses consist primarily of personnel-related expenses for the Company’s finance, legal, human resources, facilities, and administrative personnel, including salaries, benefits, and stock-based compensation. General and administrative expenses also include professional services fees, costs for software subscriptions, facilities costs, and other corporate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Internal-Use Software Costs</w:t>
      </w:r>
    </w:p>
    <w:p>
      <w:pPr>
        <w:spacing w:after="0" w:line="18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8"/>
          <w:szCs w:val="18"/>
          <w:color w:val="auto"/>
        </w:rPr>
        <w:t xml:space="preserve">The Company accounts for software development costs incurred in connection with its internal-use software in accordance with ASC 350-40, </w:t>
      </w:r>
      <w:r>
        <w:rPr>
          <w:rFonts w:ascii="Arial" w:cs="Arial" w:eastAsia="Arial" w:hAnsi="Arial"/>
          <w:sz w:val="18"/>
          <w:szCs w:val="18"/>
          <w:i w:val="1"/>
          <w:iCs w:val="1"/>
          <w:color w:val="auto"/>
        </w:rPr>
        <w:t>Intangibles - Goodwill and Other-Internal Use Software</w:t>
      </w:r>
      <w:r>
        <w:rPr>
          <w:rFonts w:ascii="Arial" w:cs="Arial" w:eastAsia="Arial" w:hAnsi="Arial"/>
          <w:sz w:val="18"/>
          <w:szCs w:val="18"/>
          <w:color w:val="auto"/>
        </w:rPr>
        <w:t>. Costs incurred in the preliminary stages of development are expensed as incurred. Once an app</w:t>
      </w:r>
      <w:r>
        <w:rPr>
          <w:rFonts w:ascii="Arial" w:cs="Arial" w:eastAsia="Arial" w:hAnsi="Arial"/>
          <w:sz w:val="18"/>
          <w:szCs w:val="18"/>
          <w:i w:val="1"/>
          <w:iCs w:val="1"/>
          <w:color w:val="auto"/>
        </w:rPr>
        <w:t xml:space="preserve"> </w:t>
      </w:r>
      <w:r>
        <w:rPr>
          <w:rFonts w:ascii="Arial" w:cs="Arial" w:eastAsia="Arial" w:hAnsi="Arial"/>
          <w:sz w:val="18"/>
          <w:szCs w:val="18"/>
          <w:color w:val="auto"/>
        </w:rPr>
        <w:t>has reached the development stage, internal and external costs, if direct and incremental, are capitalized until the software is substantially complete and ready for its intended use.</w:t>
      </w:r>
    </w:p>
    <w:p>
      <w:pPr>
        <w:spacing w:after="0" w:line="13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 The Company capitalized $2.2 million and $2.3 million for internal-use software costs during the years ended December 31, 2019 and 2020, respectively. Stock-based compensation costs included in capitalized software costs were $0.1 million for each of the years ended December 31, 2019 and 2020. The Company recorded amortization expense of $0.9 million and $1.6 million for the years ended December 31, 2019 and 2020, respectively. There has been no impairment of previously capitalized costs during the years ended December 31, 2019 and 2020.</w:t>
      </w:r>
    </w:p>
    <w:p>
      <w:pPr>
        <w:spacing w:after="0" w:line="10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color w:val="auto"/>
        </w:rPr>
        <w:t>The Company capitalized $1.0 million and $1.5 million for internal-use software costs during the six months ended June 30, 2020 and 2021 (unaudited). The Company capitalized $0.1 million of stock-based compensation costs to internal-use software during both the six months ended June 30, 2020 and 2021 (unaudited). The Company recorded amortization expense of $0.7 million and $1.2 million for the six months ended June 30, 2020 and 2021 (unaudited), respectively. There has been no impairment of previously capitalized costs during the six months ended June 30, 2020 and 2021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16 for information related to the Company’s segment reporting and geographic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89" w:lineRule="exact"/>
        <w:rPr>
          <w:sz w:val="20"/>
          <w:szCs w:val="20"/>
          <w:color w:val="auto"/>
        </w:rPr>
      </w:pPr>
    </w:p>
    <w:p>
      <w:pPr>
        <w:jc w:val="both"/>
        <w:ind w:right="100" w:firstLine="324"/>
        <w:spacing w:after="0" w:line="303" w:lineRule="auto"/>
        <w:rPr>
          <w:sz w:val="20"/>
          <w:szCs w:val="20"/>
          <w:color w:val="auto"/>
        </w:rPr>
      </w:pPr>
      <w:r>
        <w:rPr>
          <w:rFonts w:ascii="Arial" w:cs="Arial" w:eastAsia="Arial" w:hAnsi="Arial"/>
          <w:sz w:val="17"/>
          <w:szCs w:val="17"/>
          <w:color w:val="auto"/>
        </w:rPr>
        <w:t>Basic and diluted net loss per share attributable to common stockholders is computed using the two-class method required for participating securities. All series of the Company’s redeemable convertible preferred stock and early exercised stock options are considered to be participating securities because all holders are entitled to receive dividends on a pari passu basis in the event that a dividend is declared on the common stock.</w:t>
      </w:r>
    </w:p>
    <w:p>
      <w:pPr>
        <w:spacing w:after="0" w:line="110"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320" w:top="1440" w:right="379" w:bottom="1440" w:gutter="0" w:footer="0" w:header="0"/>
        </w:sectPr>
      </w:pPr>
    </w:p>
    <w:bookmarkStart w:id="222" w:name="page223"/>
    <w:bookmarkEnd w:id="222"/>
    <w:p>
      <w:pPr>
        <w:spacing w:after="0" w:line="157"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the dilutive effect of stock options, restricted stock units (“RSUs”), warrants and redeemable convertible preferred stock. As the Company had losses for the years ended December 31, 2019 and 2020 and the six months ended June 30, 2020 and 2021 (unaudited), all potentially dilutive securities are anti-dilutive, and accordingly, basic net loss per share equaled diluted net loss per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 and expected dividend yield of the common stock. Stock-based compensation expense is recognized on a straight-line basis over the requisite service period, which is generally the vesting period of the respective award. Forfeitures are recognized in the period in which they occur.</w:t>
      </w:r>
    </w:p>
    <w:p>
      <w:pPr>
        <w:spacing w:after="0" w:line="106" w:lineRule="exact"/>
        <w:rPr>
          <w:sz w:val="20"/>
          <w:szCs w:val="20"/>
          <w:color w:val="auto"/>
        </w:rPr>
      </w:pPr>
    </w:p>
    <w:p>
      <w:pPr>
        <w:ind w:right="200" w:firstLine="324"/>
        <w:spacing w:after="0" w:line="293" w:lineRule="auto"/>
        <w:rPr>
          <w:sz w:val="20"/>
          <w:szCs w:val="20"/>
          <w:color w:val="auto"/>
        </w:rPr>
      </w:pPr>
      <w:r>
        <w:rPr>
          <w:rFonts w:ascii="Arial" w:cs="Arial" w:eastAsia="Arial" w:hAnsi="Arial"/>
          <w:sz w:val="18"/>
          <w:szCs w:val="18"/>
          <w:color w:val="auto"/>
        </w:rPr>
        <w:t>The Company calculates the expected term based on the average period the options are expected to remain outstanding using the simplified method, generally calculated as the midpoint of the requisite service period and the contractual term of the award.</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16" w:lineRule="exact"/>
        <w:rPr>
          <w:sz w:val="20"/>
          <w:szCs w:val="20"/>
          <w:color w:val="auto"/>
        </w:rPr>
      </w:pPr>
    </w:p>
    <w:p>
      <w:pPr>
        <w:jc w:val="both"/>
        <w:ind w:right="100" w:firstLine="324"/>
        <w:spacing w:after="0" w:line="303" w:lineRule="auto"/>
        <w:rPr>
          <w:sz w:val="20"/>
          <w:szCs w:val="20"/>
          <w:color w:val="auto"/>
        </w:rPr>
      </w:pPr>
      <w:r>
        <w:rPr>
          <w:rFonts w:ascii="Arial" w:cs="Arial" w:eastAsia="Arial" w:hAnsi="Arial"/>
          <w:sz w:val="17"/>
          <w:szCs w:val="17"/>
          <w:color w:val="auto"/>
        </w:rPr>
        <w:t>The Company’s expected dividend yield is zero as it has not declared nor paid any dividends during the years ended December 31, 2019 and 2020 or the six months ended June 30, 2020 and 2021 (unaudited) and does not currently expect to do so in the future. The risk-free interest rate used in the model is based on the implied yield currently available in the U.S. Treasury securities at maturity with an equivalent term.</w:t>
      </w:r>
    </w:p>
    <w:p>
      <w:pPr>
        <w:spacing w:after="0" w:line="110" w:lineRule="exact"/>
        <w:rPr>
          <w:sz w:val="20"/>
          <w:szCs w:val="20"/>
          <w:color w:val="auto"/>
        </w:rPr>
      </w:pPr>
    </w:p>
    <w:p>
      <w:pPr>
        <w:ind w:right="220" w:firstLine="324"/>
        <w:spacing w:after="0" w:line="293" w:lineRule="auto"/>
        <w:rPr>
          <w:sz w:val="20"/>
          <w:szCs w:val="20"/>
          <w:color w:val="auto"/>
        </w:rPr>
      </w:pPr>
      <w:r>
        <w:rPr>
          <w:rFonts w:ascii="Arial" w:cs="Arial" w:eastAsia="Arial" w:hAnsi="Arial"/>
          <w:sz w:val="18"/>
          <w:szCs w:val="18"/>
          <w:color w:val="auto"/>
        </w:rPr>
        <w:t>In a tender offer when the deemed dividend amount was in excess of the APIC balance at the date of the transaction, APIC was first reduced to zero with the excess being reported as an increase to accumulated deficit as the Company does not have retained earnings.</w:t>
      </w:r>
    </w:p>
    <w:p>
      <w:pPr>
        <w:spacing w:after="0" w:line="116" w:lineRule="exact"/>
        <w:rPr>
          <w:sz w:val="20"/>
          <w:szCs w:val="20"/>
          <w:color w:val="auto"/>
        </w:rPr>
      </w:pPr>
    </w:p>
    <w:p>
      <w:pPr>
        <w:ind w:right="120" w:firstLine="324"/>
        <w:spacing w:after="0" w:line="319" w:lineRule="auto"/>
        <w:rPr>
          <w:sz w:val="20"/>
          <w:szCs w:val="20"/>
          <w:color w:val="auto"/>
        </w:rPr>
      </w:pPr>
      <w:r>
        <w:rPr>
          <w:rFonts w:ascii="Arial" w:cs="Arial" w:eastAsia="Arial" w:hAnsi="Arial"/>
          <w:sz w:val="16"/>
          <w:szCs w:val="16"/>
          <w:color w:val="auto"/>
        </w:rPr>
        <w:t>The Company’s Equity Plan, as defined in Note 10, allows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accrued expenses and other current liabilities in the consolidated balance sheets. This liability is reclassified to additional paid-in capital as the awards vest. Any unvested shares are subject to repurchase by the Company at their original exercise price.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7" w:lineRule="exact"/>
        <w:rPr>
          <w:sz w:val="20"/>
          <w:szCs w:val="20"/>
          <w:color w:val="auto"/>
        </w:rPr>
      </w:pPr>
    </w:p>
    <w:p>
      <w:pPr>
        <w:ind w:right="300" w:firstLine="324"/>
        <w:spacing w:after="0" w:line="279" w:lineRule="auto"/>
        <w:rPr>
          <w:sz w:val="20"/>
          <w:szCs w:val="20"/>
          <w:color w:val="auto"/>
        </w:rPr>
      </w:pPr>
      <w:r>
        <w:rPr>
          <w:rFonts w:ascii="Arial" w:cs="Arial" w:eastAsia="Arial" w:hAnsi="Arial"/>
          <w:sz w:val="18"/>
          <w:szCs w:val="18"/>
          <w:color w:val="auto"/>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320" w:top="1440" w:right="379" w:bottom="1440" w:gutter="0" w:footer="0" w:header="0"/>
        </w:sectPr>
      </w:pPr>
    </w:p>
    <w:bookmarkStart w:id="223" w:name="page224"/>
    <w:bookmarkEnd w:id="223"/>
    <w:p>
      <w:pPr>
        <w:spacing w:after="0" w:line="157"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Tax benefits for uncertain tax positions are based upon management’s evaluation of the information available at the reporting date. We recognize and measure uncertain tax positions in accordance with U.S. GAAP, pursuant to which we only recognize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ind w:right="60" w:firstLine="324"/>
        <w:spacing w:after="0" w:line="287"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 Topic 842</w:t>
      </w:r>
      <w:r>
        <w:rPr>
          <w:rFonts w:ascii="Arial" w:cs="Arial" w:eastAsia="Arial" w:hAnsi="Arial"/>
          <w:sz w:val="17"/>
          <w:szCs w:val="17"/>
          <w:color w:val="auto"/>
        </w:rPr>
        <w:t xml:space="preserve"> (“ASC 842”), which has subsequently been clarified and amended by ASUs 2017-13, 2018-01, 2018-10, and 2018-11. The guidance requires the recognition of ROU assets and corresponding lease liabilities for operating leases, on the balance sheet. For operating leases, the lease cost should be allocated over the lease term on a generally straight-line basis. The amended leases standard gives entities options for transition and provides lessees with practical expedients. The transition option allows entities to not apply the new leases standard in the comparative periods they present in their financial statements in the year of adoption. The practical expedient provides lessees with an option to not separate non-lease components from the associated lease components when certain criteria are met and requires them to account for the combined component in accordance with the new revenue standard if the associated non-lease components are the predominant components. The new standard is effective for the Company for fiscal years beginning after December 15, 2021, and interim periods within fiscal years beginning after December 15, 2022, with early adoption permitted.</w:t>
      </w:r>
    </w:p>
    <w:p>
      <w:pPr>
        <w:spacing w:after="0" w:line="124" w:lineRule="exact"/>
        <w:rPr>
          <w:sz w:val="20"/>
          <w:szCs w:val="20"/>
          <w:color w:val="auto"/>
        </w:rPr>
      </w:pPr>
    </w:p>
    <w:p>
      <w:pPr>
        <w:ind w:right="80" w:firstLine="324"/>
        <w:spacing w:after="0" w:line="314" w:lineRule="auto"/>
        <w:rPr>
          <w:sz w:val="20"/>
          <w:szCs w:val="20"/>
          <w:color w:val="auto"/>
        </w:rPr>
      </w:pPr>
      <w:r>
        <w:rPr>
          <w:rFonts w:ascii="Arial" w:cs="Arial" w:eastAsia="Arial" w:hAnsi="Arial"/>
          <w:sz w:val="16"/>
          <w:szCs w:val="16"/>
          <w:color w:val="auto"/>
        </w:rPr>
        <w:t>The Company early adopted this guidance on January 1, 2020 in accordance with ASC 842-10-65-1(b) as a private company and elected to apply the guidance to the comparative period, utilizing the retrospective transition method. In adopting ASC 842, the Company utilized certain practical expedients available under the standard. These practical expedients include not recording ROU assets or lease liabilities for leases with terms of 12 months or less and combining lease and non-lease components as a single lease component for its real estate leases. The Company recorded $5.4 million for the ROU assets and $7.1 million for the lease liabilities associated with its operating leases upon adoption. See Note 15 for further information.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8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ASU replaces the existing incurred loss impairment methodology that recognizes credit losses when a probable loss has been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new methodology pursuant to which loss estimates are based upon lifetime expected credit losses. The amendments in this ASU require a financial asset that is measured at amortized cost to be presented at the net amount expected to be collected. The consolidated statement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124" w:lineRule="exact"/>
        <w:rPr>
          <w:sz w:val="20"/>
          <w:szCs w:val="20"/>
          <w:color w:val="auto"/>
        </w:rPr>
      </w:pPr>
    </w:p>
    <w:p>
      <w:pPr>
        <w:ind w:right="640" w:firstLine="324"/>
        <w:spacing w:after="0" w:line="27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Other-Internal-Use Software (Subtopic 350-40),Customer’s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Under existing U.S. GAAP,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diversity in practice in accounting for the costs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57"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implementing cloud computing arrangements (CCA) that are service contracts. The amendments in ASU No. 2018-15 amend the definition of a hosting arrangement and require a customer in a hosting arrangement that is a service contract to capitalize certain costs as if the arrangement were an internal-use software project. The new standard is effective for fiscal years beginning after December 15, 2020, and interim periods within fiscal years beginning after December 15, 2021 with early adoption permitted. The Company is currently assessing the impact of the guidance on its consolidated financial statements.</w:t>
      </w:r>
    </w:p>
    <w:p>
      <w:pPr>
        <w:spacing w:after="0" w:line="102"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modifies ASC 740 to simplify the accounting for income taxes. The ASU’s amendments are based on changes that were suggested by stakeholders as part of the FASB’s simplification initiative (i.e., the Board’s effort to reduce the complexity of accounting standards while maintaining or enhancing the helpfulness of information provided to financial statement users). The new standard is effective for fiscal years beginning after December 15, 2021, and interim periods within fiscal years beginning after December 15, 2022 with early adoption permitted. The Company is currently assessing the impact of the guidance on its consolidated financial statements.</w:t>
      </w:r>
    </w:p>
    <w:p>
      <w:pPr>
        <w:spacing w:after="0" w:line="137" w:lineRule="exact"/>
        <w:rPr>
          <w:sz w:val="20"/>
          <w:szCs w:val="20"/>
          <w:color w:val="auto"/>
        </w:rPr>
      </w:pPr>
    </w:p>
    <w:p>
      <w:pPr>
        <w:ind w:right="40" w:firstLine="324"/>
        <w:spacing w:after="0" w:line="287" w:lineRule="auto"/>
        <w:rPr>
          <w:sz w:val="20"/>
          <w:szCs w:val="20"/>
          <w:color w:val="auto"/>
        </w:rPr>
      </w:pPr>
      <w:r>
        <w:rPr>
          <w:rFonts w:ascii="Arial" w:cs="Arial" w:eastAsia="Arial" w:hAnsi="Arial"/>
          <w:sz w:val="17"/>
          <w:szCs w:val="17"/>
          <w:color w:val="auto"/>
        </w:rPr>
        <w:t>In 2021, The FASB issued ASU 2021-04, Earnings per Share (Topic 260), Debt — Modifications and Extinguishments (Subtopic 470-50), Compensation — Stock Compensation (Topic 718), and Derivatives and Hedging — Contracts in Entity’s Own Equity (Subtopic 815-40): Issuer’s Accounting for Certain Modifications or Exchanges of Freestanding Equity-Classified Written Call Options. The FASB is issuing this update to clarify and reduce diversity in an issuer’s accounting for modifications or exchanges of freestanding equity-classified written call options (for example, warrants) that remain equity classified after modification or exchange. The amendments affect entities when a freestanding equity-classified written call option (such as a warrant) is modified or exchanged and remains equity classified after the modification or exchange. In addition, the amendments impact the recognition and measurement of earnings per share for certain modification and exchange transactions. The new standard is effective for the Company for fiscal years beginning after December 15, 2021, including interim periods within those fiscal years, and early adoption is permitted. The Company is currently assessing the impact of the guidance on its consolidated financial statements.</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8"/>
          <w:szCs w:val="18"/>
          <w:color w:val="auto"/>
        </w:rPr>
        <w:t>There are other new accounting pronouncements issued by the FASB that the Company has adopted or will adopt, as applicable. Management does not believe any of these accounting pronouncements have had, or will have, a material impact on the Company’s condensed consolidated financial statements or disclosures.</w:t>
      </w:r>
    </w:p>
    <w:p>
      <w:pPr>
        <w:spacing w:after="0" w:line="111"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9" w:lineRule="exact"/>
        <w:rPr>
          <w:sz w:val="20"/>
          <w:szCs w:val="20"/>
          <w:color w:val="auto"/>
        </w:rPr>
      </w:pPr>
    </w:p>
    <w:p>
      <w:pPr>
        <w:ind w:firstLine="324"/>
        <w:spacing w:after="0" w:line="292" w:lineRule="auto"/>
        <w:rPr>
          <w:sz w:val="20"/>
          <w:szCs w:val="20"/>
          <w:color w:val="auto"/>
        </w:rPr>
      </w:pPr>
      <w:r>
        <w:rPr>
          <w:rFonts w:ascii="Arial" w:cs="Arial" w:eastAsia="Arial" w:hAnsi="Arial"/>
          <w:sz w:val="17"/>
          <w:szCs w:val="17"/>
          <w:color w:val="auto"/>
        </w:rPr>
        <w:t xml:space="preserve">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includes the following steps:</w:t>
      </w:r>
    </w:p>
    <w:p>
      <w:pPr>
        <w:spacing w:after="0" w:line="120" w:lineRule="exact"/>
        <w:rPr>
          <w:sz w:val="20"/>
          <w:szCs w:val="20"/>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157" w:lineRule="exact"/>
        <w:rPr>
          <w:sz w:val="20"/>
          <w:szCs w:val="20"/>
          <w:color w:val="auto"/>
        </w:rPr>
      </w:pPr>
    </w:p>
    <w:p>
      <w:pPr>
        <w:jc w:val="both"/>
        <w:ind w:right="180" w:firstLine="324"/>
        <w:spacing w:after="0" w:line="319" w:lineRule="auto"/>
        <w:rPr>
          <w:sz w:val="20"/>
          <w:szCs w:val="20"/>
          <w:color w:val="auto"/>
        </w:rPr>
      </w:pPr>
      <w:r>
        <w:rPr>
          <w:rFonts w:ascii="Arial" w:cs="Arial" w:eastAsia="Arial" w:hAnsi="Arial"/>
          <w:sz w:val="16"/>
          <w:szCs w:val="16"/>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02"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w:t>
      </w:r>
    </w:p>
    <w:p>
      <w:pPr>
        <w:spacing w:after="0" w:line="131" w:lineRule="exact"/>
        <w:rPr>
          <w:sz w:val="20"/>
          <w:szCs w:val="20"/>
          <w:color w:val="auto"/>
        </w:rPr>
      </w:pPr>
    </w:p>
    <w:p>
      <w:pPr>
        <w:ind w:right="20" w:firstLine="324"/>
        <w:spacing w:after="0" w:line="288" w:lineRule="auto"/>
        <w:rPr>
          <w:sz w:val="20"/>
          <w:szCs w:val="20"/>
          <w:color w:val="auto"/>
        </w:rPr>
      </w:pPr>
      <w:r>
        <w:rPr>
          <w:rFonts w:ascii="Arial" w:cs="Arial" w:eastAsia="Arial" w:hAnsi="Arial"/>
          <w:sz w:val="17"/>
          <w:szCs w:val="17"/>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consolidated statements of operations. The Company does not have any deferred contract acquisition costs.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revenue balances from contracts with customers were as follows as of December 31, 2019 and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1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Deferred revenue, end of period</w:t>
            </w:r>
          </w:p>
        </w:tc>
        <w:tc>
          <w:tcPr>
            <w:tcW w:w="1100" w:type="dxa"/>
            <w:vAlign w:val="bottom"/>
          </w:tcPr>
          <w:p>
            <w:pPr>
              <w:spacing w:after="0"/>
              <w:rPr>
                <w:sz w:val="22"/>
                <w:szCs w:val="22"/>
                <w:color w:val="auto"/>
              </w:rPr>
            </w:pPr>
          </w:p>
        </w:tc>
        <w:tc>
          <w:tcPr>
            <w:tcW w:w="460" w:type="dxa"/>
            <w:vAlign w:val="bottom"/>
          </w:tcPr>
          <w:p>
            <w:pPr>
              <w:jc w:val="center"/>
              <w:ind w:left="70"/>
              <w:spacing w:after="0"/>
              <w:rPr>
                <w:sz w:val="20"/>
                <w:szCs w:val="20"/>
                <w:color w:val="auto"/>
              </w:rPr>
            </w:pPr>
            <w:r>
              <w:rPr>
                <w:rFonts w:ascii="Arial" w:cs="Arial" w:eastAsia="Arial" w:hAnsi="Arial"/>
                <w:sz w:val="18"/>
                <w:szCs w:val="18"/>
                <w:color w:val="auto"/>
                <w:w w:val="86"/>
              </w:rPr>
              <w:t>137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8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 during the period</w:t>
            </w:r>
          </w:p>
        </w:tc>
        <w:tc>
          <w:tcPr>
            <w:tcW w:w="1100" w:type="dxa"/>
            <w:vAlign w:val="bottom"/>
            <w:shd w:val="clear" w:color="auto" w:fill="CCEEFF"/>
          </w:tcPr>
          <w:p>
            <w:pPr>
              <w:spacing w:after="0"/>
              <w:rPr>
                <w:sz w:val="22"/>
                <w:szCs w:val="22"/>
                <w:color w:val="auto"/>
              </w:rPr>
            </w:pPr>
          </w:p>
        </w:tc>
        <w:tc>
          <w:tcPr>
            <w:tcW w:w="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41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80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revenue balances from contracts with customers were as follows as of June 30, 2020 and 2021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6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8"/>
        </w:trPr>
        <w:tc>
          <w:tcPr>
            <w:tcW w:w="8020" w:type="dxa"/>
            <w:vAlign w:val="bottom"/>
          </w:tcPr>
          <w:p>
            <w:pPr>
              <w:spacing w:after="0"/>
              <w:rPr>
                <w:sz w:val="17"/>
                <w:szCs w:val="17"/>
                <w:color w:val="auto"/>
              </w:rPr>
            </w:pPr>
          </w:p>
        </w:tc>
        <w:tc>
          <w:tcPr>
            <w:tcW w:w="1060" w:type="dxa"/>
            <w:vAlign w:val="bottom"/>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8"/>
        </w:trPr>
        <w:tc>
          <w:tcPr>
            <w:tcW w:w="8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Deferred revenue, end of period</w:t>
            </w:r>
          </w:p>
        </w:tc>
        <w:tc>
          <w:tcPr>
            <w:tcW w:w="10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10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7"/>
        </w:trPr>
        <w:tc>
          <w:tcPr>
            <w:tcW w:w="8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revenue during the period</w:t>
            </w: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color w:val="auto"/>
        </w:rPr>
        <w:t>Revenue recognized during the years ended December 31, 2019 and 2020 include substantially all amounts included in deferred revenue at the beginning of each respective year. Revenue recognized during the six month periods ended June 30, 2020 and 2021 (unaudited) from amounts included in deferred revenue at the beginning of the period were $0.1 million and $0.3 million, respectively. Deferred revenue represents amounts received from customers for which the performance obligations are not yet fulfilled. Deferred revenue is included within accrued expenses and other current liabilities and other non-current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080" w:type="dxa"/>
            <w:vAlign w:val="bottom"/>
          </w:tcPr>
          <w:p>
            <w:pPr>
              <w:ind w:left="420"/>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2"/>
        </w:trPr>
        <w:tc>
          <w:tcPr>
            <w:tcW w:w="240" w:type="dxa"/>
            <w:vAlign w:val="bottom"/>
          </w:tcPr>
          <w:p>
            <w:pPr>
              <w:spacing w:after="0"/>
              <w:rPr>
                <w:sz w:val="24"/>
                <w:szCs w:val="24"/>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3"/>
        </w:trPr>
        <w:tc>
          <w:tcPr>
            <w:tcW w:w="2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As of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As of June 30,</w:t>
            </w:r>
          </w:p>
        </w:tc>
      </w:tr>
      <w:tr>
        <w:trPr>
          <w:trHeight w:val="26"/>
        </w:trPr>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8"/>
        </w:trPr>
        <w:tc>
          <w:tcPr>
            <w:tcW w:w="24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2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7"/>
        </w:trPr>
        <w:tc>
          <w:tcPr>
            <w:tcW w:w="24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3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r>
      <w:tr>
        <w:trPr>
          <w:trHeight w:val="25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Computer and office equipment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7"/>
        </w:trPr>
        <w:tc>
          <w:tcPr>
            <w:tcW w:w="63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5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5,926</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7"/>
        </w:trPr>
        <w:tc>
          <w:tcPr>
            <w:tcW w:w="2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240" w:type="dxa"/>
            <w:vAlign w:val="bottom"/>
            <w:tcBorders>
              <w:bottom w:val="single" w:sz="8" w:color="CCEEFF"/>
            </w:tcBorders>
            <w:shd w:val="clear" w:color="auto" w:fill="CCEEFF"/>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w:t>
            </w:r>
          </w:p>
        </w:tc>
      </w:tr>
      <w:tr>
        <w:trPr>
          <w:trHeight w:val="257"/>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2"/>
                <w:szCs w:val="22"/>
                <w:color w:val="auto"/>
              </w:rPr>
            </w:pPr>
          </w:p>
        </w:tc>
        <w:tc>
          <w:tcPr>
            <w:tcW w:w="1200" w:type="dxa"/>
            <w:vAlign w:val="bottom"/>
          </w:tcPr>
          <w:p>
            <w:pPr>
              <w:ind w:left="640"/>
              <w:spacing w:after="0"/>
              <w:rPr>
                <w:sz w:val="20"/>
                <w:szCs w:val="20"/>
                <w:color w:val="auto"/>
              </w:rPr>
            </w:pPr>
            <w:r>
              <w:rPr>
                <w:rFonts w:ascii="Arial" w:cs="Arial" w:eastAsia="Arial" w:hAnsi="Arial"/>
                <w:sz w:val="18"/>
                <w:szCs w:val="18"/>
                <w:color w:val="auto"/>
                <w:w w:val="94"/>
              </w:rPr>
              <w:t>(3,950)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(10,446)</w:t>
            </w:r>
          </w:p>
        </w:tc>
      </w:tr>
      <w:tr>
        <w:trPr>
          <w:trHeight w:val="27"/>
        </w:trPr>
        <w:tc>
          <w:tcPr>
            <w:tcW w:w="63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324"/>
        <w:spacing w:after="0" w:line="324" w:lineRule="auto"/>
        <w:rPr>
          <w:sz w:val="20"/>
          <w:szCs w:val="20"/>
          <w:color w:val="auto"/>
        </w:rPr>
      </w:pPr>
      <w:r>
        <w:rPr>
          <w:rFonts w:ascii="Arial" w:cs="Arial" w:eastAsia="Arial" w:hAnsi="Arial"/>
          <w:sz w:val="17"/>
          <w:szCs w:val="17"/>
          <w:color w:val="auto"/>
        </w:rPr>
        <w:t>Depreciation and amortization expense related to property and equipment was $2.7 million and $4.1 million for the years ended December 31, 2019 and 2020, respectively, and $1.9 million and $2.6 million for the six months ended June 30, 2020 and 2021 (unaudited), respectively.</w:t>
      </w:r>
    </w:p>
    <w:p>
      <w:pPr>
        <w:spacing w:after="0" w:line="76"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are measured at fair value and indicates the fair value hierarchy of the valuation inputs used as of December 31, 2019 and 2020 (in thousands):</w:t>
      </w:r>
    </w:p>
    <w:p>
      <w:pPr>
        <w:spacing w:after="0" w:line="161"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Fair Value Measurement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32385</wp:posOffset>
            </wp:positionV>
            <wp:extent cx="44062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
        </w:trPr>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3"/>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7"/>
        </w:trPr>
        <w:tc>
          <w:tcPr>
            <w:tcW w:w="43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60"/>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6"/>
          </w:tcPr>
          <w:p>
            <w:pPr>
              <w:jc w:val="right"/>
              <w:ind w:right="136"/>
              <w:spacing w:after="0"/>
              <w:rPr>
                <w:sz w:val="20"/>
                <w:szCs w:val="20"/>
                <w:color w:val="auto"/>
              </w:rPr>
            </w:pPr>
            <w:r>
              <w:rPr>
                <w:rFonts w:ascii="Arial" w:cs="Arial" w:eastAsia="Arial" w:hAnsi="Arial"/>
                <w:sz w:val="14"/>
                <w:szCs w:val="14"/>
                <w:b w:val="1"/>
                <w:bCs w:val="1"/>
                <w:color w:val="auto"/>
              </w:rPr>
              <w:t>Fair Value Measurement at December 31, 2020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
        </w:trPr>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
        </w:trPr>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57"/>
        </w:trPr>
        <w:tc>
          <w:tcPr>
            <w:tcW w:w="43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3"/>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77"/>
        </w:trPr>
        <w:tc>
          <w:tcPr>
            <w:tcW w:w="43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tables above. If these financial instruments were measured at fair value in the consolidated financial statements, they would be classified as level 2.</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and Level 2 during the years ended December 31, 2019 and 2020.</w:t>
      </w:r>
    </w:p>
    <w:p>
      <w:pPr>
        <w:spacing w:after="0" w:line="18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There were no financial assets and liabilities that are measured at fair value as of June 30, 2021 (unaudited). There were no transfers between Level 1 and Level 2 during the six months ended June 30, 2020 and 2021 (unaudited).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1440" w:right="339" w:bottom="1440" w:gutter="0" w:footer="0" w:header="0"/>
          <w:type w:val="continuous"/>
        </w:sectPr>
      </w:pPr>
    </w:p>
    <w:bookmarkStart w:id="227" w:name="page228"/>
    <w:bookmarkEnd w:id="227"/>
    <w:p>
      <w:pPr>
        <w:spacing w:after="0" w:line="140"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Since 2013, the Company has had access to a variable rate credit facility that, after being modified from time to time, included a $5.0 million term loan and access to $45.0 million in revolving borrowings, net of the term loan amounts outstanding. Interest on the credit facility was based on the Prime Rate as published by the Wall Street Journal plus 1.75%. In June 2019, the Company refinanced into a new Credit Agreement that provided access to $85.0 million in revolving borrowing and repaid the remaining amounts outstanding on its term loan in the amount of $2.8 million. The Credit Agreement had a maturity date of June 12, 2022. Interest on the Revolving Credit Facility borrowings accrued at a floating rate per annum equal to (i) ABR defined in the Credit Agreement as the rate per annum equal to the highest of (a) the Prime Rate in effect on such day, (b) 5.50% and (c) the Federal Funds Effective Rate in effect for such day plus 0.50% plus (ii) 1.0% (referred to as the Applicable Margin per the Credit Agreement). In addition, an unused revolving line facility fee accrued at a floating rate equal to 0.40% of the unused portion of the line, payable monthly. As of December 31, 2019, the Company had $45.0 million outstanding in Revolving Credit Facility borrowings under the Credit Agreement with an interest rate of 6.50%.</w:t>
      </w:r>
    </w:p>
    <w:p>
      <w:pPr>
        <w:spacing w:after="0" w:line="11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8"/>
          <w:szCs w:val="18"/>
          <w:color w:val="auto"/>
        </w:rPr>
        <w:t>In November 2020, the Company modified the Credit Agreement. As a result, the Credit Agreement provided the Company with access up to $150.0 million in Revolving Credit Facility borrowings that mature on November 16, 2023.</w:t>
      </w:r>
    </w:p>
    <w:p>
      <w:pPr>
        <w:spacing w:after="0" w:line="116" w:lineRule="exact"/>
        <w:rPr>
          <w:sz w:val="20"/>
          <w:szCs w:val="20"/>
          <w:color w:val="auto"/>
        </w:rPr>
      </w:pPr>
    </w:p>
    <w:p>
      <w:pPr>
        <w:ind w:right="60" w:firstLine="324"/>
        <w:spacing w:after="0" w:line="290" w:lineRule="auto"/>
        <w:rPr>
          <w:sz w:val="20"/>
          <w:szCs w:val="20"/>
          <w:color w:val="auto"/>
        </w:rPr>
      </w:pPr>
      <w:r>
        <w:rPr>
          <w:rFonts w:ascii="Arial" w:cs="Arial" w:eastAsia="Arial" w:hAnsi="Arial"/>
          <w:sz w:val="17"/>
          <w:szCs w:val="17"/>
          <w:color w:val="auto"/>
        </w:rPr>
        <w:t>The Company’s Revolving Credit Facility borrowings are subject to mandatory repayment within 20 business days in an amount necessary to reduce the borrowings, in the aggregate, to an amount less than the Company’s customer funds account maintained with the lender. Interest on the Revolving Credit Facility borrowings accrues at a floating rate per annum equal to (i) ABR defined in the Credit Agreement as the rate per annum equal to the highest of (a) the Prime Rate in effect on such day, (b) 3.25% and (c) the Federal Funds Effective Rate in effect for such day plus 0.50% plus (ii) 1.0%. In addition, an unused revolving line facility fee accrues at a floating rate equal to 0.40% of the unused portion of the line, payable monthly. As of December 31, 2020 and June 30, 2021 (unaudited), the interest rate of Revolving Credit Facility borrowings was 4.25%.</w:t>
      </w:r>
    </w:p>
    <w:p>
      <w:pPr>
        <w:spacing w:after="0" w:line="12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The Company had outstanding borrowings under its Revolving Credit Facility of $80.0 million and zero, as of December 31, 2020 and June 30, 2021 (unaudited), respectively. The Company had unused borrowing capacity of $70.0 million and $150.0 million under the Revolving Credit Facility at December 31, 2020 and June 30, 2021 (unaudited), respectively.</w:t>
      </w:r>
    </w:p>
    <w:p>
      <w:pPr>
        <w:spacing w:after="0" w:line="1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The Revolving Credit Facility includes a letter of credit sub-facility. As of December 31, 2020 and June 30, 2021 (unaudited), the Company had $9.4 million and $16.8 million, respectively, in standby letters of credit outstanding.</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color w:val="auto"/>
        </w:rPr>
        <w:t>The Credit Agreement contains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 an acceleration clause in the event of a Material Adverse Effect (as defined) on the business or financial condition of the Company. Financial covenants include an adjusted quick ratio requirement that is measured on a monthly basis as well as trailing twelve month Consolidated Adjusted EBITDA, as defined in the Credit Agreement, measured on a quarterly basis. The Company was in compliance with all financial covenants as of December 31, 2019, December 31, 2020, and June 30, 2021 (unaudited). The Company’s obligations under the Credit Agreement are secured by substantially all of the assets of the Company other than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0"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Common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calculation of basic and diluted net loss per share attributable to common stockholders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2020 and the six months ended June 30, 2020 and 2021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6"/>
                <w:szCs w:val="16"/>
                <w:color w:val="auto"/>
              </w:rPr>
            </w:pPr>
          </w:p>
        </w:tc>
        <w:tc>
          <w:tcPr>
            <w:tcW w:w="28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6"/>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(51,392)</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(9,218)</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Deemed dividend on redeemable convertible preferred stock</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(63,526)</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(21,130)</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6"/>
        </w:trPr>
        <w:tc>
          <w:tcPr>
            <w:tcW w:w="4700" w:type="dxa"/>
            <w:vAlign w:val="bottom"/>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21,290,784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21,459,062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20,840,834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23,216,865</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4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300" w:firstLine="324"/>
        <w:spacing w:after="0" w:line="293"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calculations for the periods presented because the impact of including them would have been anti-dilutive: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240" w:type="dxa"/>
            <w:vAlign w:val="bottom"/>
            <w:gridSpan w:val="3"/>
          </w:tcPr>
          <w:p>
            <w:pPr>
              <w:ind w:left="1020"/>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0"/>
              </w:rPr>
              <w:t>As of June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117,788,521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127,082,605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117,788,521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127,410,631</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256,250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256,250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256,250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256,250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19,045,751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21,034,424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20,562,523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25,355,906</w:t>
            </w:r>
          </w:p>
        </w:tc>
        <w:tc>
          <w:tcPr>
            <w:tcW w:w="0" w:type="dxa"/>
            <w:vAlign w:val="bottom"/>
          </w:tcPr>
          <w:p>
            <w:pPr>
              <w:spacing w:after="0"/>
              <w:rPr>
                <w:sz w:val="1"/>
                <w:szCs w:val="1"/>
                <w:color w:val="auto"/>
              </w:rPr>
            </w:pPr>
          </w:p>
        </w:tc>
      </w:tr>
      <w:tr>
        <w:trPr>
          <w:trHeight w:val="284"/>
        </w:trPr>
        <w:tc>
          <w:tcPr>
            <w:tcW w:w="4700" w:type="dxa"/>
            <w:vAlign w:val="bottom"/>
          </w:tcPr>
          <w:p>
            <w:pPr>
              <w:ind w:left="20"/>
              <w:spacing w:after="0"/>
              <w:rPr>
                <w:sz w:val="20"/>
                <w:szCs w:val="20"/>
                <w:color w:val="auto"/>
              </w:rPr>
            </w:pPr>
            <w:r>
              <w:rPr>
                <w:rFonts w:ascii="Arial" w:cs="Arial" w:eastAsia="Arial" w:hAnsi="Arial"/>
                <w:sz w:val="18"/>
                <w:szCs w:val="18"/>
                <w:color w:val="auto"/>
              </w:rPr>
              <w:t>RSUs outstanding</w:t>
            </w:r>
            <w:r>
              <w:rPr>
                <w:rFonts w:ascii="Arial" w:cs="Arial" w:eastAsia="Arial" w:hAnsi="Arial"/>
                <w:sz w:val="23"/>
                <w:szCs w:val="23"/>
                <w:color w:val="auto"/>
                <w:vertAlign w:val="superscript"/>
              </w:rPr>
              <w:t>(1)</w:t>
            </w:r>
          </w:p>
        </w:tc>
        <w:tc>
          <w:tcPr>
            <w:tcW w:w="224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437,369</w:t>
            </w:r>
          </w:p>
        </w:tc>
        <w:tc>
          <w:tcPr>
            <w:tcW w:w="100" w:type="dxa"/>
            <w:vAlign w:val="bottom"/>
          </w:tcPr>
          <w:p>
            <w:pPr>
              <w:spacing w:after="0"/>
              <w:rPr>
                <w:sz w:val="24"/>
                <w:szCs w:val="24"/>
                <w:color w:val="auto"/>
              </w:rPr>
            </w:pPr>
          </w:p>
        </w:tc>
        <w:tc>
          <w:tcPr>
            <w:tcW w:w="2160" w:type="dxa"/>
            <w:vAlign w:val="bottom"/>
            <w:gridSpan w:val="3"/>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617,696</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subject to repurchase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1,818,334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1,888,322</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1,814,250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1,979,669</w:t>
            </w:r>
          </w:p>
        </w:tc>
        <w:tc>
          <w:tcPr>
            <w:tcW w:w="0" w:type="dxa"/>
            <w:vAlign w:val="bottom"/>
          </w:tcPr>
          <w:p>
            <w:pPr>
              <w:spacing w:after="0"/>
              <w:rPr>
                <w:sz w:val="1"/>
                <w:szCs w:val="1"/>
                <w:color w:val="auto"/>
              </w:rPr>
            </w:pPr>
          </w:p>
        </w:tc>
      </w:tr>
      <w:tr>
        <w:trPr>
          <w:trHeight w:val="277"/>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138,908,856</w:t>
            </w:r>
          </w:p>
        </w:tc>
        <w:tc>
          <w:tcPr>
            <w:tcW w:w="100" w:type="dxa"/>
            <w:vAlign w:val="bottom"/>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150,698,970</w:t>
            </w:r>
          </w:p>
        </w:tc>
        <w:tc>
          <w:tcPr>
            <w:tcW w:w="100" w:type="dxa"/>
            <w:vAlign w:val="bottom"/>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140,421,544</w:t>
            </w:r>
          </w:p>
        </w:tc>
        <w:tc>
          <w:tcPr>
            <w:tcW w:w="100" w:type="dxa"/>
            <w:vAlign w:val="bottom"/>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155,620,152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These RSUs were subject to a performance-based vesting condition as of December 31, 2020 and June 30, 2021 (unaudited). See Note 10 for details on these awards.</w:t>
      </w:r>
    </w:p>
    <w:p>
      <w:pPr>
        <w:spacing w:after="0" w:line="212"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right="40" w:firstLine="324"/>
        <w:spacing w:after="0" w:line="314" w:lineRule="auto"/>
        <w:rPr>
          <w:sz w:val="20"/>
          <w:szCs w:val="20"/>
          <w:color w:val="auto"/>
        </w:rPr>
      </w:pPr>
      <w:r>
        <w:rPr>
          <w:rFonts w:ascii="Arial" w:cs="Arial" w:eastAsia="Arial" w:hAnsi="Arial"/>
          <w:sz w:val="16"/>
          <w:szCs w:val="16"/>
          <w:color w:val="auto"/>
        </w:rPr>
        <w:t>As of December 31, 2019 and 2020, the Company has authorized 168,000,000 and 190,000,000 shares of common stock with a par value of $0.0001 per share, respectively. As of June 30, 2021 (unaudited), the Company has authorized 190,000,000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subject to the preferential rights of holders of all classes of stock outstanding. Through December 31, 2019 and 2020 and June 30, 2021 (unaudited), no dividends have been declared or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color w:val="auto"/>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consolidated balance sheets. There were 256,250 warrants outstanding as of December 31, 2019 and 2020 and June 30, 2021 (unaudited), respectively.</w:t>
      </w:r>
    </w:p>
    <w:p>
      <w:pPr>
        <w:spacing w:after="0" w:line="114"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8"/>
          <w:szCs w:val="18"/>
          <w:color w:val="auto"/>
        </w:rPr>
        <w:t>The following tables summarize information regarding each series of redeemable convertible preferred stock outstanding as of December 31, 2019 and 2020 (in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Issuance Price Per</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Authorized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28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6"/>
        </w:trPr>
        <w:tc>
          <w:tcPr>
            <w:tcW w:w="30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10,199,786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6,446,322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Seed Prime</w:t>
            </w:r>
          </w:p>
        </w:tc>
        <w:tc>
          <w:tcPr>
            <w:tcW w:w="1560" w:type="dxa"/>
            <w:vAlign w:val="bottom"/>
          </w:tcPr>
          <w:p>
            <w:pPr>
              <w:jc w:val="right"/>
              <w:spacing w:after="0"/>
              <w:rPr>
                <w:sz w:val="20"/>
                <w:szCs w:val="20"/>
                <w:color w:val="auto"/>
              </w:rPr>
            </w:pPr>
            <w:r>
              <w:rPr>
                <w:rFonts w:ascii="Arial" w:cs="Arial" w:eastAsia="Arial" w:hAnsi="Arial"/>
                <w:sz w:val="18"/>
                <w:szCs w:val="18"/>
                <w:color w:val="auto"/>
              </w:rPr>
              <w:t>8,780,816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8,643,665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11,514,347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10,359,546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22,663,934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22,663,933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135,001</w:t>
            </w:r>
          </w:p>
        </w:tc>
        <w:tc>
          <w:tcPr>
            <w:tcW w:w="0" w:type="dxa"/>
            <w:vAlign w:val="bottom"/>
          </w:tcPr>
          <w:p>
            <w:pPr>
              <w:spacing w:after="0"/>
              <w:rPr>
                <w:sz w:val="1"/>
                <w:szCs w:val="1"/>
                <w:color w:val="auto"/>
              </w:rPr>
            </w:pPr>
          </w:p>
        </w:tc>
      </w:tr>
      <w:tr>
        <w:trPr>
          <w:trHeight w:val="277"/>
        </w:trPr>
        <w:tc>
          <w:tcPr>
            <w:tcW w:w="30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122,833,938</w:t>
            </w:r>
          </w:p>
        </w:tc>
        <w:tc>
          <w:tcPr>
            <w:tcW w:w="100" w:type="dxa"/>
            <w:vAlign w:val="bottom"/>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117,788,521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302,873</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314,815</w:t>
            </w:r>
          </w:p>
        </w:tc>
        <w:tc>
          <w:tcPr>
            <w:tcW w:w="0" w:type="dxa"/>
            <w:vAlign w:val="bottom"/>
          </w:tcPr>
          <w:p>
            <w:pPr>
              <w:spacing w:after="0"/>
              <w:rPr>
                <w:sz w:val="1"/>
                <w:szCs w:val="1"/>
                <w:color w:val="auto"/>
              </w:rPr>
            </w:pPr>
          </w:p>
        </w:tc>
      </w:tr>
      <w:tr>
        <w:trPr>
          <w:trHeight w:val="21"/>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30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Issuance Price Per</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Authorized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28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25"/>
        </w:trPr>
        <w:tc>
          <w:tcPr>
            <w:tcW w:w="30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10,199,786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6,446,322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Seed Prime</w:t>
            </w:r>
          </w:p>
        </w:tc>
        <w:tc>
          <w:tcPr>
            <w:tcW w:w="1560" w:type="dxa"/>
            <w:vAlign w:val="bottom"/>
          </w:tcPr>
          <w:p>
            <w:pPr>
              <w:jc w:val="right"/>
              <w:spacing w:after="0"/>
              <w:rPr>
                <w:sz w:val="20"/>
                <w:szCs w:val="20"/>
                <w:color w:val="auto"/>
              </w:rPr>
            </w:pPr>
            <w:r>
              <w:rPr>
                <w:rFonts w:ascii="Arial" w:cs="Arial" w:eastAsia="Arial" w:hAnsi="Arial"/>
                <w:sz w:val="18"/>
                <w:szCs w:val="18"/>
                <w:color w:val="auto"/>
              </w:rPr>
              <w:t>8,780,816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8,643,665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11,514,347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10,359,546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22,663,934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22,663,933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135,001</w:t>
            </w:r>
          </w:p>
        </w:tc>
        <w:tc>
          <w:tcPr>
            <w:tcW w:w="0" w:type="dxa"/>
            <w:vAlign w:val="bottom"/>
          </w:tcPr>
          <w:p>
            <w:pPr>
              <w:spacing w:after="0"/>
              <w:rPr>
                <w:sz w:val="1"/>
                <w:szCs w:val="1"/>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F</w:t>
            </w:r>
          </w:p>
        </w:tc>
        <w:tc>
          <w:tcPr>
            <w:tcW w:w="1560" w:type="dxa"/>
            <w:vAlign w:val="bottom"/>
          </w:tcPr>
          <w:p>
            <w:pPr>
              <w:jc w:val="right"/>
              <w:spacing w:after="0"/>
              <w:rPr>
                <w:sz w:val="20"/>
                <w:szCs w:val="20"/>
                <w:color w:val="auto"/>
              </w:rPr>
            </w:pPr>
            <w:r>
              <w:rPr>
                <w:rFonts w:ascii="Arial" w:cs="Arial" w:eastAsia="Arial" w:hAnsi="Arial"/>
                <w:sz w:val="18"/>
                <w:szCs w:val="18"/>
                <w:color w:val="auto"/>
              </w:rPr>
              <w:t>9,840,797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9,294,084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84,834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132,674,735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127,082,605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399,815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57" w:lineRule="exact"/>
        <w:rPr>
          <w:sz w:val="20"/>
          <w:szCs w:val="20"/>
          <w:color w:val="auto"/>
        </w:rPr>
      </w:pPr>
    </w:p>
    <w:p>
      <w:pPr>
        <w:ind w:right="760" w:firstLine="324"/>
        <w:spacing w:after="0" w:line="293" w:lineRule="auto"/>
        <w:rPr>
          <w:sz w:val="20"/>
          <w:szCs w:val="20"/>
          <w:color w:val="auto"/>
        </w:rPr>
      </w:pPr>
      <w:r>
        <w:rPr>
          <w:rFonts w:ascii="Arial" w:cs="Arial" w:eastAsia="Arial" w:hAnsi="Arial"/>
          <w:sz w:val="18"/>
          <w:szCs w:val="18"/>
          <w:color w:val="auto"/>
        </w:rPr>
        <w:t>The following tables summarize information regarding each series of redeemable convertible preferred stock outstanding as of June 30, 2021 (unaudited) (in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As of June 30, 2021</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3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Arial" w:cs="Arial" w:eastAsia="Arial" w:hAnsi="Arial"/>
                <w:sz w:val="14"/>
                <w:szCs w:val="14"/>
                <w:b w:val="1"/>
                <w:bCs w:val="1"/>
                <w:color w:val="auto"/>
              </w:rPr>
              <w:t>Shares Issued and</w:t>
            </w:r>
          </w:p>
        </w:tc>
        <w:tc>
          <w:tcPr>
            <w:tcW w:w="260" w:type="dxa"/>
            <w:vAlign w:val="bottom"/>
          </w:tcPr>
          <w:p>
            <w:pPr>
              <w:spacing w:after="0"/>
              <w:rPr>
                <w:sz w:val="19"/>
                <w:szCs w:val="19"/>
                <w:color w:val="auto"/>
              </w:rPr>
            </w:pPr>
          </w:p>
        </w:tc>
        <w:tc>
          <w:tcPr>
            <w:tcW w:w="1480" w:type="dxa"/>
            <w:vAlign w:val="bottom"/>
          </w:tcPr>
          <w:p>
            <w:pPr>
              <w:jc w:val="center"/>
              <w:ind w:right="175"/>
              <w:spacing w:after="0"/>
              <w:rPr>
                <w:sz w:val="20"/>
                <w:szCs w:val="20"/>
                <w:color w:val="auto"/>
              </w:rPr>
            </w:pPr>
            <w:r>
              <w:rPr>
                <w:rFonts w:ascii="Arial" w:cs="Arial" w:eastAsia="Arial" w:hAnsi="Arial"/>
                <w:sz w:val="14"/>
                <w:szCs w:val="14"/>
                <w:b w:val="1"/>
                <w:bCs w:val="1"/>
                <w:color w:val="auto"/>
                <w:w w:val="91"/>
              </w:rPr>
              <w:t>Issuance Price Per</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r>
      <w:tr>
        <w:trPr>
          <w:trHeight w:val="186"/>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Authorized</w:t>
            </w:r>
          </w:p>
        </w:tc>
        <w:tc>
          <w:tcPr>
            <w:tcW w:w="1560" w:type="dxa"/>
            <w:vAlign w:val="bottom"/>
          </w:tcPr>
          <w:p>
            <w:pPr>
              <w:jc w:val="right"/>
              <w:ind w:right="313"/>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6"/>
                <w:szCs w:val="16"/>
                <w:color w:val="auto"/>
              </w:rPr>
            </w:pPr>
          </w:p>
        </w:tc>
        <w:tc>
          <w:tcPr>
            <w:tcW w:w="148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b w:val="1"/>
                <w:bCs w:val="1"/>
                <w:color w:val="auto"/>
              </w:rPr>
              <w:t>Preference</w:t>
            </w:r>
          </w:p>
        </w:tc>
      </w:tr>
      <w:tr>
        <w:trPr>
          <w:trHeight w:val="26"/>
        </w:trPr>
        <w:tc>
          <w:tcPr>
            <w:tcW w:w="30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3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6"/>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Seed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10,199,786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6,446,322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Seed Prime</w:t>
            </w:r>
          </w:p>
        </w:tc>
        <w:tc>
          <w:tcPr>
            <w:tcW w:w="1560" w:type="dxa"/>
            <w:vAlign w:val="bottom"/>
          </w:tcPr>
          <w:p>
            <w:pPr>
              <w:jc w:val="right"/>
              <w:spacing w:after="0"/>
              <w:rPr>
                <w:sz w:val="20"/>
                <w:szCs w:val="20"/>
                <w:color w:val="auto"/>
              </w:rPr>
            </w:pPr>
            <w:r>
              <w:rPr>
                <w:rFonts w:ascii="Arial" w:cs="Arial" w:eastAsia="Arial" w:hAnsi="Arial"/>
                <w:sz w:val="18"/>
                <w:szCs w:val="18"/>
                <w:color w:val="auto"/>
              </w:rPr>
              <w:t>8,780,816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8,643,665</w:t>
            </w:r>
          </w:p>
        </w:tc>
        <w:tc>
          <w:tcPr>
            <w:tcW w:w="260" w:type="dxa"/>
            <w:vAlign w:val="bottom"/>
          </w:tcPr>
          <w:p>
            <w:pPr>
              <w:spacing w:after="0"/>
              <w:rPr>
                <w:sz w:val="22"/>
                <w:szCs w:val="22"/>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2,593</w:t>
            </w: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11,514,347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10,359,546</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0.50</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14,196,476</w:t>
            </w:r>
          </w:p>
        </w:tc>
        <w:tc>
          <w:tcPr>
            <w:tcW w:w="260" w:type="dxa"/>
            <w:vAlign w:val="bottom"/>
          </w:tcPr>
          <w:p>
            <w:pPr>
              <w:spacing w:after="0"/>
              <w:rPr>
                <w:sz w:val="22"/>
                <w:szCs w:val="22"/>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25,146,777</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42,800</w:t>
            </w: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D</w:t>
            </w: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30,331,802</w:t>
            </w:r>
          </w:p>
        </w:tc>
        <w:tc>
          <w:tcPr>
            <w:tcW w:w="260" w:type="dxa"/>
            <w:vAlign w:val="bottom"/>
          </w:tcPr>
          <w:p>
            <w:pPr>
              <w:spacing w:after="0"/>
              <w:rPr>
                <w:sz w:val="22"/>
                <w:szCs w:val="22"/>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115,000</w:t>
            </w: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22,663,934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22,663,933</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5.96</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135,001</w:t>
            </w: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Series F</w:t>
            </w:r>
          </w:p>
        </w:tc>
        <w:tc>
          <w:tcPr>
            <w:tcW w:w="1560" w:type="dxa"/>
            <w:vAlign w:val="bottom"/>
          </w:tcPr>
          <w:p>
            <w:pPr>
              <w:jc w:val="right"/>
              <w:spacing w:after="0"/>
              <w:rPr>
                <w:sz w:val="20"/>
                <w:szCs w:val="20"/>
                <w:color w:val="auto"/>
              </w:rPr>
            </w:pPr>
            <w:r>
              <w:rPr>
                <w:rFonts w:ascii="Arial" w:cs="Arial" w:eastAsia="Arial" w:hAnsi="Arial"/>
                <w:sz w:val="18"/>
                <w:szCs w:val="18"/>
                <w:color w:val="auto"/>
              </w:rPr>
              <w:t>9,840,797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9,622,110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87,814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88,000</w:t>
            </w:r>
          </w:p>
        </w:tc>
      </w:tr>
      <w:tr>
        <w:trPr>
          <w:trHeight w:val="27"/>
        </w:trPr>
        <w:tc>
          <w:tcPr>
            <w:tcW w:w="30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02"/>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132,674,735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127,410,631</w:t>
            </w:r>
          </w:p>
        </w:tc>
        <w:tc>
          <w:tcPr>
            <w:tcW w:w="2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402,815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329" w:lineRule="auto"/>
        <w:rPr>
          <w:sz w:val="20"/>
          <w:szCs w:val="20"/>
          <w:color w:val="auto"/>
        </w:rPr>
      </w:pPr>
      <w:r>
        <w:rPr>
          <w:rFonts w:ascii="Arial" w:cs="Arial" w:eastAsia="Arial" w:hAnsi="Arial"/>
          <w:sz w:val="16"/>
          <w:szCs w:val="16"/>
          <w:color w:val="auto"/>
        </w:rPr>
        <w:t>During the year ended December 31, 2020, the Company issued 9,294,084 shares of Series F redeemable convertible preferred stock at $9.1456 per share for proceeds totaling $85.0 million, net of issuance costs. During the six months ended June 30, 2021 (unaudited), the Company issued 328,026 shares of Series F redeemable convertible stock at $9.1456 per share for proceeds totaling $3.0 million, net of issuance costs.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of Series Seed, Seed Prime, A, B, C, D, E and F redeemable convertible preferred stock are summarized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Each share of preferred stock is convertible at the option of the holder into such number of common stock at a rate equal to the original issue price of the applicable series of preferred stock divided by the conversion price for the applicable series of preferred stock in effect at the time of the conversion. The conversion price for each share of preferred stock is initially equal to the applicable original issue price, such that the initial conversion rate is 1-for-1. The conversion price is subject to standard anti-dilution adjustments and adjustments for issuance of stock at a price per share less than the conversion price in effect for each series (Series Seed $0.2729 per share, Seed Prime $0.2961 per share, Series A $0.4976 per share, Series B $0.8805 per share, Series C $1.7032 per share, Series D $3.7914 per share, Series E is $5.9566, Series F is $9.1456 per share). Each share of redeemable convertible preferred stock is automatically convertible into common stock based on the conversion rate at such time immediately upon the earlier of (i) closing of a firm commitment underwritten public offering which results in gross cash proceeds of at least $100.0 million and a per share price of $9.1456 (as adjusted for stock splits, stock dividends, combinations, or other similar recapitalization), or (ii) vote or written consent of the holders of the Series C, Series D, and Series E redeemable convertible preferred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189" w:lineRule="exact"/>
        <w:rPr>
          <w:sz w:val="20"/>
          <w:szCs w:val="20"/>
          <w:color w:val="auto"/>
        </w:rPr>
      </w:pPr>
    </w:p>
    <w:p>
      <w:pPr>
        <w:ind w:right="60" w:firstLine="324"/>
        <w:spacing w:after="0" w:line="299" w:lineRule="auto"/>
        <w:rPr>
          <w:sz w:val="20"/>
          <w:szCs w:val="20"/>
          <w:color w:val="auto"/>
        </w:rPr>
      </w:pPr>
      <w:r>
        <w:rPr>
          <w:rFonts w:ascii="Arial" w:cs="Arial" w:eastAsia="Arial" w:hAnsi="Arial"/>
          <w:sz w:val="16"/>
          <w:szCs w:val="16"/>
          <w:color w:val="auto"/>
        </w:rPr>
        <w:t>In the event of a liquidation, dissolution, or winding up of the Company or a deemed liquidation of the Company, before any payment shall be made to common stockholders, redeemable convertible preferred stock-holders shall be paid, on a pari passu basis amount all classes of redeemable convertible preferred stock, the greater of: (i) the original issue price per share for the redeemable convertible preferred stock plus any dividends declared but unpaid thereon, or (ii) the amount per share as would have been payable had the shares of redeemable convertible been converted to common stock immediately prior to such event. A deemed liquidation event includes (i) a merger or consolidation, (ii) a sale of all or substantially all of the assets of the Company, or</w:t>
      </w:r>
    </w:p>
    <w:p>
      <w:pPr>
        <w:spacing w:after="0" w:line="2" w:lineRule="exact"/>
        <w:rPr>
          <w:sz w:val="20"/>
          <w:szCs w:val="20"/>
          <w:color w:val="auto"/>
        </w:rPr>
      </w:pPr>
    </w:p>
    <w:p>
      <w:pPr>
        <w:ind w:left="320" w:hanging="31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change in controlling ownership of the Company unless the holders of at least a majority of the outstanding shares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57"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redeemable convertible preferred stock, voting together as a single class on as-converted basis, elect to not classify such an event a deemed liquidation event.</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Since a deemed liquidation event would constitute a redemption event outside of the Company’s controls, redeemable convertible preferred stock has been presented within the mezzanine section on the consolidated balance sheets.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preferred stock is not mandatorily redeemable at any future certain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89"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The holders of the Series Seed, Seed Prime, A, B, C, D, E and F redeemable convertible preferred stock are entitled to vote, together with the holders of common stock, on all matters presented to stockholders for a vote. Each holder of the share of redeemable convertible preferred stock is entitled to the number of votes equal to the number of shares of common stock into which each share of redeemable convertible preferred stock is convertible at the time of such vote.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120" w:firstLine="324"/>
        <w:spacing w:after="0" w:line="319" w:lineRule="auto"/>
        <w:rPr>
          <w:sz w:val="20"/>
          <w:szCs w:val="20"/>
          <w:color w:val="auto"/>
        </w:rPr>
      </w:pPr>
      <w:r>
        <w:rPr>
          <w:rFonts w:ascii="Arial" w:cs="Arial" w:eastAsia="Arial" w:hAnsi="Arial"/>
          <w:sz w:val="16"/>
          <w:szCs w:val="16"/>
          <w:color w:val="auto"/>
        </w:rPr>
        <w:t>The holders of the Series Seed, Seed Prime, A, B, C, D, E and F preferred stock are entitled to receive, when and as declared by the Company’s board of directors and out of assets legally available, such dividends as may be declared from time to time by its board of directors. Any dividends shall be distributed among the holder of preferred stock and common stock pro rata based on the number of shares of common stock then held by each holder (assuming conversion of all such preferred stock into common stock). To date, no dividends have been declared or paid by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Offer</w:t>
      </w:r>
    </w:p>
    <w:p>
      <w:pPr>
        <w:spacing w:after="0" w:line="189" w:lineRule="exact"/>
        <w:rPr>
          <w:sz w:val="20"/>
          <w:szCs w:val="20"/>
          <w:color w:val="auto"/>
        </w:rPr>
      </w:pPr>
    </w:p>
    <w:p>
      <w:pPr>
        <w:ind w:right="40" w:firstLine="324"/>
        <w:spacing w:after="0" w:line="270" w:lineRule="auto"/>
        <w:rPr>
          <w:sz w:val="20"/>
          <w:szCs w:val="20"/>
          <w:color w:val="auto"/>
        </w:rPr>
      </w:pPr>
      <w:r>
        <w:rPr>
          <w:rFonts w:ascii="Arial" w:cs="Arial" w:eastAsia="Arial" w:hAnsi="Arial"/>
          <w:sz w:val="18"/>
          <w:szCs w:val="18"/>
          <w:color w:val="auto"/>
        </w:rPr>
        <w:t>In October 2019, the Company facilitated and consummated a tender offer (the “2019 Tender Offer”) in which the Company repurchased shares of common stock and redeemable convertible preferred stock from certain of the Company’s current employees, former employees, founders and investors. In connection with the 2019 Tender Offer, the Company repurchased and retired an aggregate of 2,295,603 shares of Series Seed, Series Seed Prime and Series A redeemable convertible preferred stock for an aggregate purchase price of $13.0 million. The excess of the amount paid over the carrying value of Series Seed, Series Seed Prime and Series A redeemable convertible preferred stock, totaling $12.1 million, was recorded as a deemed dividend. Of the total recorded as a deemed dividend, $6.1 million decreased additional paid-in capital, with the remaining $6.0 million recorded as an increase in accumulated deficit.</w:t>
      </w:r>
    </w:p>
    <w:p>
      <w:pPr>
        <w:spacing w:after="0" w:line="138" w:lineRule="exact"/>
        <w:rPr>
          <w:sz w:val="20"/>
          <w:szCs w:val="20"/>
          <w:color w:val="auto"/>
        </w:rPr>
      </w:pPr>
    </w:p>
    <w:p>
      <w:pPr>
        <w:ind w:right="60" w:firstLine="324"/>
        <w:spacing w:after="0" w:line="359" w:lineRule="auto"/>
        <w:rPr>
          <w:sz w:val="20"/>
          <w:szCs w:val="20"/>
          <w:color w:val="auto"/>
        </w:rPr>
      </w:pPr>
      <w:r>
        <w:rPr>
          <w:rFonts w:ascii="Arial" w:cs="Arial" w:eastAsia="Arial" w:hAnsi="Arial"/>
          <w:sz w:val="16"/>
          <w:szCs w:val="16"/>
          <w:color w:val="auto"/>
        </w:rPr>
        <w:t>In addition, the Company repurchased and retired 2,053,690 shares of common stock for an aggregate purchase price of $11.0 million. See Note 10 for details on this transaction. There were no such transactions during the year ended December 31, 2020 or the six months ended June 30, 2021 (unaudited).</w:t>
      </w:r>
    </w:p>
    <w:p>
      <w:pPr>
        <w:spacing w:after="0" w:line="53"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firstLine="324"/>
        <w:spacing w:after="0" w:line="292" w:lineRule="auto"/>
        <w:rPr>
          <w:sz w:val="20"/>
          <w:szCs w:val="20"/>
          <w:color w:val="auto"/>
        </w:rPr>
      </w:pPr>
      <w:r>
        <w:rPr>
          <w:rFonts w:ascii="Arial" w:cs="Arial" w:eastAsia="Arial" w:hAnsi="Arial"/>
          <w:sz w:val="17"/>
          <w:szCs w:val="17"/>
          <w:color w:val="auto"/>
        </w:rPr>
        <w:t>In 2011, the Company adopted the Remitly Equity Incentive Plan (the “Equity Plan”), as amended. As of June 30, 2021 (unaudited), 43,899,677 shares of Company common stock were reserved for issuance under the Equity Plan, which provides for the issuance of incentive stock options, nonqualified stock options, restricted common stock, and RSUs and stock appreciation rights to employees, directors, officers, and consultants of the Company, of which 1,934,742 remain available for issuance under the plan. The Equity Plan is administered by the Company’s board of directors, which determines the terms of the options granted, including exercise price, number of options granted, and vesting period of such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8"/>
          <w:szCs w:val="18"/>
          <w:color w:val="auto"/>
        </w:rPr>
        <w:t>Stock options granted under the Equity Plan generally vest over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Equity Plan are exercisable for up to ten years from the grant date, subject to vesting. In the event of termination of service, option will generally remain exercisable, to the extent vested, for three months following the termination of service.</w:t>
      </w:r>
    </w:p>
    <w:p>
      <w:pPr>
        <w:spacing w:after="0" w:line="137" w:lineRule="exact"/>
        <w:rPr>
          <w:sz w:val="20"/>
          <w:szCs w:val="20"/>
          <w:color w:val="auto"/>
        </w:rPr>
      </w:pPr>
    </w:p>
    <w:p>
      <w:pPr>
        <w:ind w:right="380" w:firstLine="324"/>
        <w:spacing w:after="0" w:line="279" w:lineRule="auto"/>
        <w:rPr>
          <w:sz w:val="20"/>
          <w:szCs w:val="20"/>
          <w:color w:val="auto"/>
        </w:rPr>
      </w:pPr>
      <w:r>
        <w:rPr>
          <w:rFonts w:ascii="Arial" w:cs="Arial" w:eastAsia="Arial" w:hAnsi="Arial"/>
          <w:sz w:val="18"/>
          <w:szCs w:val="18"/>
          <w:color w:val="auto"/>
        </w:rPr>
        <w:t>As of December 31, 2019 and 2020, there are 20,543,116 and 21,678,322 shares authorized for issuance under the plan, of which 1,497,365 and 206,529 options remain available for issuance under the plan, respectively. During the years ended December 31, 2019 and 2020, activity and amounts related to awards to nonemployees under the Plan were not material.</w:t>
      </w:r>
    </w:p>
    <w:p>
      <w:pPr>
        <w:spacing w:after="0" w:line="1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8"/>
          <w:szCs w:val="18"/>
          <w:color w:val="auto"/>
        </w:rPr>
        <w:t>As of June 30, 2021 (unaudited), there are 27,908,344 shares authorized for issuance under the plan, of which 1,934,742 options remain available for issuance under the plan, respectively. During the six months ended June 30, 2021 (unaudited), activity and amounts related to awards to nonemployees under the Plan were not material.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stock option activity during the years ended December 31, 2019 and 2020 and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4"/>
          </w:tcPr>
          <w:p>
            <w:pPr>
              <w:ind w:left="102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7"/>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72"/>
        </w:trPr>
        <w:tc>
          <w:tcPr>
            <w:tcW w:w="4700" w:type="dxa"/>
            <w:vAlign w:val="bottom"/>
          </w:tcPr>
          <w:p>
            <w:pPr>
              <w:spacing w:after="0"/>
              <w:rPr>
                <w:sz w:val="14"/>
                <w:szCs w:val="14"/>
                <w:color w:val="auto"/>
              </w:rPr>
            </w:pPr>
          </w:p>
        </w:tc>
        <w:tc>
          <w:tcPr>
            <w:tcW w:w="156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4"/>
                <w:szCs w:val="14"/>
                <w:color w:val="auto"/>
              </w:rPr>
            </w:pPr>
          </w:p>
        </w:tc>
        <w:tc>
          <w:tcPr>
            <w:tcW w:w="142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Aggregate Intrinsic</w:t>
            </w:r>
          </w:p>
        </w:tc>
      </w:tr>
      <w:tr>
        <w:trPr>
          <w:trHeight w:val="21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16,273,467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12,850</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6,447,837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(1,791,281)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December 31, 2019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19,045,752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16,885</w:t>
            </w: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(1,864,794)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(929,706)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21,034,424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64,604</w:t>
            </w: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Granted (unaudited)</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7,179,253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 (unaudited)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Forfeited (unaudited)</w:t>
            </w:r>
          </w:p>
        </w:tc>
        <w:tc>
          <w:tcPr>
            <w:tcW w:w="1560" w:type="dxa"/>
            <w:vAlign w:val="bottom"/>
          </w:tcPr>
          <w:p>
            <w:pPr>
              <w:jc w:val="right"/>
              <w:spacing w:after="0"/>
              <w:rPr>
                <w:sz w:val="20"/>
                <w:szCs w:val="20"/>
                <w:color w:val="auto"/>
              </w:rPr>
            </w:pPr>
            <w:r>
              <w:rPr>
                <w:rFonts w:ascii="Arial" w:cs="Arial" w:eastAsia="Arial" w:hAnsi="Arial"/>
                <w:sz w:val="18"/>
                <w:szCs w:val="18"/>
                <w:color w:val="auto"/>
              </w:rPr>
              <w:t>(787,793)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ind w:left="10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30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June 30, 2021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25,355,906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165,369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258"/>
        </w:trPr>
        <w:tc>
          <w:tcPr>
            <w:tcW w:w="470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9,271,671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33,190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7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21,509,413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66,039</w:t>
            </w:r>
          </w:p>
        </w:tc>
      </w:tr>
      <w:tr>
        <w:trPr>
          <w:trHeight w:val="277"/>
        </w:trPr>
        <w:tc>
          <w:tcPr>
            <w:tcW w:w="4700" w:type="dxa"/>
            <w:vAlign w:val="bottom"/>
          </w:tcPr>
          <w:p>
            <w:pPr>
              <w:ind w:left="20"/>
              <w:spacing w:after="0"/>
              <w:rPr>
                <w:sz w:val="20"/>
                <w:szCs w:val="20"/>
                <w:color w:val="auto"/>
              </w:rPr>
            </w:pPr>
            <w:r>
              <w:rPr>
                <w:rFonts w:ascii="Arial" w:cs="Arial" w:eastAsia="Arial" w:hAnsi="Arial"/>
                <w:sz w:val="18"/>
                <w:szCs w:val="18"/>
                <w:color w:val="auto"/>
              </w:rPr>
              <w:t>Vested and exercisable as of June 30, 2021 (unaudited)</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9,963,856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ind w:left="10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80,817</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5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Vested and expected to vest as of June 30, 2021 (unaudited)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25,822,242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168,627</w:t>
            </w: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_________________</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ind w:left="320" w:hanging="312"/>
        <w:spacing w:after="0"/>
        <w:tabs>
          <w:tab w:leader="none" w:pos="3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aggregate intrinsic value is calculated as the difference between the exercise price of the underlying stock options and the estimated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options granted during the years ended December 31, 2019 and 2020, and the six months ended June 30, 2020 and 2021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estimated at the date of grant using the Black-Scholes option pricing model with the following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280" w:type="dxa"/>
            <w:vAlign w:val="bottom"/>
            <w:gridSpan w:val="4"/>
          </w:tcPr>
          <w:p>
            <w:pPr>
              <w:ind w:left="1080"/>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93"/>
              </w:rPr>
              <w:t>Six Months Ended June 30,</w:t>
            </w:r>
          </w:p>
        </w:tc>
        <w:tc>
          <w:tcPr>
            <w:tcW w:w="520" w:type="dxa"/>
            <w:vAlign w:val="bottom"/>
          </w:tcPr>
          <w:p>
            <w:pPr>
              <w:spacing w:after="0"/>
              <w:rPr>
                <w:sz w:val="16"/>
                <w:szCs w:val="16"/>
                <w:color w:val="auto"/>
              </w:rPr>
            </w:pPr>
          </w:p>
        </w:tc>
      </w:tr>
      <w:tr>
        <w:trPr>
          <w:trHeight w:val="26"/>
        </w:trPr>
        <w:tc>
          <w:tcPr>
            <w:tcW w:w="35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8"/>
        </w:trPr>
        <w:tc>
          <w:tcPr>
            <w:tcW w:w="3520" w:type="dxa"/>
            <w:vAlign w:val="bottom"/>
          </w:tcPr>
          <w:p>
            <w:pPr>
              <w:spacing w:after="0"/>
              <w:rPr>
                <w:sz w:val="17"/>
                <w:szCs w:val="17"/>
                <w:color w:val="auto"/>
              </w:rPr>
            </w:pPr>
          </w:p>
        </w:tc>
        <w:tc>
          <w:tcPr>
            <w:tcW w:w="1360" w:type="dxa"/>
            <w:vAlign w:val="bottom"/>
          </w:tcPr>
          <w:p>
            <w:pPr>
              <w:ind w:left="780"/>
              <w:spacing w:after="0"/>
              <w:rPr>
                <w:sz w:val="20"/>
                <w:szCs w:val="20"/>
                <w:color w:val="auto"/>
              </w:rPr>
            </w:pPr>
            <w:r>
              <w:rPr>
                <w:rFonts w:ascii="Arial" w:cs="Arial" w:eastAsia="Arial" w:hAnsi="Arial"/>
                <w:sz w:val="14"/>
                <w:szCs w:val="14"/>
                <w:b w:val="1"/>
                <w:bCs w:val="1"/>
                <w:color w:val="auto"/>
              </w:rPr>
              <w:t>2019</w:t>
            </w:r>
          </w:p>
        </w:tc>
        <w:tc>
          <w:tcPr>
            <w:tcW w:w="19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94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980" w:type="dxa"/>
            <w:vAlign w:val="bottom"/>
          </w:tcPr>
          <w:p>
            <w:pPr>
              <w:ind w:left="14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r>
      <w:tr>
        <w:trPr>
          <w:trHeight w:val="26"/>
        </w:trPr>
        <w:tc>
          <w:tcPr>
            <w:tcW w:w="35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7"/>
        </w:trPr>
        <w:tc>
          <w:tcPr>
            <w:tcW w:w="3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80" w:type="dxa"/>
            <w:vAlign w:val="bottom"/>
          </w:tcPr>
          <w:p>
            <w:pPr>
              <w:jc w:val="center"/>
              <w:ind w:right="716"/>
              <w:spacing w:after="0"/>
              <w:rPr>
                <w:sz w:val="20"/>
                <w:szCs w:val="20"/>
                <w:color w:val="auto"/>
              </w:rPr>
            </w:pPr>
            <w:r>
              <w:rPr>
                <w:rFonts w:ascii="Arial" w:cs="Arial" w:eastAsia="Arial" w:hAnsi="Arial"/>
                <w:sz w:val="14"/>
                <w:szCs w:val="14"/>
                <w:b w:val="1"/>
                <w:bCs w:val="1"/>
                <w:color w:val="auto"/>
                <w:w w:val="91"/>
              </w:rPr>
              <w:t>(unaudited)</w:t>
            </w:r>
          </w:p>
        </w:tc>
        <w:tc>
          <w:tcPr>
            <w:tcW w:w="520" w:type="dxa"/>
            <w:vAlign w:val="bottom"/>
          </w:tcPr>
          <w:p>
            <w:pPr>
              <w:spacing w:after="0"/>
              <w:rPr>
                <w:sz w:val="17"/>
                <w:szCs w:val="17"/>
                <w:color w:val="auto"/>
              </w:rPr>
            </w:pPr>
          </w:p>
        </w:tc>
      </w:tr>
      <w:tr>
        <w:trPr>
          <w:trHeight w:val="282"/>
        </w:trPr>
        <w:tc>
          <w:tcPr>
            <w:tcW w:w="3520" w:type="dxa"/>
            <w:vAlign w:val="bottom"/>
          </w:tcPr>
          <w:p>
            <w:pPr>
              <w:ind w:left="20"/>
              <w:spacing w:after="0"/>
              <w:rPr>
                <w:sz w:val="20"/>
                <w:szCs w:val="20"/>
                <w:color w:val="auto"/>
              </w:rPr>
            </w:pPr>
            <w:r>
              <w:rPr>
                <w:rFonts w:ascii="Arial" w:cs="Arial" w:eastAsia="Arial" w:hAnsi="Arial"/>
                <w:sz w:val="18"/>
                <w:szCs w:val="18"/>
                <w:color w:val="auto"/>
              </w:rPr>
              <w:t>Risk-free interest rates</w:t>
            </w:r>
          </w:p>
        </w:tc>
        <w:tc>
          <w:tcPr>
            <w:tcW w:w="1360" w:type="dxa"/>
            <w:vAlign w:val="bottom"/>
          </w:tcPr>
          <w:p>
            <w:pPr>
              <w:ind w:left="20"/>
              <w:spacing w:after="0"/>
              <w:rPr>
                <w:sz w:val="20"/>
                <w:szCs w:val="20"/>
                <w:color w:val="auto"/>
              </w:rPr>
            </w:pPr>
            <w:r>
              <w:rPr>
                <w:rFonts w:ascii="Arial" w:cs="Arial" w:eastAsia="Arial" w:hAnsi="Arial"/>
                <w:sz w:val="18"/>
                <w:szCs w:val="18"/>
                <w:color w:val="auto"/>
              </w:rPr>
              <w:t>1.51% to 2.47%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0.30% to 1.47%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0.34% to 1.47%</w:t>
            </w:r>
          </w:p>
        </w:tc>
        <w:tc>
          <w:tcPr>
            <w:tcW w:w="1980" w:type="dxa"/>
            <w:vAlign w:val="bottom"/>
          </w:tcPr>
          <w:p>
            <w:pPr>
              <w:ind w:left="660"/>
              <w:spacing w:after="0"/>
              <w:rPr>
                <w:sz w:val="20"/>
                <w:szCs w:val="20"/>
                <w:color w:val="auto"/>
              </w:rPr>
            </w:pPr>
            <w:r>
              <w:rPr>
                <w:rFonts w:ascii="Arial" w:cs="Arial" w:eastAsia="Arial" w:hAnsi="Arial"/>
                <w:sz w:val="18"/>
                <w:szCs w:val="18"/>
                <w:color w:val="auto"/>
              </w:rPr>
              <w:t>0.32% to 1.19%</w:t>
            </w:r>
          </w:p>
        </w:tc>
        <w:tc>
          <w:tcPr>
            <w:tcW w:w="520" w:type="dxa"/>
            <w:vAlign w:val="bottom"/>
          </w:tcPr>
          <w:p>
            <w:pPr>
              <w:spacing w:after="0"/>
              <w:rPr>
                <w:sz w:val="24"/>
                <w:szCs w:val="24"/>
                <w:color w:val="auto"/>
              </w:rPr>
            </w:pPr>
          </w:p>
        </w:tc>
      </w:tr>
      <w:tr>
        <w:trPr>
          <w:trHeight w:val="27"/>
        </w:trPr>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5.0 to 10.0 years</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 to 6.6 years</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 to 6.1 years</w:t>
            </w:r>
          </w:p>
        </w:tc>
        <w:tc>
          <w:tcPr>
            <w:tcW w:w="1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3.5 to 6.8 years</w:t>
            </w:r>
          </w:p>
        </w:tc>
        <w:tc>
          <w:tcPr>
            <w:tcW w:w="520" w:type="dxa"/>
            <w:vAlign w:val="bottom"/>
            <w:tcBorders>
              <w:bottom w:val="single" w:sz="8" w:color="CCEEFF"/>
            </w:tcBorders>
            <w:shd w:val="clear" w:color="auto" w:fill="CCEEFF"/>
          </w:tcPr>
          <w:p>
            <w:pPr>
              <w:spacing w:after="0"/>
              <w:rPr>
                <w:sz w:val="22"/>
                <w:szCs w:val="22"/>
                <w:color w:val="auto"/>
              </w:rPr>
            </w:pPr>
          </w:p>
        </w:tc>
      </w:tr>
      <w:tr>
        <w:trPr>
          <w:trHeight w:val="257"/>
        </w:trPr>
        <w:tc>
          <w:tcPr>
            <w:tcW w:w="35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360" w:type="dxa"/>
            <w:vAlign w:val="bottom"/>
          </w:tcPr>
          <w:p>
            <w:pPr>
              <w:ind w:left="20"/>
              <w:spacing w:after="0"/>
              <w:rPr>
                <w:sz w:val="20"/>
                <w:szCs w:val="20"/>
                <w:color w:val="auto"/>
              </w:rPr>
            </w:pPr>
            <w:r>
              <w:rPr>
                <w:rFonts w:ascii="Arial" w:cs="Arial" w:eastAsia="Arial" w:hAnsi="Arial"/>
                <w:sz w:val="18"/>
                <w:szCs w:val="18"/>
                <w:color w:val="auto"/>
                <w:w w:val="96"/>
              </w:rPr>
              <w:t>53.8 % to 54.0 %</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37.3% to 54.0 %</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37.3% to 54.0%</w:t>
            </w:r>
          </w:p>
        </w:tc>
        <w:tc>
          <w:tcPr>
            <w:tcW w:w="1980" w:type="dxa"/>
            <w:vAlign w:val="bottom"/>
          </w:tcPr>
          <w:p>
            <w:pPr>
              <w:ind w:left="660"/>
              <w:spacing w:after="0"/>
              <w:rPr>
                <w:sz w:val="20"/>
                <w:szCs w:val="20"/>
                <w:color w:val="auto"/>
              </w:rPr>
            </w:pPr>
            <w:r>
              <w:rPr>
                <w:rFonts w:ascii="Arial" w:cs="Arial" w:eastAsia="Arial" w:hAnsi="Arial"/>
                <w:sz w:val="18"/>
                <w:szCs w:val="18"/>
                <w:color w:val="auto"/>
                <w:w w:val="98"/>
              </w:rPr>
              <w:t>37.8% to 41.4 %</w:t>
            </w:r>
          </w:p>
        </w:tc>
        <w:tc>
          <w:tcPr>
            <w:tcW w:w="520" w:type="dxa"/>
            <w:vAlign w:val="bottom"/>
          </w:tcPr>
          <w:p>
            <w:pPr>
              <w:spacing w:after="0"/>
              <w:rPr>
                <w:sz w:val="22"/>
                <w:szCs w:val="22"/>
                <w:color w:val="auto"/>
              </w:rPr>
            </w:pPr>
          </w:p>
        </w:tc>
      </w:tr>
      <w:tr>
        <w:trPr>
          <w:trHeight w:val="27"/>
        </w:trPr>
        <w:tc>
          <w:tcPr>
            <w:tcW w:w="3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136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1370"/>
              <w:spacing w:after="0"/>
              <w:rPr>
                <w:sz w:val="20"/>
                <w:szCs w:val="20"/>
                <w:color w:val="auto"/>
              </w:rPr>
            </w:pPr>
            <w:r>
              <w:rPr>
                <w:rFonts w:ascii="Arial" w:cs="Arial" w:eastAsia="Arial" w:hAnsi="Arial"/>
                <w:sz w:val="18"/>
                <w:szCs w:val="18"/>
                <w:color w:val="auto"/>
              </w:rPr>
              <w:t>— %</w:t>
            </w:r>
          </w:p>
        </w:tc>
        <w:tc>
          <w:tcPr>
            <w:tcW w:w="1940" w:type="dxa"/>
            <w:vAlign w:val="bottom"/>
            <w:gridSpan w:val="3"/>
            <w:shd w:val="clear" w:color="auto" w:fill="CCEEFF"/>
          </w:tcPr>
          <w:p>
            <w:pPr>
              <w:jc w:val="right"/>
              <w:ind w:right="1355"/>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 %</w:t>
            </w:r>
          </w:p>
        </w:tc>
      </w:tr>
      <w:tr>
        <w:trPr>
          <w:trHeight w:val="27"/>
        </w:trPr>
        <w:tc>
          <w:tcPr>
            <w:tcW w:w="3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2019 and 2020, was $1.23 and $1.10,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aggregate grant-date fair value of options vested for years ended December 31, 2019 and 2020 was $3.7 million and $5.4 million, respectively.</w:t>
      </w:r>
    </w:p>
    <w:p>
      <w:pPr>
        <w:spacing w:after="0" w:line="195"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8"/>
          <w:szCs w:val="18"/>
          <w:color w:val="auto"/>
        </w:rPr>
        <w:t>The weighted-average grant date fair value of options granted during the six months ended June 30, 2020 and 2021 (unaudited), was $0.95 and $3.76, respectively. The aggregate grant-date fair value of options vested for the six months ended June 30, 2020 and 2021 (unaudited) was $2.3 million and $3.3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Stock-based compensation expense during the years ended December 31, 2019 and 2020 and the six months ended June 30, 2020 and 2021 included in the consolidated statements of operations was as follows (in thousands):</w:t>
      </w:r>
    </w:p>
    <w:p>
      <w:pPr>
        <w:sectPr>
          <w:pgSz w:w="11900" w:h="16838" w:orient="portrait"/>
          <w:cols w:equalWidth="0" w:num="1">
            <w:col w:w="11240"/>
          </w:cols>
          <w:pgMar w:left="320" w:top="1440" w:right="339" w:bottom="1440" w:gutter="0" w:footer="0" w:header="0"/>
        </w:sectPr>
      </w:pP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48895</wp:posOffset>
            </wp:positionV>
            <wp:extent cx="2031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93" w:lineRule="exact"/>
        <w:rPr>
          <w:sz w:val="20"/>
          <w:szCs w:val="20"/>
          <w:color w:val="auto"/>
        </w:rPr>
      </w:pPr>
    </w:p>
    <w:p>
      <w:pPr>
        <w:ind w:left="5280"/>
        <w:spacing w:after="0"/>
        <w:tabs>
          <w:tab w:leader="none" w:pos="6920" w:val="left"/>
        </w:tabs>
        <w:rPr>
          <w:sz w:val="20"/>
          <w:szCs w:val="20"/>
          <w:color w:val="auto"/>
        </w:rPr>
      </w:pPr>
      <w:r>
        <w:rPr>
          <w:rFonts w:ascii="Arial" w:cs="Arial" w:eastAsia="Arial" w:hAnsi="Arial"/>
          <w:sz w:val="17"/>
          <w:szCs w:val="17"/>
          <w:b w:val="1"/>
          <w:bCs w:val="1"/>
          <w:color w:val="auto"/>
        </w:rPr>
        <w:t>2019</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41910</wp:posOffset>
            </wp:positionV>
            <wp:extent cx="20313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48895</wp:posOffset>
            </wp:positionV>
            <wp:extent cx="20485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93"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41910</wp:posOffset>
            </wp:positionV>
            <wp:extent cx="20485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(unaudited)</w:t>
      </w:r>
    </w:p>
    <w:p>
      <w:pPr>
        <w:spacing w:after="0" w:line="51" w:lineRule="exact"/>
        <w:rPr>
          <w:sz w:val="20"/>
          <w:szCs w:val="20"/>
          <w:color w:val="auto"/>
        </w:rPr>
      </w:pPr>
    </w:p>
    <w:p>
      <w:pPr>
        <w:sectPr>
          <w:pgSz w:w="11900" w:h="16838" w:orient="portrait"/>
          <w:cols w:equalWidth="0" w:num="2">
            <w:col w:w="7860" w:space="720"/>
            <w:col w:w="26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support and operations</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7"/>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7"/>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87" w:lineRule="auto"/>
        <w:rPr>
          <w:sz w:val="20"/>
          <w:szCs w:val="20"/>
          <w:color w:val="auto"/>
        </w:rPr>
      </w:pPr>
      <w:r>
        <w:rPr>
          <w:rFonts w:ascii="Arial" w:cs="Arial" w:eastAsia="Arial" w:hAnsi="Arial"/>
          <w:sz w:val="17"/>
          <w:szCs w:val="17"/>
          <w:color w:val="auto"/>
        </w:rPr>
        <w:t>In connection with the 2019 Tender Offer, as discussed in Note 9, the Company repurchased and retired 2,053,690 shares of the Company’s common stock for an aggregate purchase price of $11.0 million. The amounts paid in excess of the fair value of the common shares repurchased from the Company’s employees and founders, totaling $4.0 million were recorded as compensation expense for the year ended December 31, 2019, and are in addition to the amounts included as stock-based compensation expense in the above table. The $4.0 million of excess fair value was recorded in the following line items in the consolidated statements of operations: $0.2 million in marketing, $2.0 million in technology and development, and $1.8 million in general and administrative. The remaining $7.0 million was recorded as a decrease to par value of common stock and an increase in accumulated deficit, as the additional paid-in capital balance at the time of the transaction was zero. There were no such transactions during the year ended December 31, 2020 or the six months ended June 30, 2021 (unaudited).</w:t>
      </w:r>
    </w:p>
    <w:p>
      <w:pPr>
        <w:spacing w:after="0" w:line="128" w:lineRule="exact"/>
        <w:rPr>
          <w:sz w:val="20"/>
          <w:szCs w:val="20"/>
          <w:color w:val="auto"/>
        </w:rPr>
      </w:pPr>
    </w:p>
    <w:p>
      <w:pPr>
        <w:ind w:right="20" w:firstLine="324"/>
        <w:spacing w:after="0" w:line="293" w:lineRule="auto"/>
        <w:rPr>
          <w:sz w:val="20"/>
          <w:szCs w:val="20"/>
          <w:color w:val="auto"/>
        </w:rPr>
      </w:pPr>
      <w:r>
        <w:rPr>
          <w:rFonts w:ascii="Arial" w:cs="Arial" w:eastAsia="Arial" w:hAnsi="Arial"/>
          <w:sz w:val="18"/>
          <w:szCs w:val="18"/>
          <w:color w:val="auto"/>
        </w:rPr>
        <w:t>As of December 31, 2020, the total unamortized compensation cost related to stock options granted were $13.3 million, which will be amortized over a weighted-average remaining requisite service period of 2.37 years.</w:t>
      </w:r>
    </w:p>
    <w:p>
      <w:pPr>
        <w:spacing w:after="0" w:line="116" w:lineRule="exact"/>
        <w:rPr>
          <w:sz w:val="20"/>
          <w:szCs w:val="20"/>
          <w:color w:val="auto"/>
        </w:rPr>
      </w:pPr>
    </w:p>
    <w:p>
      <w:pPr>
        <w:ind w:right="40" w:firstLine="324"/>
        <w:spacing w:after="0" w:line="293" w:lineRule="auto"/>
        <w:rPr>
          <w:sz w:val="20"/>
          <w:szCs w:val="20"/>
          <w:color w:val="auto"/>
        </w:rPr>
      </w:pPr>
      <w:r>
        <w:rPr>
          <w:rFonts w:ascii="Arial" w:cs="Arial" w:eastAsia="Arial" w:hAnsi="Arial"/>
          <w:sz w:val="18"/>
          <w:szCs w:val="18"/>
          <w:color w:val="auto"/>
        </w:rPr>
        <w:t>As of June 30, 2021 (unaudited), the total unamortized compensation cost related to stock options granted were $35.3 million, which will be amortized over a weighted-average remaining requisite service period of 2.66 years.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40"/>
          </w:cols>
          <w:pgMar w:left="320" w:top="1440" w:right="339" w:bottom="1440" w:gutter="0" w:footer="0" w:header="0"/>
          <w:type w:val="continuous"/>
        </w:sectPr>
      </w:pPr>
    </w:p>
    <w:bookmarkStart w:id="234" w:name="page235"/>
    <w:bookmarkEnd w:id="2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RSUs granted under the Equity Plan have a service-based vesting condition which is generally satisfied over four years with a cliff vesting period of one year and continued vesting quarterly thereafter, and a performance-based vesting condition that is satisfied on the earlier of: (1) a change in control or (2) the effective date of an initial public offering of the Company’s securities.</w:t>
      </w:r>
    </w:p>
    <w:p>
      <w:pPr>
        <w:spacing w:after="0" w:line="129" w:lineRule="exact"/>
        <w:rPr>
          <w:sz w:val="20"/>
          <w:szCs w:val="20"/>
          <w:color w:val="auto"/>
        </w:rPr>
      </w:pPr>
    </w:p>
    <w:p>
      <w:pPr>
        <w:ind w:right="580" w:firstLine="324"/>
        <w:spacing w:after="0" w:line="293" w:lineRule="auto"/>
        <w:rPr>
          <w:sz w:val="20"/>
          <w:szCs w:val="20"/>
          <w:color w:val="auto"/>
        </w:rPr>
      </w:pPr>
      <w:r>
        <w:rPr>
          <w:rFonts w:ascii="Arial" w:cs="Arial" w:eastAsia="Arial" w:hAnsi="Arial"/>
          <w:sz w:val="18"/>
          <w:szCs w:val="18"/>
          <w:color w:val="auto"/>
        </w:rPr>
        <w:t>The following is a summary of the Company’s RSU activity during the year ended December 31, 2020 and the six months ended June 30, 2021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229"/>
        </w:trPr>
        <w:tc>
          <w:tcPr>
            <w:tcW w:w="8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Grant-Date Fair</w:t>
            </w:r>
          </w:p>
        </w:tc>
      </w:tr>
      <w:tr>
        <w:trPr>
          <w:trHeight w:val="234"/>
        </w:trPr>
        <w:tc>
          <w:tcPr>
            <w:tcW w:w="80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January 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437,369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Granted (unaudited)</w:t>
            </w:r>
          </w:p>
        </w:tc>
        <w:tc>
          <w:tcPr>
            <w:tcW w:w="1560" w:type="dxa"/>
            <w:vAlign w:val="bottom"/>
          </w:tcPr>
          <w:p>
            <w:pPr>
              <w:jc w:val="right"/>
              <w:spacing w:after="0"/>
              <w:rPr>
                <w:sz w:val="20"/>
                <w:szCs w:val="20"/>
                <w:color w:val="auto"/>
              </w:rPr>
            </w:pPr>
            <w:r>
              <w:rPr>
                <w:rFonts w:ascii="Arial" w:cs="Arial" w:eastAsia="Arial" w:hAnsi="Arial"/>
                <w:sz w:val="18"/>
                <w:szCs w:val="18"/>
                <w:color w:val="auto"/>
              </w:rPr>
              <w:t>180,327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30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2021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RSUs were granted during the year ended December 31, 2019 and the six months ended June 30, 2020 (unaudited).</w:t>
      </w:r>
    </w:p>
    <w:p>
      <w:pPr>
        <w:spacing w:after="0" w:line="185" w:lineRule="exact"/>
        <w:rPr>
          <w:sz w:val="20"/>
          <w:szCs w:val="20"/>
          <w:color w:val="auto"/>
        </w:rPr>
      </w:pPr>
    </w:p>
    <w:p>
      <w:pPr>
        <w:ind w:right="80" w:firstLine="324"/>
        <w:spacing w:after="0" w:line="292" w:lineRule="auto"/>
        <w:rPr>
          <w:sz w:val="20"/>
          <w:szCs w:val="20"/>
          <w:color w:val="auto"/>
        </w:rPr>
      </w:pPr>
      <w:r>
        <w:rPr>
          <w:rFonts w:ascii="Arial" w:cs="Arial" w:eastAsia="Arial" w:hAnsi="Arial"/>
          <w:sz w:val="17"/>
          <w:szCs w:val="17"/>
          <w:color w:val="auto"/>
        </w:rPr>
        <w:t>As of December 31, 2020 and June 30, 2021 (unaudited), the Company had $1.5 million and $2.4 million of unrecognized stock-based compensation expense related to RSUs, respectively. As the RSUs vest upon the satisfaction of both the service-based and performance-based vesting conditions, no stock-based compensation will be recognized until the performance-based vesting condition is probable of being satisfied. At the time the performance-based vesting condition becomes probable, which is not until the performance-based vesting condition is satisfied, the Company will recognize cumulative stock-based compensation expense for the outstanding RSUs using the accelerated attribution method.</w:t>
      </w:r>
    </w:p>
    <w:p>
      <w:pPr>
        <w:spacing w:after="0" w:line="120" w:lineRule="exact"/>
        <w:rPr>
          <w:sz w:val="20"/>
          <w:szCs w:val="20"/>
          <w:color w:val="auto"/>
        </w:rPr>
      </w:pPr>
    </w:p>
    <w:p>
      <w:pPr>
        <w:ind w:right="240" w:firstLine="324"/>
        <w:spacing w:after="0" w:line="359" w:lineRule="auto"/>
        <w:rPr>
          <w:sz w:val="20"/>
          <w:szCs w:val="20"/>
          <w:color w:val="auto"/>
        </w:rPr>
      </w:pPr>
      <w:r>
        <w:rPr>
          <w:rFonts w:ascii="Arial" w:cs="Arial" w:eastAsia="Arial" w:hAnsi="Arial"/>
          <w:sz w:val="16"/>
          <w:szCs w:val="16"/>
          <w:color w:val="auto"/>
        </w:rPr>
        <w:t>If the performance-based vesting condition had been satisfied on December 31, 2020, the Company would have recorded stock-based compensation expense of $0.1 million, and unrecognized stock-based compensation related to the RSUs as of December 31, 2020 would have been $1.4 million.</w:t>
      </w:r>
    </w:p>
    <w:p>
      <w:pPr>
        <w:spacing w:after="0" w:line="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8"/>
          <w:szCs w:val="18"/>
          <w:color w:val="auto"/>
        </w:rPr>
        <w:t>If the performance-based vesting condition had been satisfied on June 30, 2021 (unaudited), the Company would have recorded stock-based compensation expense of $0.7 million, and unrecognized stock-based compensation related to the RSUs as of June 30, 2021 (unaudited) would have been $1.7 million.</w:t>
      </w:r>
    </w:p>
    <w:p>
      <w:pPr>
        <w:spacing w:after="0" w:line="111"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Arrangements</w:t>
      </w:r>
    </w:p>
    <w:p>
      <w:pPr>
        <w:spacing w:after="0" w:line="189" w:lineRule="exact"/>
        <w:rPr>
          <w:sz w:val="20"/>
          <w:szCs w:val="20"/>
          <w:color w:val="auto"/>
        </w:rPr>
      </w:pPr>
    </w:p>
    <w:p>
      <w:pPr>
        <w:ind w:right="380" w:firstLine="324"/>
        <w:spacing w:after="0" w:line="299" w:lineRule="auto"/>
        <w:rPr>
          <w:sz w:val="20"/>
          <w:szCs w:val="20"/>
          <w:color w:val="auto"/>
        </w:rPr>
      </w:pPr>
      <w:r>
        <w:rPr>
          <w:rFonts w:ascii="Arial" w:cs="Arial" w:eastAsia="Arial" w:hAnsi="Arial"/>
          <w:sz w:val="16"/>
          <w:szCs w:val="16"/>
          <w:color w:val="auto"/>
        </w:rPr>
        <w:t>The Company entered into promissory note agreements in October 2018, with two executive employees in conjunction with their early exercise of stock options to purchase 1,800,000 shares of the Company’s common stock. The principal amount of the notes is $3.1 million, and interest accrues at</w:t>
      </w:r>
    </w:p>
    <w:p>
      <w:pPr>
        <w:spacing w:after="0" w:line="1" w:lineRule="exact"/>
        <w:rPr>
          <w:sz w:val="20"/>
          <w:szCs w:val="20"/>
          <w:color w:val="auto"/>
        </w:rPr>
      </w:pPr>
    </w:p>
    <w:p>
      <w:pPr>
        <w:spacing w:after="0" w:line="359" w:lineRule="auto"/>
        <w:rPr>
          <w:sz w:val="20"/>
          <w:szCs w:val="20"/>
          <w:color w:val="auto"/>
        </w:rPr>
      </w:pPr>
      <w:r>
        <w:rPr>
          <w:rFonts w:ascii="Arial" w:cs="Arial" w:eastAsia="Arial" w:hAnsi="Arial"/>
          <w:sz w:val="15"/>
          <w:szCs w:val="15"/>
          <w:color w:val="auto"/>
        </w:rPr>
        <w:t>2.83% on the outstanding principal amount annually. The notes are secured by the shares that were exercised and are presented within additional paid in capital as contra-equity. Based on the non-recourse nature of these agreements, the agreements were accounted for as grants of options to purchase common stock. The fair value of the stock options, determined using the Black-Scholes option pricing model is being recognized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5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8"/>
          <w:szCs w:val="18"/>
          <w:color w:val="auto"/>
        </w:rPr>
        <w:t>The associated shares are legally outstanding and included in shares of common stock outstanding in the consolidated financial statements. These shares of common stock were considered unvested as of December 31, 2019 and 2020 and June 30, 2021 (unaudited), respectively, because the underlying promissory notes had not been repaid.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The components of loss before provision for income taxes were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(35,542)</w:t>
            </w:r>
          </w:p>
        </w:tc>
        <w:tc>
          <w:tcPr>
            <w:tcW w:w="0" w:type="dxa"/>
            <w:vAlign w:val="bottom"/>
          </w:tcPr>
          <w:p>
            <w:pPr>
              <w:spacing w:after="0"/>
              <w:rPr>
                <w:sz w:val="1"/>
                <w:szCs w:val="1"/>
                <w:color w:val="auto"/>
              </w:rPr>
            </w:pPr>
          </w:p>
        </w:tc>
      </w:tr>
      <w:tr>
        <w:trPr>
          <w:trHeight w:val="257"/>
        </w:trPr>
        <w:tc>
          <w:tcPr>
            <w:tcW w:w="620" w:type="dxa"/>
            <w:vAlign w:val="bottom"/>
          </w:tcPr>
          <w:p>
            <w:pPr>
              <w:ind w:left="20"/>
              <w:spacing w:after="0"/>
              <w:rPr>
                <w:sz w:val="20"/>
                <w:szCs w:val="20"/>
                <w:color w:val="auto"/>
              </w:rPr>
            </w:pPr>
            <w:r>
              <w:rPr>
                <w:rFonts w:ascii="Arial" w:cs="Arial" w:eastAsia="Arial" w:hAnsi="Arial"/>
                <w:sz w:val="18"/>
                <w:szCs w:val="18"/>
                <w:color w:val="auto"/>
                <w:w w:val="94"/>
              </w:rPr>
              <w:t>Foreign</w:t>
            </w:r>
          </w:p>
        </w:tc>
        <w:tc>
          <w:tcPr>
            <w:tcW w:w="7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components of the provision for income taxes are as follows (in thousands):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0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tax benefit (expense)</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 w:type="dxa"/>
            <w:vAlign w:val="bottom"/>
          </w:tcPr>
          <w:p>
            <w:pPr>
              <w:ind w:left="20"/>
              <w:spacing w:after="0"/>
              <w:rPr>
                <w:sz w:val="20"/>
                <w:szCs w:val="20"/>
                <w:color w:val="auto"/>
              </w:rPr>
            </w:pPr>
            <w:r>
              <w:rPr>
                <w:rFonts w:ascii="Arial" w:cs="Arial" w:eastAsia="Arial" w:hAnsi="Arial"/>
                <w:sz w:val="18"/>
                <w:szCs w:val="18"/>
                <w:color w:val="auto"/>
                <w:w w:val="94"/>
              </w:rPr>
              <w:t>Federal</w:t>
            </w:r>
          </w:p>
        </w:tc>
        <w:tc>
          <w:tcPr>
            <w:tcW w:w="74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7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620" w:type="dxa"/>
            <w:vAlign w:val="bottom"/>
          </w:tcPr>
          <w:p>
            <w:pPr>
              <w:ind w:left="20"/>
              <w:spacing w:after="0"/>
              <w:rPr>
                <w:sz w:val="20"/>
                <w:szCs w:val="20"/>
                <w:color w:val="auto"/>
              </w:rPr>
            </w:pPr>
            <w:r>
              <w:rPr>
                <w:rFonts w:ascii="Arial" w:cs="Arial" w:eastAsia="Arial" w:hAnsi="Arial"/>
                <w:sz w:val="18"/>
                <w:szCs w:val="18"/>
                <w:color w:val="auto"/>
                <w:w w:val="94"/>
              </w:rPr>
              <w:t>Foreign</w:t>
            </w:r>
          </w:p>
        </w:tc>
        <w:tc>
          <w:tcPr>
            <w:tcW w:w="7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 benefit (expense)</w:t>
            </w: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37"/>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Deferred tax benefit (expense)</w:t>
            </w: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Federal</w:t>
            </w:r>
          </w:p>
        </w:tc>
        <w:tc>
          <w:tcPr>
            <w:tcW w:w="74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0" w:type="dxa"/>
            <w:vAlign w:val="bottom"/>
          </w:tcPr>
          <w:p>
            <w:pPr>
              <w:ind w:left="20"/>
              <w:spacing w:after="0"/>
              <w:rPr>
                <w:sz w:val="20"/>
                <w:szCs w:val="20"/>
                <w:color w:val="auto"/>
              </w:rPr>
            </w:pPr>
            <w:r>
              <w:rPr>
                <w:rFonts w:ascii="Arial" w:cs="Arial" w:eastAsia="Arial" w:hAnsi="Arial"/>
                <w:sz w:val="18"/>
                <w:szCs w:val="18"/>
                <w:color w:val="auto"/>
              </w:rPr>
              <w:t>State</w:t>
            </w:r>
          </w:p>
        </w:tc>
        <w:tc>
          <w:tcPr>
            <w:tcW w:w="7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Foreign</w:t>
            </w:r>
          </w:p>
        </w:tc>
        <w:tc>
          <w:tcPr>
            <w:tcW w:w="74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 deferred tax benefit (expense)</w:t>
            </w: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560" w:type="dxa"/>
            <w:vAlign w:val="bottom"/>
            <w:gridSpan w:val="3"/>
          </w:tcPr>
          <w:p>
            <w:pPr>
              <w:ind w:left="340"/>
              <w:spacing w:after="0"/>
              <w:rPr>
                <w:sz w:val="20"/>
                <w:szCs w:val="20"/>
                <w:color w:val="auto"/>
              </w:rPr>
            </w:pPr>
            <w:r>
              <w:rPr>
                <w:rFonts w:ascii="Arial" w:cs="Arial" w:eastAsia="Arial" w:hAnsi="Arial"/>
                <w:sz w:val="18"/>
                <w:szCs w:val="18"/>
                <w:color w:val="auto"/>
                <w:w w:val="91"/>
              </w:rPr>
              <w:t>A reconciliation at the applicable federal statutory rate to the Company’s effective income tax rate was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income taxes at statutory rate</w:t>
            </w: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57"/>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7"/>
        </w:trPr>
        <w:tc>
          <w:tcPr>
            <w:tcW w:w="80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 in valuation allowance</w:t>
            </w: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 %</w:t>
            </w:r>
          </w:p>
        </w:tc>
        <w:tc>
          <w:tcPr>
            <w:tcW w:w="0" w:type="dxa"/>
            <w:vAlign w:val="bottom"/>
          </w:tcPr>
          <w:p>
            <w:pPr>
              <w:spacing w:after="0"/>
              <w:rPr>
                <w:sz w:val="1"/>
                <w:szCs w:val="1"/>
                <w:color w:val="auto"/>
              </w:rPr>
            </w:pPr>
          </w:p>
        </w:tc>
      </w:tr>
      <w:tr>
        <w:trPr>
          <w:trHeight w:val="257"/>
        </w:trPr>
        <w:tc>
          <w:tcPr>
            <w:tcW w:w="620" w:type="dxa"/>
            <w:vAlign w:val="bottom"/>
          </w:tcPr>
          <w:p>
            <w:pPr>
              <w:ind w:left="20"/>
              <w:spacing w:after="0"/>
              <w:rPr>
                <w:sz w:val="20"/>
                <w:szCs w:val="20"/>
                <w:color w:val="auto"/>
              </w:rPr>
            </w:pPr>
            <w:r>
              <w:rPr>
                <w:rFonts w:ascii="Arial" w:cs="Arial" w:eastAsia="Arial" w:hAnsi="Arial"/>
                <w:sz w:val="18"/>
                <w:szCs w:val="18"/>
                <w:color w:val="auto"/>
              </w:rPr>
              <w:t>Other</w:t>
            </w:r>
          </w:p>
        </w:tc>
        <w:tc>
          <w:tcPr>
            <w:tcW w:w="7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5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8"/>
          <w:szCs w:val="18"/>
          <w:color w:val="auto"/>
        </w:rPr>
        <w:t>As of December 31, 2020, the Company has U.S. net operating loss (“NOL”) carryforwards of $189.4 million and state NOL carryforwards of $91.9 million. Such NOL carryforwards will begin to expire between 2032 and 2039. NOL carryforwards are subject to possible limitation should a change in ownership of the Company occur, as defined by Internal Revenue Code Section 382.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320" w:top="1440" w:right="339" w:bottom="1440" w:gutter="0" w:footer="0" w:header="0"/>
          <w:type w:val="continuous"/>
        </w:sectPr>
      </w:pPr>
    </w:p>
    <w:bookmarkStart w:id="236" w:name="page237"/>
    <w:bookmarkEnd w:id="236"/>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the temporary differences and carryforwards that give rise to deferred tax assets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39,381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45,531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50,239</w:t>
            </w: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Fixed assets and intangible assets</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50"/>
        </w:trPr>
        <w:tc>
          <w:tcPr>
            <w:tcW w:w="8020" w:type="dxa"/>
            <w:vAlign w:val="bottom"/>
          </w:tcPr>
          <w:p>
            <w:pPr>
              <w:ind w:left="180"/>
              <w:spacing w:after="0"/>
              <w:rPr>
                <w:sz w:val="20"/>
                <w:szCs w:val="20"/>
                <w:color w:val="auto"/>
              </w:rPr>
            </w:pPr>
            <w:r>
              <w:rPr>
                <w:rFonts w:ascii="Arial" w:cs="Arial" w:eastAsia="Arial" w:hAnsi="Arial"/>
                <w:sz w:val="18"/>
                <w:szCs w:val="18"/>
                <w:color w:val="auto"/>
              </w:rPr>
              <w:t>Gross deferred tax liabilities</w:t>
            </w: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(49,159)</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8"/>
          <w:szCs w:val="18"/>
          <w:color w:val="auto"/>
        </w:rPr>
        <w:t>The Company has established a full valuation allowance against the U.S. net deferred tax assets, as it believes that these deferred tax assets do not meet the more likely than not threshold.</w:t>
      </w:r>
    </w:p>
    <w:p>
      <w:pPr>
        <w:spacing w:after="0" w:line="116" w:lineRule="exact"/>
        <w:rPr>
          <w:sz w:val="20"/>
          <w:szCs w:val="20"/>
          <w:color w:val="auto"/>
        </w:rPr>
      </w:pPr>
    </w:p>
    <w:p>
      <w:pPr>
        <w:ind w:right="260" w:firstLine="324"/>
        <w:spacing w:after="0" w:line="293" w:lineRule="auto"/>
        <w:rPr>
          <w:sz w:val="20"/>
          <w:szCs w:val="20"/>
          <w:color w:val="auto"/>
        </w:rPr>
      </w:pPr>
      <w:r>
        <w:rPr>
          <w:rFonts w:ascii="Arial" w:cs="Arial" w:eastAsia="Arial" w:hAnsi="Arial"/>
          <w:sz w:val="18"/>
          <w:szCs w:val="18"/>
          <w:color w:val="auto"/>
        </w:rPr>
        <w:t>The net change in the total valuation allowance was an increase of $12.9 million and $8.2 million for the years ended December 31, 2019 and 2020, respectively.</w:t>
      </w:r>
    </w:p>
    <w:p>
      <w:pPr>
        <w:spacing w:after="0" w:line="116"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internationally. As of December 31, 2019 and 2020, there is no accrued interest or penalties associated with income taxes recorded in the consolidated financial statements. The 2011 through 2020 tax years remain open for examination by taxing authorities.</w:t>
      </w:r>
    </w:p>
    <w:p>
      <w:pPr>
        <w:spacing w:after="0" w:line="1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7"/>
          <w:szCs w:val="17"/>
          <w:color w:val="auto"/>
        </w:rPr>
        <w:t xml:space="preserve">The calculation of the Company’s tax obligations involves dealing with uncertainties in the application of complex tax laws and regulations. ASC 740, </w:t>
      </w:r>
      <w:r>
        <w:rPr>
          <w:rFonts w:ascii="Arial" w:cs="Arial" w:eastAsia="Arial" w:hAnsi="Arial"/>
          <w:sz w:val="17"/>
          <w:szCs w:val="17"/>
          <w:i w:val="1"/>
          <w:iCs w:val="1"/>
          <w:color w:val="auto"/>
        </w:rPr>
        <w:t>Income Taxes</w:t>
      </w:r>
      <w:r>
        <w:rPr>
          <w:rFonts w:ascii="Arial" w:cs="Arial" w:eastAsia="Arial" w:hAnsi="Arial"/>
          <w:sz w:val="17"/>
          <w:szCs w:val="17"/>
          <w:color w:val="auto"/>
        </w:rPr>
        <w:t>, provides that a tax benefit from an uncertain tax position may be recognized when it is more likely than not that the position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2019 and 2020.</w:t>
      </w:r>
    </w:p>
    <w:p>
      <w:pPr>
        <w:spacing w:after="0" w:line="124" w:lineRule="exact"/>
        <w:rPr>
          <w:sz w:val="20"/>
          <w:szCs w:val="20"/>
          <w:color w:val="auto"/>
        </w:rPr>
      </w:pPr>
    </w:p>
    <w:p>
      <w:pPr>
        <w:ind w:right="320" w:firstLine="324"/>
        <w:spacing w:after="0" w:line="279" w:lineRule="auto"/>
        <w:rPr>
          <w:sz w:val="20"/>
          <w:szCs w:val="20"/>
          <w:color w:val="auto"/>
        </w:rPr>
      </w:pPr>
      <w:r>
        <w:rPr>
          <w:rFonts w:ascii="Arial" w:cs="Arial" w:eastAsia="Arial" w:hAnsi="Arial"/>
          <w:sz w:val="18"/>
          <w:szCs w:val="18"/>
          <w:color w:val="auto"/>
        </w:rPr>
        <w:t>The Company recognizes interest and, if applicable, penalties for any uncertain tax positions. Interest and penalties are recorded as a component of income tax expense. In the years ended December 31, 2019 and 2020, the Company did not have any accrued interest or penalties associated with any unrecognized tax benefits.</w:t>
      </w:r>
    </w:p>
    <w:p>
      <w:pPr>
        <w:spacing w:after="0" w:line="1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8"/>
          <w:szCs w:val="18"/>
          <w:color w:val="auto"/>
        </w:rPr>
        <w:t>The Coronavirus Aid, Relief, and Economic Security Act (“CARES Act”) was enacted by the United States on March 27, 2020. The CARES Act did not have a material impact on the Company’s provision for income taxes for the year ended December 31,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320" w:top="1440" w:right="339" w:bottom="1440" w:gutter="0" w:footer="0" w:header="0"/>
          <w:type w:val="continuous"/>
        </w:sectPr>
      </w:pPr>
    </w:p>
    <w:bookmarkStart w:id="237" w:name="page238"/>
    <w:bookmarkEnd w:id="23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2020 and 2021 (unaudited)</w:t>
      </w:r>
    </w:p>
    <w:p>
      <w:pPr>
        <w:spacing w:after="0" w:line="189" w:lineRule="exact"/>
        <w:rPr>
          <w:sz w:val="20"/>
          <w:szCs w:val="20"/>
          <w:color w:val="auto"/>
        </w:rPr>
      </w:pPr>
    </w:p>
    <w:p>
      <w:pPr>
        <w:ind w:right="80" w:firstLine="324"/>
        <w:spacing w:after="0" w:line="293" w:lineRule="auto"/>
        <w:rPr>
          <w:sz w:val="20"/>
          <w:szCs w:val="20"/>
          <w:color w:val="auto"/>
        </w:rPr>
      </w:pPr>
      <w:r>
        <w:rPr>
          <w:rFonts w:ascii="Arial" w:cs="Arial" w:eastAsia="Arial" w:hAnsi="Arial"/>
          <w:sz w:val="18"/>
          <w:szCs w:val="18"/>
          <w:color w:val="auto"/>
        </w:rPr>
        <w:t>The Company computes its tax provision for interim periods by applying the estimated annual effective tax rate to year-to-date income from recurring operations and adjusting for discrete items arising in that quarter.</w:t>
      </w:r>
    </w:p>
    <w:p>
      <w:pPr>
        <w:spacing w:after="0" w:line="116" w:lineRule="exact"/>
        <w:rPr>
          <w:sz w:val="20"/>
          <w:szCs w:val="20"/>
          <w:color w:val="auto"/>
        </w:rPr>
      </w:pPr>
    </w:p>
    <w:p>
      <w:pPr>
        <w:ind w:right="380" w:firstLine="324"/>
        <w:spacing w:after="0" w:line="279" w:lineRule="auto"/>
        <w:rPr>
          <w:sz w:val="20"/>
          <w:szCs w:val="20"/>
          <w:color w:val="auto"/>
        </w:rPr>
      </w:pPr>
      <w:r>
        <w:rPr>
          <w:rFonts w:ascii="Arial" w:cs="Arial" w:eastAsia="Arial" w:hAnsi="Arial"/>
          <w:sz w:val="18"/>
          <w:szCs w:val="18"/>
          <w:color w:val="auto"/>
        </w:rPr>
        <w:t>The Company’s effective tax rates on pre-tax income were (2.1%) and (9.8)% for the six months ended June 30, 2020 and 2021 (unaudited), respectively. The difference between the effective tax rate and the U.S. federal statutory rate of 21% in both periods was primarily the result of foreign income taxed at different rates and changes in the Company’s U.S. valuation allowance.</w:t>
      </w:r>
    </w:p>
    <w:p>
      <w:pPr>
        <w:spacing w:after="0" w:line="1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8"/>
          <w:szCs w:val="18"/>
          <w:color w:val="auto"/>
        </w:rPr>
        <w:t>The Company maintains a full valuation allowance against the U.S. net deferred tax assets, as it believes that these deferred tax assets do not meet the more likely than not threshold.</w:t>
      </w:r>
    </w:p>
    <w:p>
      <w:pPr>
        <w:spacing w:after="0" w:line="116" w:lineRule="exact"/>
        <w:rPr>
          <w:sz w:val="20"/>
          <w:szCs w:val="20"/>
          <w:color w:val="auto"/>
        </w:rPr>
      </w:pPr>
    </w:p>
    <w:p>
      <w:pPr>
        <w:ind w:right="280" w:firstLine="324"/>
        <w:spacing w:after="0" w:line="293"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internationally. As of June 30, 2021, tax years 2011 through 2020 remain open for examination by taxing authorities.</w:t>
      </w:r>
    </w:p>
    <w:p>
      <w:pPr>
        <w:spacing w:after="0" w:line="116" w:lineRule="exact"/>
        <w:rPr>
          <w:sz w:val="20"/>
          <w:szCs w:val="20"/>
          <w:color w:val="auto"/>
        </w:rPr>
      </w:pPr>
    </w:p>
    <w:p>
      <w:pPr>
        <w:ind w:right="340" w:firstLine="324"/>
        <w:spacing w:after="0" w:line="279" w:lineRule="auto"/>
        <w:rPr>
          <w:sz w:val="20"/>
          <w:szCs w:val="20"/>
          <w:color w:val="auto"/>
        </w:rPr>
      </w:pPr>
      <w:r>
        <w:rPr>
          <w:rFonts w:ascii="Arial" w:cs="Arial" w:eastAsia="Arial" w:hAnsi="Arial"/>
          <w:sz w:val="18"/>
          <w:szCs w:val="18"/>
          <w:color w:val="auto"/>
        </w:rPr>
        <w:t>The Company has applied ASC 740, Income Taxes, and has determined that it has no uncertain tax positions during the six months ended June 30, 2020 and 2021 (unaudited). The Company recognizes interest and, if applicable, penalties for any uncertain tax positions. Interest and penalties are recorded as a component of income tax expense.</w:t>
      </w:r>
    </w:p>
    <w:p>
      <w:pPr>
        <w:spacing w:after="0" w:line="129" w:lineRule="exact"/>
        <w:rPr>
          <w:sz w:val="20"/>
          <w:szCs w:val="20"/>
          <w:color w:val="auto"/>
        </w:rPr>
      </w:pPr>
    </w:p>
    <w:p>
      <w:pPr>
        <w:ind w:right="660" w:firstLine="324"/>
        <w:spacing w:after="0" w:line="293" w:lineRule="auto"/>
        <w:rPr>
          <w:sz w:val="20"/>
          <w:szCs w:val="20"/>
          <w:color w:val="auto"/>
        </w:rPr>
      </w:pPr>
      <w:r>
        <w:rPr>
          <w:rFonts w:ascii="Arial" w:cs="Arial" w:eastAsia="Arial" w:hAnsi="Arial"/>
          <w:sz w:val="18"/>
          <w:szCs w:val="18"/>
          <w:color w:val="auto"/>
        </w:rPr>
        <w:t>The CARES Act did not have a material impact on the Company’s provision for income taxes for the six months ended June 30, 2020 or 2021 (unaudited).</w:t>
      </w:r>
    </w:p>
    <w:p>
      <w:pPr>
        <w:spacing w:after="0" w:line="98"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401(k) Defined Contribution Plan</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$0.1 million and $0.2 million to the 401(k) plan during the years ended December 31, 2019 and 2020, respectively. The Company may also make discretionary profit-sharing contributions. No profit-sharing contributions were made during the years ended December 31, 2019 and 2020.</w:t>
      </w:r>
    </w:p>
    <w:p>
      <w:pPr>
        <w:spacing w:after="0" w:line="122" w:lineRule="exact"/>
        <w:rPr>
          <w:sz w:val="20"/>
          <w:szCs w:val="20"/>
          <w:color w:val="auto"/>
        </w:rPr>
      </w:pPr>
    </w:p>
    <w:p>
      <w:pPr>
        <w:ind w:right="460" w:firstLine="324"/>
        <w:spacing w:after="0" w:line="293" w:lineRule="auto"/>
        <w:rPr>
          <w:sz w:val="20"/>
          <w:szCs w:val="20"/>
          <w:color w:val="auto"/>
        </w:rPr>
      </w:pPr>
      <w:r>
        <w:rPr>
          <w:rFonts w:ascii="Arial" w:cs="Arial" w:eastAsia="Arial" w:hAnsi="Arial"/>
          <w:sz w:val="18"/>
          <w:szCs w:val="18"/>
          <w:color w:val="auto"/>
        </w:rPr>
        <w:t>The Company contributed $0.2 million to the 401(k) plan for each of the six months ended June 30, 2020 and 2021 (unaudited), respectively. No profit-sharing contributions were made during the six months ended June 30, 2020 and 2021 (unaudited).</w:t>
      </w:r>
    </w:p>
    <w:p>
      <w:pPr>
        <w:spacing w:after="0" w:line="98" w:lineRule="exact"/>
        <w:rPr>
          <w:sz w:val="20"/>
          <w:szCs w:val="20"/>
          <w:color w:val="auto"/>
        </w:rPr>
      </w:pPr>
    </w:p>
    <w:p>
      <w:pPr>
        <w:ind w:right="8020" w:firstLine="8"/>
        <w:spacing w:after="0" w:line="504" w:lineRule="auto"/>
        <w:tabs>
          <w:tab w:leader="none" w:pos="643"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Guarantees and Indemnification</w:t>
      </w:r>
    </w:p>
    <w:p>
      <w:pPr>
        <w:spacing w:after="0" w:line="1" w:lineRule="exact"/>
        <w:rPr>
          <w:sz w:val="20"/>
          <w:szCs w:val="20"/>
          <w:color w:val="auto"/>
        </w:rPr>
      </w:pPr>
    </w:p>
    <w:p>
      <w:pPr>
        <w:ind w:right="20" w:firstLine="324"/>
        <w:spacing w:after="0" w:line="272" w:lineRule="auto"/>
        <w:rPr>
          <w:sz w:val="20"/>
          <w:szCs w:val="20"/>
          <w:color w:val="auto"/>
        </w:rPr>
      </w:pPr>
      <w:r>
        <w:rPr>
          <w:rFonts w:ascii="Arial" w:cs="Arial" w:eastAsia="Arial" w:hAnsi="Arial"/>
          <w:sz w:val="18"/>
          <w:szCs w:val="18"/>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2019 and 2020 and June 30, 2020 and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89" w:lineRule="exact"/>
        <w:rPr>
          <w:sz w:val="20"/>
          <w:szCs w:val="20"/>
          <w:color w:val="auto"/>
        </w:rPr>
      </w:pPr>
    </w:p>
    <w:p>
      <w:pPr>
        <w:ind w:right="300" w:firstLine="324"/>
        <w:spacing w:after="0" w:line="292" w:lineRule="auto"/>
        <w:rPr>
          <w:sz w:val="20"/>
          <w:szCs w:val="20"/>
          <w:color w:val="auto"/>
        </w:rPr>
      </w:pPr>
      <w:r>
        <w:rPr>
          <w:rFonts w:ascii="Arial" w:cs="Arial" w:eastAsia="Arial" w:hAnsi="Arial"/>
          <w:sz w:val="17"/>
          <w:szCs w:val="17"/>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December 31, 2019 and 2020 and June 30, 2020 and 2021 (unaudited).</w:t>
      </w:r>
    </w:p>
    <w:p>
      <w:pPr>
        <w:spacing w:after="0" w:line="103"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480" w:firstLine="324"/>
        <w:spacing w:after="0" w:line="293" w:lineRule="auto"/>
        <w:rPr>
          <w:sz w:val="20"/>
          <w:szCs w:val="20"/>
          <w:color w:val="auto"/>
        </w:rPr>
      </w:pPr>
      <w:r>
        <w:rPr>
          <w:rFonts w:ascii="Arial" w:cs="Arial" w:eastAsia="Arial" w:hAnsi="Arial"/>
          <w:sz w:val="18"/>
          <w:szCs w:val="18"/>
          <w:color w:val="auto"/>
        </w:rPr>
        <w:t>The Company leases office space in all of its locations under non-cancelable operating leases with various expiration dates through 2024. Tenant improvement allowance received for the leases in place as of December 31, 2020 totaled $1.8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lease term, and discount rate for operating leases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right"/>
              <w:ind w:right="177"/>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6"/>
                <w:szCs w:val="16"/>
                <w:color w:val="auto"/>
              </w:rPr>
            </w:pPr>
          </w:p>
        </w:tc>
      </w:tr>
      <w:tr>
        <w:trPr>
          <w:trHeight w:val="26"/>
        </w:trPr>
        <w:tc>
          <w:tcPr>
            <w:tcW w:w="7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8"/>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7"/>
                <w:szCs w:val="17"/>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 (in thousands)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8"/>
              </w:rPr>
              <w:t>3,202</w:t>
            </w:r>
          </w:p>
        </w:tc>
      </w:tr>
      <w:tr>
        <w:trPr>
          <w:trHeight w:val="257"/>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392"/>
        </w:trPr>
        <w:tc>
          <w:tcPr>
            <w:tcW w:w="7780" w:type="dxa"/>
            <w:vAlign w:val="bottom"/>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3"/>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2"/>
              </w:rPr>
              <w:t>Years Ended December 31,</w:t>
            </w:r>
          </w:p>
        </w:tc>
        <w:tc>
          <w:tcPr>
            <w:tcW w:w="640" w:type="dxa"/>
            <w:vAlign w:val="bottom"/>
          </w:tcPr>
          <w:p>
            <w:pPr>
              <w:spacing w:after="0"/>
              <w:rPr>
                <w:sz w:val="24"/>
                <w:szCs w:val="24"/>
                <w:color w:val="auto"/>
              </w:rPr>
            </w:pPr>
          </w:p>
        </w:tc>
      </w:tr>
      <w:tr>
        <w:trPr>
          <w:trHeight w:val="25"/>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8"/>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7"/>
                <w:szCs w:val="17"/>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Cash payments (receipts) included in the measurement of operating lease liabilities – operating cash flows</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392"/>
        </w:trPr>
        <w:tc>
          <w:tcPr>
            <w:tcW w:w="7780" w:type="dxa"/>
            <w:vAlign w:val="bottom"/>
          </w:tcPr>
          <w:p>
            <w:pPr>
              <w:ind w:left="340"/>
              <w:spacing w:after="0"/>
              <w:rPr>
                <w:sz w:val="20"/>
                <w:szCs w:val="20"/>
                <w:color w:val="auto"/>
              </w:rPr>
            </w:pPr>
            <w:r>
              <w:rPr>
                <w:rFonts w:ascii="Arial" w:cs="Arial" w:eastAsia="Arial" w:hAnsi="Arial"/>
                <w:sz w:val="18"/>
                <w:szCs w:val="18"/>
                <w:color w:val="auto"/>
                <w:w w:val="91"/>
              </w:rPr>
              <w:t>The following table represents the maturity of lease liabilities as of December 31, 2020 (in thousands):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9"/>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r>
      <w:tr>
        <w:trPr>
          <w:trHeight w:val="257"/>
        </w:trPr>
        <w:tc>
          <w:tcPr>
            <w:tcW w:w="778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57"/>
        </w:trPr>
        <w:tc>
          <w:tcPr>
            <w:tcW w:w="77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7,331</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8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77"/>
        </w:trPr>
        <w:tc>
          <w:tcPr>
            <w:tcW w:w="7780" w:type="dxa"/>
            <w:vAlign w:val="bottom"/>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6,967</w:t>
            </w:r>
          </w:p>
        </w:tc>
      </w:tr>
      <w:tr>
        <w:trPr>
          <w:trHeight w:val="20"/>
        </w:trPr>
        <w:tc>
          <w:tcPr>
            <w:tcW w:w="7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Geographical Information</w:t>
      </w:r>
    </w:p>
    <w:p>
      <w:pPr>
        <w:spacing w:after="0" w:line="1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8"/>
          <w:szCs w:val="18"/>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they are affected by economic factors are most appropriately depicted through its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240"/>
          </w:cols>
          <w:pgMar w:left="320" w:top="1440" w:right="339" w:bottom="1440" w:gutter="0" w:footer="0" w:header="0"/>
          <w:type w:val="continuous"/>
        </w:sectPr>
      </w:pPr>
    </w:p>
    <w:bookmarkStart w:id="239" w:name="page240"/>
    <w:bookmarkEnd w:id="239"/>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revenue disaggregated by primary geographical location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6"/>
                <w:szCs w:val="16"/>
                <w:color w:val="auto"/>
              </w:rPr>
            </w:pPr>
          </w:p>
        </w:tc>
        <w:tc>
          <w:tcPr>
            <w:tcW w:w="28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5"/>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105,356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149,843</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29,871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10,591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24,955</w:t>
            </w:r>
          </w:p>
        </w:tc>
      </w:tr>
      <w:tr>
        <w:trPr>
          <w:trHeight w:val="27"/>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27,308</w:t>
            </w:r>
          </w:p>
        </w:tc>
      </w:tr>
      <w:tr>
        <w:trPr>
          <w:trHeight w:val="277"/>
        </w:trPr>
        <w:tc>
          <w:tcPr>
            <w:tcW w:w="45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126,567</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256,956</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105,149</w:t>
            </w:r>
          </w:p>
        </w:tc>
        <w:tc>
          <w:tcPr>
            <w:tcW w:w="12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202,106</w:t>
            </w:r>
          </w:p>
        </w:tc>
      </w:tr>
      <w:tr>
        <w:trPr>
          <w:trHeight w:val="21"/>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is attributed to the country in which the customer is located.</w:t>
      </w:r>
    </w:p>
    <w:p>
      <w:pPr>
        <w:spacing w:after="0" w:line="185" w:lineRule="exact"/>
        <w:rPr>
          <w:sz w:val="20"/>
          <w:szCs w:val="20"/>
          <w:color w:val="auto"/>
        </w:rPr>
      </w:pPr>
    </w:p>
    <w:p>
      <w:pPr>
        <w:ind w:right="360" w:firstLine="324"/>
        <w:spacing w:after="0" w:line="293" w:lineRule="auto"/>
        <w:rPr>
          <w:sz w:val="20"/>
          <w:szCs w:val="20"/>
          <w:color w:val="auto"/>
        </w:rPr>
      </w:pPr>
      <w:r>
        <w:rPr>
          <w:rFonts w:ascii="Arial" w:cs="Arial" w:eastAsia="Arial" w:hAnsi="Arial"/>
          <w:sz w:val="18"/>
          <w:szCs w:val="18"/>
          <w:color w:val="auto"/>
        </w:rPr>
        <w:t>The following table summarizes the Company’s long-lived assets based on geography, which consist of property and equipment, net and operating lease right-of-use assets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center"/>
              <w:ind w:right="217"/>
              <w:spacing w:after="0"/>
              <w:rPr>
                <w:sz w:val="20"/>
                <w:szCs w:val="20"/>
                <w:color w:val="auto"/>
              </w:rPr>
            </w:pPr>
            <w:r>
              <w:rPr>
                <w:rFonts w:ascii="Arial" w:cs="Arial" w:eastAsia="Arial" w:hAnsi="Arial"/>
                <w:sz w:val="14"/>
                <w:szCs w:val="14"/>
                <w:b w:val="1"/>
                <w:bCs w:val="1"/>
                <w:color w:val="auto"/>
                <w:w w:val="90"/>
              </w:rPr>
              <w:t>As of June 30,</w:t>
            </w:r>
          </w:p>
        </w:tc>
      </w:tr>
      <w:tr>
        <w:trPr>
          <w:trHeight w:val="26"/>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7"/>
        </w:trPr>
        <w:tc>
          <w:tcPr>
            <w:tcW w:w="59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8"/>
        </w:trPr>
        <w:tc>
          <w:tcPr>
            <w:tcW w:w="5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8,072</w:t>
            </w:r>
          </w:p>
        </w:tc>
      </w:tr>
      <w:tr>
        <w:trPr>
          <w:trHeight w:val="257"/>
        </w:trPr>
        <w:tc>
          <w:tcPr>
            <w:tcW w:w="598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2,347</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Nicaragua</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r>
      <w:tr>
        <w:trPr>
          <w:trHeight w:val="257"/>
        </w:trPr>
        <w:tc>
          <w:tcPr>
            <w:tcW w:w="5980" w:type="dxa"/>
            <w:vAlign w:val="bottom"/>
          </w:tcPr>
          <w:p>
            <w:pPr>
              <w:ind w:left="20"/>
              <w:spacing w:after="0"/>
              <w:rPr>
                <w:sz w:val="20"/>
                <w:szCs w:val="20"/>
                <w:color w:val="auto"/>
              </w:rPr>
            </w:pPr>
            <w:r>
              <w:rPr>
                <w:rFonts w:ascii="Arial" w:cs="Arial" w:eastAsia="Arial" w:hAnsi="Arial"/>
                <w:sz w:val="18"/>
                <w:szCs w:val="18"/>
                <w:color w:val="auto"/>
              </w:rPr>
              <w:t>Rest of world</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0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15,811</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Long-lived assets are attributed to the country in which the assets are located or owned.</w:t>
      </w:r>
    </w:p>
    <w:p>
      <w:pPr>
        <w:spacing w:after="0" w:line="167"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As of June 30,</w:t>
            </w:r>
          </w:p>
        </w:tc>
      </w:tr>
      <w:tr>
        <w:trPr>
          <w:trHeight w:val="25"/>
        </w:trPr>
        <w:tc>
          <w:tcPr>
            <w:tcW w:w="6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8"/>
        </w:trPr>
        <w:tc>
          <w:tcPr>
            <w:tcW w:w="6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r>
      <w:tr>
        <w:trPr>
          <w:trHeight w:val="25"/>
        </w:trPr>
        <w:tc>
          <w:tcPr>
            <w:tcW w:w="6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8"/>
        </w:trPr>
        <w:tc>
          <w:tcPr>
            <w:tcW w:w="6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(unaudited)</w:t>
            </w:r>
          </w:p>
        </w:tc>
      </w:tr>
      <w:tr>
        <w:trPr>
          <w:trHeight w:val="25"/>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settlement liability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11,009</w:t>
            </w:r>
          </w:p>
        </w:tc>
      </w:t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Accrued transaction expense</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9,964</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marketing expense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Reserve for transaction losses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13,869</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right="200" w:firstLine="324"/>
        <w:spacing w:after="0" w:line="293" w:lineRule="auto"/>
        <w:rPr>
          <w:sz w:val="20"/>
          <w:szCs w:val="20"/>
          <w:color w:val="auto"/>
        </w:rPr>
      </w:pPr>
      <w:r>
        <w:rPr>
          <w:rFonts w:ascii="Arial" w:cs="Arial" w:eastAsia="Arial" w:hAnsi="Arial"/>
          <w:sz w:val="18"/>
          <w:szCs w:val="18"/>
          <w:color w:val="auto"/>
        </w:rPr>
        <w:t>The Company has evaluated subsequent events through April 1, 2021, the date on which these consolidated financial statements were available to be issued.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Authorized Common Shares and Equity Plan Option Pool</w:t>
      </w:r>
    </w:p>
    <w:p>
      <w:pPr>
        <w:spacing w:after="0" w:line="189"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8"/>
          <w:szCs w:val="18"/>
          <w:color w:val="auto"/>
        </w:rPr>
        <w:t>In February 2021, the Company’s board of directors approved to increase the number of authorized shares of common stock that can be issued upon the exercise of incentive stock options from 103,799,031 to 131,699,031 shares. In addition, the Company’s board of directors approved to increase the total number of shares of common stock reserved under the Equity Plan by 8,300,000 shares.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240"/>
          </w:cols>
          <w:pgMar w:left="320" w:top="1440" w:right="339" w:bottom="1440" w:gutter="0" w:footer="0" w:header="0"/>
          <w:type w:val="continuous"/>
        </w:sectPr>
      </w:pPr>
    </w:p>
    <w:bookmarkStart w:id="240" w:name="page241"/>
    <w:bookmarkEnd w:id="240"/>
    <w:p>
      <w:pPr>
        <w:spacing w:after="0" w:line="140"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89" w:lineRule="exact"/>
        <w:rPr>
          <w:sz w:val="20"/>
          <w:szCs w:val="20"/>
          <w:color w:val="auto"/>
        </w:rPr>
      </w:pPr>
    </w:p>
    <w:p>
      <w:pPr>
        <w:jc w:val="both"/>
        <w:ind w:right="160" w:firstLine="324"/>
        <w:spacing w:after="0" w:line="359" w:lineRule="auto"/>
        <w:rPr>
          <w:sz w:val="20"/>
          <w:szCs w:val="20"/>
          <w:color w:val="auto"/>
        </w:rPr>
      </w:pPr>
      <w:r>
        <w:rPr>
          <w:rFonts w:ascii="Arial" w:cs="Arial" w:eastAsia="Arial" w:hAnsi="Arial"/>
          <w:sz w:val="16"/>
          <w:szCs w:val="16"/>
          <w:color w:val="auto"/>
        </w:rPr>
        <w:t>In preparing the unaudited consolidated financial statements as of June 30, 2021 and for the six months ended June 30, 2020 and 2021, the Company has evaluated subsequent events through August 30, 2021, the date these unaudited interim consolidated financial statements were available for issuance.</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Repayment of Promissory Note Agreements</w:t>
      </w:r>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8"/>
          <w:szCs w:val="18"/>
          <w:color w:val="auto"/>
        </w:rPr>
        <w:t>On August 23, 2021, the promissory note agreements entered into in October 2018 with two executive employees, as described in Note 11, were repaid in full, including amounts owed for accrued interest. The total repayment was approximately $3.3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Revolving Credit Facility</w:t>
      </w:r>
    </w:p>
    <w:p>
      <w:pPr>
        <w:spacing w:after="0" w:line="185" w:lineRule="exact"/>
        <w:rPr>
          <w:sz w:val="20"/>
          <w:szCs w:val="20"/>
          <w:color w:val="auto"/>
        </w:rPr>
      </w:pPr>
    </w:p>
    <w:p>
      <w:pPr>
        <w:ind w:firstLine="324"/>
        <w:spacing w:after="0" w:line="288" w:lineRule="auto"/>
        <w:rPr>
          <w:sz w:val="20"/>
          <w:szCs w:val="20"/>
          <w:color w:val="auto"/>
        </w:rPr>
      </w:pPr>
      <w:r>
        <w:rPr>
          <w:rFonts w:ascii="Arial" w:cs="Arial" w:eastAsia="Arial" w:hAnsi="Arial"/>
          <w:sz w:val="17"/>
          <w:szCs w:val="17"/>
          <w:color w:val="auto"/>
        </w:rPr>
        <w:t>On September 13, 2021, the Company entered into a new credit agreement (the “New Revolving Credit Facility”) which was used to refinance its existing Credit Agreement. The New Revolving Credit Facility will provide for access to $250 million in revolving borrowings and will have a maturity date of September 2026. Borrowings under the New Revolving Credit Facility accrue interest at a floating rate per annum equal to, at our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In addition, there is an unused commitment fee, which accrues at a rate per annum equal to 0.25% of the unused portion of the revolving commitments, and is payable quarterly.</w:t>
      </w:r>
    </w:p>
    <w:p>
      <w:pPr>
        <w:spacing w:after="0" w:line="127" w:lineRule="exact"/>
        <w:rPr>
          <w:sz w:val="20"/>
          <w:szCs w:val="20"/>
          <w:color w:val="auto"/>
        </w:rPr>
      </w:pPr>
    </w:p>
    <w:p>
      <w:pPr>
        <w:ind w:right="80" w:firstLine="324"/>
        <w:spacing w:after="0" w:line="270" w:lineRule="auto"/>
        <w:rPr>
          <w:sz w:val="20"/>
          <w:szCs w:val="20"/>
          <w:color w:val="auto"/>
        </w:rPr>
      </w:pPr>
      <w:r>
        <w:rPr>
          <w:rFonts w:ascii="Arial" w:cs="Arial" w:eastAsia="Arial" w:hAnsi="Arial"/>
          <w:sz w:val="18"/>
          <w:szCs w:val="18"/>
          <w:color w:val="auto"/>
        </w:rPr>
        <w:t>The New Revolving Credit Facility contains customary conditions to borrowing, events of default and covenants, including covenants that restrict our ability to dispose of assets, merge with other entities, incur indebtedness, grant liens, pay dividends or make other distributions to holders of its capital stock, make investments, enter into restrictive agreements or engage in transactions with affiliates. Financial covenants in the New Revolving Credit Facility include (1) a requirement to maintain a minimum Adjusted Quick Ratio of 1.50:1.00, which is tested quarterly, (2) prior to consummation of a qualified IPO, a requirement to maintain a minimum trailing twelve month Consolidated Adjusted EBITDA at levels that vary over time, which is tested quarterly and (3) upon and after consummation of a qualified IPO, a requirement to maintain a minimum Liquidity of $100.0 million, which is tested quarterly.</w:t>
      </w:r>
    </w:p>
    <w:p>
      <w:pPr>
        <w:spacing w:after="0" w:line="138" w:lineRule="exact"/>
        <w:rPr>
          <w:sz w:val="20"/>
          <w:szCs w:val="20"/>
          <w:color w:val="auto"/>
        </w:rPr>
      </w:pPr>
    </w:p>
    <w:p>
      <w:pPr>
        <w:ind w:firstLine="324"/>
        <w:spacing w:after="0" w:line="303" w:lineRule="auto"/>
        <w:rPr>
          <w:sz w:val="20"/>
          <w:szCs w:val="20"/>
          <w:color w:val="auto"/>
        </w:rPr>
      </w:pPr>
      <w:r>
        <w:rPr>
          <w:rFonts w:ascii="Arial" w:cs="Arial" w:eastAsia="Arial" w:hAnsi="Arial"/>
          <w:sz w:val="17"/>
          <w:szCs w:val="17"/>
          <w:color w:val="auto"/>
        </w:rPr>
        <w:t>The obligations under the New Revolving Credit Facility are guaranteed by us and our material domestic subsidiaries,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1440" w:right="359" w:bottom="1440"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lvl w:ilvl="1">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lvl w:ilvl="1">
      <w:lvlJc w:val="left"/>
      <w:lvlText w:val="◦"/>
      <w:numFmt w:val="bullet"/>
      <w:start w:val="1"/>
    </w:lvl>
  </w:abstractNum>
  <w:abstractNum w:abstractNumId="11">
    <w:nsid w:val="71EA1109"/>
    <w:multiLevelType w:val="hybridMultilevel"/>
    <w:lvl w:ilvl="0">
      <w:lvlJc w:val="left"/>
      <w:lvlText w:val="1"/>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2"/>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1)"/>
      <w:numFmt w:val="decimal"/>
      <w:start w:val="3"/>
    </w:lvl>
  </w:abstractNum>
  <w:abstractNum w:abstractNumId="27">
    <w:nsid w:val="4A2AC315"/>
    <w:multiLevelType w:val="hybridMultilevel"/>
    <w:lvl w:ilvl="0">
      <w:lvlJc w:val="left"/>
      <w:lvlText w:val="(%1)"/>
      <w:numFmt w:val="decimal"/>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
      <w:numFmt w:val="bullet"/>
      <w:start w:val="1"/>
    </w:lvl>
    <w:lvl w:ilvl="1">
      <w:lvlJc w:val="left"/>
      <w:lvlText w:val="◦"/>
      <w:numFmt w:val="bullet"/>
      <w:start w:val="1"/>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1)"/>
      <w:numFmt w:val="decimal"/>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
      <w:numFmt w:val="bullet"/>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1)"/>
      <w:numFmt w:val="decimal"/>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1)"/>
      <w:numFmt w:val="decimal"/>
      <w:start w:val="1"/>
    </w:lvl>
  </w:abstractNum>
  <w:abstractNum w:abstractNumId="60">
    <w:nsid w:val="288F1A34"/>
    <w:multiLevelType w:val="hybridMultilevel"/>
    <w:lvl w:ilvl="0">
      <w:lvlJc w:val="left"/>
      <w:lvlText w:val="(%1)"/>
      <w:numFmt w:val="lowerRoman"/>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
      <w:numFmt w:val="bullet"/>
      <w:start w:val="1"/>
    </w:lvl>
  </w:abstractNum>
  <w:abstractNum w:abstractNumId="63">
    <w:nsid w:val="97E1B4E"/>
    <w:multiLevelType w:val="hybridMultilevel"/>
    <w:lvl w:ilvl="0">
      <w:lvlJc w:val="left"/>
      <w:lvlText w:val="•"/>
      <w:numFmt w:val="bullet"/>
      <w:start w:val="1"/>
    </w:lvl>
  </w:abstractNum>
  <w:abstractNum w:abstractNumId="64">
    <w:nsid w:val="51088277"/>
    <w:multiLevelType w:val="hybridMultilevel"/>
    <w:lvl w:ilvl="0">
      <w:lvlJc w:val="left"/>
      <w:lvlText w:val="•"/>
      <w:numFmt w:val="bullet"/>
      <w:start w:val="1"/>
    </w:lvl>
  </w:abstractNum>
  <w:abstractNum w:abstractNumId="65">
    <w:nsid w:val="1CA0C5FA"/>
    <w:multiLevelType w:val="hybridMultilevel"/>
    <w:lvl w:ilvl="0">
      <w:lvlJc w:val="left"/>
      <w:lvlText w:val="•"/>
      <w:numFmt w:val="bullet"/>
      <w:start w:val="1"/>
    </w:lvl>
    <w:lvl w:ilvl="1">
      <w:lvlJc w:val="left"/>
      <w:lvlText w:val="◦"/>
      <w:numFmt w:val="bullet"/>
      <w:start w:val="1"/>
    </w:lvl>
  </w:abstractNum>
  <w:abstractNum w:abstractNumId="66">
    <w:nsid w:val="53584BCB"/>
    <w:multiLevelType w:val="hybridMultilevel"/>
    <w:lvl w:ilvl="0">
      <w:lvlJc w:val="left"/>
      <w:lvlText w:val="•"/>
      <w:numFmt w:val="bullet"/>
      <w:start w:val="1"/>
    </w:lvl>
  </w:abstractNum>
  <w:abstractNum w:abstractNumId="67">
    <w:nsid w:val="415E286C"/>
    <w:multiLevelType w:val="hybridMultilevel"/>
    <w:lvl w:ilvl="0">
      <w:lvlJc w:val="left"/>
      <w:lvlText w:val="•"/>
      <w:numFmt w:val="bullet"/>
      <w:start w:val="1"/>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
      <w:numFmt w:val="bullet"/>
      <w:start w:val="1"/>
    </w:lvl>
  </w:abstractNum>
  <w:abstractNum w:abstractNumId="70">
    <w:nsid w:val="45E6D486"/>
    <w:multiLevelType w:val="hybridMultilevel"/>
    <w:lvl w:ilvl="0">
      <w:lvlJc w:val="left"/>
      <w:lvlText w:val="•"/>
      <w:numFmt w:val="bullet"/>
      <w:start w:val="1"/>
    </w:lvl>
  </w:abstractNum>
  <w:abstractNum w:abstractNumId="71">
    <w:nsid w:val="5C10FE21"/>
    <w:multiLevelType w:val="hybridMultilevel"/>
    <w:lvl w:ilvl="0">
      <w:lvlJc w:val="left"/>
      <w:lvlText w:val="•"/>
      <w:numFmt w:val="bullet"/>
      <w:start w:val="1"/>
    </w:lvl>
  </w:abstractNum>
  <w:abstractNum w:abstractNumId="72">
    <w:nsid w:val="E7FFA2B"/>
    <w:multiLevelType w:val="hybridMultilevel"/>
    <w:lvl w:ilvl="0">
      <w:lvlJc w:val="left"/>
      <w:lvlText w:val="•"/>
      <w:numFmt w:val="bullet"/>
      <w:start w:val="1"/>
    </w:lvl>
  </w:abstractNum>
  <w:abstractNum w:abstractNumId="73">
    <w:nsid w:val="3C5991AA"/>
    <w:multiLevelType w:val="hybridMultilevel"/>
    <w:lvl w:ilvl="0">
      <w:lvlJc w:val="left"/>
      <w:lvlText w:val="•"/>
      <w:numFmt w:val="bullet"/>
      <w:start w:val="1"/>
    </w:lvl>
  </w:abstractNum>
  <w:abstractNum w:abstractNumId="74">
    <w:nsid w:val="4BD8591A"/>
    <w:multiLevelType w:val="hybridMultilevel"/>
    <w:lvl w:ilvl="0">
      <w:lvlJc w:val="left"/>
      <w:lvlText w:val="•"/>
      <w:numFmt w:val="bullet"/>
      <w:start w:val="1"/>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
      <w:numFmt w:val="bullet"/>
      <w:start w:val="1"/>
    </w:lvl>
  </w:abstractNum>
  <w:abstractNum w:abstractNumId="77">
    <w:nsid w:val="2B0D8DBE"/>
    <w:multiLevelType w:val="hybridMultilevel"/>
    <w:lvl w:ilvl="0">
      <w:lvlJc w:val="left"/>
      <w:lvlText w:val="•"/>
      <w:numFmt w:val="bullet"/>
      <w:start w:val="1"/>
    </w:lvl>
  </w:abstractNum>
  <w:abstractNum w:abstractNumId="78">
    <w:nsid w:val="6C80EC70"/>
    <w:multiLevelType w:val="hybridMultilevel"/>
    <w:lvl w:ilvl="0">
      <w:lvlJc w:val="left"/>
      <w:lvlText w:val="•"/>
      <w:numFmt w:val="bullet"/>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
      <w:numFmt w:val="bullet"/>
      <w:start w:val="1"/>
    </w:lvl>
  </w:abstractNum>
  <w:abstractNum w:abstractNumId="81">
    <w:nsid w:val="2C27173B"/>
    <w:multiLevelType w:val="hybridMultilevel"/>
    <w:lvl w:ilvl="0">
      <w:lvlJc w:val="left"/>
      <w:lvlText w:val="•"/>
      <w:numFmt w:val="bullet"/>
      <w:start w:val="1"/>
    </w:lvl>
    <w:lvl w:ilvl="1">
      <w:lvlJc w:val="left"/>
      <w:lvlText w:val="◦"/>
      <w:numFmt w:val="bullet"/>
      <w:start w:val="1"/>
    </w:lvl>
  </w:abstractNum>
  <w:abstractNum w:abstractNumId="82">
    <w:nsid w:val="4C9B0904"/>
    <w:multiLevelType w:val="hybridMultilevel"/>
    <w:lvl w:ilvl="0">
      <w:lvlJc w:val="left"/>
      <w:lvlText w:val="•"/>
      <w:numFmt w:val="bullet"/>
      <w:start w:val="1"/>
    </w:lvl>
    <w:lvl w:ilvl="1">
      <w:lvlJc w:val="left"/>
      <w:lvlText w:val="◦"/>
      <w:numFmt w:val="bullet"/>
      <w:start w:val="1"/>
    </w:lvl>
  </w:abstractNum>
  <w:abstractNum w:abstractNumId="83">
    <w:nsid w:val="6AA7B75C"/>
    <w:multiLevelType w:val="hybridMultilevel"/>
    <w:lvl w:ilvl="0">
      <w:lvlJc w:val="left"/>
      <w:lvlText w:val="3"/>
      <w:numFmt w:val="bullet"/>
      <w:start w:val="1"/>
    </w:lvl>
  </w:abstractNum>
  <w:abstractNum w:abstractNumId="84">
    <w:nsid w:val="1DF029D3"/>
    <w:multiLevelType w:val="hybridMultilevel"/>
    <w:lvl w:ilvl="0">
      <w:lvlJc w:val="left"/>
      <w:lvlText w:val="4"/>
      <w:numFmt w:val="bullet"/>
      <w:start w:val="1"/>
    </w:lvl>
  </w:abstractNum>
  <w:abstractNum w:abstractNumId="85">
    <w:nsid w:val="5675FF36"/>
    <w:multiLevelType w:val="hybridMultilevel"/>
    <w:lvl w:ilvl="0">
      <w:lvlJc w:val="left"/>
      <w:lvlText w:val="•"/>
      <w:numFmt w:val="bullet"/>
      <w:start w:val="1"/>
    </w:lvl>
  </w:abstractNum>
  <w:abstractNum w:abstractNumId="86">
    <w:nsid w:val="3DD15094"/>
    <w:multiLevelType w:val="hybridMultilevel"/>
    <w:lvl w:ilvl="0">
      <w:lvlJc w:val="left"/>
      <w:lvlText w:val="•"/>
      <w:numFmt w:val="bullet"/>
      <w:start w:val="1"/>
    </w:lvl>
  </w:abstractNum>
  <w:abstractNum w:abstractNumId="87">
    <w:nsid w:val="3DB012B3"/>
    <w:multiLevelType w:val="hybridMultilevel"/>
    <w:lvl w:ilvl="0">
      <w:lvlJc w:val="left"/>
      <w:lvlText w:val="•"/>
      <w:numFmt w:val="bullet"/>
      <w:start w:val="1"/>
    </w:lvl>
    <w:lvl w:ilvl="1">
      <w:lvlJc w:val="left"/>
      <w:lvlText w:val="◦"/>
      <w:numFmt w:val="bullet"/>
      <w:start w:val="1"/>
    </w:lvl>
  </w:abstractNum>
  <w:abstractNum w:abstractNumId="88">
    <w:nsid w:val="2708C9AF"/>
    <w:multiLevelType w:val="hybridMultilevel"/>
    <w:lvl w:ilvl="0">
      <w:lvlJc w:val="left"/>
      <w:lvlText w:val="•"/>
      <w:numFmt w:val="bullet"/>
      <w:start w:val="1"/>
    </w:lvl>
    <w:lvl w:ilvl="1">
      <w:lvlJc w:val="left"/>
      <w:lvlText w:val="◦"/>
      <w:numFmt w:val="bullet"/>
      <w:start w:val="1"/>
    </w:lvl>
  </w:abstractNum>
  <w:abstractNum w:abstractNumId="89">
    <w:nsid w:val="5B25ACE2"/>
    <w:multiLevelType w:val="hybridMultilevel"/>
    <w:lvl w:ilvl="0">
      <w:lvlJc w:val="left"/>
      <w:lvlText w:val="(%1)"/>
      <w:numFmt w:val="decimal"/>
      <w:start w:val="1"/>
    </w:lvl>
  </w:abstractNum>
  <w:abstractNum w:abstractNumId="90">
    <w:nsid w:val="175DFCF0"/>
    <w:multiLevelType w:val="hybridMultilevel"/>
    <w:lvl w:ilvl="0">
      <w:lvlJc w:val="left"/>
      <w:lvlText w:val="*"/>
      <w:numFmt w:val="bullet"/>
      <w:start w:val="1"/>
    </w:lvl>
  </w:abstractNum>
  <w:abstractNum w:abstractNumId="91">
    <w:nsid w:val="4F97E3E4"/>
    <w:multiLevelType w:val="hybridMultilevel"/>
    <w:lvl w:ilvl="0">
      <w:lvlJc w:val="left"/>
      <w:lvlText w:val="•"/>
      <w:numFmt w:val="bullet"/>
      <w:start w:val="1"/>
    </w:lvl>
  </w:abstractNum>
  <w:abstractNum w:abstractNumId="92">
    <w:nsid w:val="53B0A9E"/>
    <w:multiLevelType w:val="hybridMultilevel"/>
    <w:lvl w:ilvl="0">
      <w:lvlJc w:val="left"/>
      <w:lvlText w:val="•"/>
      <w:numFmt w:val="bullet"/>
      <w:start w:val="1"/>
    </w:lvl>
  </w:abstractNum>
  <w:abstractNum w:abstractNumId="93">
    <w:nsid w:val="34FD6B4F"/>
    <w:multiLevelType w:val="hybridMultilevel"/>
    <w:lvl w:ilvl="0">
      <w:lvlJc w:val="left"/>
      <w:lvlText w:val="•"/>
      <w:numFmt w:val="bullet"/>
      <w:start w:val="1"/>
    </w:lvl>
  </w:abstractNum>
  <w:abstractNum w:abstractNumId="94">
    <w:nsid w:val="5915FF32"/>
    <w:multiLevelType w:val="hybridMultilevel"/>
    <w:lvl w:ilvl="0">
      <w:lvlJc w:val="left"/>
      <w:lvlText w:val="•"/>
      <w:numFmt w:val="bullet"/>
      <w:start w:val="1"/>
    </w:lvl>
  </w:abstractNum>
  <w:abstractNum w:abstractNumId="95">
    <w:nsid w:val="56438D15"/>
    <w:multiLevelType w:val="hybridMultilevel"/>
    <w:lvl w:ilvl="0">
      <w:lvlJc w:val="left"/>
      <w:lvlText w:val="(%1)"/>
      <w:numFmt w:val="decimal"/>
      <w:start w:val="1"/>
    </w:lvl>
  </w:abstractNum>
  <w:abstractNum w:abstractNumId="96">
    <w:nsid w:val="519E3149"/>
    <w:multiLevelType w:val="hybridMultilevel"/>
    <w:lvl w:ilvl="0">
      <w:lvlJc w:val="left"/>
      <w:lvlText w:val="(%1)"/>
      <w:numFmt w:val="decimal"/>
      <w:start w:val="2"/>
    </w:lvl>
  </w:abstractNum>
  <w:abstractNum w:abstractNumId="97">
    <w:nsid w:val="2C6E4AFD"/>
    <w:multiLevelType w:val="hybridMultilevel"/>
    <w:lvl w:ilvl="0">
      <w:lvlJc w:val="left"/>
      <w:lvlText w:val="•"/>
      <w:numFmt w:val="bullet"/>
      <w:start w:val="1"/>
    </w:lvl>
  </w:abstractNum>
  <w:abstractNum w:abstractNumId="98">
    <w:nsid w:val="17A1B582"/>
    <w:multiLevelType w:val="hybridMultilevel"/>
    <w:lvl w:ilvl="0">
      <w:lvlJc w:val="left"/>
      <w:lvlText w:val="(%1)"/>
      <w:numFmt w:val="decimal"/>
      <w:start w:val="2"/>
    </w:lvl>
  </w:abstractNum>
  <w:abstractNum w:abstractNumId="99">
    <w:nsid w:val="4DF72E4E"/>
    <w:multiLevelType w:val="hybridMultilevel"/>
    <w:lvl w:ilvl="0">
      <w:lvlJc w:val="left"/>
      <w:lvlText w:val="(%1)"/>
      <w:numFmt w:val="decimal"/>
      <w:start w:val="1"/>
    </w:lvl>
  </w:abstractNum>
  <w:abstractNum w:abstractNumId="100">
    <w:nsid w:val="5046B5A9"/>
    <w:multiLevelType w:val="hybridMultilevel"/>
    <w:lvl w:ilvl="0">
      <w:lvlJc w:val="left"/>
      <w:lvlText w:val="(%1)"/>
      <w:numFmt w:val="decimal"/>
      <w:start w:val="1"/>
    </w:lvl>
  </w:abstractNum>
  <w:abstractNum w:abstractNumId="101">
    <w:nsid w:val="5D888A08"/>
    <w:multiLevelType w:val="hybridMultilevel"/>
    <w:lvl w:ilvl="0">
      <w:lvlJc w:val="left"/>
      <w:lvlText w:val="•"/>
      <w:numFmt w:val="bullet"/>
      <w:start w:val="1"/>
    </w:lvl>
  </w:abstractNum>
  <w:abstractNum w:abstractNumId="102">
    <w:nsid w:val="2A082C70"/>
    <w:multiLevelType w:val="hybridMultilevel"/>
    <w:lvl w:ilvl="0">
      <w:lvlJc w:val="left"/>
      <w:lvlText w:val="•"/>
      <w:numFmt w:val="bullet"/>
      <w:start w:val="1"/>
    </w:lvl>
  </w:abstractNum>
  <w:abstractNum w:abstractNumId="103">
    <w:nsid w:val="5EC6AFD4"/>
    <w:multiLevelType w:val="hybridMultilevel"/>
    <w:lvl w:ilvl="0">
      <w:lvlJc w:val="left"/>
      <w:lvlText w:val="•"/>
      <w:numFmt w:val="bullet"/>
      <w:start w:val="1"/>
    </w:lvl>
  </w:abstractNum>
  <w:abstractNum w:abstractNumId="104">
    <w:nsid w:val="19E21BB2"/>
    <w:multiLevelType w:val="hybridMultilevel"/>
    <w:lvl w:ilvl="0">
      <w:lvlJc w:val="left"/>
      <w:lvlText w:val="•"/>
      <w:numFmt w:val="bullet"/>
      <w:start w:val="1"/>
    </w:lvl>
  </w:abstractNum>
  <w:abstractNum w:abstractNumId="105">
    <w:nsid w:val="75E0858A"/>
    <w:multiLevelType w:val="hybridMultilevel"/>
    <w:lvl w:ilvl="0">
      <w:lvlJc w:val="left"/>
      <w:lvlText w:val="•"/>
      <w:numFmt w:val="bullet"/>
      <w:start w:val="1"/>
    </w:lvl>
  </w:abstractNum>
  <w:abstractNum w:abstractNumId="106">
    <w:nsid w:val="57A61A29"/>
    <w:multiLevelType w:val="hybridMultilevel"/>
    <w:lvl w:ilvl="0">
      <w:lvlJc w:val="left"/>
      <w:lvlText w:val="•"/>
      <w:numFmt w:val="bullet"/>
      <w:start w:val="1"/>
    </w:lvl>
  </w:abstractNum>
  <w:abstractNum w:abstractNumId="107">
    <w:nsid w:val="5399C654"/>
    <w:multiLevelType w:val="hybridMultilevel"/>
    <w:lvl w:ilvl="0">
      <w:lvlJc w:val="left"/>
      <w:lvlText w:val="(%1)"/>
      <w:numFmt w:val="decimal"/>
      <w:start w:val="1"/>
    </w:lvl>
  </w:abstractNum>
  <w:abstractNum w:abstractNumId="108">
    <w:nsid w:val="20EE1348"/>
    <w:multiLevelType w:val="hybridMultilevel"/>
    <w:lvl w:ilvl="0">
      <w:lvlJc w:val="left"/>
      <w:lvlText w:val="•"/>
      <w:numFmt w:val="bullet"/>
      <w:start w:val="1"/>
    </w:lvl>
  </w:abstractNum>
  <w:abstractNum w:abstractNumId="109">
    <w:nsid w:val="4427069A"/>
    <w:multiLevelType w:val="hybridMultilevel"/>
    <w:lvl w:ilvl="0">
      <w:lvlJc w:val="left"/>
      <w:lvlText w:val="(%1)"/>
      <w:numFmt w:val="decimal"/>
      <w:start w:val="1"/>
    </w:lvl>
  </w:abstractNum>
  <w:abstractNum w:abstractNumId="110">
    <w:nsid w:val="B37E80A"/>
    <w:multiLevelType w:val="hybridMultilevel"/>
    <w:lvl w:ilvl="0">
      <w:lvlJc w:val="left"/>
      <w:lvlText w:val="(%1)"/>
      <w:numFmt w:val="decimal"/>
      <w:start w:val="1"/>
    </w:lvl>
  </w:abstractNum>
  <w:abstractNum w:abstractNumId="111">
    <w:nsid w:val="2157F6BC"/>
    <w:multiLevelType w:val="hybridMultilevel"/>
    <w:lvl w:ilvl="0">
      <w:lvlJc w:val="left"/>
      <w:lvlText w:val="•"/>
      <w:numFmt w:val="bullet"/>
      <w:start w:val="1"/>
    </w:lvl>
  </w:abstractNum>
  <w:abstractNum w:abstractNumId="112">
    <w:nsid w:val="704E1DD5"/>
    <w:multiLevelType w:val="hybridMultilevel"/>
    <w:lvl w:ilvl="0">
      <w:lvlJc w:val="left"/>
      <w:lvlText w:val="•"/>
      <w:numFmt w:val="bullet"/>
      <w:start w:val="1"/>
    </w:lvl>
  </w:abstractNum>
  <w:abstractNum w:abstractNumId="113">
    <w:nsid w:val="57D2F10E"/>
    <w:multiLevelType w:val="hybridMultilevel"/>
    <w:lvl w:ilvl="0">
      <w:lvlJc w:val="left"/>
      <w:lvlText w:val="(%1)"/>
      <w:numFmt w:val="decimal"/>
      <w:start w:val="1"/>
    </w:lvl>
  </w:abstractNum>
  <w:abstractNum w:abstractNumId="114">
    <w:nsid w:val="BFFAE18"/>
    <w:multiLevelType w:val="hybridMultilevel"/>
    <w:lvl w:ilvl="0">
      <w:lvlJc w:val="left"/>
      <w:lvlText w:val="(%1)"/>
      <w:numFmt w:val="decimal"/>
      <w:start w:val="5"/>
    </w:lvl>
  </w:abstractNum>
  <w:abstractNum w:abstractNumId="115">
    <w:nsid w:val="E3E47A8"/>
    <w:multiLevelType w:val="hybridMultilevel"/>
    <w:lvl w:ilvl="0">
      <w:lvlJc w:val="left"/>
      <w:lvlText w:val="•"/>
      <w:numFmt w:val="bullet"/>
      <w:start w:val="1"/>
    </w:lvl>
  </w:abstractNum>
  <w:abstractNum w:abstractNumId="116">
    <w:nsid w:val="2E48F044"/>
    <w:multiLevelType w:val="hybridMultilevel"/>
    <w:lvl w:ilvl="0">
      <w:lvlJc w:val="left"/>
      <w:lvlText w:val="•"/>
      <w:numFmt w:val="bullet"/>
      <w:start w:val="1"/>
    </w:lvl>
  </w:abstractNum>
  <w:abstractNum w:abstractNumId="117">
    <w:nsid w:val="49D0FEAC"/>
    <w:multiLevelType w:val="hybridMultilevel"/>
    <w:lvl w:ilvl="0">
      <w:lvlJc w:val="left"/>
      <w:lvlText w:val="•"/>
      <w:numFmt w:val="bullet"/>
      <w:start w:val="1"/>
    </w:lvl>
  </w:abstractNum>
  <w:abstractNum w:abstractNumId="118">
    <w:nsid w:val="4BEE5A5B"/>
    <w:multiLevelType w:val="hybridMultilevel"/>
    <w:lvl w:ilvl="0">
      <w:lvlJc w:val="left"/>
      <w:lvlText w:val="•"/>
      <w:numFmt w:val="bullet"/>
      <w:start w:val="1"/>
    </w:lvl>
  </w:abstractNum>
  <w:abstractNum w:abstractNumId="119">
    <w:nsid w:val="5551B9F3"/>
    <w:multiLevelType w:val="hybridMultilevel"/>
    <w:lvl w:ilvl="0">
      <w:lvlJc w:val="left"/>
      <w:lvlText w:val="•"/>
      <w:numFmt w:val="bullet"/>
      <w:start w:val="1"/>
    </w:lvl>
  </w:abstractNum>
  <w:abstractNum w:abstractNumId="120">
    <w:nsid w:val="24F6AB8E"/>
    <w:multiLevelType w:val="hybridMultilevel"/>
    <w:lvl w:ilvl="0">
      <w:lvlJc w:val="left"/>
      <w:lvlText w:val="•"/>
      <w:numFmt w:val="bullet"/>
      <w:start w:val="1"/>
    </w:lvl>
  </w:abstractNum>
  <w:abstractNum w:abstractNumId="121">
    <w:nsid w:val="634C574C"/>
    <w:multiLevelType w:val="hybridMultilevel"/>
    <w:lvl w:ilvl="0">
      <w:lvlJc w:val="left"/>
      <w:lvlText w:val="•"/>
      <w:numFmt w:val="bullet"/>
      <w:start w:val="1"/>
    </w:lvl>
    <w:lvl w:ilvl="1">
      <w:lvlJc w:val="left"/>
      <w:lvlText w:val="◦"/>
      <w:numFmt w:val="bullet"/>
      <w:start w:val="1"/>
    </w:lvl>
  </w:abstractNum>
  <w:abstractNum w:abstractNumId="122">
    <w:nsid w:val="24E99DD7"/>
    <w:multiLevelType w:val="hybridMultilevel"/>
    <w:lvl w:ilvl="0">
      <w:lvlJc w:val="left"/>
      <w:lvlText w:val="•"/>
      <w:numFmt w:val="bullet"/>
      <w:start w:val="1"/>
    </w:lvl>
  </w:abstractNum>
  <w:abstractNum w:abstractNumId="123">
    <w:nsid w:val="2A31B62D"/>
    <w:multiLevelType w:val="hybridMultilevel"/>
    <w:lvl w:ilvl="0">
      <w:lvlJc w:val="left"/>
      <w:lvlText w:val="•"/>
      <w:numFmt w:val="bullet"/>
      <w:start w:val="1"/>
    </w:lvl>
  </w:abstractNum>
  <w:abstractNum w:abstractNumId="124">
    <w:nsid w:val="1849C29B"/>
    <w:multiLevelType w:val="hybridMultilevel"/>
    <w:lvl w:ilvl="0">
      <w:lvlJc w:val="left"/>
      <w:lvlText w:val="•"/>
      <w:numFmt w:val="bullet"/>
      <w:start w:val="1"/>
    </w:lvl>
  </w:abstractNum>
  <w:abstractNum w:abstractNumId="125">
    <w:nsid w:val="7DFF9D09"/>
    <w:multiLevelType w:val="hybridMultilevel"/>
    <w:lvl w:ilvl="0">
      <w:lvlJc w:val="left"/>
      <w:lvlText w:val="•"/>
      <w:numFmt w:val="bullet"/>
      <w:start w:val="1"/>
    </w:lvl>
    <w:lvl w:ilvl="1">
      <w:lvlJc w:val="left"/>
      <w:lvlText w:val="▪"/>
      <w:numFmt w:val="bullet"/>
      <w:start w:val="1"/>
    </w:lvl>
  </w:abstractNum>
  <w:abstractNum w:abstractNumId="126">
    <w:nsid w:val="754342"/>
    <w:multiLevelType w:val="hybridMultilevel"/>
    <w:lvl w:ilvl="0">
      <w:lvlJc w:val="left"/>
      <w:lvlText w:val="%1."/>
      <w:numFmt w:val="lowerRoman"/>
      <w:start w:val="1"/>
    </w:lvl>
  </w:abstractNum>
  <w:abstractNum w:abstractNumId="127">
    <w:nsid w:val="69E7F3E5"/>
    <w:multiLevelType w:val="hybridMultilevel"/>
    <w:lvl w:ilvl="0">
      <w:lvlJc w:val="left"/>
      <w:lvlText w:val="%1."/>
      <w:numFmt w:val="lowerRoman"/>
      <w:start w:val="3"/>
    </w:lvl>
  </w:abstractNum>
  <w:abstractNum w:abstractNumId="128">
    <w:nsid w:val="2A6DE806"/>
    <w:multiLevelType w:val="hybridMultilevel"/>
    <w:lvl w:ilvl="0">
      <w:lvlJc w:val="left"/>
      <w:lvlText w:val="•"/>
      <w:numFmt w:val="bullet"/>
      <w:start w:val="1"/>
    </w:lvl>
  </w:abstractNum>
  <w:abstractNum w:abstractNumId="129">
    <w:nsid w:val="1816F8C4"/>
    <w:multiLevelType w:val="hybridMultilevel"/>
    <w:lvl w:ilvl="0">
      <w:lvlJc w:val="left"/>
      <w:lvlText w:val="(%1)"/>
      <w:numFmt w:val="lowerLetter"/>
      <w:start w:val="1"/>
    </w:lvl>
  </w:abstractNum>
  <w:abstractNum w:abstractNumId="130">
    <w:nsid w:val="37DF2233"/>
    <w:multiLevelType w:val="hybridMultilevel"/>
    <w:lvl w:ilvl="0">
      <w:lvlJc w:val="left"/>
      <w:lvlText w:val="(%1)"/>
      <w:numFmt w:val="lowerLetter"/>
      <w:start w:val="2"/>
    </w:lvl>
  </w:abstractNum>
  <w:abstractNum w:abstractNumId="131">
    <w:nsid w:val="7AB49DAF"/>
    <w:multiLevelType w:val="hybridMultilevel"/>
    <w:lvl w:ilvl="0">
      <w:lvlJc w:val="left"/>
      <w:lvlText w:val="(%1)"/>
      <w:numFmt w:val="lowerLetter"/>
      <w:start w:val="1"/>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decimal"/>
      <w:start w:val="1"/>
    </w:lvl>
  </w:abstractNum>
  <w:abstractNum w:abstractNumId="134">
    <w:nsid w:val="597B4D84"/>
    <w:multiLevelType w:val="hybridMultilevel"/>
    <w:lvl w:ilvl="0">
      <w:lvlJc w:val="left"/>
      <w:lvlText w:val="%1."/>
      <w:numFmt w:val="decimal"/>
      <w:start w:val="1"/>
    </w:lvl>
  </w:abstractNum>
  <w:abstractNum w:abstractNumId="135">
    <w:nsid w:val="F819E7F"/>
    <w:multiLevelType w:val="hybridMultilevel"/>
    <w:lvl w:ilvl="0">
      <w:lvlJc w:val="left"/>
      <w:lvlText w:val="%1."/>
      <w:numFmt w:val="decimal"/>
      <w:start w:val="2"/>
    </w:lvl>
  </w:abstractNum>
  <w:abstractNum w:abstractNumId="136">
    <w:nsid w:val="57C7D42D"/>
    <w:multiLevelType w:val="hybridMultilevel"/>
    <w:lvl w:ilvl="0">
      <w:lvlJc w:val="left"/>
      <w:lvlText w:val="%1."/>
      <w:numFmt w:val="decimal"/>
      <w:start w:val="3"/>
    </w:lvl>
  </w:abstractNum>
  <w:abstractNum w:abstractNumId="137">
    <w:nsid w:val="312167AD"/>
    <w:multiLevelType w:val="hybridMultilevel"/>
    <w:lvl w:ilvl="0">
      <w:lvlJc w:val="left"/>
      <w:lvlText w:val="(%1)"/>
      <w:numFmt w:val="decimal"/>
      <w:start w:val="1"/>
    </w:lvl>
  </w:abstractNum>
  <w:abstractNum w:abstractNumId="138">
    <w:nsid w:val="631B64D4"/>
    <w:multiLevelType w:val="hybridMultilevel"/>
    <w:lvl w:ilvl="0">
      <w:lvlJc w:val="left"/>
      <w:lvlText w:val="%1."/>
      <w:numFmt w:val="decimal"/>
      <w:start w:val="5"/>
    </w:lvl>
  </w:abstractNum>
  <w:abstractNum w:abstractNumId="139">
    <w:nsid w:val="78B5E776"/>
    <w:multiLevelType w:val="hybridMultilevel"/>
    <w:lvl w:ilvl="0">
      <w:lvlJc w:val="left"/>
      <w:lvlText w:val="%1."/>
      <w:numFmt w:val="decimal"/>
      <w:start w:val="6"/>
    </w:lvl>
  </w:abstractNum>
  <w:abstractNum w:abstractNumId="140">
    <w:nsid w:val="75486E47"/>
    <w:multiLevelType w:val="hybridMultilevel"/>
    <w:lvl w:ilvl="0">
      <w:lvlJc w:val="left"/>
      <w:lvlText w:val="%1."/>
      <w:numFmt w:val="decimal"/>
      <w:start w:val="7"/>
    </w:lvl>
  </w:abstractNum>
  <w:abstractNum w:abstractNumId="141">
    <w:nsid w:val="6E534CDE"/>
    <w:multiLevelType w:val="hybridMultilevel"/>
    <w:lvl w:ilvl="0">
      <w:lvlJc w:val="left"/>
      <w:lvlText w:val="(%1)"/>
      <w:numFmt w:val="decimal"/>
      <w:start w:val="1"/>
    </w:lvl>
  </w:abstractNum>
  <w:abstractNum w:abstractNumId="142">
    <w:nsid w:val="1A0DDE32"/>
    <w:multiLevelType w:val="hybridMultilevel"/>
    <w:lvl w:ilvl="0">
      <w:lvlJc w:val="left"/>
      <w:lvlText w:val="%1."/>
      <w:numFmt w:val="decimal"/>
      <w:start w:val="8"/>
    </w:lvl>
  </w:abstractNum>
  <w:abstractNum w:abstractNumId="143">
    <w:nsid w:val="65968C1C"/>
    <w:multiLevelType w:val="hybridMultilevel"/>
    <w:lvl w:ilvl="0">
      <w:lvlJc w:val="left"/>
      <w:lvlText w:val="%1."/>
      <w:numFmt w:val="decimal"/>
      <w:start w:val="9"/>
    </w:lvl>
  </w:abstractNum>
  <w:abstractNum w:abstractNumId="144">
    <w:nsid w:val="46263DEC"/>
    <w:multiLevelType w:val="hybridMultilevel"/>
    <w:lvl w:ilvl="0">
      <w:lvlJc w:val="left"/>
      <w:lvlText w:val="(%1)"/>
      <w:numFmt w:val="lowerRoman"/>
      <w:start w:val="3"/>
    </w:lvl>
  </w:abstractNum>
  <w:abstractNum w:abstractNumId="145">
    <w:nsid w:val="260D8C4A"/>
    <w:multiLevelType w:val="hybridMultilevel"/>
    <w:lvl w:ilvl="0">
      <w:lvlJc w:val="left"/>
      <w:lvlText w:val="%1."/>
      <w:numFmt w:val="decimal"/>
      <w:start w:val="10"/>
    </w:lvl>
  </w:abstractNum>
  <w:abstractNum w:abstractNumId="146">
    <w:nsid w:val="73D4D3C4"/>
    <w:multiLevelType w:val="hybridMultilevel"/>
    <w:lvl w:ilvl="0">
      <w:lvlJc w:val="left"/>
      <w:lvlText w:val="(%1)"/>
      <w:numFmt w:val="decimal"/>
      <w:start w:val="1"/>
    </w:lvl>
  </w:abstractNum>
  <w:abstractNum w:abstractNumId="147">
    <w:nsid w:val="746F2E30"/>
    <w:multiLevelType w:val="hybridMultilevel"/>
    <w:lvl w:ilvl="0">
      <w:lvlJc w:val="left"/>
      <w:lvlText w:val="%1."/>
      <w:numFmt w:val="decimal"/>
      <w:start w:val="11"/>
    </w:lvl>
  </w:abstractNum>
  <w:abstractNum w:abstractNumId="148">
    <w:nsid w:val="6FDE8AF6"/>
    <w:multiLevelType w:val="hybridMultilevel"/>
    <w:lvl w:ilvl="0">
      <w:lvlJc w:val="left"/>
      <w:lvlText w:val="%1."/>
      <w:numFmt w:val="decimal"/>
      <w:start w:val="13"/>
    </w:lvl>
  </w:abstractNum>
  <w:abstractNum w:abstractNumId="149">
    <w:nsid w:val="3FC32E20"/>
    <w:multiLevelType w:val="hybridMultilevel"/>
    <w:lvl w:ilvl="0">
      <w:lvlJc w:val="left"/>
      <w:lvlText w:val="%1."/>
      <w:numFmt w:val="decimal"/>
      <w:start w:val="14"/>
    </w:lvl>
  </w:abstractNum>
  <w:abstractNum w:abstractNumId="150">
    <w:nsid w:val="49C0E823"/>
    <w:multiLevelType w:val="hybridMultilevel"/>
    <w:lvl w:ilvl="0">
      <w:lvlJc w:val="left"/>
      <w:lvlText w:val="%1."/>
      <w:numFmt w:val="decimal"/>
      <w:start w:val="15"/>
    </w:lvl>
  </w:abstractNum>
  <w:abstractNum w:abstractNumId="151">
    <w:nsid w:val="14D53685"/>
    <w:multiLevelType w:val="hybridMultilevel"/>
    <w:lvl w:ilvl="0">
      <w:lvlJc w:val="left"/>
      <w:lvlText w:val="%1."/>
      <w:numFmt w:val="decimal"/>
      <w:start w:val="16"/>
    </w:lvl>
  </w:abstractNum>
  <w:abstractNum w:abstractNumId="152">
    <w:nsid w:val="230F856C"/>
    <w:multiLevelType w:val="hybridMultilevel"/>
    <w:lvl w:ilvl="0">
      <w:lvlJc w:val="left"/>
      <w:lvlText w:val="%1."/>
      <w:numFmt w:val="decimal"/>
      <w:start w:val="17"/>
    </w:lvl>
  </w:abstractNum>
  <w:abstractNum w:abstractNumId="153">
    <w:nsid w:val="6EAA85FB"/>
    <w:multiLevelType w:val="hybridMultilevel"/>
    <w:lvl w:ilvl="0">
      <w:lvlJc w:val="left"/>
      <w:lvlText w:val="%1."/>
      <w:numFmt w:val="decimal"/>
      <w:start w:val="18"/>
    </w:lvl>
  </w:abstractNum>
  <w:abstractNum w:abstractNumId="154">
    <w:nsid w:val="3F06ECB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2021-09-24T07:55:22Z</dcterms:created>
  <dcterms:modified xsi:type="dcterms:W3CDTF">2021-09-24T07:55:22Z</dcterms:modified>
</cp:coreProperties>
</file>