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60325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73025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65" w:lineRule="exact"/>
        <w:rPr>
          <w:sz w:val="24"/>
          <w:szCs w:val="24"/>
          <w:color w:val="auto"/>
        </w:rPr>
      </w:pPr>
    </w:p>
    <w:p>
      <w:pPr>
        <w:ind w:right="2800" w:firstLine="8"/>
        <w:spacing w:after="0" w:line="467" w:lineRule="auto"/>
        <w:tabs>
          <w:tab w:leader="none" w:pos="18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OR</w:t>
      </w:r>
    </w:p>
    <w:p>
      <w:pPr>
        <w:spacing w:after="0" w:line="165"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001-40822</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Remitly Global,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106045</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34"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32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880" w:type="dxa"/>
            <w:vAlign w:val="bottom"/>
          </w:tcPr>
          <w:p>
            <w:pPr>
              <w:spacing w:after="0"/>
              <w:rPr>
                <w:sz w:val="18"/>
                <w:szCs w:val="18"/>
                <w:color w:val="auto"/>
              </w:rPr>
            </w:pP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rPr>
              <w:t>83-2301143</w:t>
            </w:r>
          </w:p>
        </w:tc>
      </w:tr>
      <w:tr>
        <w:trPr>
          <w:trHeight w:val="235"/>
        </w:trPr>
        <w:tc>
          <w:tcPr>
            <w:tcW w:w="326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2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Classification Code Number)</w:t>
            </w: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195"/>
        </w:trPr>
        <w:tc>
          <w:tcPr>
            <w:tcW w:w="3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r>
      <w:tr>
        <w:trPr>
          <w:trHeight w:val="405"/>
        </w:trPr>
        <w:tc>
          <w:tcPr>
            <w:tcW w:w="32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1111 Third Avenue, Suite 2100  Seattle,</w:t>
            </w: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WA</w:t>
            </w: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1761"/>
              <w:spacing w:after="0"/>
              <w:rPr>
                <w:sz w:val="20"/>
                <w:szCs w:val="20"/>
                <w:color w:val="auto"/>
              </w:rPr>
            </w:pPr>
            <w:r>
              <w:rPr>
                <w:rFonts w:ascii="Times New Roman" w:cs="Times New Roman" w:eastAsia="Times New Roman" w:hAnsi="Times New Roman"/>
                <w:sz w:val="16"/>
                <w:szCs w:val="16"/>
                <w:b w:val="1"/>
                <w:bCs w:val="1"/>
                <w:color w:val="auto"/>
              </w:rPr>
              <w:t>98101</w:t>
            </w:r>
          </w:p>
        </w:tc>
      </w:tr>
      <w:tr>
        <w:trPr>
          <w:trHeight w:val="193"/>
        </w:trPr>
        <w:tc>
          <w:tcPr>
            <w:tcW w:w="5360" w:type="dxa"/>
            <w:vAlign w:val="bottom"/>
            <w:gridSpan w:val="5"/>
          </w:tcPr>
          <w:p>
            <w:pPr>
              <w:ind w:left="9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80" w:type="dxa"/>
            <w:vAlign w:val="bottom"/>
          </w:tcPr>
          <w:p>
            <w:pPr>
              <w:jc w:val="center"/>
              <w:ind w:right="82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(888) 736-4859</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4480" w:type="dxa"/>
            <w:vAlign w:val="bottom"/>
            <w:gridSpan w:val="5"/>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40" w:type="dxa"/>
            <w:vAlign w:val="bottom"/>
          </w:tcPr>
          <w:p>
            <w:pPr>
              <w:spacing w:after="0"/>
              <w:rPr>
                <w:sz w:val="18"/>
                <w:szCs w:val="18"/>
                <w:color w:val="auto"/>
              </w:rPr>
            </w:pPr>
          </w:p>
        </w:tc>
      </w:tr>
      <w:tr>
        <w:trPr>
          <w:trHeight w:val="256"/>
        </w:trPr>
        <w:tc>
          <w:tcPr>
            <w:tcW w:w="328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32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RELY</w:t>
            </w:r>
          </w:p>
        </w:tc>
        <w:tc>
          <w:tcPr>
            <w:tcW w:w="3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0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1140" w:type="dxa"/>
        <w:tblCellMar>
          <w:top w:w="0" w:type="dxa"/>
          <w:left w:w="0" w:type="dxa"/>
          <w:bottom w:w="0" w:type="dxa"/>
          <w:right w:w="0" w:type="dxa"/>
        </w:tblCellMar>
      </w:tblPr>
      <w:tr>
        <w:trPr>
          <w:trHeight w:val="27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3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29, 2024, the registrant had 195,136,542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72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360" w:type="dxa"/>
            <w:vAlign w:val="bottom"/>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243"/>
        </w:trPr>
        <w:tc>
          <w:tcPr>
            <w:tcW w:w="972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tc>
        <w:tc>
          <w:tcPr>
            <w:tcW w:w="13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513"/>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874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36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6"/>
                <w:szCs w:val="16"/>
                <w:color w:val="3051F2"/>
              </w:rPr>
              <w:t>Financial Statements</w:t>
            </w:r>
          </w:p>
        </w:tc>
        <w:tc>
          <w:tcPr>
            <w:tcW w:w="7380" w:type="dxa"/>
            <w:vAlign w:val="bottom"/>
            <w:gridSpan w:val="13"/>
          </w:tcPr>
          <w:p>
            <w:pPr>
              <w:spacing w:after="0"/>
              <w:rPr>
                <w:sz w:val="18"/>
                <w:szCs w:val="18"/>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740" w:type="dxa"/>
            <w:vAlign w:val="bottom"/>
            <w:gridSpan w:val="18"/>
          </w:tcPr>
          <w:p>
            <w:pPr>
              <w:spacing w:after="0"/>
              <w:rPr>
                <w:sz w:val="20"/>
                <w:szCs w:val="20"/>
                <w:color w:val="auto"/>
              </w:rPr>
            </w:pPr>
            <w:r>
              <w:rPr>
                <w:rFonts w:ascii="Times New Roman" w:cs="Times New Roman" w:eastAsia="Times New Roman" w:hAnsi="Times New Roman"/>
                <w:sz w:val="16"/>
                <w:szCs w:val="16"/>
                <w:color w:val="3051F2"/>
              </w:rPr>
              <w:t>Condensed Consolidated Balance Sheets as of June 30, 2024 and December 31, 2023</w:t>
            </w: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716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6"/>
                <w:szCs w:val="16"/>
                <w:color w:val="3051F2"/>
              </w:rPr>
              <w:t>Condensed Consolidated Statements of Operations for the three and six months ended June 30, 2024 and 2023</w:t>
            </w:r>
          </w:p>
        </w:tc>
        <w:tc>
          <w:tcPr>
            <w:tcW w:w="1580" w:type="dxa"/>
            <w:vAlign w:val="bottom"/>
            <w:gridSpan w:val="3"/>
          </w:tcPr>
          <w:p>
            <w:pPr>
              <w:spacing w:after="0"/>
              <w:rPr>
                <w:sz w:val="19"/>
                <w:szCs w:val="19"/>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740" w:type="dxa"/>
            <w:vAlign w:val="bottom"/>
            <w:gridSpan w:val="18"/>
          </w:tcPr>
          <w:p>
            <w:pPr>
              <w:spacing w:after="0"/>
              <w:rPr>
                <w:sz w:val="20"/>
                <w:szCs w:val="20"/>
                <w:color w:val="auto"/>
              </w:rPr>
            </w:pPr>
            <w:r>
              <w:rPr>
                <w:rFonts w:ascii="Times New Roman" w:cs="Times New Roman" w:eastAsia="Times New Roman" w:hAnsi="Times New Roman"/>
                <w:sz w:val="16"/>
                <w:szCs w:val="16"/>
                <w:color w:val="3051F2"/>
              </w:rPr>
              <w:t>Condensed Consolidated Statements of Comprehensive Loss for the three and six months ended June 30, 2024 and 2023</w:t>
            </w: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50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7820" w:type="dxa"/>
            <w:vAlign w:val="bottom"/>
            <w:tcBorders>
              <w:bottom w:val="single" w:sz="8" w:color="3051F2"/>
            </w:tcBorders>
            <w:gridSpan w:val="17"/>
          </w:tcPr>
          <w:p>
            <w:pPr>
              <w:spacing w:after="0"/>
              <w:rPr>
                <w:sz w:val="20"/>
                <w:szCs w:val="20"/>
                <w:color w:val="auto"/>
              </w:rPr>
            </w:pPr>
            <w:r>
              <w:rPr>
                <w:rFonts w:ascii="Times New Roman" w:cs="Times New Roman" w:eastAsia="Times New Roman" w:hAnsi="Times New Roman"/>
                <w:sz w:val="16"/>
                <w:szCs w:val="16"/>
                <w:color w:val="3051F2"/>
              </w:rPr>
              <w:t>Condensed Consolidated Statements of Stockholders’ Equity for the three and six months ended June 30, 2024 and 2023</w:t>
            </w:r>
          </w:p>
        </w:tc>
        <w:tc>
          <w:tcPr>
            <w:tcW w:w="920" w:type="dxa"/>
            <w:vAlign w:val="bottom"/>
          </w:tcPr>
          <w:p>
            <w:pPr>
              <w:spacing w:after="0"/>
              <w:rPr>
                <w:sz w:val="19"/>
                <w:szCs w:val="19"/>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740" w:type="dxa"/>
            <w:vAlign w:val="bottom"/>
            <w:gridSpan w:val="18"/>
          </w:tcPr>
          <w:p>
            <w:pPr>
              <w:spacing w:after="0"/>
              <w:rPr>
                <w:sz w:val="20"/>
                <w:szCs w:val="20"/>
                <w:color w:val="auto"/>
              </w:rPr>
            </w:pPr>
            <w:r>
              <w:rPr>
                <w:rFonts w:ascii="Times New Roman" w:cs="Times New Roman" w:eastAsia="Times New Roman" w:hAnsi="Times New Roman"/>
                <w:sz w:val="16"/>
                <w:szCs w:val="16"/>
                <w:color w:val="3051F2"/>
              </w:rPr>
              <w:t>Condensed Consolidated Statements of Cash Flows for the six months ended June 30, 2024 and 2023</w:t>
            </w: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00" w:type="dxa"/>
            <w:vAlign w:val="bottom"/>
            <w:tcBorders>
              <w:top w:val="single" w:sz="8" w:color="3051F2"/>
              <w:bottom w:val="single" w:sz="8" w:color="3051F2"/>
            </w:tcBorders>
            <w:gridSpan w:val="10"/>
          </w:tcPr>
          <w:p>
            <w:pPr>
              <w:spacing w:after="0"/>
              <w:rPr>
                <w:sz w:val="20"/>
                <w:szCs w:val="20"/>
                <w:color w:val="auto"/>
              </w:rPr>
            </w:pPr>
            <w:r>
              <w:rPr>
                <w:rFonts w:ascii="Times New Roman" w:cs="Times New Roman" w:eastAsia="Times New Roman" w:hAnsi="Times New Roman"/>
                <w:sz w:val="16"/>
                <w:szCs w:val="16"/>
                <w:color w:val="3051F2"/>
              </w:rPr>
              <w:t>Notes to Condensed Consolidated Financial Statements</w:t>
            </w:r>
          </w:p>
        </w:tc>
        <w:tc>
          <w:tcPr>
            <w:tcW w:w="2960" w:type="dxa"/>
            <w:vAlign w:val="bottom"/>
            <w:tcBorders>
              <w:top w:val="single" w:sz="8" w:color="3051F2"/>
            </w:tcBorders>
            <w:gridSpan w:val="4"/>
          </w:tcPr>
          <w:p>
            <w:pPr>
              <w:spacing w:after="0"/>
              <w:rPr>
                <w:sz w:val="19"/>
                <w:szCs w:val="19"/>
                <w:color w:val="auto"/>
              </w:rPr>
            </w:pPr>
          </w:p>
        </w:tc>
        <w:tc>
          <w:tcPr>
            <w:tcW w:w="2180" w:type="dxa"/>
            <w:vAlign w:val="bottom"/>
            <w:gridSpan w:val="4"/>
          </w:tcPr>
          <w:p>
            <w:pPr>
              <w:spacing w:after="0"/>
              <w:rPr>
                <w:sz w:val="19"/>
                <w:szCs w:val="19"/>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6"/>
                <w:szCs w:val="16"/>
                <w:color w:val="3051F2"/>
              </w:rPr>
              <w:t>Management’s Discussion and Analysis of Financial Condition and Results of Operations</w:t>
            </w:r>
          </w:p>
        </w:tc>
        <w:tc>
          <w:tcPr>
            <w:tcW w:w="2920" w:type="dxa"/>
            <w:vAlign w:val="bottom"/>
            <w:gridSpan w:val="5"/>
          </w:tcPr>
          <w:p>
            <w:pPr>
              <w:spacing w:after="0"/>
              <w:rPr>
                <w:sz w:val="19"/>
                <w:szCs w:val="19"/>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740" w:type="dxa"/>
            <w:vAlign w:val="bottom"/>
            <w:gridSpan w:val="18"/>
          </w:tcPr>
          <w:p>
            <w:pPr>
              <w:spacing w:after="0"/>
              <w:rPr>
                <w:sz w:val="20"/>
                <w:szCs w:val="20"/>
                <w:color w:val="auto"/>
              </w:rPr>
            </w:pPr>
            <w:r>
              <w:rPr>
                <w:rFonts w:ascii="Times New Roman" w:cs="Times New Roman" w:eastAsia="Times New Roman" w:hAnsi="Times New Roman"/>
                <w:sz w:val="16"/>
                <w:szCs w:val="16"/>
                <w:color w:val="3051F2"/>
              </w:rPr>
              <w:t>Quantitative and Qualitative Disclosures About Market Risk</w:t>
            </w: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top w:val="single" w:sz="8" w:color="3051F2"/>
            </w:tcBorders>
            <w:gridSpan w:val="6"/>
            <w:vMerge w:val="restart"/>
          </w:tcPr>
          <w:p>
            <w:pPr>
              <w:spacing w:after="0"/>
              <w:rPr>
                <w:sz w:val="20"/>
                <w:szCs w:val="20"/>
                <w:color w:val="auto"/>
              </w:rPr>
            </w:pPr>
            <w:r>
              <w:rPr>
                <w:rFonts w:ascii="Times New Roman" w:cs="Times New Roman" w:eastAsia="Times New Roman" w:hAnsi="Times New Roman"/>
                <w:sz w:val="16"/>
                <w:szCs w:val="16"/>
                <w:color w:val="3051F2"/>
              </w:rPr>
              <w:t>Controls and Procedures</w:t>
            </w:r>
          </w:p>
        </w:tc>
        <w:tc>
          <w:tcPr>
            <w:tcW w:w="2320" w:type="dxa"/>
            <w:vAlign w:val="bottom"/>
            <w:tcBorders>
              <w:top w:val="single" w:sz="8" w:color="3051F2"/>
            </w:tcBorders>
            <w:gridSpan w:val="5"/>
            <w:vMerge w:val="restart"/>
          </w:tcPr>
          <w:p>
            <w:pPr>
              <w:spacing w:after="0"/>
              <w:rPr>
                <w:sz w:val="22"/>
                <w:szCs w:val="22"/>
                <w:color w:val="auto"/>
              </w:rPr>
            </w:pPr>
          </w:p>
        </w:tc>
        <w:tc>
          <w:tcPr>
            <w:tcW w:w="4820" w:type="dxa"/>
            <w:vAlign w:val="bottom"/>
            <w:gridSpan w:val="7"/>
            <w:vMerge w:val="restart"/>
          </w:tcPr>
          <w:p>
            <w:pPr>
              <w:spacing w:after="0"/>
              <w:rPr>
                <w:sz w:val="22"/>
                <w:szCs w:val="22"/>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132"/>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4820" w:type="dxa"/>
            <w:vAlign w:val="bottom"/>
            <w:gridSpan w:val="7"/>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874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8740" w:type="dxa"/>
            <w:vAlign w:val="bottom"/>
            <w:gridSpan w:val="18"/>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3051F2"/>
                <w:w w:val="99"/>
              </w:rPr>
              <w:t>Legal Proceedings</w:t>
            </w:r>
          </w:p>
        </w:tc>
        <w:tc>
          <w:tcPr>
            <w:tcW w:w="7540" w:type="dxa"/>
            <w:vAlign w:val="bottom"/>
            <w:gridSpan w:val="14"/>
            <w:vMerge w:val="restart"/>
          </w:tcPr>
          <w:p>
            <w:pPr>
              <w:spacing w:after="0"/>
              <w:rPr>
                <w:sz w:val="21"/>
                <w:szCs w:val="21"/>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200" w:type="dxa"/>
            <w:vAlign w:val="bottom"/>
            <w:tcBorders>
              <w:bottom w:val="single" w:sz="8" w:color="3051F2"/>
            </w:tcBorders>
            <w:gridSpan w:val="4"/>
            <w:vMerge w:val="continue"/>
          </w:tcPr>
          <w:p>
            <w:pPr>
              <w:spacing w:after="0"/>
              <w:rPr>
                <w:sz w:val="11"/>
                <w:szCs w:val="11"/>
                <w:color w:val="auto"/>
              </w:rPr>
            </w:pPr>
          </w:p>
        </w:tc>
        <w:tc>
          <w:tcPr>
            <w:tcW w:w="7540" w:type="dxa"/>
            <w:vAlign w:val="bottom"/>
            <w:gridSpan w:val="14"/>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3051F2"/>
                <w:w w:val="99"/>
              </w:rPr>
              <w:t>Risk Factors</w:t>
            </w:r>
          </w:p>
        </w:tc>
        <w:tc>
          <w:tcPr>
            <w:tcW w:w="7920" w:type="dxa"/>
            <w:vAlign w:val="bottom"/>
            <w:gridSpan w:val="16"/>
            <w:vMerge w:val="restart"/>
          </w:tcPr>
          <w:p>
            <w:pPr>
              <w:spacing w:after="0"/>
              <w:rPr>
                <w:sz w:val="22"/>
                <w:szCs w:val="22"/>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820" w:type="dxa"/>
            <w:vAlign w:val="bottom"/>
            <w:tcBorders>
              <w:bottom w:val="single" w:sz="8" w:color="3051F2"/>
            </w:tcBorders>
            <w:gridSpan w:val="2"/>
            <w:vMerge w:val="continue"/>
          </w:tcPr>
          <w:p>
            <w:pPr>
              <w:spacing w:after="0"/>
              <w:rPr>
                <w:sz w:val="11"/>
                <w:szCs w:val="11"/>
                <w:color w:val="auto"/>
              </w:rPr>
            </w:pPr>
          </w:p>
        </w:tc>
        <w:tc>
          <w:tcPr>
            <w:tcW w:w="7920" w:type="dxa"/>
            <w:vAlign w:val="bottom"/>
            <w:gridSpan w:val="16"/>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color w:val="3051F2"/>
              </w:rPr>
              <w:t>Unregistered Sales of Equity Securities and Use of Proceeds</w:t>
            </w:r>
          </w:p>
        </w:tc>
        <w:tc>
          <w:tcPr>
            <w:tcW w:w="4820" w:type="dxa"/>
            <w:vAlign w:val="bottom"/>
            <w:gridSpan w:val="7"/>
            <w:vMerge w:val="restart"/>
          </w:tcPr>
          <w:p>
            <w:pPr>
              <w:spacing w:after="0"/>
              <w:rPr>
                <w:sz w:val="22"/>
                <w:szCs w:val="22"/>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3920" w:type="dxa"/>
            <w:vAlign w:val="bottom"/>
            <w:tcBorders>
              <w:bottom w:val="single" w:sz="8" w:color="3051F2"/>
            </w:tcBorders>
            <w:gridSpan w:val="11"/>
            <w:vMerge w:val="continue"/>
          </w:tcPr>
          <w:p>
            <w:pPr>
              <w:spacing w:after="0"/>
              <w:rPr>
                <w:sz w:val="11"/>
                <w:szCs w:val="11"/>
                <w:color w:val="auto"/>
              </w:rPr>
            </w:pPr>
          </w:p>
        </w:tc>
        <w:tc>
          <w:tcPr>
            <w:tcW w:w="4820" w:type="dxa"/>
            <w:vAlign w:val="bottom"/>
            <w:gridSpan w:val="7"/>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3.</w:t>
            </w:r>
          </w:p>
        </w:tc>
        <w:tc>
          <w:tcPr>
            <w:tcW w:w="21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3051F2"/>
              </w:rPr>
              <w:t>Defaults Upon Senior Securities</w:t>
            </w:r>
          </w:p>
        </w:tc>
        <w:tc>
          <w:tcPr>
            <w:tcW w:w="6640" w:type="dxa"/>
            <w:vAlign w:val="bottom"/>
            <w:gridSpan w:val="11"/>
            <w:vMerge w:val="restart"/>
          </w:tcPr>
          <w:p>
            <w:pPr>
              <w:spacing w:after="0"/>
              <w:rPr>
                <w:sz w:val="22"/>
                <w:szCs w:val="22"/>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2100" w:type="dxa"/>
            <w:vAlign w:val="bottom"/>
            <w:tcBorders>
              <w:bottom w:val="single" w:sz="8" w:color="3051F2"/>
            </w:tcBorders>
            <w:gridSpan w:val="7"/>
            <w:vMerge w:val="continue"/>
          </w:tcPr>
          <w:p>
            <w:pPr>
              <w:spacing w:after="0"/>
              <w:rPr>
                <w:sz w:val="11"/>
                <w:szCs w:val="11"/>
                <w:color w:val="auto"/>
              </w:rPr>
            </w:pPr>
          </w:p>
        </w:tc>
        <w:tc>
          <w:tcPr>
            <w:tcW w:w="6640" w:type="dxa"/>
            <w:vAlign w:val="bottom"/>
            <w:gridSpan w:val="11"/>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3051F2"/>
              </w:rPr>
              <w:t>Mine Safety Disclosures</w:t>
            </w:r>
          </w:p>
        </w:tc>
        <w:tc>
          <w:tcPr>
            <w:tcW w:w="7140" w:type="dxa"/>
            <w:vAlign w:val="bottom"/>
            <w:gridSpan w:val="12"/>
            <w:vMerge w:val="restart"/>
          </w:tcPr>
          <w:p>
            <w:pPr>
              <w:spacing w:after="0"/>
              <w:rPr>
                <w:sz w:val="22"/>
                <w:szCs w:val="22"/>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7140" w:type="dxa"/>
            <w:vAlign w:val="bottom"/>
            <w:gridSpan w:val="12"/>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5.</w:t>
            </w:r>
          </w:p>
        </w:tc>
        <w:tc>
          <w:tcPr>
            <w:tcW w:w="874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color w:val="3051F2"/>
              </w:rPr>
              <w:t>Other Information</w:t>
            </w: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8740" w:type="dxa"/>
            <w:vAlign w:val="bottom"/>
            <w:gridSpan w:val="18"/>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6.</w:t>
            </w:r>
          </w:p>
        </w:tc>
        <w:tc>
          <w:tcPr>
            <w:tcW w:w="1180" w:type="dxa"/>
            <w:vAlign w:val="bottom"/>
            <w:tcBorders>
              <w:top w:val="single" w:sz="8" w:color="3051F2"/>
            </w:tcBorders>
            <w:gridSpan w:val="3"/>
            <w:vMerge w:val="restart"/>
          </w:tcPr>
          <w:p>
            <w:pPr>
              <w:spacing w:after="0"/>
              <w:rPr>
                <w:sz w:val="20"/>
                <w:szCs w:val="20"/>
                <w:color w:val="auto"/>
              </w:rPr>
            </w:pPr>
            <w:r>
              <w:rPr>
                <w:rFonts w:ascii="Times New Roman" w:cs="Times New Roman" w:eastAsia="Times New Roman" w:hAnsi="Times New Roman"/>
                <w:sz w:val="16"/>
                <w:szCs w:val="16"/>
                <w:color w:val="3051F2"/>
              </w:rPr>
              <w:t>Exhibits</w:t>
            </w:r>
          </w:p>
        </w:tc>
        <w:tc>
          <w:tcPr>
            <w:tcW w:w="7560" w:type="dxa"/>
            <w:vAlign w:val="bottom"/>
            <w:gridSpan w:val="15"/>
            <w:vMerge w:val="restart"/>
          </w:tcPr>
          <w:p>
            <w:pPr>
              <w:spacing w:after="0"/>
              <w:rPr>
                <w:sz w:val="22"/>
                <w:szCs w:val="22"/>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7560" w:type="dxa"/>
            <w:vAlign w:val="bottom"/>
            <w:gridSpan w:val="15"/>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7"/>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540" w:type="dxa"/>
            <w:vAlign w:val="bottom"/>
            <w:tcBorders>
              <w:top w:val="single" w:sz="8" w:color="3051F2"/>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-4015740</wp:posOffset>
            </wp:positionV>
            <wp:extent cx="2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1" w:lineRule="exact"/>
        <w:rPr>
          <w:sz w:val="20"/>
          <w:szCs w:val="20"/>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revenue, expenses, and other operating results;</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new customers and successfully retain existing customers;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new products and services and bring them to market in a timely manner;</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sustain our profitability;</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our strategic relationships with third parties;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plan and our ability to effectively manage our growth;</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opportunity, including our total addressable market;</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trends, growth rates, and challenges in our business and in the markets in which we operate;</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employees;</w:t>
      </w:r>
    </w:p>
    <w:p>
      <w:pPr>
        <w:spacing w:after="0" w:line="59" w:lineRule="exact"/>
        <w:rPr>
          <w:rFonts w:ascii="Times New Roman" w:cs="Times New Roman" w:eastAsia="Times New Roman" w:hAnsi="Times New Roman"/>
          <w:sz w:val="16"/>
          <w:szCs w:val="16"/>
          <w:color w:val="auto"/>
        </w:rPr>
      </w:pPr>
    </w:p>
    <w:p>
      <w:pPr>
        <w:ind w:left="660" w:right="300" w:hanging="328"/>
        <w:spacing w:after="0" w:line="290" w:lineRule="auto"/>
        <w:tabs>
          <w:tab w:leader="none" w:pos="55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the impact of geopolitical and macroeconomic conditions, including currency fluctuations, inflation, regulatory changes, or regional and global conflicts or related government sanctions;</w:t>
      </w: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security and availability of our solutions;</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money transmission licenses and other regulatory approvals;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internationally; and</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anticipated technology needs and developments and our ability to address those needs and developments with our solutions.</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30"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Unless the context otherwise requires, the terms “Remitly Global,” “Remitly,” “the Company,” “we,” “us,” and “our” in this Quarterly Report on Form 10-Q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1.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and per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185,187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323,710</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Disbursement prefunding</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195,848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461,797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379,417</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932,118</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950,193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20,926</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177,473</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debt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145,802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366,839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371,291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506,969</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$0.0001 par value; 725,000,000 shares authorized as of June 30, 2024 and December 31, 2023 both;</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195,095,978 and 188,435,952 shares issued and outstanding, as of June 30, 2024 and December 31, 2023,</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(524,474)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578,902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950,193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and per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306,423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234,033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575,541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437,898</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154,253</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97,723</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103,685</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80,898</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6,216</w:t>
            </w:r>
          </w:p>
        </w:tc>
      </w:tr>
      <w:tr>
        <w:trPr>
          <w:trHeight w:val="237"/>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322,185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611,256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484,189</w:t>
            </w: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(46,291)</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provision (benefit) for income taxes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(46,937)</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4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6"/>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193,452,628</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179,076,496</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191,650,713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177,105,720</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12"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Exclusive of depreciation and amortization, shown separately.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8"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4"/>
          <w:szCs w:val="14"/>
          <w:color w:val="auto"/>
        </w:rPr>
        <w:t>(unaudited)</w:t>
      </w:r>
    </w:p>
    <w:p>
      <w:pPr>
        <w:spacing w:after="0" w:line="211" w:lineRule="exact"/>
        <w:rPr>
          <w:sz w:val="20"/>
          <w:szCs w:val="20"/>
          <w:color w:val="auto"/>
        </w:rPr>
      </w:pPr>
    </w:p>
    <w:tbl>
      <w:tblPr>
        <w:tblLayout w:type="fixed"/>
        <w:tblInd w:w="122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(47,164)</w:t>
            </w:r>
          </w:p>
        </w:tc>
      </w:tr>
      <w:tr>
        <w:trPr>
          <w:trHeight w:val="466"/>
        </w:trPr>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37"/>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(12,188)</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(18,605)</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(33,910)</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(46,571)</w:t>
            </w:r>
          </w:p>
        </w:tc>
      </w:tr>
      <w:tr>
        <w:trPr>
          <w:trHeight w:val="27"/>
        </w:trPr>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-668020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-351155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26"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188,435,952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3,500,485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192,311,050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1,062,029</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(512,383)</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549,358</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2,741,097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previously held back for acquisition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consideration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0" w:type="dxa"/>
            <w:vAlign w:val="bottom"/>
          </w:tcPr>
          <w:p>
            <w:pPr>
              <w:spacing w:after="0"/>
              <w:rPr>
                <w:sz w:val="1"/>
                <w:szCs w:val="1"/>
                <w:color w:val="auto"/>
              </w:rPr>
            </w:pPr>
          </w:p>
        </w:tc>
      </w:tr>
      <w:tr>
        <w:trPr>
          <w:trHeight w:val="26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195,095,978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1,103,760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(524,474)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173,250,865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854,276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(373,463)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480,087</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3,589,965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conditions, in connection with acquisition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177,733,293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897,575</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(401,777)</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495,421</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3,468,316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36,033</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181,161,726</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936,496</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(420,627)</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515,737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(47,164)</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w:t>
            </w: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64,434</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Disbursement prefunding</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(117,870)</w:t>
            </w: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Customer funds receivable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54,245</w:t>
            </w: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(10,344)</w:t>
            </w: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10,180</w:t>
            </w: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Customer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(12,477)</w:t>
            </w: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w:t>
            </w:r>
          </w:p>
        </w:tc>
      </w:tr>
      <w:tr>
        <w:trPr>
          <w:trHeight w:val="246"/>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r>
      <w:tr>
        <w:trPr>
          <w:trHeight w:val="237"/>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acquisition, net of acquired cash, cash equivalents, and restricted cash</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(40,933)</w:t>
            </w:r>
          </w:p>
        </w:tc>
      </w:tr>
      <w:tr>
        <w:trPr>
          <w:trHeight w:val="243"/>
        </w:trPr>
        <w:tc>
          <w:tcPr>
            <w:tcW w:w="80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(44,843)</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ESPP</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334,000</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settlement of amounts previously held back for acquisition consideration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assumed indebtedness</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(17,068)</w:t>
            </w:r>
          </w:p>
        </w:tc>
      </w:tr>
      <w:tr>
        <w:trPr>
          <w:trHeight w:val="237"/>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(118,631)</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25,883</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(136,339)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(72,493)</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300,734</w:t>
            </w: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188,690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228,241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185,187</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227,507</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 net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188,690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228,241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38" w:lineRule="exact"/>
        <w:rPr>
          <w:sz w:val="20"/>
          <w:szCs w:val="20"/>
          <w:color w:val="auto"/>
        </w:rPr>
      </w:pPr>
    </w:p>
    <w:p>
      <w:pPr>
        <w:ind w:right="8080" w:firstLine="8"/>
        <w:spacing w:after="0" w:line="467" w:lineRule="auto"/>
        <w:tabs>
          <w:tab w:leader="none" w:pos="283"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Description of Business Description of Business</w:t>
      </w:r>
    </w:p>
    <w:p>
      <w:pPr>
        <w:spacing w:after="0" w:line="1"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spacing w:after="0" w:line="11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w:t>
      </w:r>
    </w:p>
    <w:p>
      <w:pPr>
        <w:spacing w:after="0" w:line="97"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Unless otherwise expressly stated or the context otherwise requires, the terms “Remitly” and the “Company” within these notes to the condensed consolidated financial statements refer to Remitly Global, Inc. and its wholly-owned subsidiaries.</w:t>
      </w:r>
    </w:p>
    <w:p>
      <w:pPr>
        <w:spacing w:after="0" w:line="122" w:lineRule="exact"/>
        <w:rPr>
          <w:sz w:val="20"/>
          <w:szCs w:val="20"/>
          <w:color w:val="auto"/>
        </w:rPr>
      </w:pPr>
    </w:p>
    <w:p>
      <w:pPr>
        <w:ind w:right="6120" w:firstLine="8"/>
        <w:spacing w:after="0" w:line="459" w:lineRule="auto"/>
        <w:tabs>
          <w:tab w:leader="none" w:pos="283"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Basis of Presentation</w:t>
      </w:r>
    </w:p>
    <w:p>
      <w:pPr>
        <w:ind w:right="60"/>
        <w:spacing w:after="0" w:line="26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2023.</w:t>
      </w:r>
    </w:p>
    <w:p>
      <w:pPr>
        <w:spacing w:after="0" w:line="12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and six months ended June 30, 2024 are not necessarily indicative of the results that may be expected for the year ending December 31, 2024, or for any other future annual or interim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169"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Remitly Global, Inc. and its wholly-owned subsidiaries. All intercompany transactions and balances have been eliminated in consolidation.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condensed consolidated financial statements and accompanying notes have been prepared consistently, with the exception of certain prior year amounts which have been reclassified to conform with the current period presentation. Reclassifications include a change in presentation of shares purchased under the ESPP within the Company’s Condensed Consolidated Statements of Cash Flows. Beginning in the year ended December 31, 2023, the Company changed the presentation of shares purchased under the ESPP to reflect an operating cash outflow for compensation paid to employees and a financing cash inflow for cash paid by employees in exchange for shares. Previously, such activity was treated and disclosed as noncash activity for the six months ended June 30, 2023. The Company has conformed the prior period statement of cash flows to the current period presentation to enhance transparency and provide comparability.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preparation of the accompanying condensed consolidated financial statements in conformity with GAAP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and six months ended June 30, 2024 and 2023.</w:t>
      </w:r>
    </w:p>
    <w:p>
      <w:pPr>
        <w:spacing w:after="0" w:line="14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For the three and six months ended June 30, 2024 and 2023, no individual customer represented 10% or more of the Company’s total revenues or the Company’s customer funds receivable.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6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on the Consolidated Balance Sheets, typically as disbursement prefunding balances. Cash and cash equivalents consist of cash on hand and various deposit accounts, including accounts held in the Company’s name for the benefit of the Company’s customers for which the Company has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6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 xml:space="preserve">The Company’s significant accounting policies are discussed in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within the notes to consolidated financial statements included in the Company’s Annual Report on Form 10-K for the year ended December 31, 2023. There have been no significant changes to these policies during the six months ended June 30, 2024, except as noted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w:t>
      </w:r>
    </w:p>
    <w:p>
      <w:pPr>
        <w:spacing w:after="0" w:line="18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Advertising expenses are charged to operations as incurred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Condensed Consolidated Statements of Operations. Advertising expenses are used primarily to attract new customers. Advertising expenses totaled $56.8 million and $40.6 million during the three months ended June 30, 2024 and 2023, respectively. Advertising expenses totaled $108.5 million and $75.2 million during the six months ended June 30, 2024 and 2023,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Accounting Standards Update (“ASU”)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The Company is currently evaluating the potential impact of adopting this new guidance to its condensed consolidated financial statements and related disclosures.</w:t>
      </w:r>
    </w:p>
    <w:p>
      <w:pPr>
        <w:spacing w:after="0" w:line="14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is currently evaluating the potential impact of adopting this new guidance to its condensed consolidated financial statements and related disclosures.</w:t>
      </w:r>
    </w:p>
    <w:p>
      <w:pPr>
        <w:spacing w:after="0" w:line="12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There are other new accounting pronouncements issued by the FASB that the Company has adopted or will adopt, as applicable. The Company does not believe any of these accounting pronouncements have had, or will have, a material impact on the condensed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which includes the following steps:</w:t>
      </w:r>
    </w:p>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with a customer;</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Company satisfies a performance obligation.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Customers engage the Company to perform one integrated service—collect the customer’s money and deliver funds to the intended recipient in the currency requested.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 is generally due from the customer upfront upon initiation of a transaction, when the customer simultaneously agrees to the Company’s terms and conditions.</w:t>
      </w:r>
    </w:p>
    <w:p>
      <w:pPr>
        <w:spacing w:after="0" w:line="159"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6"/>
          <w:szCs w:val="16"/>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3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1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within the Condensed Consolidated Statements of Operations. The Company does not have any capitalized contract acquisition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deferred revenue balances from contracts with customers were as follows for the three and six months ended June 30,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of the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end of the period</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26"/>
        </w:trPr>
        <w:tc>
          <w:tcPr>
            <w:tcW w:w="4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2"/>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from amounts included in deferred revenue at the</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the period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 represents amounts received from customers for which the performance obligations are not yet fulfilled. Deferred revenue is primarily included within</w:t>
      </w:r>
    </w:p>
    <w:p>
      <w:pPr>
        <w:spacing w:after="0" w:line="2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on the Condensed Consolidated Balance Sheets, as the performance obligations are expected to be fulfilled within the next year.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Incentives</w:t>
      </w:r>
    </w:p>
    <w:p>
      <w:pPr>
        <w:spacing w:after="0" w:line="1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Condensed Consolidated Statements of Operations. In addition, referral credits given to a referrer are classified as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as these incentives are paid in exchange for a distinct service.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Company’s sales incentives for the three and six months ended June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 to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w:t>
            </w:r>
          </w:p>
        </w:tc>
      </w:tr>
      <w:tr>
        <w:trPr>
          <w:trHeight w:val="27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expenses</w:t>
            </w: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11,642</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8,527</w:t>
            </w:r>
          </w:p>
        </w:tc>
      </w:tr>
      <w:tr>
        <w:trPr>
          <w:trHeight w:val="268"/>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sales incentives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12,340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by Geography</w:t>
      </w:r>
    </w:p>
    <w:p>
      <w:pPr>
        <w:spacing w:after="0" w:line="16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revenue disaggregated by primary geographical location for the three and six months ended June 30, 2024 and 2023, attributed to the country in which the sending customer is located: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9"/>
                <w:szCs w:val="19"/>
                <w:color w:val="auto"/>
              </w:rPr>
            </w:pPr>
          </w:p>
        </w:tc>
        <w:tc>
          <w:tcPr>
            <w:tcW w:w="292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158,994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298,086</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52,337</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130,605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87,475</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306,423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234,033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575,541</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437,898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  Prepaid Expenses &amp; Other Current Assets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4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21"/>
                <w:szCs w:val="21"/>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card receivable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receivable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cloud computing arrangement costs, net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compensation arrangements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Property and Equipment</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June 30, 2024 and December 31, 2023:</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8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23,195</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Projects in process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42,440</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16,010</w:t>
            </w:r>
          </w:p>
        </w:tc>
      </w:tr>
      <w:tr>
        <w:trPr>
          <w:trHeight w:val="21"/>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20"/>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$2.7 million and $2.0 million for the three months ended June 30, 2024 and 2023,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$5.2 million and $3.8 million for the six months ended June 30,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Internal-Use Software Costs</w:t>
      </w:r>
    </w:p>
    <w:p>
      <w:pPr>
        <w:spacing w:after="0" w:line="16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Company’s capitalized internal-use software, including amortization expense recognized, for the three and six months ended June 30,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capitalized internal-use software costs</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costs capitalized to internal-use software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r>
      <w:tr>
        <w:trPr>
          <w:trHeight w:val="25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68"/>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ind w:left="140" w:hanging="132"/>
        <w:spacing w:after="0" w:line="236" w:lineRule="auto"/>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inclusive of stock-based compensation costs capitalized to internal-use software as denoted within the table.</w:t>
      </w:r>
    </w:p>
    <w:p>
      <w:pPr>
        <w:spacing w:after="0" w:line="3"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included within ‘</w:t>
      </w:r>
      <w:r>
        <w:rPr>
          <w:rFonts w:ascii="Times New Roman" w:cs="Times New Roman" w:eastAsia="Times New Roman" w:hAnsi="Times New Roman"/>
          <w:sz w:val="12"/>
          <w:szCs w:val="12"/>
          <w:i w:val="1"/>
          <w:iCs w:val="1"/>
          <w:color w:val="auto"/>
        </w:rPr>
        <w:t>Depreciation and amortization</w:t>
      </w:r>
      <w:r>
        <w:rPr>
          <w:rFonts w:ascii="Times New Roman" w:cs="Times New Roman" w:eastAsia="Times New Roman" w:hAnsi="Times New Roman"/>
          <w:sz w:val="12"/>
          <w:szCs w:val="12"/>
          <w:color w:val="auto"/>
        </w:rPr>
        <w:t>’ within the Company’s Condensed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Costs of Cloud Computing Arrangements</w:t>
      </w:r>
    </w:p>
    <w:p>
      <w:pPr>
        <w:spacing w:after="0" w:line="18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Company’s capitalized costs related to the implementation of cloud computing arrangements, including amortization expense recognized, for the three and six months ended June 30,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27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capitalized cloud computing arrangement costs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r>
      <w:tr>
        <w:trPr>
          <w:trHeight w:val="216"/>
        </w:trPr>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68"/>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76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total capitalized cloud computing arrangement costs, net of accumulated amortization, on the Company’s Condensed Consolidated Balance Sheets as of June 30, 2024 and December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w:t>
            </w:r>
          </w:p>
        </w:tc>
      </w:tr>
      <w:tr>
        <w:trPr>
          <w:trHeight w:val="26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capitalized cloud computing arrangement costs, net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acquisitions accounted for as business combinations or divestitures completed in the six months ended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Completed in 2023</w:t>
      </w:r>
    </w:p>
    <w:p>
      <w:pPr>
        <w:spacing w:after="0" w:line="1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spacing w:after="0" w:line="13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color w:val="auto"/>
        </w:rPr>
        <w:t xml:space="preserve">The acquisition met the criteria to be accounted for as a business combination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This method required,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Consideration Transferred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acquisition date fair value of consideration transferred for the acquisition totaled $77.9 million,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to selling shareholders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56,398</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issued to selling shareholders, including replacement of equity awards attributable to pre-combination services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Holdback liability to be settled in cash and Company equity</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r>
      <w:tr>
        <w:trPr>
          <w:trHeight w:val="23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Effective settlement of pre-existing net receivable owed to the Company</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68"/>
        </w:trPr>
        <w:tc>
          <w:tcPr>
            <w:tcW w:w="9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excluded 133,309 shares and restricted stock units held back and not legally issued at acquisition date, as further discussed below.</w:t>
      </w:r>
    </w:p>
    <w:p>
      <w:pPr>
        <w:spacing w:after="0" w:line="14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Approximately $11.9 million of the cash and equity proceeds were held back to satisfy any necessary adjustments, including without limitation, indemnification claims related to general representations and warranties, and any net working capital adjustments. As of the acquisition date, the majority of this holdback was expected to be settled in cash, with the remainder in 133,309 shares of Company common stock and restricted stock units. Such amounts were subject to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Company common stock, subject to the aforementioned adjustments. Refer to the discussion below regarding the settlement of the holdback consideration during the six months ended June 30, 2024.</w:t>
      </w:r>
    </w:p>
    <w:p>
      <w:pPr>
        <w:spacing w:after="0" w:line="12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 The change in the pre-existing receivable to an intercompany receivable has been considered as a noncash activity reflected within the operating activities of the Condensed Consolidated Statements of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Holdback Liability</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The holdback of cash and equity proceeds discussed above was recorded at its acquisition date fair value and was classified as a liability within ‘</w:t>
      </w:r>
      <w:r>
        <w:rPr>
          <w:rFonts w:ascii="Times New Roman" w:cs="Times New Roman" w:eastAsia="Times New Roman" w:hAnsi="Times New Roman"/>
          <w:sz w:val="16"/>
          <w:szCs w:val="16"/>
          <w:i w:val="1"/>
          <w:iCs w:val="1"/>
          <w:color w:val="auto"/>
        </w:rPr>
        <w:t>Other noncurrent liabilities</w:t>
      </w:r>
      <w:r>
        <w:rPr>
          <w:rFonts w:ascii="Times New Roman" w:cs="Times New Roman" w:eastAsia="Times New Roman" w:hAnsi="Times New Roman"/>
          <w:sz w:val="16"/>
          <w:szCs w:val="16"/>
          <w:color w:val="auto"/>
        </w:rPr>
        <w:t xml:space="preserve">’ on the Company’s Condensed Consolidated Balance Sheets at the acquisition date. The portion of the holdback settled in Company shares was recorded at its fair value through its settlement date, with changes recorded to earnings. The estimated fair value of the portion of the holdback liability settled in equity used both observable and unobservable inputs, specifically considering the price of the Company’s common stock, as well as the probability of payout at the end of the holdback period, and was considered a Level 3 measurement, as defined in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820”).</w:t>
      </w:r>
    </w:p>
    <w:p>
      <w:pPr>
        <w:spacing w:after="0" w:line="1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 recorded $0.2 million during the six months ended June 30, 2024 to reflect the change in the fair value of the holdback liability. The change in the fair value of the holdback liability during the three months ended June 30, 2024, through the date of settlement in April 2024, was immaterial. The Company recorded $0.2 million and $1.0 million during the three and six months ended June 30, 2023, respectively, to reflect the change in the fair value of the holdback liability. Such amounts were recorded within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within the Condensed Consolidated Statements of Operations.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 April 2024, the holdback liability discussed above was settled with a cash payment of $10.3 million and with $2.8 million of equity consideration, consisting of 131,507 shares of Company common stock and restricted stock units. The holdback settlement was adjusted for immaterial post-closing net purchase price adjustments identified during the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Assets Acquired and Liabilities Assumed</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The fair values of intangible assets were estimated using inputs classified as Level 3 under the income and cost approaches, including the multi-period excess earnings method for developed technology. The key assumptions in applying the income approach used in valuing the identified intangible assets include revenue growth rates for a hypothetical market participant, selected discount rates, as well as migration curves for developed technology. The following table summarizes the allocation of the purchase consideration to the assets acquired and liabilities assumed based on their acquisition-date fair values: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1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33"/>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15,465</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Disbursement prefunding</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 net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53"/>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r>
      <w:tr>
        <w:trPr>
          <w:trHeight w:val="23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liabilities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for future deposits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assumed indebtedness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r>
      <w:tr>
        <w:trPr>
          <w:trHeight w:val="24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net</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4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the valuation of assets acquired and liabilities assumed of Rewire was complete.</w:t>
      </w:r>
    </w:p>
    <w:p>
      <w:pPr>
        <w:spacing w:after="0" w:line="16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deductible for income tax purposes. The acquisition did not change the Company’s one operating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Acquired Receivables</w:t>
      </w:r>
    </w:p>
    <w:p>
      <w:pPr>
        <w:spacing w:after="0" w:line="18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6"/>
          <w:szCs w:val="16"/>
          <w:color w:val="auto"/>
        </w:rPr>
        <w:t>The fair value of the financial assets acquired include ‘</w:t>
      </w:r>
      <w:r>
        <w:rPr>
          <w:rFonts w:ascii="Times New Roman" w:cs="Times New Roman" w:eastAsia="Times New Roman" w:hAnsi="Times New Roman"/>
          <w:sz w:val="16"/>
          <w:szCs w:val="16"/>
          <w:i w:val="1"/>
          <w:iCs w:val="1"/>
          <w:color w:val="auto"/>
        </w:rPr>
        <w:t>Disbursement prefunding’</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Customer funds receivable, ne</w:t>
      </w:r>
      <w:r>
        <w:rPr>
          <w:rFonts w:ascii="Times New Roman" w:cs="Times New Roman" w:eastAsia="Times New Roman" w:hAnsi="Times New Roman"/>
          <w:sz w:val="16"/>
          <w:szCs w:val="16"/>
          <w:color w:val="auto"/>
        </w:rPr>
        <w:t>t,’ with a fair value of $6.0 million and $3.4 million, respectively, as disclosed above. The Company has collected substantially all of these receivables.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Costs</w:t>
      </w:r>
    </w:p>
    <w:p>
      <w:pPr>
        <w:spacing w:after="0" w:line="18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There were no transaction costs for the three months ended June 30, 2024. Transaction costs totaled $0.2 million for the six months ended June 30, 2024, which related to the change in the fair value of the holdback liability. Transaction costs totaled $0.3 million and $1.5 million for the three and six months ended June 30, 2023, respectively, which included $0.2 million and $1.0 million, respectively, for the change in the fair value of the holdback liability. Transaction costs are primarily related to the Company’s aforementioned acquisition of Rewire.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Disclosures</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The results of operations of Rewire are included within the accompanying Condensed Consolidated Statements of Operations and Comprehensive Loss since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intangible assets as of June 30, 2024 and December 31, 2023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9"/>
        </w:trPr>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9"/>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r>
      <w:tr>
        <w:trPr>
          <w:trHeight w:val="148"/>
        </w:trPr>
        <w:tc>
          <w:tcPr>
            <w:tcW w:w="1820" w:type="dxa"/>
            <w:vAlign w:val="bottom"/>
          </w:tcPr>
          <w:p>
            <w:pPr>
              <w:spacing w:after="0"/>
              <w:rPr>
                <w:sz w:val="12"/>
                <w:szCs w:val="12"/>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r>
      <w:tr>
        <w:trPr>
          <w:trHeight w:val="180"/>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r>
      <w:tr>
        <w:trPr>
          <w:trHeight w:val="29"/>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3"/>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9"/>
        </w:trPr>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95"/>
        </w:trPr>
        <w:tc>
          <w:tcPr>
            <w:tcW w:w="1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14,212</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16,642</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acquired identified intangible assets have estimated useful lives ranging from three to five years. Amortization expense for intangible assets was $1.2 million and $2.4 million for the three and six months ended June 30, 2024 and 2023,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future intangible asset amortization as of June 30, 2024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r>
      <w:tr>
        <w:trPr>
          <w:trHeight w:val="23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68"/>
        </w:trPr>
        <w:tc>
          <w:tcPr>
            <w:tcW w:w="9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8.</w:t>
        <w:tab/>
        <w:t>Fair Value Measurements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financial assets and liabilities that were measured at fair value on a recurring basis as of June 30, 2024.</w:t>
      </w:r>
    </w:p>
    <w:p>
      <w:pPr>
        <w:spacing w:after="0" w:line="165"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6"/>
          <w:szCs w:val="16"/>
          <w:color w:val="auto"/>
        </w:rPr>
        <w:t xml:space="preserve">Except for the holdback liability related to the Rewire acquisition discussed in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there were no financial assets and liabilities that were measured at fair value on a recurring basis as of December 31, 2023.</w:t>
      </w:r>
    </w:p>
    <w:p>
      <w:pPr>
        <w:spacing w:after="0" w:line="122"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pacing w:after="0" w:line="115"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Revolving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Revolving Credit Facility</w:t>
      </w:r>
    </w:p>
    <w:p>
      <w:pPr>
        <w:spacing w:after="0" w:line="171"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that provided for revolving commitments of $250.0 million (including a $60.0 million letter of credit sub-facility) and terminated its then-existing 2020 Credit Agreement.</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2021 Revolving Credit Facility was amended on June 26, 2023 to reflect changes in the applicable interest rate as a result of the sunsetting of the LIBOR interest rate, as noted below. The 2021 Revolving Credit Facility was further amended on December 20, 2023 to increase the revolving commitments from $250.0 million (including a $60.0 million letter of credit sub-facility) to $325.0 million. All other terms of the 2021 Revolving Credit Facility remained unchanged.</w:t>
      </w:r>
    </w:p>
    <w:p>
      <w:pPr>
        <w:spacing w:after="0" w:line="12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color w:val="auto"/>
        </w:rPr>
        <w:t>As of June 30, 2024 and December 31, 2023, $1.0 million and $1.2 million, respectively, of unamortized debt issuance costs were included within ‘</w:t>
      </w:r>
      <w:r>
        <w:rPr>
          <w:rFonts w:ascii="Times New Roman" w:cs="Times New Roman" w:eastAsia="Times New Roman" w:hAnsi="Times New Roman"/>
          <w:sz w:val="16"/>
          <w:szCs w:val="16"/>
          <w:i w:val="1"/>
          <w:iCs w:val="1"/>
          <w:color w:val="auto"/>
        </w:rPr>
        <w:t>Other noncurrent assets</w:t>
      </w:r>
      <w:r>
        <w:rPr>
          <w:rFonts w:ascii="Times New Roman" w:cs="Times New Roman" w:eastAsia="Times New Roman" w:hAnsi="Times New Roman"/>
          <w:sz w:val="16"/>
          <w:szCs w:val="16"/>
          <w:color w:val="auto"/>
        </w:rPr>
        <w: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2021 Revolving Credit Facility has a maturity date of September 13, 2026. Borrowings under the 2021 Revolving Credit Facility after the June 26, 2023 amendment accrue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Such interest is payable (a) 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2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The 2021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June 30, 2024 and December 31, 2023, financial covenants in the 2021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2021 Revolving Credit Facility as of June 30, 2024 and December 31, 2023.</w:t>
      </w:r>
    </w:p>
    <w:p>
      <w:pPr>
        <w:spacing w:after="0" w:line="12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The obligations under the 2021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2021 Revolving Credit Facility may fluctuate depending upon transaction volumes and seasonality.</w:t>
      </w:r>
    </w:p>
    <w:p>
      <w:pPr>
        <w:spacing w:after="0" w:line="13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As of June 30, 2024 and December 31, 2023, the Company had $15.0 million and $130.0 million outstanding, respectively, under the 2021 Revolving Credit Facility. As of both June 30, 2024 and December 31, 2023, the weighted-average interest rate was 9.0%. As of June 30, 2024 and December 31, 2023, the Company had unused borrowing capacity of $262.1 million and $146.8 million, respectively, under the 2021 Revolving Credit Facility. As of June 30, 2024 and December 31, 2023, the Company had $50.0 million and $49.4 million, respectively, in issued, but undrawn, standby letters of credit.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Advance for Future Deposits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As part of the acquisition of Rewire, the Company assumed short-term indebtedness of Rewire that represents an advance for future deposits from Rewire’s amended agreement with one of its financial partners (the “Amendment” and the “Depositor,” respectively) entered into in October 2021. The Amendment has a maturity date of November 2024. The Depositor made an advance payment to Rewire with respect to future deposits (the “Advance for Future Deposits”). The original amount of 9.0 million Israeli shekel, approximately $2.8 million, was transferred as an advance under the Amendment. As of June 30, 2024 and December 31, 2023, the Company had</w:t>
      </w:r>
    </w:p>
    <w:p>
      <w:pPr>
        <w:spacing w:after="0" w:line="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6"/>
          <w:szCs w:val="16"/>
          <w:color w:val="auto"/>
        </w:rPr>
        <w:t>$2.4 million and $2.5 million outstanding under the Amendment, respectively, and was included within ‘</w:t>
      </w:r>
      <w:r>
        <w:rPr>
          <w:rFonts w:ascii="Times New Roman" w:cs="Times New Roman" w:eastAsia="Times New Roman" w:hAnsi="Times New Roman"/>
          <w:sz w:val="16"/>
          <w:szCs w:val="16"/>
          <w:i w:val="1"/>
          <w:iCs w:val="1"/>
          <w:color w:val="auto"/>
        </w:rPr>
        <w:t>Short-term debt</w:t>
      </w:r>
      <w:r>
        <w:rPr>
          <w:rFonts w:ascii="Times New Roman" w:cs="Times New Roman" w:eastAsia="Times New Roman" w:hAnsi="Times New Roman"/>
          <w:sz w:val="16"/>
          <w:szCs w:val="16"/>
          <w:color w:val="auto"/>
        </w:rPr>
        <w:t>’ on the Condensed Consolidated Balance Sheets. The change in the outstanding balance is driven by the change in the foreign exchange conversion rate. The Advance for Future Deposits bears a floating interest rate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Israeli Prime per annum, paid on a monthly basis. The Israeli Prime rate is defined as the Bank of Israel rate + 1.5%. As of both June 30, 2024 and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the weighted-average interest rate was 3.0%.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Assumed Short-term Debt of Rewire</w:t>
      </w:r>
    </w:p>
    <w:p>
      <w:pPr>
        <w:spacing w:after="0" w:line="1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part of the acquisition of Rewire, the Company assumed the amounts due on a revolving credit line that Rewire had entered into in 2021 and the amounts due on a bridge loan that Rewire had entered into in 2022. The total outstanding amounts were repaid during the six months ended June 30, 2023, along with certain other acquired indebtedness, subsequent to the Company’s acquisition of Rewire and were included within the Condensed Consolidated Statements of Cash Flows as a financing activity.</w:t>
      </w:r>
    </w:p>
    <w:p>
      <w:pPr>
        <w:spacing w:after="0" w:line="1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10.</w:t>
        <w:tab/>
        <w:t>Net Loss Per Common Share</w:t>
      </w:r>
    </w:p>
    <w:p>
      <w:pPr>
        <w:spacing w:after="0" w:line="18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(47,164)</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193,452,628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179,076,496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191,650,713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177,105,720</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following potentially dilutive securities were excluded from the computation of diluted net loss per share calculations for the periods presented because the impact of including them would have been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9,406,325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12,641,385</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25,198,287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27,783,207</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1,128,472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1,133,662</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21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common stock, subject to service-based vesting conditions, issued in connection with acquisition</w:t>
            </w:r>
            <w:r>
              <w:rPr>
                <w:rFonts w:ascii="Times New Roman" w:cs="Times New Roman" w:eastAsia="Times New Roman" w:hAnsi="Times New Roman"/>
                <w:sz w:val="21"/>
                <w:szCs w:val="21"/>
                <w:color w:val="auto"/>
                <w:vertAlign w:val="superscript"/>
              </w:rPr>
              <w:t>(1)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issuable in connection with acquisition</w:t>
            </w:r>
            <w:r>
              <w:rPr>
                <w:rFonts w:ascii="Times New Roman" w:cs="Times New Roman" w:eastAsia="Times New Roman" w:hAnsi="Times New Roman"/>
                <w:sz w:val="21"/>
                <w:szCs w:val="21"/>
                <w:color w:val="auto"/>
                <w:vertAlign w:val="superscript"/>
              </w:rPr>
              <w:t>(1)</w:t>
            </w:r>
          </w:p>
        </w:tc>
        <w:tc>
          <w:tcPr>
            <w:tcW w:w="21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133,309</w:t>
            </w:r>
          </w:p>
        </w:tc>
        <w:tc>
          <w:tcPr>
            <w:tcW w:w="0" w:type="dxa"/>
            <w:vAlign w:val="bottom"/>
          </w:tcPr>
          <w:p>
            <w:pPr>
              <w:spacing w:after="0"/>
              <w:rPr>
                <w:sz w:val="1"/>
                <w:szCs w:val="1"/>
                <w:color w:val="auto"/>
              </w:rPr>
            </w:pPr>
          </w:p>
        </w:tc>
      </w:tr>
      <w:tr>
        <w:trPr>
          <w:trHeight w:val="262"/>
        </w:trPr>
        <w:tc>
          <w:tcPr>
            <w:tcW w:w="8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35,785,124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41,827,192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020" w:type="dxa"/>
            <w:vAlign w:val="bottom"/>
            <w:vMerge w:val="continue"/>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40" w:hanging="132"/>
        <w:spacing w:after="0" w:line="236"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Refer to Note 6.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xml:space="preserve"> for further discussion of equity issued or to be issued in connection with the Rewire acquisition.</w:t>
      </w:r>
    </w:p>
    <w:p>
      <w:pPr>
        <w:spacing w:after="0" w:line="157"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Stock</w:t>
      </w:r>
    </w:p>
    <w:p>
      <w:pPr>
        <w:spacing w:after="0" w:line="169"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As of June 30, 2024,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six months ended June 30, 2024 and 2023.</w:t>
      </w:r>
    </w:p>
    <w:p>
      <w:pPr>
        <w:spacing w:after="0" w:line="115" w:lineRule="exact"/>
        <w:rPr>
          <w:sz w:val="20"/>
          <w:szCs w:val="20"/>
          <w:color w:val="auto"/>
        </w:rPr>
      </w:pPr>
    </w:p>
    <w:p>
      <w:pPr>
        <w:ind w:right="8980" w:firstLine="8"/>
        <w:spacing w:after="0" w:line="467" w:lineRule="auto"/>
        <w:tabs>
          <w:tab w:leader="none" w:pos="364"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Shares Available for Issuance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2024, 13,887,897 and 7,308,767 awards remain available for issuance under the 2021 Plan and the ESPP,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six months ended June 30,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5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4"/>
                <w:szCs w:val="14"/>
                <w:color w:val="auto"/>
              </w:rPr>
            </w:pPr>
          </w:p>
        </w:tc>
        <w:tc>
          <w:tcPr>
            <w:tcW w:w="14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5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January 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10,801,396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161,603</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(1,289,124)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19,265</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9,406,325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70,750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as of June 30,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8,166,741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68,668</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June 30,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9,406,325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70,750</w:t>
            </w: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60" w:hanging="152"/>
        <w:spacing w:after="0" w:line="210"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aggregate intrinsic value is calculated as the difference between the exercise price of the underlying stock options and the estimated fair value of the Company’s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stock options were granted during the six months ended June 30,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six months ended June 30, 2024 and 2023:</w:t>
      </w:r>
    </w:p>
    <w:p>
      <w:pPr>
        <w:spacing w:after="0" w:line="23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options vested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unit activity during the six months ended June 30, 2024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190"/>
        </w:trPr>
        <w:tc>
          <w:tcPr>
            <w:tcW w:w="8020" w:type="dxa"/>
            <w:vAlign w:val="bottom"/>
          </w:tcPr>
          <w:p>
            <w:pPr>
              <w:spacing w:after="0"/>
              <w:rPr>
                <w:sz w:val="16"/>
                <w:szCs w:val="16"/>
                <w:color w:val="auto"/>
              </w:rPr>
            </w:pP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80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2024</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23,555,665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8,692,250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(4,952,458)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(2,097,170)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15.22</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June 30, 2024</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25,198,287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restricted stock unit activity during the six months ended June 30, 2024 and 2023:</w:t>
      </w:r>
    </w:p>
    <w:p>
      <w:pPr>
        <w:spacing w:after="0" w:line="23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of RSUs granted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RSUs vested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50,380</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 (“ESPP”)</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offering period that commenced on September 1, 2023 ended on February 29, 2024, due to a decline in the Company’s stock price at the end of the purchase period, triggering a new offering period, as required by the ESPP plan documents. A new 24-month offering period commenced on March 1, 2024. This event, inclusive of the impact of employees who elected to increase their withholding percentages, was accounted for as a modification under GAAP in the first quarter of 2024, whereby the fair value of the ESPP offering was measured immediately before and after modification, resulting in incremental stock-based compensation expense of $1.7 million, which is being recognized over the new offering period, which is deemed to be the requisite service period. A new subsequent 24-month offering period commences on March 1 and September 1 of each fiscal year.</w:t>
      </w:r>
    </w:p>
    <w:p>
      <w:pPr>
        <w:spacing w:after="0" w:line="127"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6"/>
          <w:szCs w:val="16"/>
          <w:color w:val="auto"/>
        </w:rPr>
        <w:t>The fair value of the ESPP offerings, including those described above, were estimated using the Black-Scholes option-pricing model as of the respective offering dates, using the following assumptions. These assumptions represent the grant date fair value inputs for new offerings which commenced during the six months ended June 30,</w:t>
      </w:r>
    </w:p>
    <w:p>
      <w:pPr>
        <w:spacing w:after="0"/>
        <w:rPr>
          <w:sz w:val="20"/>
          <w:szCs w:val="20"/>
          <w:color w:val="auto"/>
        </w:rPr>
      </w:pPr>
      <w:r>
        <w:rPr>
          <w:rFonts w:ascii="Times New Roman" w:cs="Times New Roman" w:eastAsia="Times New Roman" w:hAnsi="Times New Roman"/>
          <w:sz w:val="16"/>
          <w:szCs w:val="16"/>
          <w:color w:val="auto"/>
        </w:rPr>
        <w:t>2024 and 2023, as well as updated valuation information as of the modification date for any offerings for which a modification occurred during the periods presented herein: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78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4.49% to 5.20%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to 5.13%</w:t>
            </w: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 to 2.0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to 2.0 years</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52.9% to 61.3%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 to 59.5%</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6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 xml:space="preserve">Stock-based compensation expense for stock options, RSUs, and ESPP, included within the Condensed Consolidated Statements of Operations, net of amounts capitalized to internal-use software, as described in Note 5.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7,710</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20,354</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18,588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35,219</w:t>
            </w: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11,466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20,881</w:t>
            </w:r>
          </w:p>
        </w:tc>
      </w:tr>
      <w:tr>
        <w:trPr>
          <w:trHeight w:val="268"/>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37,157</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35,200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of June 30, 2024, the total unamortized compensation cost related to all non-vested equity awards, including options and RSUs, was $349.0 million, which will be amortized over a weighted-average remaining requisite service period of approximately 2.7 years. As of June 30, 2024, the total unrecognized compensation expense related to the ESPP was $7.5 million, which is expected to be amortized over the next 1.7 years.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13.</w:t>
        <w:tab/>
        <w:t>Restructuring Initiatives</w:t>
      </w:r>
    </w:p>
    <w:p>
      <w:pPr>
        <w:spacing w:after="0" w:line="169"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6"/>
          <w:szCs w:val="16"/>
          <w:color w:val="auto"/>
        </w:rPr>
        <w:t>In the six months ended June 30, 2024, as a result of simplifying and scaling certain processes, functions, and team capabilities, the Company continued restructuring initiatives that commenced within the three months ended September 30, 2023 in order to better serve the Company's customers and allow the Company to centralize, transform, and automate global operations. Restructuring costs incurred primarily included severance and certain other associated costs. These specific restructuring initiatives are complete.</w:t>
      </w:r>
    </w:p>
    <w:p>
      <w:pPr>
        <w:spacing w:after="0" w:line="12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Company incurred no charges and $0.8 million for the three and six months ended June 30, 2024, respectively. There were no charges incurred related to restructuring initiatives for the three and six months ended June 30, 2023.</w:t>
      </w:r>
    </w:p>
    <w:p>
      <w:pPr>
        <w:spacing w:after="0" w:line="124"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restructuring costs included within the Company’s Condensed Consolidated Statements of Operations for the six months ended June 30, 2024:</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36"/>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68"/>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changes in liabilities, including expenses incurred and cash payments resulting from the restructuring costs and related accruals, during the six months ended June 30,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9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14.</w:t>
            </w:r>
          </w:p>
        </w:tc>
        <w:tc>
          <w:tcPr>
            <w:tcW w:w="93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Related Party Arrangements</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00" w:type="dxa"/>
            <w:vAlign w:val="bottom"/>
            <w:gridSpan w:val="2"/>
            <w:vMerge w:val="continue"/>
          </w:tcPr>
          <w:p>
            <w:pPr>
              <w:spacing w:after="0"/>
              <w:rPr>
                <w:sz w:val="24"/>
                <w:szCs w:val="24"/>
                <w:color w:val="auto"/>
              </w:rPr>
            </w:pPr>
          </w:p>
        </w:tc>
        <w:tc>
          <w:tcPr>
            <w:tcW w:w="9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There were no significant related party transactions for the three and six months ended June 30, 2024 and 2023.</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15.</w:t>
            </w:r>
          </w:p>
        </w:tc>
        <w:tc>
          <w:tcPr>
            <w:tcW w:w="9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The Company computes its tax provision for interim periods by applying the estimated annual effective tax rate to year-to-date income from recurring operations and adjusting for discrete items arising in that quarter.</w:t>
      </w:r>
    </w:p>
    <w:p>
      <w:pPr>
        <w:spacing w:after="0" w:line="12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Company’s effective tax rates on pre-tax income were (37.4)% and 0.8% for the three months ended June 30, 2024 and 2023, respectively, and (14.8)% and (0.5)% for the six months ended June 30, 2024 and 2023, respectively. The difference between the effective tax rate and the U.S. federal statutory rate of 21.0% in all periods was primarily the result of foreign income taxed at different rates, changes in the U.S. valuation allowance, non-deductible stock-based compensation, and recognition of a discrete income tax benefit, primarily driven by excess stock-based compensation deductions.</w:t>
      </w:r>
    </w:p>
    <w:p>
      <w:pPr>
        <w:spacing w:after="0" w:line="12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Company maintains a full valuation allowance against the U.S. net deferred tax assets, as it believes that these deferred tax assets do not meet the more likely than not threshold.</w:t>
      </w:r>
    </w:p>
    <w:p>
      <w:pPr>
        <w:spacing w:after="0" w:line="9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various state jurisdictions, and internationally. As of June 30, 2024, tax years 2012 through 2023 remain open for examination by taxing authorities.</w:t>
      </w:r>
    </w:p>
    <w:p>
      <w:pPr>
        <w:spacing w:after="0" w:line="122" w:lineRule="exact"/>
        <w:rPr>
          <w:sz w:val="20"/>
          <w:szCs w:val="20"/>
          <w:color w:val="auto"/>
        </w:rPr>
      </w:pPr>
    </w:p>
    <w:p>
      <w:pPr>
        <w:ind w:right="8560" w:firstLine="8"/>
        <w:spacing w:after="0" w:line="459" w:lineRule="auto"/>
        <w:tabs>
          <w:tab w:leader="none" w:pos="364"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Guarantees and Indemnification</w:t>
      </w:r>
    </w:p>
    <w:p>
      <w:pPr>
        <w:ind w:right="320"/>
        <w:spacing w:after="0" w:line="269" w:lineRule="auto"/>
        <w:rPr>
          <w:sz w:val="20"/>
          <w:szCs w:val="20"/>
          <w:color w:val="auto"/>
        </w:rPr>
      </w:pPr>
      <w:r>
        <w:rPr>
          <w:rFonts w:ascii="Times New Roman" w:cs="Times New Roman" w:eastAsia="Times New Roman" w:hAnsi="Times New Roman"/>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and Loss Contingencies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8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as defined under GAAP, and estimable. Although the results of litigation and claims are inherently unpredictable, the Company does not believe that there was a reasonable possibility that it had incurred a material loss with respect to such loss contingencies as of June 30, 2024 and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Indirect taxes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The Company is subject to indirect taxation in various states and foreign jurisdictions in which it conducts business. The Company continually evaluates those jurisdictions in which indirect tax obligations exist to determine whether a loss is probable, as defined under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with, or actions taken, by regulators and courts, potential or actual self-disclosure, and applicability of tax rules and the Company will continue to evaluate the accounting and disclosure of any related contingencies as they arise.</w:t>
      </w:r>
    </w:p>
    <w:p>
      <w:pPr>
        <w:spacing w:after="0" w:line="126"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6"/>
          <w:szCs w:val="16"/>
          <w:color w:val="auto"/>
        </w:rPr>
        <w:t xml:space="preserve">As a result of this assessment, management has recorded an estimated liability within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The Company’s estimate is based on the totality of factors including applicability of the tax rules, correspondence with tax authorities including payments made, and tax analysis and documentation supporting the Company’s positions.</w:t>
      </w:r>
    </w:p>
    <w:p>
      <w:pPr>
        <w:spacing w:after="0" w:line="130"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Although the Company believes its indirect tax estimates and associated liabilities are reasonable, the final determination of indirect tax audits or settlements could be materially different than the amounts recorded.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Commitments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disclosure of purchase commitments in these condensed consolidated financial statements should be read in conjunction with the consolidated financial statements and related notes within the Company’s Annual Report on Form 10-K for the year ended December 31, 2023.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 During the three months ended June 30, 2024, the Company entered into a three-year cloud infrastructure arrangement in an amount of $6.9 million, increasing the total future minimum payments under non-cancellable purchase commitments from the amounts disclosed within the Company’s Annual Report on Form 10-K for the year ended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 Agreement Not Yet Commenced</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In June 2024, the Company entered into an agreement to lease certain office space in Seattle, Washington, for the use of its corporate headquarters office. The lease payment term begins on July 1, 2025 for a period of seven years with optional renewal periods available. The total contractual commitment related to this lease, including contractual lease increases, is approximately $22.9 million, exclusive of variable maintenance and operating expenses under the lease agreement. Leasehold improvements within the office space will be constructed under the Company’s direction, and the Company will be entitled to an allowance for a substantial portion of the improvements.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will recognize the related right-of-use asset and operating lease liability on its balance sheet when it gains control of the leased office space.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Reserve for Transaction Losses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Company’s reserve for transaction losses for the three and six months ended June 30,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3,069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w:t>
            </w: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Provisions for transaction losses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16,292</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19,146</w:t>
            </w:r>
          </w:p>
        </w:tc>
      </w:tr>
      <w:tr>
        <w:trPr>
          <w:trHeight w:val="24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incurred, net of recoveries</w:t>
            </w: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(15,996)</w:t>
            </w:r>
          </w:p>
        </w:tc>
        <w:tc>
          <w:tcPr>
            <w:tcW w:w="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(9,299)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(20,100)</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80" w:type="dxa"/>
            <w:vAlign w:val="bottom"/>
          </w:tcPr>
          <w:p>
            <w:pPr>
              <w:spacing w:after="0"/>
              <w:rPr>
                <w:sz w:val="21"/>
                <w:szCs w:val="21"/>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2,808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w:t>
            </w:r>
          </w:p>
        </w:tc>
      </w:tr>
      <w:tr>
        <w:trPr>
          <w:trHeight w:val="20"/>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17.  Accrued Expenses &amp; Other Current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8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settlement liability</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58,950</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transaction expense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18,500</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marketing expense</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13,633</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salary, benefits, and related taxes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10,251</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 and taxes payable</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ESPP employee contributions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 for transaction losses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Holdback liability</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12,990</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15,295</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145,451</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145,802</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17" w:lineRule="exact"/>
        <w:rPr>
          <w:sz w:val="20"/>
          <w:szCs w:val="20"/>
          <w:color w:val="auto"/>
        </w:rPr>
      </w:pPr>
    </w:p>
    <w:p>
      <w:pPr>
        <w:jc w:val="both"/>
        <w:ind w:right="220" w:firstLine="8"/>
        <w:spacing w:after="0" w:line="416" w:lineRule="auto"/>
        <w:tabs>
          <w:tab w:leader="none" w:pos="132"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The trade settlement liability amount represents the total of disbursement postfunding liabilities and book overdrafts owed to the Company’s disbursement partners. Refer to Note 2. </w:t>
      </w:r>
      <w:r>
        <w:rPr>
          <w:rFonts w:ascii="Times New Roman" w:cs="Times New Roman" w:eastAsia="Times New Roman" w:hAnsi="Times New Roman"/>
          <w:sz w:val="11"/>
          <w:szCs w:val="11"/>
          <w:i w:val="1"/>
          <w:iCs w:val="1"/>
          <w:color w:val="auto"/>
        </w:rPr>
        <w:t>Basis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Presentation and Summary of Significant Accounting Policies </w:t>
      </w:r>
      <w:r>
        <w:rPr>
          <w:rFonts w:ascii="Times New Roman" w:cs="Times New Roman" w:eastAsia="Times New Roman" w:hAnsi="Times New Roman"/>
          <w:sz w:val="11"/>
          <w:szCs w:val="11"/>
          <w:color w:val="auto"/>
        </w:rPr>
        <w:t>within the notes to consolidated financial statements included in the Company’s Annual Report on Form 10-K for the year ended</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December 31, 2023 for further discussion.</w:t>
      </w: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Note 6.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for further detail on the Holdback liability, which was settled in April 2024.</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18.</w:t>
        <w:tab/>
        <w:t>Supplemental Cash Flow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supplemental disclosures of cash flow information consisted of the following:</w:t>
      </w:r>
    </w:p>
    <w:p>
      <w:pPr>
        <w:spacing w:after="0" w:line="23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30480</wp:posOffset>
            </wp:positionV>
            <wp:extent cx="1903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early exercised options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capitalized to internal-use software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amounts previously held back for acquisition consideration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 conditions, in connection with acquisition</w:t>
            </w: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held back for acquisition consideration</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preexisting net receivable in exchange for net assets acquired in business combination</w:t>
            </w:r>
          </w:p>
        </w:tc>
        <w:tc>
          <w:tcPr>
            <w:tcW w:w="3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 included in the Annual Report on Form 10-K for the year ended December 31, 2023.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69"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w:t>
      </w:r>
    </w:p>
    <w:p>
      <w:pPr>
        <w:spacing w:after="0" w:line="117"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6"/>
          <w:szCs w:val="16"/>
          <w:color w:val="auto"/>
        </w:rPr>
        <w:t>Our brand promise is to bring “peace of mind” into everything we do. We focus on bringing trust, reliability, and a fair and transparent price to cross-border remittances and complementary financial services.</w:t>
      </w:r>
    </w:p>
    <w:p>
      <w:pPr>
        <w:spacing w:after="0" w:line="12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To deliver on our brand promise, we have a differentiated approach that aligns with the specific needs and interests of our customers who are sending money across borders and solves the problems they often face. There are four core elements to our differentiated approach:</w:t>
      </w:r>
    </w:p>
    <w:p>
      <w:pPr>
        <w:spacing w:after="0" w:line="122" w:lineRule="exact"/>
        <w:rPr>
          <w:sz w:val="20"/>
          <w:szCs w:val="20"/>
          <w:color w:val="auto"/>
        </w:rPr>
      </w:pPr>
    </w:p>
    <w:p>
      <w:pPr>
        <w:ind w:left="660" w:right="20" w:hanging="328"/>
        <w:spacing w:after="0" w:line="26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Mobile First. </w:t>
      </w:r>
      <w:r>
        <w:rPr>
          <w:rFonts w:ascii="Times New Roman" w:cs="Times New Roman" w:eastAsia="Times New Roman" w:hAnsi="Times New Roman"/>
          <w:sz w:val="16"/>
          <w:szCs w:val="16"/>
          <w:color w:val="auto"/>
        </w:rPr>
        <w:t>Our mobile app for cross-border remittances provides an easy-to-use, end-to-end process with a simple and reliable user experience that delivers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peace of mind. In just a few minutes, customers are able to set up and send money for the first time with Remitly, and repeat transactions are easier with just a few taps. Our customers and their recipients can also track the status of their transactions as they are processed, and we provide a reliability promise to customers which is underpinned by our sophisticated risk models, high quality network, and empathetic customer service. This mobile-first experience enables us to engage beyond the initial transaction, generating strong repeat usage and high customer loyalty. Our services are highly non-discretionary for our customers which results in high revenue visibility throughout economic cycles.</w:t>
      </w:r>
    </w:p>
    <w:p>
      <w:pPr>
        <w:spacing w:after="0" w:line="127" w:lineRule="exact"/>
        <w:rPr>
          <w:rFonts w:ascii="Times New Roman" w:cs="Times New Roman" w:eastAsia="Times New Roman" w:hAnsi="Times New Roman"/>
          <w:sz w:val="16"/>
          <w:szCs w:val="16"/>
          <w:color w:val="auto"/>
        </w:rPr>
      </w:pPr>
    </w:p>
    <w:p>
      <w:pPr>
        <w:ind w:left="660" w:right="120" w:hanging="328"/>
        <w:spacing w:after="0" w:line="258" w:lineRule="auto"/>
        <w:tabs>
          <w:tab w:leader="none" w:pos="649"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Global Scale and High Quality Money Movement Platform</w:t>
      </w:r>
      <w:r>
        <w:rPr>
          <w:rFonts w:ascii="Times New Roman" w:cs="Times New Roman" w:eastAsia="Times New Roman" w:hAnsi="Times New Roman"/>
          <w:sz w:val="16"/>
          <w:szCs w:val="16"/>
          <w:color w:val="auto"/>
        </w:rPr>
        <w:t>. Our global network of funding and disbursement partnerships enables us to complete money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transfers efficiently in over 5,000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scale and direct integration strategy allows us to negotiate favorable terms with both funding and disbursement partners while providing a great end-to-end customer experience including rapid and reliable transfers.</w:t>
      </w:r>
    </w:p>
    <w:p>
      <w:pPr>
        <w:spacing w:after="0" w:line="143" w:lineRule="exact"/>
        <w:rPr>
          <w:rFonts w:ascii="Times New Roman" w:cs="Times New Roman" w:eastAsia="Times New Roman" w:hAnsi="Times New Roman"/>
          <w:sz w:val="16"/>
          <w:szCs w:val="16"/>
          <w:b w:val="1"/>
          <w:bCs w:val="1"/>
          <w:color w:val="auto"/>
        </w:rPr>
      </w:pPr>
    </w:p>
    <w:p>
      <w:pPr>
        <w:jc w:val="both"/>
        <w:ind w:left="660" w:right="2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provide broad and high 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w:t>
      </w:r>
    </w:p>
    <w:p>
      <w:pPr>
        <w:spacing w:after="0" w:line="116" w:lineRule="exact"/>
        <w:rPr>
          <w:rFonts w:ascii="Times New Roman" w:cs="Times New Roman" w:eastAsia="Times New Roman" w:hAnsi="Times New Roman"/>
          <w:sz w:val="16"/>
          <w:szCs w:val="16"/>
          <w:b w:val="1"/>
          <w:bCs w:val="1"/>
          <w:color w:val="auto"/>
        </w:rPr>
      </w:pPr>
    </w:p>
    <w:p>
      <w:pPr>
        <w:ind w:left="660"/>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disbursement network enables us to send (or pay-out) funds to over 5.0 billion bank accounts and mobile wallets and approximately 470,000 cash pick-up options including various currencies provided.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spacing w:after="0" w:line="123" w:lineRule="exact"/>
        <w:rPr>
          <w:rFonts w:ascii="Times New Roman" w:cs="Times New Roman" w:eastAsia="Times New Roman" w:hAnsi="Times New Roman"/>
          <w:sz w:val="16"/>
          <w:szCs w:val="16"/>
          <w:b w:val="1"/>
          <w:bCs w:val="1"/>
          <w:color w:val="auto"/>
        </w:rPr>
      </w:pPr>
    </w:p>
    <w:p>
      <w:pPr>
        <w:ind w:left="660" w:right="80" w:hanging="328"/>
        <w:spacing w:after="0" w:line="264"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Highly Attractive Unit Economics. </w:t>
      </w:r>
      <w:r>
        <w:rPr>
          <w:rFonts w:ascii="Times New Roman" w:cs="Times New Roman" w:eastAsia="Times New Roman" w:hAnsi="Times New Roman"/>
          <w:sz w:val="16"/>
          <w:szCs w:val="16"/>
          <w:color w:val="auto"/>
        </w:rPr>
        <w:t>Our data driven approach to optimizing customer lifetime value combined with a localized and scalable marketing platform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allows us to acquire new customers at highly attractive unit economics. As we continue to improve customer lifetime value through product enhancements and changes to variable operating costs, we can optimize marketing spend to drive both growth and efficiency with a focus on maintaining strong unit economics.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4" w:name="page25"/>
    <w:bookmarkEnd w:id="24"/>
    <w:p>
      <w:pPr>
        <w:ind w:left="660" w:right="40" w:hanging="328"/>
        <w:spacing w:after="0" w:line="257"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Superior Technology Platform. </w:t>
      </w:r>
      <w:r>
        <w:rPr>
          <w:rFonts w:ascii="Times New Roman" w:cs="Times New Roman" w:eastAsia="Times New Roman" w:hAnsi="Times New Roman"/>
          <w:sz w:val="16"/>
          <w:szCs w:val="16"/>
          <w:color w:val="auto"/>
        </w:rPr>
        <w:t>We believe that our differentiated approach to building our technology infrastructure enables a great customer experience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allows us to scale to meet customer demands in a more flexible way. We have been able to scale to more customers, more regions, and more use cases while continuing to get better at our reliability, speed, and performance due to our investments and unique approach to our technology platform. This enables not only our ability to scale, but also accelerates innovation on behalf of our customers - whether that is doing simple things well or about enabling new use cases like complementary new products over time. Because our customers initiate transfers digitally, we capture and leverage a body of transaction-related data that provides insight into customer behavior and customer experience. This data and the analytics we perform help to inform our marketing investments and product development prioritization. In addition, we leverage our data platform and proprietary models to improve our compliance systems and manage pricing, treasury, fraud risk, and customer support. Finally, our proactive investments in artificial intelligence and machine learning have continued to drive scaled improvement in the areas of fraud and risk, pricing, customer support, and marketing.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Revenue Model</w:t>
      </w:r>
    </w:p>
    <w:p>
      <w:pPr>
        <w:spacing w:after="0" w:line="16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For our remittance business, which represents substantially all of our revenue today, we generate revenue from transaction fees charged to customers and foreign exchange spreads applied to the amount the customer is sending.</w:t>
      </w:r>
    </w:p>
    <w:p>
      <w:pPr>
        <w:spacing w:after="0" w:line="12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111"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w:t>
      </w:r>
    </w:p>
    <w:p>
      <w:pPr>
        <w:spacing w:after="0" w:line="13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18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spacing w:after="0" w:line="125" w:lineRule="exact"/>
        <w:rPr>
          <w:sz w:val="20"/>
          <w:szCs w:val="20"/>
          <w:color w:val="auto"/>
        </w:rPr>
      </w:pPr>
    </w:p>
    <w:p>
      <w:pPr>
        <w:ind w:left="660" w:right="180" w:hanging="328"/>
        <w:spacing w:after="0" w:line="298"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customers” is defined as the number of distinct customers that have successfully completed at least one transaction using Remitly during a given period. We identify customers through unique account numbers.</w:t>
      </w:r>
    </w:p>
    <w:p>
      <w:pPr>
        <w:spacing w:after="0" w:line="96" w:lineRule="exact"/>
        <w:rPr>
          <w:rFonts w:ascii="Times New Roman" w:cs="Times New Roman" w:eastAsia="Times New Roman" w:hAnsi="Times New Roman"/>
          <w:sz w:val="16"/>
          <w:szCs w:val="16"/>
          <w:color w:val="auto"/>
        </w:rPr>
      </w:pPr>
    </w:p>
    <w:p>
      <w:pPr>
        <w:ind w:left="660" w:right="120" w:hanging="328"/>
        <w:spacing w:after="0" w:line="272"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Active Customers</w:t>
      </w:r>
    </w:p>
    <w:p>
      <w:pPr>
        <w:spacing w:after="0" w:line="23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customers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the number of our active customers is an important indicator of customer engagement, customer retention, and the overall growth of our business.</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Active customers increased to approximately 6.9 million, or 36% growth, for the three months ended June 30, 2024, compared to the three months ended June 30, 2023. This increase was primarily due to an increase in the number of new customers, driven by investments in our mobile platform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(India, Mexico, and the Philippines), our successful diversification of our corridor portfolio across both send and receive countries has contributed to new customer growth.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Send Volume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18"/>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24"/>
                <w:szCs w:val="24"/>
                <w:color w:val="auto"/>
              </w:rPr>
            </w:pPr>
          </w:p>
        </w:tc>
        <w:tc>
          <w:tcPr>
            <w:tcW w:w="28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Send volume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18,124</w:t>
            </w:r>
          </w:p>
        </w:tc>
      </w:tr>
    </w:tbl>
    <w:p>
      <w:pPr>
        <w:spacing w:after="0" w:line="24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We measure send volume to assess the scale of remittances sent using our platform. Our customers mostly send from the United States, Canada, the United Kingdom, and other countries in Europe. Our customers and their recipients are located in over 170 countries and territories across the globe; the largest receive countries by send volume include India, Mexico, and the Philippines.</w:t>
      </w:r>
    </w:p>
    <w:p>
      <w:pPr>
        <w:spacing w:after="0" w:line="117"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Send volume increased 38% to $13.2 billion for the three months ended June 30, 2024, compared to $9.6 billion for the three months ended June 30, 2023, driven by the increase in active customers.</w:t>
      </w:r>
    </w:p>
    <w:p>
      <w:pPr>
        <w:spacing w:after="0" w:line="9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Send volume increased 36%, to $24.7 billion for the six months ended June 30, 2024, compared to $18.1 billion for the six months ended June 30, 2023, driven by the increase in active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Retention and High Customer Engagement</w:t>
      </w:r>
    </w:p>
    <w:p>
      <w:pPr>
        <w:spacing w:after="0" w:line="185"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Our send volume is primarily driven by existing customers who regularly use our remittance product to send money to family and friends. We believe our mobile-first products and superior customer experience encourage high retention and repeat usage, which are significant though not the only drivers of our performance.</w:t>
      </w:r>
    </w:p>
    <w:p>
      <w:pPr>
        <w:spacing w:after="0" w:line="111" w:lineRule="exact"/>
        <w:rPr>
          <w:sz w:val="20"/>
          <w:szCs w:val="20"/>
          <w:color w:val="auto"/>
        </w:rPr>
      </w:pPr>
    </w:p>
    <w:p>
      <w:pPr>
        <w:ind w:right="780"/>
        <w:spacing w:after="0" w:line="298" w:lineRule="auto"/>
        <w:rPr>
          <w:sz w:val="20"/>
          <w:szCs w:val="20"/>
          <w:color w:val="auto"/>
        </w:rPr>
      </w:pPr>
      <w:r>
        <w:rPr>
          <w:rFonts w:ascii="Times New Roman" w:cs="Times New Roman" w:eastAsia="Times New Roman" w:hAnsi="Times New Roman"/>
          <w:sz w:val="16"/>
          <w:szCs w:val="16"/>
          <w:color w:val="auto"/>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Attracting New Customers</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customers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loss and Adjusted EBITDA in the quarter they are acquired, but are expected to favorably impact net loss and Adjusted EBITDA in subsequent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Acquisition Costs</w:t>
      </w:r>
    </w:p>
    <w:p>
      <w:pPr>
        <w:spacing w:after="0" w:line="18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 xml:space="preserve">Efficiently acquiring customers is critical to our growth and maintaining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 w:cs="Times New Roman" w:eastAsia="Times New Roman" w:hAnsi="Times New Roman"/>
          <w:sz w:val="16"/>
          <w:szCs w:val="16"/>
          <w:i w:val="1"/>
          <w:iCs w:val="1"/>
          <w:color w:val="auto"/>
        </w:rPr>
        <w:t>Basis of Presentation and 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Significant Accounting Policies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Corridor Mix</w:t>
      </w:r>
    </w:p>
    <w:p>
      <w:pPr>
        <w:spacing w:after="0" w:line="18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 Following the fourth quarter, typically the second quarter is seasonally the next strongest quarter from an existing customer activity perspective, however customer activity and the impact on financial results can vary across quarters based on the timing of holidays and other geographic drivers. Additionally, the number of business days in a quarter and the day of the week that the last day of the quarter falls on may also introduce variability in our results, working capital balances, or cash flows period over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Technology Platform</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of Risk and Fraud</w:t>
      </w:r>
    </w:p>
    <w:p>
      <w:pPr>
        <w:spacing w:after="0" w:line="1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Macroeconomic and Geopolitical Changes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Global macroeconomic and geopolitical factors, including inflation, currency fluctuations, immigration, regulatory changes, trade and regulatory policies,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impact our business in numerous ways. For example, as the U.S. dollar strengthens, we see customers in certain markets taking advantage of the ability to get more local currency to their families and friends. We also believe the strength of the U.S. dollar and the strength of other developed market currencies versus emerging market currencies make it easier to acquire new customers in certain markets.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w:t>
      </w:r>
      <w:r>
        <w:rPr>
          <w:rFonts w:ascii="Times New Roman" w:cs="Times New Roman" w:eastAsia="Times New Roman" w:hAnsi="Times New Roman"/>
          <w:sz w:val="16"/>
          <w:szCs w:val="16"/>
          <w:i w:val="1"/>
          <w:iCs w:val="1"/>
          <w:color w:val="auto"/>
        </w:rPr>
        <w:t>Basis of Presentation and Summary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in the Company’s notes to the condensed consolidated financial statements included in Part I, Item 1 of this Quarterly Report on Form 10-Q for a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comprehensive description of current business concentrations.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6"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8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Our revenue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 w:cs="Times New Roman" w:eastAsia="Times New Roman" w:hAnsi="Times New Roman"/>
          <w:sz w:val="16"/>
          <w:szCs w:val="16"/>
          <w:i w:val="1"/>
          <w:iCs w:val="1"/>
          <w:color w:val="auto"/>
        </w:rPr>
        <w:t>Accrued expenses and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current liabilities’ </w:t>
      </w:r>
      <w:r>
        <w:rPr>
          <w:rFonts w:ascii="Times New Roman" w:cs="Times New Roman" w:eastAsia="Times New Roman" w:hAnsi="Times New Roman"/>
          <w:sz w:val="16"/>
          <w:szCs w:val="16"/>
          <w:color w:val="auto"/>
        </w:rPr>
        <w:t>on the Condensed Consolidated Balance Sheets included in Part I, Item 1 of this Quarterly Report on Form 10-Q. Over the long term we expect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benefit from increasing scale and improvements in our proprietary fraud models, although we expect some variability in transaction expense from quarter to quarter.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18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6"/>
          <w:szCs w:val="16"/>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 w:cs="Times New Roman" w:eastAsia="Times New Roman" w:hAnsi="Times New Roman"/>
          <w:sz w:val="16"/>
          <w:szCs w:val="16"/>
          <w:i w:val="1"/>
          <w:iCs w:val="1"/>
          <w:color w:val="auto"/>
        </w:rPr>
        <w:t>Intangibles - Goodwill and Other-Internal-Use Software</w:t>
      </w:r>
      <w:r>
        <w:rPr>
          <w:rFonts w:ascii="Times New Roman" w:cs="Times New Roman" w:eastAsia="Times New Roman" w:hAnsi="Times New Roman"/>
          <w:sz w:val="16"/>
          <w:szCs w:val="16"/>
          <w:color w:val="auto"/>
        </w:rPr>
        <w:t>, are separately presented under the caption ‘</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within the Condensed Consolidated Statements of Operations included in Part I, Item 1 of this Quarterly Report on Form 10-Q.</w:t>
      </w:r>
    </w:p>
    <w:p>
      <w:pPr>
        <w:spacing w:after="0" w:line="146"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See Note 6.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Combinations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 for further details.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consists primarily of the interest expense on our borrowings.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Other income (expense), net, primarily includes foreign currency exchange gains and losses due to remeasurement of certain foreign currency denominated monetary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7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U.S. for the foreseeable future as it is more likely than not that the assets will not be realized based on our history of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six months ended June 30,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our results of operations together with the dollar and percentage change for the three and six months ended June 30, 2024 and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7"/>
        </w:trPr>
        <w:tc>
          <w:tcPr>
            <w:tcW w:w="3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88"/>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6"/>
                <w:szCs w:val="16"/>
                <w:color w:val="auto"/>
              </w:rPr>
            </w:pPr>
          </w:p>
        </w:tc>
        <w:tc>
          <w:tcPr>
            <w:tcW w:w="6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40" w:type="dxa"/>
            <w:vAlign w:val="bottom"/>
          </w:tcPr>
          <w:p>
            <w:pPr>
              <w:spacing w:after="0"/>
              <w:rPr>
                <w:sz w:val="16"/>
                <w:szCs w:val="16"/>
                <w:color w:val="auto"/>
              </w:rPr>
            </w:pPr>
          </w:p>
        </w:tc>
      </w:tr>
      <w:tr>
        <w:trPr>
          <w:trHeight w:val="36"/>
        </w:trPr>
        <w:tc>
          <w:tcPr>
            <w:tcW w:w="35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r>
      <w:tr>
        <w:trPr>
          <w:trHeight w:val="17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306,423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72,390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575,541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437,898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137,643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Costs and expenses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30"/>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18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expenses</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107,780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27,593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197,661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154,253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43,408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support and operations</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30"/>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18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Marketing</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77,056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145,070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97,723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47,347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Technology and development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30"/>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45,889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90,062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80,898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30"/>
        </w:trPr>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r>
      <w:tr>
        <w:trPr>
          <w:trHeight w:val="196"/>
        </w:trPr>
        <w:tc>
          <w:tcPr>
            <w:tcW w:w="3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costs and expenses</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322,185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252,256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611,256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484,189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127,067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166"/>
        </w:trPr>
        <w:tc>
          <w:tcPr>
            <w:tcW w:w="35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Loss from operations</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(15,762)</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(18,223)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(35,715)</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(46,291)</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30"/>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18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30"/>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0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 %</w:t>
            </w:r>
          </w:p>
        </w:tc>
      </w:tr>
      <w:tr>
        <w:trPr>
          <w:trHeight w:val="167"/>
        </w:trPr>
        <w:tc>
          <w:tcPr>
            <w:tcW w:w="35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Loss before provision (benefit) for income taxes</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(8,801)</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(18,993)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(28,883)</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(46,937)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30"/>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95"/>
        </w:trPr>
        <w:tc>
          <w:tcPr>
            <w:tcW w:w="35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(12,091)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(18,850)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(33,171)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(47,164)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22"/>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discussion and analysis is for the three and six months ended June 30, 2024, compared to the same period in 2023, unless otherwise stated.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Revenue increased 31%, or $72.4 million and $137.6 million for the three and six months ended June 30, 2024, respectively, compared to the three and six months ended June 30, 2023. This increase was primarily driven by a 36% increase in active customers period over period, continued strength in the retention of existing customers,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country to which the funds are transferred.</w:t>
      </w:r>
    </w:p>
    <w:p>
      <w:pPr>
        <w:spacing w:after="0" w:line="126"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As a reflection of this growth, send volume increased 38% and 36% to $13.2 billion and $24.7 billion for the three and six months ended June 30, 2024, respectively, as compared to $9.6 billion and $18.1 billion for the three and six months ended June 30,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8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Transaction expenses increased $27.6 million, or 34%, to $107.8 million for the three months ended June 30, 2024, compared to $80.2 million for the three months ended June 30, 2023. The increase was primarily due to a $19.6 million, or 30%, increase in direct costs associated with processing a higher volume of our customers’ remittance transactions and the disbursement of our customers’ funds to their recipients and a $7.5 million increase in our provision for fraud and other losses.</w:t>
      </w:r>
    </w:p>
    <w:p>
      <w:pPr>
        <w:spacing w:after="0" w:line="13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Transaction expenses increased $43.4 million, or 28%, to $197.7 million for the six months ended June 30, 2024, compared to $154.3 million for the six months ended June 30, 2023. The increase was primarily due to a $33.7 million, or 27%, increase in direct costs associated with processing a higher volume of our customers’ remittance transactions and the disbursement of our customers’ funds to their recipients and a $8.9 million increase in our provision for fraud and other losses.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percentage of revenue, transaction expenses increased to 35% for the three months ended June 30, 2024, as compared to 34% for the three months ended June 30,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percentage of revenue, transaction expenses decreased to 34% for the six months ended June 30, 2024, as compared to 35% for the six months ended June 30,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 Expenses</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Customer support and operations expenses decreased $1.5 million, or 7%, for the three months ended June 30, 2024, compared to the three months ended June 30, 2023. The decrease was primarily driven by a $1.2 million decrease in personnel-related costs driven by a decrease in customer support and operations headcount compared to the three months ended June 30, 2023.</w:t>
      </w:r>
    </w:p>
    <w:p>
      <w:pPr>
        <w:spacing w:after="0" w:line="11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 xml:space="preserve">Customer support and operations expenses decreased $1.3 million, or 3%, for the six months ended June 30, 2024, compared to the six months ended June 30, 2023. The decrease was primarily driven by a $1.8 million decrease in personnel-related costs driven by a decrease in customer support and operations headcount compared to the six months ended June 30, 2023. This was partially offset by a $0.8 million increase to restructuring costs primarily related to severance (refer to Note 13. </w:t>
      </w:r>
      <w:r>
        <w:rPr>
          <w:rFonts w:ascii="Times New Roman" w:cs="Times New Roman" w:eastAsia="Times New Roman" w:hAnsi="Times New Roman"/>
          <w:sz w:val="16"/>
          <w:szCs w:val="16"/>
          <w:i w:val="1"/>
          <w:iCs w:val="1"/>
          <w:color w:val="auto"/>
        </w:rPr>
        <w:t>Restructuring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Initiatives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 for more information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restructuring costs).</w:t>
      </w:r>
    </w:p>
    <w:p>
      <w:pPr>
        <w:spacing w:after="0" w:line="126"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As a percentage of revenue, customer support and operations expenses decreased to 7% for both the three and six months ended June 30, 2024, from 9% for both the three and six months ended June 30, 2023. The decrease was primarily due to process improvements and automation driving scale across customer support headcount at internal and third-party customer support sites.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 Expenses</w:t>
      </w:r>
    </w:p>
    <w:p>
      <w:pPr>
        <w:spacing w:after="0" w:line="185" w:lineRule="exact"/>
        <w:rPr>
          <w:sz w:val="20"/>
          <w:szCs w:val="20"/>
          <w:color w:val="auto"/>
        </w:rPr>
      </w:pPr>
    </w:p>
    <w:p>
      <w:pPr>
        <w:jc w:val="both"/>
        <w:ind w:right="260"/>
        <w:spacing w:after="0" w:line="263" w:lineRule="auto"/>
        <w:rPr>
          <w:sz w:val="20"/>
          <w:szCs w:val="20"/>
          <w:color w:val="auto"/>
        </w:rPr>
      </w:pPr>
      <w:r>
        <w:rPr>
          <w:rFonts w:ascii="Times New Roman" w:cs="Times New Roman" w:eastAsia="Times New Roman" w:hAnsi="Times New Roman"/>
          <w:sz w:val="16"/>
          <w:szCs w:val="16"/>
          <w:color w:val="auto"/>
        </w:rPr>
        <w:t>Marketing expenses increased $23.5 million, or 44%, for the three months ended June 30, 2024, compared to the three months ended June 30, 2023, primarily due to an increase of $20.9 million in advertising expense and other targeted marketing expense, including online and offline marketing spend and promotion costs to acquire new customers. In addition, personnel-related costs increased by $1.7 million, driven by a 13% increase in marketing headcount compared to the three months ended June 30, 2023.</w:t>
      </w:r>
    </w:p>
    <w:p>
      <w:pPr>
        <w:spacing w:after="0" w:line="12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Marketing expenses increased $47.3 million, or 48%, for the six months ended June 30, 2024, compared to the six months ended June 30, 2023, primarily due to an increase of $40.8 million in advertising expense and other targeted marketing expense, including online and offline marketing spend and promotion costs to acquire new customers. In addition, personnel-related costs increased by $5.2 million, driven by a 16% increase in marketing headcount compared to the six months ended June 30,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 Expenses</w:t>
      </w:r>
    </w:p>
    <w:p>
      <w:pPr>
        <w:spacing w:after="0" w:line="185"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Technology and development expenses increased $13.2 million, or 24%, for the three months ended June 30, 2024, compared to the three months ended June 30, 2023. The increase was driven by $10.5 million in personnel-related expenses, net of personnel-related expenses capitalized as internal-use software, resulting from a 16% increase in headcount compared to the three months ended June 30, 2023, as part of our continued investment in our technology platform. The increase in technology and development expense was also driven by a $2.0 million increase in software costs for cloud services to support incremental transaction volume.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0" w:name="page31"/>
    <w:bookmarkEnd w:id="30"/>
    <w:p>
      <w:pPr>
        <w:ind w:right="100"/>
        <w:spacing w:after="0" w:line="263" w:lineRule="auto"/>
        <w:rPr>
          <w:sz w:val="20"/>
          <w:szCs w:val="20"/>
          <w:color w:val="auto"/>
        </w:rPr>
      </w:pPr>
      <w:r>
        <w:rPr>
          <w:rFonts w:ascii="Times New Roman" w:cs="Times New Roman" w:eastAsia="Times New Roman" w:hAnsi="Times New Roman"/>
          <w:sz w:val="16"/>
          <w:szCs w:val="16"/>
          <w:color w:val="auto"/>
        </w:rPr>
        <w:t>Technology and development expenses increased $27.1 million, or 26%, for the six months ended June 30, 2024, compared to the six months ended June 30, 2023. The increase was driven by $22.3 million in personnel-related expenses, net of personnel-related expenses capitalized as internal-use software, resulting from a 16% increase in headcount compared to the six months ended June 30, 2023, as part of our continued investment in our technology platform. The increase in technology and development expense was also driven by a $4.0 million increase in software costs for cloud services to support incremental transaction volume.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7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increased $6.4 million, or 16%, for the three months ended June 30, 2024, compared to the three months ended June 30, 2023. The increase was primarily driven by a $5.9 million increase in personnel-related expenses resulting from a 13% increase in headcount compared to the three months ended June 30, 2023.</w:t>
      </w:r>
    </w:p>
    <w:p>
      <w:pPr>
        <w:spacing w:after="0" w:line="11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increased $9.2 million, or 11%, for the six months ended June 30, 2024, compared to the six months ended June 30, 2023. The increase was primarily driven by a $11.5 million increase in personnel-related expenses resulting from a 12% increase in headcount compared to the six months ended June 30, 2023. The increase in general and administrative expenses was partially offset by a reduction in indirect taxes and other operating expenses.</w:t>
      </w:r>
    </w:p>
    <w:p>
      <w:pPr>
        <w:spacing w:after="0" w:line="117"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As a percentage of revenue, general and administrative expenses decreased to 15% and 16% for the three and six months ended June 30, 2024, respectively, from 17% and 18% for the three and six months ended June 30, 2023, respectively, as we begin to leverage scale in our general and administrative functions.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Depreciation and amortization increased $0.7 million and $1.4 million, or 23% and 22%, respectively, for the three and six months ended June 30, 2024, compared to the three and six months ended June 30, 2023. The increase is primarily driven by an increase in amortization of internal-use software.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8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Interest income increased $0.6 million and $0.8 million for the three and six months ended June 30, 2024, respectively, as compared to the three and six months ended June 30, 2023. These increases are primarily due to an increase in interest rates and an increase in average invested balances throughout the quarter.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8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Interest expense increased $0.2 million and $0.5 million for the three and six months ended June 30, 2024, respectively, as compared to the three and six months ended June 30, 2023, primarily due to draws on the 2021 Revolving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Other income (expense), net is primarily driven by unrealized losses and gains on foreign exchange remeasurements of certain foreign currency denominated monetary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(Benefit) for Income Taxes</w:t>
      </w:r>
    </w:p>
    <w:p>
      <w:pPr>
        <w:spacing w:after="0" w:line="171"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6"/>
          <w:szCs w:val="16"/>
          <w:color w:val="auto"/>
        </w:rPr>
        <w:t>The provision for income taxes increased $3.4 million and $4.1 million for the three and six months ended June 30, 2024, respectively, as compared to the three and six months ended June 30, 2023. The increase is primarily due to increases in taxable income in certain foreign jurisdictions and decreases in discrete income tax benefits related to excess stock-based compensation deductions.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8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use Adjusted EBITDA, a non-GAAP financial measure to supplement net loss. Adjusted EBITDA is calculated as net loss adjusted by (i) interest (income) expense, net;</w:t>
      </w:r>
    </w:p>
    <w:p>
      <w:pPr>
        <w:spacing w:after="0" w:line="26" w:lineRule="exact"/>
        <w:rPr>
          <w:sz w:val="20"/>
          <w:szCs w:val="20"/>
          <w:color w:val="auto"/>
        </w:rPr>
      </w:pPr>
    </w:p>
    <w:p>
      <w:pPr>
        <w:ind w:firstLine="8"/>
        <w:spacing w:after="0" w:line="258" w:lineRule="auto"/>
        <w:tabs>
          <w:tab w:leader="none" w:pos="23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income taxes; (iii) noncash charges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restructuring, and other costs.</w:t>
      </w:r>
    </w:p>
    <w:p>
      <w:pPr>
        <w:spacing w:after="0" w:line="141"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0" w:right="359" w:bottom="1440" w:gutter="0" w:footer="0" w:header="0"/>
        </w:sectPr>
      </w:pPr>
    </w:p>
    <w:bookmarkStart w:id="31" w:name="page32"/>
    <w:bookmarkEnd w:id="31"/>
    <w:p>
      <w:pPr>
        <w:ind w:right="760"/>
        <w:spacing w:after="0" w:line="280" w:lineRule="auto"/>
        <w:rPr>
          <w:sz w:val="20"/>
          <w:szCs w:val="20"/>
          <w:color w:val="auto"/>
        </w:rPr>
      </w:pPr>
      <w:r>
        <w:rPr>
          <w:rFonts w:ascii="Times New Roman" w:cs="Times New Roman" w:eastAsia="Times New Roman" w:hAnsi="Times New Roman"/>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24" w:lineRule="exact"/>
        <w:rPr>
          <w:sz w:val="20"/>
          <w:szCs w:val="20"/>
          <w:color w:val="auto"/>
        </w:rPr>
      </w:pPr>
    </w:p>
    <w:p>
      <w:pPr>
        <w:ind w:left="660" w:right="48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changes in, or cash requirements for, our working capital needs;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income taxes that may represent a reduction in cash available to us;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gains and losses from the remeasurement of foreign currency assets and liabilities into their functional currency;</w:t>
      </w:r>
    </w:p>
    <w:p>
      <w:pPr>
        <w:spacing w:after="0" w:line="72"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noncash charges associated with the donation of our common stock in connection with our Pledge 1% commitment, which is recorded in general and administrative expenses;</w:t>
      </w:r>
    </w:p>
    <w:p>
      <w:pPr>
        <w:spacing w:after="0" w:line="16" w:lineRule="exact"/>
        <w:rPr>
          <w:rFonts w:ascii="Times New Roman" w:cs="Times New Roman" w:eastAsia="Times New Roman" w:hAnsi="Times New Roman"/>
          <w:sz w:val="16"/>
          <w:szCs w:val="16"/>
          <w:color w:val="auto"/>
        </w:rPr>
      </w:pPr>
    </w:p>
    <w:p>
      <w:pPr>
        <w:ind w:left="660" w:right="42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stock-based compensation expense, net, which has recently been, and will continue to be for the foreseeable future, a significant recurring expense for our business and an important part of our compensation strategy;</w:t>
      </w:r>
    </w:p>
    <w:p>
      <w:pPr>
        <w:spacing w:after="0" w:line="2" w:lineRule="exact"/>
        <w:rPr>
          <w:rFonts w:ascii="Times New Roman" w:cs="Times New Roman" w:eastAsia="Times New Roman" w:hAnsi="Times New Roman"/>
          <w:sz w:val="16"/>
          <w:szCs w:val="16"/>
          <w:color w:val="auto"/>
        </w:rPr>
      </w:pPr>
    </w:p>
    <w:p>
      <w:pPr>
        <w:ind w:left="660" w:right="300" w:hanging="328"/>
        <w:spacing w:after="0" w:line="263"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certain transaction costs related to acquisition, integration, restructuring, and other costs. The acquisition and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w:t>
      </w:r>
    </w:p>
    <w:p>
      <w:pPr>
        <w:spacing w:after="0" w:line="30"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12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(47,164)</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64,434</w:t>
            </w: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integration, restructuring, and other costs</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61"/>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right="180" w:firstLine="8"/>
        <w:spacing w:after="0" w:line="260" w:lineRule="auto"/>
        <w:tabs>
          <w:tab w:leader="none" w:pos="132"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Acquisition, integration, restructuring, and other costs for the six months ended June 30, 2024 consisted primarily of $0.8 million in restructuring charges incurred, $0.5 million of non-recurring legal charges, and $0.2 million related to the change in the fair value of the holdback liability associated with the acquisition of Rewire (O.S.G.) Research and Development Ltd. ("Rewire"). Acquisition, integration, restructuring, and other costs for the three months ended June 30, 2023 consisted primarily of $0.2 million related to the change in the fair value of the holdback liability. Acquisition, integration, restructuring, and other costs for the six months ended June 30, 2023 consisted primarily of $1.0 million related to the change in the fair value of the holdback liability and $0.5 million of expenses incurred in connection with the acquisition and integration of Rewire. Refer to Note 6.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and Note 13.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Initiatives </w:t>
      </w:r>
      <w:r>
        <w:rPr>
          <w:rFonts w:ascii="Times New Roman" w:cs="Times New Roman" w:eastAsia="Times New Roman" w:hAnsi="Times New Roman"/>
          <w:sz w:val="14"/>
          <w:szCs w:val="14"/>
          <w:color w:val="auto"/>
        </w:rPr>
        <w:t>in the notes to the condensed consolidated financial statements included in Part I, Item 1 of this Quarterly Report on Form 10-Q for more information on these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Sources of Liquidity and Material Future Cash Requirements</w:t>
      </w:r>
    </w:p>
    <w:p>
      <w:pPr>
        <w:spacing w:after="0" w:line="1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As of June 30, 2024 and December 31, 2023, our principal sources of liquidity were cash and cash equivalents of $185.2 million and $323.7 million, respectively, as well as funds available under the 2021 Revolving Credit Facility, which we entered into in September 2021. The 2021 Revolving Credit Facility was amended on December 20, 2023 to increase the revolving commitments from $250.0 million (including a $60.0 million letter of credit sub-facility) to $325.0 million. We have historically financed our operations and capital expenditures primarily through cash generated from operations including transaction fees and foreign exchange spreads. In recent periods, we have supplemented those cash flows with borrowings on our 2021 Revolving Credit Facility, primarily to support customer transaction volumes during peak periods and weekends, which we expect to continue to do in the future. During the six months ended June 30, 2024, we cumulatively borrowed $570.0 million against this credit facility and repaid $685.0 million. The outstanding balance of $15.0 million as of June 30, 2024 was subsequently repaid the following business day on July 1, 2024. Operations continue to be substantially funded by the existing cash we have on hand and ongoing utilization of the 2021 Revolving Credit Facility (including the letter of credit sub-facility), which included active borrowings and repayments during the six months ended June 30, 2024. As of June 30, 2024, we have unused borrowing capacity of $262.1 million.</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32" w:name="page33"/>
    <w:bookmarkEnd w:id="32"/>
    <w:p>
      <w:pPr>
        <w:ind w:right="200"/>
        <w:spacing w:after="0" w:line="272" w:lineRule="auto"/>
        <w:rPr>
          <w:sz w:val="20"/>
          <w:szCs w:val="20"/>
          <w:color w:val="auto"/>
        </w:rPr>
      </w:pPr>
      <w:r>
        <w:rPr>
          <w:rFonts w:ascii="Times New Roman" w:cs="Times New Roman" w:eastAsia="Times New Roman" w:hAnsi="Times New Roman"/>
          <w:sz w:val="16"/>
          <w:szCs w:val="16"/>
          <w:color w:val="auto"/>
        </w:rPr>
        <w:t>We believe that our cash, cash equivalents, and funds available under the 2021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w:t>
      </w:r>
    </w:p>
    <w:p>
      <w:pPr>
        <w:spacing w:after="0" w:line="1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Condensed Consolidated Statements of Cash Flows for the periods presented:</w:t>
      </w:r>
    </w:p>
    <w:p>
      <w:pPr>
        <w:spacing w:after="0" w:line="23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r>
              <w:rPr>
                <w:rFonts w:ascii="Times New Roman" w:cs="Times New Roman" w:eastAsia="Times New Roman" w:hAnsi="Times New Roman"/>
                <w:sz w:val="21"/>
                <w:szCs w:val="21"/>
                <w:color w:val="auto"/>
                <w:vertAlign w:val="superscript"/>
              </w:rPr>
              <w:t>(1)</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(7,909)</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(54,196)</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(44,843)</w:t>
            </w: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activities</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25,883</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(136,339)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(72,493)</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80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right="40" w:firstLine="8"/>
        <w:spacing w:after="0" w:line="252" w:lineRule="auto"/>
        <w:tabs>
          <w:tab w:leader="none" w:pos="149"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Certain prior period amounts have been reclassified to conform to the current period presentation. Refer to Note 2. </w:t>
      </w:r>
      <w:r>
        <w:rPr>
          <w:rFonts w:ascii="Times New Roman" w:cs="Times New Roman" w:eastAsia="Times New Roman" w:hAnsi="Times New Roman"/>
          <w:sz w:val="12"/>
          <w:szCs w:val="12"/>
          <w:i w:val="1"/>
          <w:iCs w:val="1"/>
          <w:color w:val="auto"/>
        </w:rPr>
        <w:t>Basis of Presentation and Summary of Significant Accounting Policies</w:t>
      </w:r>
      <w:r>
        <w:rPr>
          <w:rFonts w:ascii="Times New Roman" w:cs="Times New Roman" w:eastAsia="Times New Roman" w:hAnsi="Times New Roman"/>
          <w:sz w:val="12"/>
          <w:szCs w:val="12"/>
          <w:color w:val="auto"/>
        </w:rPr>
        <w:t xml:space="preserve"> in the notes to the condensed consolidated financial statements included in Part I, Item 1 of this Quarterly Report on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disbursement postfunding liabilities and book overdrafts, both of which are included within the line item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Accrued expenses and other liabilities.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For the six months ended June 30, 2024, net cash used in operating activities was $7.9 million, which was primarily driven by timing impacts of current growth in our global network. Specifically, as a result of both growth and timing, we saw an increase in customer funds receivable of $82.1 million and a decrease in customer liabilities of $10.7 million, offset by a decrease in disbursement prefunding of $45.1 million, which were the key drivers for the changes in our operating assets and liabilities which decreased operating cash flows by $53.8 million. This was partially offset by cash generated from our operations, when excluding the $79.0 million of noncash charges included within the $33.2 million net loss for the period.</w:t>
      </w:r>
    </w:p>
    <w:p>
      <w:pPr>
        <w:spacing w:after="0" w:line="12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For the six months ended June 30, 2023, net cash used in operating activities was $54.2 million, which was primarily driven by an increase in overall growth in our global network of funding and disbursement partnerships and an increase in volume of customer transactions to support the holiday weekend, which encompassed both domestic and international holidays. Specifically, as a result of both growth and timing, we saw an increase in disbursement prefunding of $117.9 million, offset by a decrease in customer funds receivable of $54.2 million, which were the key drivers for the unfavorable changes in our operating assets and liabilities of $79.9 million. This change in our operating assets and liabilities was also partially offset by cash generated from our operations, when excluding the $72.9 million of noncash charges included within the $47.2 million net loss for the period.</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69"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Cash used in investing activities consists primarily of purchases of property and equipment, capitalization of internal-use software, and cash paid for acquisitions of businesses, net of acquired cash, cash equivalents, and restricted cash.</w:t>
      </w:r>
    </w:p>
    <w:p>
      <w:pPr>
        <w:spacing w:after="0" w:line="97"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Net cash used in investing activities was $8.6 million for the six months ended June 30, 2024, a decrease of $36.2 million, compared to net cash used in investing activities of $44.8 million for the six months ended June 30, 2023. This decrease was primarily driven by the acquisition of Rewire in the first quarter of 2023 of $40.9 million, offset by an increase in capitalized internal-use software costs of $4.2 million for the six months ended June 30, 2024, as compared to the six months ended June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Cash used in financing activities consists primarily of borrowings on our 2021 Revolving Credit Facility, proceeds from the exercise of stock options, and proceeds from the issuance of common stock in connection with ESPP, offset by repayments of borrowings and other indebtedness.</w:t>
      </w:r>
    </w:p>
    <w:p>
      <w:pPr>
        <w:spacing w:after="0" w:line="12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Net cash used in financing activities for the six months ended June 30, 2024 was $118.6 million, an increase of $144.5 million, compared to net cash provided by financing activities for the six months ended June 30, 2023 of $25.9 million. This increase was primarily driven by the net repayments on our 2021 Revolving Credit Facility of $115.0 million and the settlement of amounts previously held back for the Rewire acquisition of $10.3 million in the six months ended June 30,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spacing w:after="0" w:line="12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6"/>
          <w:szCs w:val="16"/>
          <w:color w:val="auto"/>
        </w:rPr>
        <w:t>During the six months ended June 30, 2024, other than software, cloud infrastructure (as described below), marketing, compliance-tool related contracts, and leases (as described below) entered into in the normal course of business, there were no other material changes to the contractual obligations and contingencies as disclosed in Note</w:t>
      </w:r>
    </w:p>
    <w:p>
      <w:pPr>
        <w:ind w:firstLine="8"/>
        <w:spacing w:after="0" w:line="260" w:lineRule="auto"/>
        <w:tabs>
          <w:tab w:leader="none" w:pos="24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and Note 20.</w:t>
      </w:r>
      <w:r>
        <w:rPr>
          <w:rFonts w:ascii="Times New Roman" w:cs="Times New Roman" w:eastAsia="Times New Roman" w:hAnsi="Times New Roman"/>
          <w:sz w:val="16"/>
          <w:szCs w:val="16"/>
          <w:i w:val="1"/>
          <w:iCs w:val="1"/>
          <w:color w:val="auto"/>
        </w:rPr>
        <w:t xml:space="preserve"> Leases </w:t>
      </w:r>
      <w:r>
        <w:rPr>
          <w:rFonts w:ascii="Times New Roman" w:cs="Times New Roman" w:eastAsia="Times New Roman" w:hAnsi="Times New Roman"/>
          <w:sz w:val="16"/>
          <w:szCs w:val="16"/>
          <w:color w:val="auto"/>
        </w:rPr>
        <w:t>in the notes to the consolidated financial statements included in Part II, Item 8 in our Annual Report on Form 10-K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the year ended December 31, 2023. For further discussion of commitments and contingencies, also refer to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w:t>
      </w:r>
      <w:r>
        <w:rPr>
          <w:rFonts w:ascii="Times New Roman" w:cs="Times New Roman" w:eastAsia="Times New Roman" w:hAnsi="Times New Roman"/>
          <w:sz w:val="16"/>
          <w:szCs w:val="16"/>
          <w:i w:val="1"/>
          <w:iCs w:val="1"/>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three months ended June 30, 2024</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entered into a three-year cloud infrastructure arrangement. For further details on this arrangement, refer to Note 16.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Lease Not Yet Commenced</w:t>
      </w:r>
    </w:p>
    <w:p>
      <w:pPr>
        <w:spacing w:after="0" w:line="16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 xml:space="preserve">In June 2024, we entered into an agreement to lease certain office space in Seattle, Washington, for the use of our corporate headquarters office. For further details on this lease agreement, refer to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8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As of June 30, 2024,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in our Annual Report on Form 10-K, we elected not to record leases on our Condensed Consolidated Balance Sheets if the lease term is 12 months or less. For further information on our lease arrangements, refer to our Annual Report on Form 10-K for the year ended December 31,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4" w:name="page35"/>
    <w:bookmarkEnd w:id="34"/>
    <w:p>
      <w:pPr>
        <w:jc w:val="both"/>
        <w:ind w:right="40"/>
        <w:spacing w:after="0" w:line="273" w:lineRule="auto"/>
        <w:rPr>
          <w:sz w:val="20"/>
          <w:szCs w:val="20"/>
          <w:color w:val="auto"/>
        </w:rPr>
      </w:pPr>
      <w:r>
        <w:rPr>
          <w:rFonts w:ascii="Times New Roman" w:cs="Times New Roman" w:eastAsia="Times New Roman" w:hAnsi="Times New Roman"/>
          <w:sz w:val="16"/>
          <w:szCs w:val="16"/>
          <w:color w:val="auto"/>
        </w:rPr>
        <w:t xml:space="preserve">There have been no material changes, other than as described in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condensed consolidated financial statements to the Company’s critical accounting policies and estimates as compared to those described in “Management’s Discussion and Analysis of Financial Condition and Results of Operations” set forth in our Annual Report on Form 10-K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8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6"/>
          <w:szCs w:val="16"/>
          <w:color w:val="auto"/>
        </w:rPr>
        <w:t xml:space="preserve">See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Company’s notes to the condensed consolidated financial statements included in Part I, Item 1 of this Quarterly Report on Form 10-Q for a discussion of recent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83"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6"/>
          <w:szCs w:val="16"/>
          <w:color w:val="auto"/>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have a limited number of pay-in payment processors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Exchange Rate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 nature of our business, we are exposed to foreign exchange rate risk in a number of ways. Our principal exposure to foreign exchange rate risk includes:</w:t>
      </w:r>
    </w:p>
    <w:p>
      <w:pPr>
        <w:spacing w:after="0" w:line="167" w:lineRule="exact"/>
        <w:rPr>
          <w:sz w:val="20"/>
          <w:szCs w:val="20"/>
          <w:color w:val="auto"/>
        </w:rPr>
      </w:pPr>
    </w:p>
    <w:p>
      <w:pPr>
        <w:ind w:left="660" w:hanging="328"/>
        <w:spacing w:after="0" w:line="26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40" w:lineRule="exact"/>
        <w:rPr>
          <w:rFonts w:ascii="Times New Roman" w:cs="Times New Roman" w:eastAsia="Times New Roman" w:hAnsi="Times New Roman"/>
          <w:sz w:val="16"/>
          <w:szCs w:val="16"/>
          <w:color w:val="auto"/>
        </w:rPr>
      </w:pPr>
    </w:p>
    <w:p>
      <w:pPr>
        <w:ind w:left="660" w:hanging="328"/>
        <w:spacing w:after="0" w:line="26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spacing w:after="0" w:line="1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As of June 30, 2024 and December 31, 2023,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$13.4 million and $19.3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3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85"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Based on their evaluation as of June 30, 2024,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7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the Exchange Act Rule 13a-15(f)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8"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83"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6"/>
          <w:szCs w:val="16"/>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addition to the other information set forth in this Quarterly Report on Form 10-Q, you should carefully consider the factors discussed in Part I, Item 1A, “Risk Factors,” in our Annual Report on Form 10-K for the year ended December 31, 2023,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Sales of Unregistered Equity Securities</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In April 2024, we issued 112,888 shares of our common stock to former shareholders of Rewire in connection with the release of equity proceeds held back pursuant to the terms of the Rewire acquisition. The shares were issued to former shareholders that were not a “U.S. person,” as defined in Rule 902 of Regulation S under the Securities Act, or were an “accredited investor,” and the issuances were exempt from the registration requirements of the Securities Act under Regulation S and Rule 506 of Regulation D, respectively. The shares bear a restrictive Securities Act legend. See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in our notes to the condensed consolidated financial statements included in Part I, Item 1 of this Quarterly Report on Form 10-Q for further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Proceeds</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September 2021, we completed our initial public offering (the “IPO”), in which we issued and sold 7,000,000 shares of our common stock at $43.00 per share. Concurrently, 5,162,777 shares were sold by certain of our existing stockholders. In addition, we concurrently issued 581,395 shares of common stock in a private placement at the same offering price as the IPO. We received net proceeds of $305.2 million for the IPO and private placement, after deducting underwriting discounts and other fees of $20.8 million. There has been no material change in the planned use of proceeds from our IPO as described in our final prospectus filed with the SEC on September 24, 2021 pursuant to Rule 424(b) under the Securities Act.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Issuer Purchase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Rule 10b5-1 and Non-Rule 10b5-1 Trading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three months ended June 30, 2024, none of our officers or directors adopted, modified, or terminated any Rule 10b5-1 or non-Rule 10b5-1 trading arrangements.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Exhibit</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Description</w:t>
            </w: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195"/>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w:t>
            </w:r>
          </w:p>
        </w:tc>
        <w:tc>
          <w:tcPr>
            <w:tcW w:w="4420" w:type="dxa"/>
            <w:vAlign w:val="bottom"/>
            <w:gridSpan w:val="14"/>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Certificate of Incorporation</w:t>
              </w:r>
            </w:hyperlink>
          </w:p>
        </w:tc>
        <w:tc>
          <w:tcPr>
            <w:tcW w:w="9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5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November 12, 2021</w:t>
            </w:r>
          </w:p>
        </w:tc>
        <w:tc>
          <w:tcPr>
            <w:tcW w:w="0" w:type="dxa"/>
            <w:vAlign w:val="bottom"/>
          </w:tcPr>
          <w:p>
            <w:pPr>
              <w:spacing w:after="0"/>
              <w:rPr>
                <w:sz w:val="1"/>
                <w:szCs w:val="1"/>
                <w:color w:val="auto"/>
              </w:rPr>
            </w:pPr>
          </w:p>
        </w:tc>
      </w:tr>
      <w:tr>
        <w:trPr>
          <w:trHeight w:val="223"/>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w:t>
            </w:r>
          </w:p>
        </w:tc>
        <w:tc>
          <w:tcPr>
            <w:tcW w:w="332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Bylaws</w:t>
              </w:r>
            </w:hyperlink>
          </w:p>
        </w:tc>
        <w:tc>
          <w:tcPr>
            <w:tcW w:w="1100" w:type="dxa"/>
            <w:vAlign w:val="bottom"/>
            <w:gridSpan w:val="9"/>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5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March 20, 2024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10.1</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2021 Employee Stock Purchase Plan, as amended, and forms of</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1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rPr>
              <w:t>award agreements thereunder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31.1</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rPr>
              <w:t>14(a) and 15d-14(a) under the Securities Exchange Act of 1934, as</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40" w:type="dxa"/>
            <w:vAlign w:val="bottom"/>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3"/>
              </w:rPr>
              <w:t>2002</w:t>
            </w:r>
          </w:p>
        </w:tc>
        <w:tc>
          <w:tcPr>
            <w:tcW w:w="8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31.2</w:t>
            </w:r>
          </w:p>
        </w:tc>
        <w:tc>
          <w:tcPr>
            <w:tcW w:w="4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w:t>
            </w:r>
          </w:p>
        </w:tc>
        <w:tc>
          <w:tcPr>
            <w:tcW w:w="140" w:type="dxa"/>
            <w:vAlign w:val="bottom"/>
            <w:gridSpan w:val="4"/>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420" w:type="dxa"/>
            <w:vAlign w:val="bottom"/>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14(a) and 15d-14(a) under the Securities Exchange Act of 1934, as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34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3"/>
              </w:rPr>
              <w:t>2002</w:t>
            </w:r>
          </w:p>
        </w:tc>
        <w:tc>
          <w:tcPr>
            <w:tcW w:w="8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32.1*</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160" w:type="dxa"/>
            <w:vAlign w:val="bottom"/>
            <w:gridSpan w:val="5"/>
          </w:tcPr>
          <w:p>
            <w:pPr>
              <w:jc w:val="right"/>
              <w:ind w:right="80"/>
              <w:spacing w:after="0" w:line="169" w:lineRule="exact"/>
              <w:rPr>
                <w:sz w:val="20"/>
                <w:szCs w:val="20"/>
                <w:color w:val="auto"/>
              </w:rPr>
            </w:pPr>
            <w:r>
              <w:rPr>
                <w:rFonts w:ascii="Times New Roman" w:cs="Times New Roman" w:eastAsia="Times New Roman" w:hAnsi="Times New Roman"/>
                <w:sz w:val="16"/>
                <w:szCs w:val="16"/>
                <w:color w:val="0000FF"/>
              </w:rPr>
              <w:t>-</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60" w:type="dxa"/>
            <w:vAlign w:val="bottom"/>
            <w:tcBorders>
              <w:top w:val="single" w:sz="8" w:color="0000FF"/>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32.2*</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w w:val="99"/>
              </w:rPr>
              <w:t>Section 1350, as Adopted Pursuant to Section 906 of the Sarbanes</w:t>
            </w:r>
          </w:p>
        </w:tc>
        <w:tc>
          <w:tcPr>
            <w:tcW w:w="200" w:type="dxa"/>
            <w:vAlign w:val="bottom"/>
            <w:gridSpan w:val="6"/>
          </w:tcPr>
          <w:p>
            <w:pPr>
              <w:jc w:val="right"/>
              <w:ind w:right="80"/>
              <w:spacing w:after="0" w:line="169" w:lineRule="exact"/>
              <w:rPr>
                <w:sz w:val="20"/>
                <w:szCs w:val="20"/>
                <w:color w:val="auto"/>
              </w:rPr>
            </w:pPr>
            <w:r>
              <w:rPr>
                <w:rFonts w:ascii="Times New Roman" w:cs="Times New Roman" w:eastAsia="Times New Roman" w:hAnsi="Times New Roman"/>
                <w:sz w:val="16"/>
                <w:szCs w:val="16"/>
                <w:color w:val="0000FF"/>
              </w:rPr>
              <w:t>-</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360" w:type="dxa"/>
            <w:vAlign w:val="bottom"/>
            <w:tcBorders>
              <w:top w:val="single" w:sz="8" w:color="0000FF"/>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101.INS</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42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101.SCH</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101.CAL</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101.DEF</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101.LAB</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101.PRE</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104</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firstLine="8"/>
        <w:spacing w:after="0" w:line="273" w:lineRule="auto"/>
        <w:tabs>
          <w:tab w:leader="none" w:pos="137"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6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Remitly Global, Inc.</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July 31, 2024</w:t>
            </w:r>
          </w:p>
        </w:tc>
        <w:tc>
          <w:tcPr>
            <w:tcW w:w="148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Matthew Oppenheimer</w:t>
            </w:r>
          </w:p>
        </w:tc>
      </w:tr>
      <w:tr>
        <w:trPr>
          <w:trHeight w:val="210"/>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Oppenheimer</w:t>
            </w:r>
          </w:p>
        </w:tc>
      </w:tr>
      <w:tr>
        <w:trPr>
          <w:trHeight w:val="243"/>
        </w:trPr>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July 31, 2024</w:t>
            </w:r>
          </w:p>
        </w:tc>
        <w:tc>
          <w:tcPr>
            <w:tcW w:w="148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Hemanth Munipalli</w:t>
            </w:r>
          </w:p>
        </w:tc>
      </w:tr>
      <w:tr>
        <w:trPr>
          <w:trHeight w:val="210"/>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Hemanth Munipalli</w:t>
            </w:r>
          </w:p>
        </w:tc>
      </w:tr>
      <w:tr>
        <w:trPr>
          <w:trHeight w:val="243"/>
        </w:trPr>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July 31, 2024</w:t>
            </w:r>
          </w:p>
        </w:tc>
        <w:tc>
          <w:tcPr>
            <w:tcW w:w="148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Gail Miller</w:t>
            </w:r>
          </w:p>
        </w:tc>
      </w:tr>
      <w:tr>
        <w:trPr>
          <w:trHeight w:val="210"/>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Gail Miller</w:t>
            </w:r>
          </w:p>
        </w:tc>
      </w:tr>
      <w:tr>
        <w:trPr>
          <w:trHeight w:val="243"/>
        </w:trPr>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43"/>
        </w:trPr>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080"/>
          </w:cols>
          <w:pgMar w:left="320" w:top="1260" w:right="4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REMITLY GLOBAL, INC.</w:t>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2021 EMPLOYEE STOCK PURCHASE PLAN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by the Board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Date: September 22,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Date(s): July 20, 2024; November 14,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shall mean the U.S. Internal Revenue Code of 1986, as amended.</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shall mean the Committee of the Board that consists exclusively of one or more members of the Board appointed by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shall mean the common stock of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Remitly Global, Inc.</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Contributions</w:t>
      </w:r>
      <w:r>
        <w:rPr>
          <w:rFonts w:ascii="Times New Roman" w:cs="Times New Roman" w:eastAsia="Times New Roman" w:hAnsi="Times New Roman"/>
          <w:sz w:val="22"/>
          <w:szCs w:val="22"/>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Corporate Transaction</w:t>
      </w:r>
      <w:r>
        <w:rPr>
          <w:rFonts w:ascii="Times New Roman" w:cs="Times New Roman" w:eastAsia="Times New Roman" w:hAnsi="Times New Roman"/>
          <w:sz w:val="21"/>
          <w:szCs w:val="21"/>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then-outstanding voting securities;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4" w:right="339" w:bottom="1440" w:gutter="0" w:footer="0" w:header="0"/>
        </w:sectPr>
      </w:pPr>
    </w:p>
    <w:bookmarkStart w:id="40" w:name="page41"/>
    <w:bookmarkEnd w:id="40"/>
    <w:p>
      <w:pPr>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shall mean the date on which the Registration Statement covering the initial public offering of the shares of Common Stock is declared effective by the U.S. Securities and Exchange Commission.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shall mean, as of any date, the value of a share of Common Stock determined as follows:</w:t>
      </w:r>
    </w:p>
    <w:p>
      <w:pPr>
        <w:spacing w:after="0" w:line="226" w:lineRule="exact"/>
        <w:rPr>
          <w:sz w:val="20"/>
          <w:szCs w:val="20"/>
          <w:color w:val="auto"/>
        </w:rPr>
      </w:pPr>
    </w:p>
    <w:p>
      <w:pPr>
        <w:jc w:val="both"/>
        <w:ind w:left="660" w:hanging="4"/>
        <w:spacing w:after="0" w:line="239" w:lineRule="auto"/>
        <w:rPr>
          <w:sz w:val="20"/>
          <w:szCs w:val="20"/>
          <w:color w:val="auto"/>
        </w:rPr>
      </w:pPr>
      <w:r>
        <w:rPr>
          <w:rFonts w:ascii="Times New Roman" w:cs="Times New Roman" w:eastAsia="Times New Roman" w:hAnsi="Times New Roman"/>
          <w:sz w:val="22"/>
          <w:szCs w:val="22"/>
          <w:color w:val="auto"/>
        </w:rPr>
        <w:t xml:space="preserve">if such Common Stock is then quoted on the Nasdaq Global Select Market, the Nasdaq Global Market or the Nasdaq Capital Market (collectively, the “Nasdaq Market”), its closing price on the Nasdaq Market on the date of determination, or if there are no sales for such date, then the last preceding business day on which there were sales, as reported in </w:t>
      </w:r>
      <w:r>
        <w:rPr>
          <w:rFonts w:ascii="Times New Roman" w:cs="Times New Roman" w:eastAsia="Times New Roman" w:hAnsi="Times New Roman"/>
          <w:sz w:val="22"/>
          <w:szCs w:val="22"/>
          <w:i w:val="1"/>
          <w:iCs w:val="1"/>
          <w:color w:val="auto"/>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Wall Street Journal </w:t>
      </w:r>
      <w:r>
        <w:rPr>
          <w:rFonts w:ascii="Times New Roman" w:cs="Times New Roman" w:eastAsia="Times New Roman" w:hAnsi="Times New Roman"/>
          <w:sz w:val="22"/>
          <w:szCs w:val="22"/>
          <w:color w:val="auto"/>
        </w:rPr>
        <w:t>or such other source as the Board or the Committee deems reliable;</w:t>
      </w:r>
    </w:p>
    <w:p>
      <w:pPr>
        <w:spacing w:after="0" w:line="2" w:lineRule="exact"/>
        <w:rPr>
          <w:sz w:val="20"/>
          <w:szCs w:val="20"/>
          <w:color w:val="auto"/>
        </w:rPr>
      </w:pPr>
    </w:p>
    <w:p>
      <w:pPr>
        <w:jc w:val="both"/>
        <w:ind w:left="660" w:hanging="105"/>
        <w:spacing w:after="0" w:line="234" w:lineRule="auto"/>
        <w:rPr>
          <w:sz w:val="20"/>
          <w:szCs w:val="20"/>
          <w:color w:val="auto"/>
        </w:rPr>
      </w:pPr>
      <w:r>
        <w:rPr>
          <w:rFonts w:ascii="Times New Roman" w:cs="Times New Roman" w:eastAsia="Times New Roman" w:hAnsi="Times New Roman"/>
          <w:sz w:val="22"/>
          <w:szCs w:val="22"/>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Board or the Committee deems reliable;</w:t>
      </w:r>
    </w:p>
    <w:p>
      <w:pPr>
        <w:spacing w:after="0" w:line="3" w:lineRule="exact"/>
        <w:rPr>
          <w:sz w:val="20"/>
          <w:szCs w:val="20"/>
          <w:color w:val="auto"/>
        </w:rPr>
      </w:pPr>
    </w:p>
    <w:p>
      <w:pPr>
        <w:jc w:val="both"/>
        <w:ind w:left="660" w:hanging="34"/>
        <w:spacing w:after="0" w:line="234" w:lineRule="auto"/>
        <w:rPr>
          <w:sz w:val="20"/>
          <w:szCs w:val="20"/>
          <w:color w:val="auto"/>
        </w:rPr>
      </w:pPr>
      <w:r>
        <w:rPr>
          <w:rFonts w:ascii="Times New Roman" w:cs="Times New Roman" w:eastAsia="Times New Roman" w:hAnsi="Times New Roman"/>
          <w:sz w:val="22"/>
          <w:szCs w:val="22"/>
          <w:color w:val="auto"/>
        </w:rPr>
        <w:t>with respect to the initial Offering Period, Fair Market Value on the Offering Date shall be the price at which shares of Common Stock are offered to the public pursuant to the Registration Statement covering the initial public offering of shares of Common Stock; or</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if none of the foregoing is applicable, by the Board or the Committee in good faith.</w:t>
      </w:r>
    </w:p>
    <w:p>
      <w:pPr>
        <w:spacing w:after="0" w:line="19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Non-Section 423 Component</w:t>
      </w:r>
      <w:r>
        <w:rPr>
          <w:rFonts w:ascii="Times New Roman" w:cs="Times New Roman" w:eastAsia="Times New Roman" w:hAnsi="Times New Roman"/>
          <w:sz w:val="22"/>
          <w:szCs w:val="22"/>
          <w:color w:val="auto"/>
        </w:rPr>
        <w:t>” means the part of the Plan which is not intended to meet the requirements set forth in Section 423 of the Code.</w:t>
      </w:r>
    </w:p>
    <w:p>
      <w:pPr>
        <w:spacing w:after="0" w:line="1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 Period</w:t>
      </w:r>
      <w:r>
        <w:rPr>
          <w:rFonts w:ascii="Times New Roman" w:cs="Times New Roman" w:eastAsia="Times New Roman" w:hAnsi="Times New Roman"/>
          <w:sz w:val="22"/>
          <w:szCs w:val="22"/>
          <w:color w:val="auto"/>
        </w:rPr>
        <w:t>” shall mean within two (2) years from the Offering Date or within one (1) year from the Purchase Date on which such shares were purchased.</w:t>
      </w:r>
    </w:p>
    <w:p>
      <w:pPr>
        <w:spacing w:after="0" w:line="14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 Date</w:t>
      </w:r>
      <w:r>
        <w:rPr>
          <w:rFonts w:ascii="Times New Roman" w:cs="Times New Roman" w:eastAsia="Times New Roman" w:hAnsi="Times New Roman"/>
          <w:sz w:val="22"/>
          <w:szCs w:val="22"/>
          <w:color w:val="auto"/>
        </w:rPr>
        <w:t xml:space="preserve">” shall mean the first business day of each Offering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initial Offering Period, the Offering Date shall be the Effective Date.</w:t>
      </w:r>
    </w:p>
    <w:p>
      <w:pPr>
        <w:spacing w:after="0" w:line="13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 Period</w:t>
      </w:r>
      <w:r>
        <w:rPr>
          <w:rFonts w:ascii="Times New Roman" w:cs="Times New Roman" w:eastAsia="Times New Roman" w:hAnsi="Times New Roman"/>
          <w:sz w:val="22"/>
          <w:szCs w:val="22"/>
          <w:color w:val="auto"/>
        </w:rPr>
        <w:t>” shall mean a period with respect to which the right to purchase Common Stock may be granted under the Plan, as determined by the Committee pursuant to Section 5(a).</w:t>
      </w:r>
    </w:p>
    <w:p>
      <w:pPr>
        <w:spacing w:after="0" w:line="134" w:lineRule="exact"/>
        <w:rPr>
          <w:sz w:val="20"/>
          <w:szCs w:val="20"/>
          <w:color w:val="auto"/>
        </w:rPr>
      </w:pPr>
    </w:p>
    <w:p>
      <w:pPr>
        <w:ind w:right="20" w:hanging="1"/>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“Oversubscribed” </w:t>
      </w:r>
      <w:r>
        <w:rPr>
          <w:rFonts w:ascii="Times New Roman" w:cs="Times New Roman" w:eastAsia="Times New Roman" w:hAnsi="Times New Roman"/>
          <w:sz w:val="22"/>
          <w:szCs w:val="22"/>
          <w:color w:val="auto"/>
        </w:rPr>
        <w:t>shall mean the cumulative share amounts for any Purchase Date are larger than the remaining amount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shares available under the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shall have the same meaning as “parent corporation” in Sections 424(e) and 424(f) of the Code.</w:t>
      </w:r>
    </w:p>
    <w:p>
      <w:pPr>
        <w:spacing w:after="0" w:line="2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shall mean an eligible employee who meets the eligibility requirements set forth in Section 4 and who is either automatically enrolled in the initial Offering Period or who elects to participate in this Plan pursuant to Section 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2" w:right="339" w:bottom="1440" w:gutter="0" w:footer="0" w:header="0"/>
        </w:sectPr>
      </w:pPr>
    </w:p>
    <w:bookmarkStart w:id="41" w:name="page42"/>
    <w:bookmarkEnd w:id="41"/>
    <w:p>
      <w:pPr>
        <w:jc w:val="both"/>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Participating Corporation</w:t>
      </w:r>
      <w:r>
        <w:rPr>
          <w:rFonts w:ascii="Times New Roman" w:cs="Times New Roman" w:eastAsia="Times New Roman" w:hAnsi="Times New Roman"/>
          <w:sz w:val="22"/>
          <w:szCs w:val="22"/>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shall mean this Remitly Global, Inc. 2021 Employee Stock Purchase Plan, as may be amended from time to time.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Date</w:t>
      </w:r>
      <w:r>
        <w:rPr>
          <w:rFonts w:ascii="Times New Roman" w:cs="Times New Roman" w:eastAsia="Times New Roman" w:hAnsi="Times New Roman"/>
          <w:sz w:val="22"/>
          <w:szCs w:val="22"/>
          <w:color w:val="auto"/>
        </w:rPr>
        <w:t>” shall mean the last business day of each Purchase Period, which is the last calendar day of February and August. If those dates are not Trading Days, the Purchase will take place on the preceding Trading Day.</w:t>
      </w:r>
    </w:p>
    <w:p>
      <w:pPr>
        <w:spacing w:after="0" w:line="1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Period</w:t>
      </w:r>
      <w:r>
        <w:rPr>
          <w:rFonts w:ascii="Times New Roman" w:cs="Times New Roman" w:eastAsia="Times New Roman" w:hAnsi="Times New Roman"/>
          <w:sz w:val="22"/>
          <w:szCs w:val="22"/>
          <w:color w:val="auto"/>
        </w:rPr>
        <w:t>” shall mean an approximate six (6) month period during which Contributions may be made toward the purchase of Common Stock under the Plan, as determined by the Committee pursuant to Section 5(b), commencing on the Offering Date and ending with the Purchase Date</w:t>
      </w:r>
    </w:p>
    <w:p>
      <w:pPr>
        <w:spacing w:after="0" w:line="17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shall mean the price at which Participants may purchase shares of Common Stock under the Plan, as determined pursuant to Section 8.</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423 Component</w:t>
      </w:r>
      <w:r>
        <w:rPr>
          <w:rFonts w:ascii="Times New Roman" w:cs="Times New Roman" w:eastAsia="Times New Roman" w:hAnsi="Times New Roman"/>
          <w:sz w:val="22"/>
          <w:szCs w:val="22"/>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shall have the same meaning as “subsidiary corporation” in Sections 424(e) and 424(f) of the Code.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“Trading Day” </w:t>
      </w:r>
      <w:r>
        <w:rPr>
          <w:rFonts w:ascii="Times New Roman" w:cs="Times New Roman" w:eastAsia="Times New Roman" w:hAnsi="Times New Roman"/>
          <w:sz w:val="22"/>
          <w:szCs w:val="22"/>
          <w:color w:val="auto"/>
        </w:rPr>
        <w:t>means a day on which the national stock exchange upon which Common Stock is listed is open for trading.</w:t>
      </w:r>
    </w:p>
    <w:p>
      <w:pPr>
        <w:spacing w:after="0" w:line="235" w:lineRule="exact"/>
        <w:rPr>
          <w:sz w:val="20"/>
          <w:szCs w:val="20"/>
          <w:color w:val="auto"/>
        </w:rPr>
      </w:pPr>
    </w:p>
    <w:p>
      <w:pPr>
        <w:jc w:val="both"/>
        <w:ind w:firstLine="818"/>
        <w:spacing w:after="0" w:line="252" w:lineRule="auto"/>
        <w:tabs>
          <w:tab w:leader="none" w:pos="1201" w:val="left"/>
        </w:tabs>
        <w:numPr>
          <w:ilvl w:val="0"/>
          <w:numId w:val="2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Remitly Global, Inc. adopted the Plan effective as of the Effective Date. The purpose of this Plan is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eligible employees of the Company and the Participating Corporations with a means of acquiring an equity interest in the Company, to enhance such employees’ sense of participation in the affairs of the Company.</w:t>
      </w:r>
    </w:p>
    <w:p>
      <w:pPr>
        <w:spacing w:after="0" w:line="175" w:lineRule="exact"/>
        <w:rPr>
          <w:rFonts w:ascii="Times New Roman" w:cs="Times New Roman" w:eastAsia="Times New Roman" w:hAnsi="Times New Roman"/>
          <w:sz w:val="22"/>
          <w:szCs w:val="22"/>
          <w:b w:val="1"/>
          <w:bCs w:val="1"/>
          <w:color w:val="010000"/>
        </w:rPr>
      </w:pPr>
    </w:p>
    <w:p>
      <w:pPr>
        <w:jc w:val="both"/>
        <w:ind w:firstLine="818"/>
        <w:spacing w:after="0" w:line="242" w:lineRule="auto"/>
        <w:tabs>
          <w:tab w:leader="none" w:pos="1242" w:val="left"/>
        </w:tabs>
        <w:numPr>
          <w:ilvl w:val="0"/>
          <w:numId w:val="2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ESTABLISHMENT OF PLAN. </w:t>
      </w:r>
      <w:r>
        <w:rPr>
          <w:rFonts w:ascii="Times New Roman" w:cs="Times New Roman" w:eastAsia="Times New Roman" w:hAnsi="Times New Roman"/>
          <w:sz w:val="22"/>
          <w:szCs w:val="22"/>
          <w:color w:val="auto"/>
        </w:rPr>
        <w:t>The Company proposes to grant rights to purchase shares of Common Stock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this Plan authorizes the grant of options under a Non-Section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2"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Component that is not intended to meet Section 423 requirements,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to the extent necessary under Section 423 of the Code, the other terms and conditions of the Plan are met.</w:t>
      </w:r>
    </w:p>
    <w:p>
      <w:pPr>
        <w:spacing w:after="0" w:line="17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Subject to Section 14, a total of 3,500,000 shares of Common Stock is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outstanding shares of Common Stock and shares of preferred stock of the Company outstanding (on an as converted to common stock basis) on the immediately preceding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(rounded down to the nearest whole share);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Board or the Committee may in its sole discretion reduce the amount of the increase in any particular year. Subject to Section 14, no more than 35,000,000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82" w:lineRule="exact"/>
        <w:rPr>
          <w:sz w:val="20"/>
          <w:szCs w:val="20"/>
          <w:color w:val="auto"/>
        </w:rPr>
      </w:pPr>
    </w:p>
    <w:p>
      <w:pPr>
        <w:jc w:val="both"/>
        <w:ind w:firstLine="818"/>
        <w:spacing w:after="0" w:line="249" w:lineRule="auto"/>
        <w:tabs>
          <w:tab w:leader="none" w:pos="1458" w:val="left"/>
        </w:tabs>
        <w:numPr>
          <w:ilvl w:val="0"/>
          <w:numId w:val="30"/>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 xml:space="preserve">ADMINISTRATION. </w:t>
      </w:r>
      <w:r>
        <w:rPr>
          <w:rFonts w:ascii="Times New Roman" w:cs="Times New Roman" w:eastAsia="Times New Roman" w:hAnsi="Times New Roman"/>
          <w:sz w:val="21"/>
          <w:szCs w:val="21"/>
          <w:color w:val="auto"/>
        </w:rPr>
        <w:t>The Plan will be administered by the Committee. The Committee may delegate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tasks under the Plan to a subcommittee or to one or more officers to assist with the administration of the Plan pursuant to specific delegation as permitted by applicable law. Subject to the provisions of this Plan and the 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facilitate compliance with local laws, regulations or customs or to achieve tax, securities law or other objectives for eligible employees outside of the United States. Further, the Committee is specifically authorized to adopt rules and procedures regarding the application of the definition of Compensation (as defined below) to Participants on payrolls outside of the United States, handling of payroll deductions and other contributions, taking of payroll deductions and making of other contributions to the Plan, establishment of bank or trust accounts to hold contributions, payment of interest, establishment of the exchange rate applicable to payroll deductions taken and other contributions made in a currency other than U.S. dollars, obligations to pay payroll tax, determination of beneficiary designation requirements, tax withholding procedures, and handling of stock certificates that vary with applicable local requirements.</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Committee will have the authority to determine the Fair Market Value of the Common Stock (which determination shall be final, binding and conclusive for all purposes) in accordance with Section 7 below and to interpret Section 7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43" w:name="page44"/>
    <w:bookmarkEnd w:id="43"/>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77" w:lineRule="exact"/>
        <w:rPr>
          <w:sz w:val="20"/>
          <w:szCs w:val="20"/>
          <w:color w:val="auto"/>
        </w:rPr>
      </w:pPr>
    </w:p>
    <w:p>
      <w:pPr>
        <w:ind w:left="1200" w:hanging="382"/>
        <w:spacing w:after="0"/>
        <w:tabs>
          <w:tab w:leader="none" w:pos="1200" w:val="left"/>
        </w:tabs>
        <w:numPr>
          <w:ilvl w:val="0"/>
          <w:numId w:val="3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ELIGIBILITY.</w:t>
      </w:r>
    </w:p>
    <w:p>
      <w:pPr>
        <w:spacing w:after="0" w:line="210" w:lineRule="exact"/>
        <w:rPr>
          <w:rFonts w:ascii="Times New Roman" w:cs="Times New Roman" w:eastAsia="Times New Roman" w:hAnsi="Times New Roman"/>
          <w:sz w:val="22"/>
          <w:szCs w:val="22"/>
          <w:b w:val="1"/>
          <w:bCs w:val="1"/>
          <w:color w:val="010000"/>
        </w:rPr>
      </w:pPr>
    </w:p>
    <w:p>
      <w:pPr>
        <w:jc w:val="both"/>
        <w:ind w:firstLine="1387"/>
        <w:spacing w:after="0" w:line="250" w:lineRule="auto"/>
        <w:tabs>
          <w:tab w:leader="none" w:pos="1915"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employee of the Company or the Participating Corporations is eligible to participate in an Offering Period under this Plan, except that one or more of the following categories of employees may be excluded from coverage under the Plan if determined by the Committee (other than where such exclusion is prohibited by applicable law):</w:t>
      </w:r>
    </w:p>
    <w:p>
      <w:pPr>
        <w:spacing w:after="0" w:line="167" w:lineRule="exact"/>
        <w:rPr>
          <w:rFonts w:ascii="Times New Roman" w:cs="Times New Roman" w:eastAsia="Times New Roman" w:hAnsi="Times New Roman"/>
          <w:sz w:val="22"/>
          <w:szCs w:val="22"/>
          <w:color w:val="010000"/>
        </w:rPr>
      </w:pPr>
    </w:p>
    <w:p>
      <w:pPr>
        <w:ind w:firstLine="2035"/>
        <w:spacing w:after="0" w:line="271" w:lineRule="auto"/>
        <w:tabs>
          <w:tab w:leader="none" w:pos="2581"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who do not meet eligibility requirements that the Committee may choose to impose (within the limits permitted by the Code);</w:t>
      </w:r>
    </w:p>
    <w:p>
      <w:pPr>
        <w:spacing w:after="0" w:line="144" w:lineRule="exact"/>
        <w:rPr>
          <w:rFonts w:ascii="Times New Roman" w:cs="Times New Roman" w:eastAsia="Times New Roman" w:hAnsi="Times New Roman"/>
          <w:sz w:val="22"/>
          <w:szCs w:val="22"/>
          <w:color w:val="010000"/>
        </w:rPr>
      </w:pPr>
    </w:p>
    <w:p>
      <w:pPr>
        <w:ind w:right="20" w:firstLine="2035"/>
        <w:spacing w:after="0" w:line="271" w:lineRule="auto"/>
        <w:tabs>
          <w:tab w:leader="none" w:pos="2655"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who are not employed by the Company or a Participating Corporation prior to the beginning of such Offering Period or prior to such other time period as specified by the Committee;</w:t>
      </w:r>
    </w:p>
    <w:p>
      <w:pPr>
        <w:spacing w:after="0" w:line="144" w:lineRule="exact"/>
        <w:rPr>
          <w:rFonts w:ascii="Times New Roman" w:cs="Times New Roman" w:eastAsia="Times New Roman" w:hAnsi="Times New Roman"/>
          <w:sz w:val="22"/>
          <w:szCs w:val="22"/>
          <w:color w:val="010000"/>
        </w:rPr>
      </w:pPr>
    </w:p>
    <w:p>
      <w:pPr>
        <w:ind w:left="2580" w:hanging="545"/>
        <w:spacing w:after="0"/>
        <w:tabs>
          <w:tab w:leader="none" w:pos="2580"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who are customarily employed for twenty (20) or less hours per week;</w:t>
      </w:r>
    </w:p>
    <w:p>
      <w:pPr>
        <w:spacing w:after="0" w:line="206" w:lineRule="exact"/>
        <w:rPr>
          <w:rFonts w:ascii="Times New Roman" w:cs="Times New Roman" w:eastAsia="Times New Roman" w:hAnsi="Times New Roman"/>
          <w:sz w:val="22"/>
          <w:szCs w:val="22"/>
          <w:color w:val="010000"/>
        </w:rPr>
      </w:pPr>
    </w:p>
    <w:p>
      <w:pPr>
        <w:ind w:left="2560" w:hanging="525"/>
        <w:spacing w:after="0"/>
        <w:tabs>
          <w:tab w:leader="none" w:pos="2560"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who are customarily employed for five (5) months or less in a calendar year;</w:t>
      </w:r>
    </w:p>
    <w:p>
      <w:pPr>
        <w:spacing w:after="0" w:line="219" w:lineRule="exact"/>
        <w:rPr>
          <w:rFonts w:ascii="Times New Roman" w:cs="Times New Roman" w:eastAsia="Times New Roman" w:hAnsi="Times New Roman"/>
          <w:sz w:val="22"/>
          <w:szCs w:val="22"/>
          <w:color w:val="010000"/>
        </w:rPr>
      </w:pPr>
    </w:p>
    <w:p>
      <w:pPr>
        <w:jc w:val="both"/>
        <w:ind w:firstLine="2035"/>
        <w:spacing w:after="0" w:line="244" w:lineRule="auto"/>
        <w:tabs>
          <w:tab w:leader="none" w:pos="2643"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employees who are “highly compensated employees” of the Company or any Participating Corporation (within the meaning of Section 414(q) of the Code), or (b) any employees who are “highly compensated employees” with compensation above a specified level, who is an officer and/or is subject to the disclosure requirements of Section 16(a) of the Exchange Act;</w:t>
      </w:r>
    </w:p>
    <w:p>
      <w:pPr>
        <w:spacing w:after="0" w:line="172" w:lineRule="exact"/>
        <w:rPr>
          <w:rFonts w:ascii="Times New Roman" w:cs="Times New Roman" w:eastAsia="Times New Roman" w:hAnsi="Times New Roman"/>
          <w:sz w:val="22"/>
          <w:szCs w:val="22"/>
          <w:color w:val="010000"/>
        </w:rPr>
      </w:pPr>
    </w:p>
    <w:p>
      <w:pPr>
        <w:jc w:val="both"/>
        <w:ind w:firstLine="2035"/>
        <w:spacing w:after="0" w:line="248" w:lineRule="auto"/>
        <w:tabs>
          <w:tab w:leader="none" w:pos="2554"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44" w:name="page45"/>
    <w:bookmarkEnd w:id="44"/>
    <w:p>
      <w:pPr>
        <w:ind w:right="20" w:firstLine="2035"/>
        <w:spacing w:after="0" w:line="258" w:lineRule="auto"/>
        <w:tabs>
          <w:tab w:leader="none" w:pos="2642"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individuals who provide services to the Company or any of its Participating Corporations who are reclassified as common law employees for any reason except for federal income and employment tax purposes.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73" w:lineRule="exact"/>
        <w:rPr>
          <w:sz w:val="20"/>
          <w:szCs w:val="20"/>
          <w:color w:val="auto"/>
        </w:rPr>
      </w:pPr>
    </w:p>
    <w:p>
      <w:pPr>
        <w:jc w:val="both"/>
        <w:ind w:firstLine="1468"/>
        <w:spacing w:after="0"/>
        <w:tabs>
          <w:tab w:leader="none" w:pos="2036"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72" w:lineRule="exact"/>
        <w:rPr>
          <w:rFonts w:ascii="Times New Roman" w:cs="Times New Roman" w:eastAsia="Times New Roman" w:hAnsi="Times New Roman"/>
          <w:sz w:val="22"/>
          <w:szCs w:val="22"/>
          <w:color w:val="010000"/>
        </w:rPr>
      </w:pPr>
    </w:p>
    <w:p>
      <w:pPr>
        <w:ind w:left="1200" w:hanging="382"/>
        <w:spacing w:after="0"/>
        <w:tabs>
          <w:tab w:leader="none" w:pos="1200" w:val="left"/>
        </w:tabs>
        <w:numPr>
          <w:ilvl w:val="0"/>
          <w:numId w:val="3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OFFERING PERIODS.</w:t>
      </w:r>
    </w:p>
    <w:p>
      <w:pPr>
        <w:spacing w:after="0" w:line="223" w:lineRule="exact"/>
        <w:rPr>
          <w:rFonts w:ascii="Times New Roman" w:cs="Times New Roman" w:eastAsia="Times New Roman" w:hAnsi="Times New Roman"/>
          <w:sz w:val="22"/>
          <w:szCs w:val="22"/>
          <w:b w:val="1"/>
          <w:bCs w:val="1"/>
          <w:color w:val="010000"/>
        </w:rPr>
      </w:pPr>
    </w:p>
    <w:p>
      <w:pPr>
        <w:ind w:left="1920" w:hanging="454"/>
        <w:spacing w:after="0"/>
        <w:tabs>
          <w:tab w:leader="none" w:pos="1920"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Initial Offering Period.</w:t>
      </w:r>
    </w:p>
    <w:p>
      <w:pPr>
        <w:spacing w:after="0" w:line="206" w:lineRule="exact"/>
        <w:rPr>
          <w:rFonts w:ascii="Times New Roman" w:cs="Times New Roman" w:eastAsia="Times New Roman" w:hAnsi="Times New Roman"/>
          <w:sz w:val="22"/>
          <w:szCs w:val="22"/>
          <w:color w:val="010000"/>
        </w:rPr>
      </w:pPr>
    </w:p>
    <w:p>
      <w:pPr>
        <w:jc w:val="both"/>
        <w:ind w:firstLine="2035"/>
        <w:spacing w:after="0" w:line="250" w:lineRule="auto"/>
        <w:tabs>
          <w:tab w:leader="none" w:pos="2514"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initial Offering Period shall commence on the Effective Date and shall end with the Purchase Date that occurs on a date selected by the Committee which is no more than twenty seven (27) months after the commencement of the initial Offering Period.</w:t>
      </w:r>
    </w:p>
    <w:p>
      <w:pPr>
        <w:spacing w:after="0" w:line="167" w:lineRule="exact"/>
        <w:rPr>
          <w:rFonts w:ascii="Times New Roman" w:cs="Times New Roman" w:eastAsia="Times New Roman" w:hAnsi="Times New Roman"/>
          <w:sz w:val="22"/>
          <w:szCs w:val="22"/>
          <w:color w:val="010000"/>
        </w:rPr>
      </w:pPr>
    </w:p>
    <w:p>
      <w:pPr>
        <w:ind w:left="2540" w:hanging="505"/>
        <w:spacing w:after="0"/>
        <w:tabs>
          <w:tab w:leader="none" w:pos="2540" w:val="left"/>
        </w:tabs>
        <w:numPr>
          <w:ilvl w:val="2"/>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initial Offering Period shall consist of four (4) Purchase Periods (except as otherwise provided</w:t>
      </w:r>
    </w:p>
    <w:p>
      <w:pPr>
        <w:spacing w:after="0" w:line="39"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by the Committee).</w:t>
      </w:r>
    </w:p>
    <w:p>
      <w:pPr>
        <w:spacing w:after="0" w:line="182" w:lineRule="exact"/>
        <w:rPr>
          <w:rFonts w:ascii="Times New Roman" w:cs="Times New Roman" w:eastAsia="Times New Roman" w:hAnsi="Times New Roman"/>
          <w:sz w:val="21"/>
          <w:szCs w:val="21"/>
          <w:color w:val="010000"/>
        </w:rPr>
      </w:pPr>
    </w:p>
    <w:p>
      <w:pPr>
        <w:jc w:val="both"/>
        <w:ind w:firstLine="2035"/>
        <w:spacing w:after="0" w:line="250" w:lineRule="auto"/>
        <w:tabs>
          <w:tab w:leader="none" w:pos="2607"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employee who is an eligible employee determined in accordance with Section 4 immediately prior to the initial Offering Period will be automatically enrolled in the initial Offering Period under this Plan at a Contribution level of one percent (1%).</w:t>
      </w:r>
    </w:p>
    <w:p>
      <w:pPr>
        <w:spacing w:after="0" w:line="167" w:lineRule="exact"/>
        <w:rPr>
          <w:rFonts w:ascii="Times New Roman" w:cs="Times New Roman" w:eastAsia="Times New Roman" w:hAnsi="Times New Roman"/>
          <w:sz w:val="22"/>
          <w:szCs w:val="22"/>
          <w:color w:val="010000"/>
        </w:rPr>
      </w:pPr>
    </w:p>
    <w:p>
      <w:pPr>
        <w:jc w:val="both"/>
        <w:ind w:firstLine="2035"/>
        <w:spacing w:after="0" w:line="248" w:lineRule="auto"/>
        <w:tabs>
          <w:tab w:leader="none" w:pos="2662"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Contributions shall commence on the first payday following the last Purchase Date, as soon as practicable following the effective date of filing with the U.S. Securities and Exchange Commission a securities registration statement for the Plan) and shall continue to the end of the Offering Period unless sooner altered or terminated as provided in this Plan.</w:t>
      </w:r>
    </w:p>
    <w:p>
      <w:pPr>
        <w:spacing w:after="0" w:line="169" w:lineRule="exact"/>
        <w:rPr>
          <w:rFonts w:ascii="Times New Roman" w:cs="Times New Roman" w:eastAsia="Times New Roman" w:hAnsi="Times New Roman"/>
          <w:sz w:val="22"/>
          <w:szCs w:val="22"/>
          <w:color w:val="010000"/>
        </w:rPr>
      </w:pPr>
    </w:p>
    <w:p>
      <w:pPr>
        <w:ind w:firstLine="2035"/>
        <w:spacing w:after="0" w:line="258" w:lineRule="auto"/>
        <w:tabs>
          <w:tab w:leader="none" w:pos="2562"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decrease in the rate of Contributions may be made twice during the initial Purchase Period and once during any subsequent Purchase Period, or more frequently under rules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45" w:name="page46"/>
    <w:bookmarkEnd w:id="45"/>
    <w:p>
      <w:pPr>
        <w:ind w:right="20" w:firstLine="1549"/>
        <w:spacing w:after="0" w:line="258" w:lineRule="auto"/>
        <w:tabs>
          <w:tab w:leader="none" w:pos="2333"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Offering Period shall consist of up to four (4) (except as otherwise provided by the Committee)Purchase Periods during which Contributions made by Participants are accumulated under this Plan.</w:t>
      </w:r>
    </w:p>
    <w:p>
      <w:pPr>
        <w:spacing w:after="0" w:line="171" w:lineRule="exact"/>
        <w:rPr>
          <w:rFonts w:ascii="Times New Roman" w:cs="Times New Roman" w:eastAsia="Times New Roman" w:hAnsi="Times New Roman"/>
          <w:sz w:val="22"/>
          <w:szCs w:val="22"/>
          <w:color w:val="010000"/>
        </w:rPr>
      </w:pPr>
    </w:p>
    <w:p>
      <w:pPr>
        <w:jc w:val="both"/>
        <w:ind w:firstLine="1630"/>
        <w:spacing w:after="0" w:line="244" w:lineRule="auto"/>
        <w:tabs>
          <w:tab w:leader="none" w:pos="2252" w:val="left"/>
        </w:tabs>
        <w:numPr>
          <w:ilvl w:val="2"/>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Offering Periods to consist of four (4) separate six (6) month Purchase Periods, except as otherwise provided by an applicable sub-plan, or by the Committee. The Committee may at any time establish a different duration for an Offering Period or Purchase Period to be effective after the next scheduled Purchase Date, up to a maximum duration of twenty-four (24) months.</w:t>
      </w:r>
    </w:p>
    <w:p>
      <w:pPr>
        <w:spacing w:after="0" w:line="168" w:lineRule="exact"/>
        <w:rPr>
          <w:rFonts w:ascii="Times New Roman" w:cs="Times New Roman" w:eastAsia="Times New Roman" w:hAnsi="Times New Roman"/>
          <w:sz w:val="22"/>
          <w:szCs w:val="22"/>
          <w:color w:val="010000"/>
        </w:rPr>
      </w:pPr>
    </w:p>
    <w:p>
      <w:pPr>
        <w:ind w:left="1200" w:hanging="382"/>
        <w:spacing w:after="0"/>
        <w:tabs>
          <w:tab w:leader="none" w:pos="1200" w:val="left"/>
        </w:tabs>
        <w:numPr>
          <w:ilvl w:val="0"/>
          <w:numId w:val="3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PARTICIPATION IN THIS PLAN.</w:t>
      </w:r>
    </w:p>
    <w:p>
      <w:pPr>
        <w:spacing w:after="0" w:line="223" w:lineRule="exact"/>
        <w:rPr>
          <w:rFonts w:ascii="Times New Roman" w:cs="Times New Roman" w:eastAsia="Times New Roman" w:hAnsi="Times New Roman"/>
          <w:sz w:val="22"/>
          <w:szCs w:val="22"/>
          <w:b w:val="1"/>
          <w:bCs w:val="1"/>
          <w:color w:val="010000"/>
        </w:rPr>
      </w:pPr>
    </w:p>
    <w:p>
      <w:pPr>
        <w:jc w:val="both"/>
        <w:ind w:firstLine="1549"/>
        <w:spacing w:after="0" w:line="244" w:lineRule="auto"/>
        <w:tabs>
          <w:tab w:leader="none" w:pos="2077"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Offering Periods any employee who is an eligible employee determined in accordance with Section 4 immediately prior to an Offering Period may elect to participate in this Plan by submitting an enrollment agreement prior to the commencement of the Offering Period (or such earlier date as the Committee may determine) to which such agreement relates, subject to the other terms and provisions of this Plan.</w:t>
      </w:r>
    </w:p>
    <w:p>
      <w:pPr>
        <w:spacing w:after="0" w:line="172" w:lineRule="exact"/>
        <w:rPr>
          <w:rFonts w:ascii="Times New Roman" w:cs="Times New Roman" w:eastAsia="Times New Roman" w:hAnsi="Times New Roman"/>
          <w:sz w:val="22"/>
          <w:szCs w:val="22"/>
          <w:color w:val="010000"/>
        </w:rPr>
      </w:pPr>
    </w:p>
    <w:p>
      <w:pPr>
        <w:jc w:val="both"/>
        <w:ind w:firstLine="1630"/>
        <w:spacing w:after="0" w:line="238" w:lineRule="auto"/>
        <w:tabs>
          <w:tab w:leader="none" w:pos="2162" w:val="left"/>
        </w:tabs>
        <w:numPr>
          <w:ilvl w:val="2"/>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10 or Section 11 below. A Participant who is continuing participation pursuant to the preceding sentence is not required to file any additional enrollment agreement in order to continue participation in this Plan, but participation in any subsequent Offering Period will be governed by the Plan and enrollment agreement and other terms in effect on the Offering Date for such relevant Offering Period;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95" w:lineRule="exact"/>
        <w:rPr>
          <w:rFonts w:ascii="Times New Roman" w:cs="Times New Roman" w:eastAsia="Times New Roman" w:hAnsi="Times New Roman"/>
          <w:sz w:val="22"/>
          <w:szCs w:val="22"/>
          <w:color w:val="010000"/>
        </w:rPr>
      </w:pPr>
    </w:p>
    <w:p>
      <w:pPr>
        <w:ind w:firstLine="818"/>
        <w:spacing w:after="0" w:line="262" w:lineRule="auto"/>
        <w:tabs>
          <w:tab w:leader="none" w:pos="1323" w:val="left"/>
        </w:tabs>
        <w:numPr>
          <w:ilvl w:val="0"/>
          <w:numId w:val="3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PURCHASE PRICE. </w:t>
      </w:r>
      <w:r>
        <w:rPr>
          <w:rFonts w:ascii="Times New Roman" w:cs="Times New Roman" w:eastAsia="Times New Roman" w:hAnsi="Times New Roman"/>
          <w:sz w:val="22"/>
          <w:szCs w:val="22"/>
          <w:color w:val="auto"/>
        </w:rPr>
        <w:t>The Purchase Price per share at which a share of Common Stock will be sold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Period shall be eighty-five percent (85%) of the lesser of:</w:t>
      </w:r>
    </w:p>
    <w:p>
      <w:pPr>
        <w:spacing w:after="0" w:line="167" w:lineRule="exact"/>
        <w:rPr>
          <w:rFonts w:ascii="Times New Roman" w:cs="Times New Roman" w:eastAsia="Times New Roman" w:hAnsi="Times New Roman"/>
          <w:sz w:val="22"/>
          <w:szCs w:val="22"/>
          <w:b w:val="1"/>
          <w:bCs w:val="1"/>
          <w:color w:val="010000"/>
        </w:rPr>
      </w:pPr>
    </w:p>
    <w:p>
      <w:pPr>
        <w:ind w:left="2000" w:hanging="451"/>
        <w:spacing w:after="0"/>
        <w:tabs>
          <w:tab w:leader="none" w:pos="2000"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Fair Market Value on the Offering Date; or</w:t>
      </w:r>
    </w:p>
    <w:p>
      <w:pPr>
        <w:spacing w:after="0" w:line="206" w:lineRule="exact"/>
        <w:rPr>
          <w:rFonts w:ascii="Times New Roman" w:cs="Times New Roman" w:eastAsia="Times New Roman" w:hAnsi="Times New Roman"/>
          <w:sz w:val="22"/>
          <w:szCs w:val="22"/>
          <w:color w:val="010000"/>
        </w:rPr>
      </w:pPr>
    </w:p>
    <w:p>
      <w:pPr>
        <w:ind w:left="2020" w:hanging="471"/>
        <w:spacing w:after="0"/>
        <w:tabs>
          <w:tab w:leader="none" w:pos="2020"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Fair Market Value on the Purchase Date.</w:t>
      </w:r>
    </w:p>
    <w:p>
      <w:pPr>
        <w:spacing w:after="0" w:line="202" w:lineRule="exact"/>
        <w:rPr>
          <w:rFonts w:ascii="Times New Roman" w:cs="Times New Roman" w:eastAsia="Times New Roman" w:hAnsi="Times New Roman"/>
          <w:sz w:val="22"/>
          <w:szCs w:val="22"/>
          <w:color w:val="010000"/>
        </w:rPr>
      </w:pPr>
    </w:p>
    <w:p>
      <w:pPr>
        <w:ind w:left="1200" w:hanging="382"/>
        <w:spacing w:after="0"/>
        <w:tabs>
          <w:tab w:leader="none" w:pos="1200" w:val="left"/>
        </w:tabs>
        <w:numPr>
          <w:ilvl w:val="0"/>
          <w:numId w:val="3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PAYMENT OF PURCHASE PRICE; CONTRIBUTION CHANGES; SHARE ISSUANCES.</w:t>
      </w:r>
    </w:p>
    <w:p>
      <w:pPr>
        <w:spacing w:after="0" w:line="223" w:lineRule="exact"/>
        <w:rPr>
          <w:rFonts w:ascii="Times New Roman" w:cs="Times New Roman" w:eastAsia="Times New Roman" w:hAnsi="Times New Roman"/>
          <w:sz w:val="22"/>
          <w:szCs w:val="22"/>
          <w:b w:val="1"/>
          <w:bCs w:val="1"/>
          <w:color w:val="010000"/>
        </w:rPr>
      </w:pPr>
    </w:p>
    <w:p>
      <w:pPr>
        <w:ind w:left="2000" w:hanging="451"/>
        <w:spacing w:after="0"/>
        <w:tabs>
          <w:tab w:leader="none" w:pos="2000" w:val="left"/>
        </w:tabs>
        <w:numPr>
          <w:ilvl w:val="1"/>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Purchase Price shall be accumulated by regular payroll deductions made during each Offering Period.</w:t>
      </w:r>
    </w:p>
    <w:p>
      <w:pPr>
        <w:spacing w:after="0" w:line="217" w:lineRule="exact"/>
        <w:rPr>
          <w:rFonts w:ascii="Times New Roman" w:cs="Times New Roman" w:eastAsia="Times New Roman" w:hAnsi="Times New Roman"/>
          <w:sz w:val="21"/>
          <w:szCs w:val="21"/>
          <w:color w:val="010000"/>
        </w:rPr>
      </w:pPr>
    </w:p>
    <w:p>
      <w:pPr>
        <w:jc w:val="both"/>
        <w:ind w:firstLine="2035"/>
        <w:spacing w:after="0" w:line="250" w:lineRule="auto"/>
        <w:tabs>
          <w:tab w:leader="none" w:pos="2500" w:val="left"/>
        </w:tabs>
        <w:numPr>
          <w:ilvl w:val="3"/>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Contributions are made as a percentage of the Participant’s Compensation in one percent (1%) increments not less than one percent (1%), nor greater than fifteen percent (15%) or such lower limit or other increment requirements set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8" w:right="339" w:bottom="1440" w:gutter="0" w:footer="0" w:header="0"/>
        </w:sectPr>
      </w:pPr>
    </w:p>
    <w:bookmarkStart w:id="46" w:name="page47"/>
    <w:bookmarkEnd w:id="46"/>
    <w:p>
      <w:pPr>
        <w:jc w:val="both"/>
        <w:ind w:firstLine="2035"/>
        <w:spacing w:after="0" w:line="246" w:lineRule="auto"/>
        <w:tabs>
          <w:tab w:leader="none" w:pos="2547"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Compensation</w:t>
      </w:r>
      <w:r>
        <w:rPr>
          <w:rFonts w:ascii="Times New Roman" w:cs="Times New Roman" w:eastAsia="Times New Roman" w:hAnsi="Times New Roman"/>
          <w:sz w:val="22"/>
          <w:szCs w:val="22"/>
          <w:color w:val="auto"/>
        </w:rPr>
        <w:t>” shall mean base salary or regular hourly wages (including base salary and hourly wages paid while on a leave of absence.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w:t>
      </w:r>
    </w:p>
    <w:p>
      <w:pPr>
        <w:spacing w:after="0" w:line="179" w:lineRule="exact"/>
        <w:rPr>
          <w:rFonts w:ascii="Times New Roman" w:cs="Times New Roman" w:eastAsia="Times New Roman" w:hAnsi="Times New Roman"/>
          <w:sz w:val="22"/>
          <w:szCs w:val="22"/>
          <w:color w:val="010000"/>
        </w:rPr>
      </w:pPr>
    </w:p>
    <w:p>
      <w:pPr>
        <w:ind w:left="2160" w:hanging="530"/>
        <w:spacing w:after="0"/>
        <w:tabs>
          <w:tab w:leader="none" w:pos="2160"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Changes To Contributions During Purchase Period.</w:t>
      </w:r>
    </w:p>
    <w:p>
      <w:pPr>
        <w:spacing w:after="0" w:line="210" w:lineRule="exact"/>
        <w:rPr>
          <w:rFonts w:ascii="Times New Roman" w:cs="Times New Roman" w:eastAsia="Times New Roman" w:hAnsi="Times New Roman"/>
          <w:sz w:val="22"/>
          <w:szCs w:val="22"/>
          <w:color w:val="010000"/>
        </w:rPr>
      </w:pPr>
    </w:p>
    <w:p>
      <w:pPr>
        <w:jc w:val="both"/>
        <w:ind w:firstLine="2116"/>
        <w:spacing w:after="0" w:line="244" w:lineRule="auto"/>
        <w:tabs>
          <w:tab w:leader="none" w:pos="2622" w:val="left"/>
        </w:tabs>
        <w:numPr>
          <w:ilvl w:val="2"/>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Decrease Contributions. A Participant may decrease the rate of Contributions one time during a Purchase Period by filing with the Company or a third party designated by the Company a Change of Enrollment agreement, with the new rate to become effective no later than the third payroll period commencing after the Company’s receipt of the authorization and continuing for the remainder of the Offering Period unless changed as described below.</w:t>
      </w:r>
    </w:p>
    <w:p>
      <w:pPr>
        <w:spacing w:after="0" w:line="186" w:lineRule="exact"/>
        <w:rPr>
          <w:rFonts w:ascii="Times New Roman" w:cs="Times New Roman" w:eastAsia="Times New Roman" w:hAnsi="Times New Roman"/>
          <w:sz w:val="22"/>
          <w:szCs w:val="22"/>
          <w:color w:val="010000"/>
        </w:rPr>
      </w:pPr>
    </w:p>
    <w:p>
      <w:pPr>
        <w:jc w:val="both"/>
        <w:ind w:firstLine="2116"/>
        <w:spacing w:after="0" w:line="238" w:lineRule="auto"/>
        <w:tabs>
          <w:tab w:leader="none" w:pos="2709" w:val="left"/>
        </w:tabs>
        <w:numPr>
          <w:ilvl w:val="2"/>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Suspended Contributions. A Participant may reduce his or her Contribution percentage to zero during a Purchase Period by filing with the Company or a third party designated by the Company a request for cessation of Contributions. Such reduction shall be effective beginning no later than the third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(c)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93" w:lineRule="exact"/>
        <w:rPr>
          <w:rFonts w:ascii="Times New Roman" w:cs="Times New Roman" w:eastAsia="Times New Roman" w:hAnsi="Times New Roman"/>
          <w:sz w:val="22"/>
          <w:szCs w:val="22"/>
          <w:color w:val="010000"/>
        </w:rPr>
      </w:pPr>
    </w:p>
    <w:p>
      <w:pPr>
        <w:jc w:val="both"/>
        <w:ind w:firstLine="2116"/>
        <w:spacing w:after="0" w:line="239" w:lineRule="auto"/>
        <w:tabs>
          <w:tab w:leader="none" w:pos="2674" w:val="left"/>
        </w:tabs>
        <w:numPr>
          <w:ilvl w:val="2"/>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Increase Contributions. A Participant may increase the rate of Contributions during an enrollment period by filing with the Company or a third party designated by the Company a Change of Enrollment agreement prior to the beginning of the following Purchase Period, or such other time period as specified by the Committee. Increasing the Contribution rate will suspend Contributions for the current enrolled Offering Period and enroll the Participant in the subsequent Offering Period. Contributions shall commence on the first payday following enrollment and shall continue to the end of that Offering Period unless sooner altered or terminated as provided in this Plan. Notwithstanding the foregoing, the terms of any sub-plan may permit matching shares without the payment of any purchase price.</w:t>
      </w:r>
    </w:p>
    <w:p>
      <w:pPr>
        <w:spacing w:after="0" w:line="180" w:lineRule="exact"/>
        <w:rPr>
          <w:rFonts w:ascii="Times New Roman" w:cs="Times New Roman" w:eastAsia="Times New Roman" w:hAnsi="Times New Roman"/>
          <w:sz w:val="22"/>
          <w:szCs w:val="22"/>
          <w:color w:val="010000"/>
        </w:rPr>
      </w:pPr>
    </w:p>
    <w:p>
      <w:pPr>
        <w:jc w:val="both"/>
        <w:ind w:firstLine="1630"/>
        <w:spacing w:after="0" w:line="241" w:lineRule="auto"/>
        <w:tabs>
          <w:tab w:leader="none" w:pos="2168"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90" w:lineRule="exact"/>
        <w:rPr>
          <w:rFonts w:ascii="Times New Roman" w:cs="Times New Roman" w:eastAsia="Times New Roman" w:hAnsi="Times New Roman"/>
          <w:sz w:val="22"/>
          <w:szCs w:val="22"/>
          <w:color w:val="010000"/>
        </w:rPr>
      </w:pPr>
    </w:p>
    <w:p>
      <w:pPr>
        <w:ind w:firstLine="1630"/>
        <w:spacing w:after="0" w:line="258" w:lineRule="auto"/>
        <w:tabs>
          <w:tab w:leader="none" w:pos="2195"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each Purchase Date, so long as this Plan remains in effect and provided that the Participant has not submitted a signed and completed withdrawal form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2"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21"/>
          <w:szCs w:val="21"/>
          <w:color w:val="auto"/>
        </w:rPr>
        <w:t>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shares of Common Stock reserved under the option granted to such Participant with respect to the Offering Period to the extent that such option is exercisable on the Purchase Date. The Purchase Price per share shall be as specified in Section 7 of this Plan. Any fractional share, as calculated under this Subsection (e) below, shall be rounded down to four decimal places. Any amount remaining in a Participant’s account on a Purchase Date which is less than the amount necessary to purchase a share after applying the foregoing shall be refunded without interest; however, the Committee may determine for future Offering Periods that such amounts shall be carried forward without interest (except to the extent necessary to comply with local legal requirements outside the United States) into the next Purchase Period.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76" w:lineRule="exact"/>
        <w:rPr>
          <w:sz w:val="20"/>
          <w:szCs w:val="20"/>
          <w:color w:val="auto"/>
        </w:rPr>
      </w:pPr>
    </w:p>
    <w:p>
      <w:pPr>
        <w:ind w:firstLine="1630"/>
        <w:spacing w:after="0" w:line="271" w:lineRule="auto"/>
        <w:tabs>
          <w:tab w:leader="none" w:pos="2217"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promptly as practical after the Purchase Date, the Company shall issue shares for the Participant’s benefit representing the shares purchased.</w:t>
      </w:r>
    </w:p>
    <w:p>
      <w:pPr>
        <w:spacing w:after="0" w:line="144" w:lineRule="exact"/>
        <w:rPr>
          <w:rFonts w:ascii="Times New Roman" w:cs="Times New Roman" w:eastAsia="Times New Roman" w:hAnsi="Times New Roman"/>
          <w:sz w:val="22"/>
          <w:szCs w:val="22"/>
          <w:color w:val="010000"/>
        </w:rPr>
      </w:pPr>
    </w:p>
    <w:p>
      <w:pPr>
        <w:ind w:firstLine="1630"/>
        <w:spacing w:after="0" w:line="258" w:lineRule="auto"/>
        <w:tabs>
          <w:tab w:leader="none" w:pos="2126"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a Participant’s lifetime, his or her option to purchase shares hereunder is exercisable only by him or her. The Participant will have no interest or voting right in shares until such shares have been purchased.</w:t>
      </w:r>
    </w:p>
    <w:p>
      <w:pPr>
        <w:spacing w:after="0" w:line="171" w:lineRule="exact"/>
        <w:rPr>
          <w:rFonts w:ascii="Times New Roman" w:cs="Times New Roman" w:eastAsia="Times New Roman" w:hAnsi="Times New Roman"/>
          <w:sz w:val="22"/>
          <w:szCs w:val="22"/>
          <w:color w:val="010000"/>
        </w:rPr>
      </w:pPr>
    </w:p>
    <w:p>
      <w:pPr>
        <w:jc w:val="both"/>
        <w:ind w:firstLine="1630"/>
        <w:spacing w:after="0" w:line="241" w:lineRule="auto"/>
        <w:tabs>
          <w:tab w:leader="none" w:pos="2213"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or any Subsidiary or Affiliate, as applicable, may withhold, by any method permissible under the applicable law, the amount necessary to meet applicable withholding obligations, including any withholding required for any tax deductions or benefits attributable to the sale or early disposition of shares of Common Stock by a Participant. The Company shall not be required to issue any shares of Common Stock under the Plan until such obligations are satisfied. As part of the enrollment process, the Participant is acknowledging the responsibility for tax obligations that may arise as part of this Program.</w:t>
      </w:r>
    </w:p>
    <w:p>
      <w:pPr>
        <w:spacing w:after="0" w:line="172" w:lineRule="exact"/>
        <w:rPr>
          <w:rFonts w:ascii="Times New Roman" w:cs="Times New Roman" w:eastAsia="Times New Roman" w:hAnsi="Times New Roman"/>
          <w:sz w:val="22"/>
          <w:szCs w:val="22"/>
          <w:color w:val="010000"/>
        </w:rPr>
      </w:pPr>
    </w:p>
    <w:p>
      <w:pPr>
        <w:ind w:left="1200" w:hanging="382"/>
        <w:spacing w:after="0"/>
        <w:tabs>
          <w:tab w:leader="none" w:pos="1200" w:val="left"/>
        </w:tabs>
        <w:numPr>
          <w:ilvl w:val="0"/>
          <w:numId w:val="4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LIMITATIONS ON SHARES TO BE PURCHASED.</w:t>
      </w:r>
    </w:p>
    <w:p>
      <w:pPr>
        <w:spacing w:after="0" w:line="223" w:lineRule="exact"/>
        <w:rPr>
          <w:rFonts w:ascii="Times New Roman" w:cs="Times New Roman" w:eastAsia="Times New Roman" w:hAnsi="Times New Roman"/>
          <w:sz w:val="22"/>
          <w:szCs w:val="22"/>
          <w:b w:val="1"/>
          <w:bCs w:val="1"/>
          <w:color w:val="010000"/>
        </w:rPr>
      </w:pPr>
    </w:p>
    <w:p>
      <w:pPr>
        <w:ind w:right="20" w:firstLine="1630"/>
        <w:spacing w:after="0" w:line="258" w:lineRule="auto"/>
        <w:tabs>
          <w:tab w:leader="none" w:pos="2216"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other provision of the Plan notwithstanding, no Participant shall purchase Common Stock with a Fair Market Value in excess of the following limit:</w:t>
      </w:r>
    </w:p>
    <w:p>
      <w:pPr>
        <w:spacing w:after="0" w:line="158" w:lineRule="exact"/>
        <w:rPr>
          <w:rFonts w:ascii="Times New Roman" w:cs="Times New Roman" w:eastAsia="Times New Roman" w:hAnsi="Times New Roman"/>
          <w:sz w:val="22"/>
          <w:szCs w:val="22"/>
          <w:color w:val="010000"/>
        </w:rPr>
      </w:pPr>
    </w:p>
    <w:p>
      <w:pPr>
        <w:ind w:left="2620" w:hanging="423"/>
        <w:spacing w:after="0"/>
        <w:tabs>
          <w:tab w:leader="none" w:pos="2620" w:val="left"/>
        </w:tabs>
        <w:numPr>
          <w:ilvl w:val="2"/>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Compliance with IRS $25,000 limitation (Section 423 of the Code).</w:t>
      </w:r>
    </w:p>
    <w:p>
      <w:pPr>
        <w:spacing w:after="0" w:line="219" w:lineRule="exact"/>
        <w:rPr>
          <w:rFonts w:ascii="Times New Roman" w:cs="Times New Roman" w:eastAsia="Times New Roman" w:hAnsi="Times New Roman"/>
          <w:sz w:val="22"/>
          <w:szCs w:val="22"/>
          <w:color w:val="010000"/>
        </w:rPr>
      </w:pPr>
    </w:p>
    <w:p>
      <w:pPr>
        <w:jc w:val="both"/>
        <w:ind w:firstLine="1630"/>
        <w:spacing w:after="0" w:line="250" w:lineRule="auto"/>
        <w:tabs>
          <w:tab w:leader="none" w:pos="2231"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no event shall a Participant be permitted to purchase more than 2,000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67" w:lineRule="exact"/>
        <w:rPr>
          <w:rFonts w:ascii="Times New Roman" w:cs="Times New Roman" w:eastAsia="Times New Roman" w:hAnsi="Times New Roman"/>
          <w:sz w:val="22"/>
          <w:szCs w:val="22"/>
          <w:color w:val="010000"/>
        </w:rPr>
      </w:pPr>
    </w:p>
    <w:p>
      <w:pPr>
        <w:jc w:val="both"/>
        <w:ind w:right="20" w:firstLine="1630"/>
        <w:spacing w:after="0" w:line="250" w:lineRule="auto"/>
        <w:tabs>
          <w:tab w:leader="none" w:pos="2132"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Oversubscription. 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-963930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48" w:name="page49"/>
    <w:bookmarkEnd w:id="48"/>
    <w:p>
      <w:pPr>
        <w:jc w:val="both"/>
        <w:spacing w:after="0" w:line="244" w:lineRule="auto"/>
        <w:rPr>
          <w:sz w:val="20"/>
          <w:szCs w:val="20"/>
          <w:color w:val="auto"/>
        </w:rPr>
      </w:pPr>
      <w:r>
        <w:rPr>
          <w:rFonts w:ascii="Times New Roman" w:cs="Times New Roman" w:eastAsia="Times New Roman" w:hAnsi="Times New Roman"/>
          <w:sz w:val="22"/>
          <w:szCs w:val="22"/>
          <w:color w:val="auto"/>
        </w:rPr>
        <w:t>equitable. In such event, the Company will give notice of such reduction of the number of shares to be purchased under a Participant’s option to each Participant affected. In this event, all funds not used to purchase shares on the Purchase Date shall be returned to the Participant, without interest (except to the extent required due to local legal requirements outside the United States).</w:t>
      </w:r>
    </w:p>
    <w:p>
      <w:pPr>
        <w:spacing w:after="0" w:line="182" w:lineRule="exact"/>
        <w:rPr>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WITHDRAWAL.</w:t>
      </w:r>
    </w:p>
    <w:p>
      <w:pPr>
        <w:spacing w:after="0" w:line="210" w:lineRule="exact"/>
        <w:rPr>
          <w:rFonts w:ascii="Times New Roman" w:cs="Times New Roman" w:eastAsia="Times New Roman" w:hAnsi="Times New Roman"/>
          <w:sz w:val="22"/>
          <w:szCs w:val="22"/>
          <w:b w:val="1"/>
          <w:bCs w:val="1"/>
          <w:color w:val="010000"/>
        </w:rPr>
      </w:pPr>
    </w:p>
    <w:p>
      <w:pPr>
        <w:jc w:val="both"/>
        <w:ind w:firstLine="1630"/>
        <w:spacing w:after="0" w:line="250" w:lineRule="auto"/>
        <w:tabs>
          <w:tab w:leader="none" w:pos="2168"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167" w:lineRule="exact"/>
        <w:rPr>
          <w:rFonts w:ascii="Times New Roman" w:cs="Times New Roman" w:eastAsia="Times New Roman" w:hAnsi="Times New Roman"/>
          <w:sz w:val="22"/>
          <w:szCs w:val="22"/>
          <w:color w:val="010000"/>
        </w:rPr>
      </w:pPr>
    </w:p>
    <w:p>
      <w:pPr>
        <w:jc w:val="both"/>
        <w:ind w:firstLine="1630"/>
        <w:spacing w:after="0" w:line="241" w:lineRule="auto"/>
        <w:tabs>
          <w:tab w:leader="none" w:pos="2281"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enrollment agreement in the same manner as set forth in Section 6 above for initial participation in this Plan.</w:t>
      </w:r>
    </w:p>
    <w:p>
      <w:pPr>
        <w:spacing w:after="0" w:line="172" w:lineRule="exact"/>
        <w:rPr>
          <w:rFonts w:ascii="Times New Roman" w:cs="Times New Roman" w:eastAsia="Times New Roman" w:hAnsi="Times New Roman"/>
          <w:sz w:val="22"/>
          <w:szCs w:val="22"/>
          <w:color w:val="010000"/>
        </w:rPr>
      </w:pPr>
    </w:p>
    <w:p>
      <w:pPr>
        <w:ind w:left="1300" w:hanging="482"/>
        <w:spacing w:after="0"/>
        <w:tabs>
          <w:tab w:leader="none" w:pos="1300" w:val="left"/>
        </w:tabs>
        <w:numPr>
          <w:ilvl w:val="0"/>
          <w:numId w:val="4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AUTOMATIC TRANSFER TO LOW PRICE OFFERING PERIOD.</w:t>
      </w:r>
    </w:p>
    <w:p>
      <w:pPr>
        <w:spacing w:after="0" w:line="223" w:lineRule="exact"/>
        <w:rPr>
          <w:rFonts w:ascii="Times New Roman" w:cs="Times New Roman" w:eastAsia="Times New Roman" w:hAnsi="Times New Roman"/>
          <w:sz w:val="22"/>
          <w:szCs w:val="22"/>
          <w:b w:val="1"/>
          <w:bCs w:val="1"/>
          <w:color w:val="010000"/>
        </w:rPr>
      </w:pPr>
    </w:p>
    <w:p>
      <w:pPr>
        <w:jc w:val="both"/>
        <w:ind w:firstLine="1630"/>
        <w:spacing w:after="0"/>
        <w:tabs>
          <w:tab w:leader="none" w:pos="2249"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permitted by Applicable Laws, if the Fair Market Value of the Common Stock on any Purchase Date in an Offering Period is lower than the Fair Market Value of the Common Stock on the Offering Date of such Offering Period, then all participants in such Offering Period will be automatically withdrawn from such Offering Period immediately after the share purchase on such Purchase Date and automatically re-enrolled in the immediately following Offering Period as of the first day thereof.</w:t>
      </w:r>
    </w:p>
    <w:p>
      <w:pPr>
        <w:spacing w:after="0" w:line="200" w:lineRule="exact"/>
        <w:rPr>
          <w:rFonts w:ascii="Times New Roman" w:cs="Times New Roman" w:eastAsia="Times New Roman" w:hAnsi="Times New Roman"/>
          <w:sz w:val="22"/>
          <w:szCs w:val="22"/>
          <w:color w:val="010000"/>
        </w:rPr>
      </w:pPr>
    </w:p>
    <w:p>
      <w:pPr>
        <w:spacing w:after="0" w:line="232" w:lineRule="exact"/>
        <w:rPr>
          <w:rFonts w:ascii="Times New Roman" w:cs="Times New Roman" w:eastAsia="Times New Roman" w:hAnsi="Times New Roman"/>
          <w:sz w:val="22"/>
          <w:szCs w:val="22"/>
          <w:color w:val="010000"/>
        </w:rPr>
      </w:pPr>
    </w:p>
    <w:p>
      <w:pPr>
        <w:jc w:val="both"/>
        <w:ind w:firstLine="818"/>
        <w:spacing w:after="0" w:line="238" w:lineRule="auto"/>
        <w:tabs>
          <w:tab w:leader="none" w:pos="1377" w:val="left"/>
        </w:tabs>
        <w:numPr>
          <w:ilvl w:val="0"/>
          <w:numId w:val="4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Termination of a Participant’s employment for any reason,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retirement, death, disability, or the failure of a Participant to remain an eligible employee of the Company or of a Participating Corporation, immediately terminates his or her participation in this Plan.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11, an employee will not be deemed to have terminated employment or failed to remain in the continuous employ of the Company or of a Participating Corporation in the case of sick leave, military leave, or any other leave of absence approved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83" w:lineRule="exact"/>
        <w:rPr>
          <w:rFonts w:ascii="Times New Roman" w:cs="Times New Roman" w:eastAsia="Times New Roman" w:hAnsi="Times New Roman"/>
          <w:sz w:val="22"/>
          <w:szCs w:val="22"/>
          <w:b w:val="1"/>
          <w:bCs w:val="1"/>
          <w:color w:val="010000"/>
        </w:rPr>
      </w:pPr>
    </w:p>
    <w:p>
      <w:pPr>
        <w:ind w:right="20" w:firstLine="818"/>
        <w:spacing w:after="0" w:line="275" w:lineRule="auto"/>
        <w:tabs>
          <w:tab w:leader="none" w:pos="1512" w:val="left"/>
        </w:tabs>
        <w:numPr>
          <w:ilvl w:val="0"/>
          <w:numId w:val="4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CAPITAL CHANGES. </w:t>
      </w:r>
      <w:r>
        <w:rPr>
          <w:rFonts w:ascii="Times New Roman" w:cs="Times New Roman" w:eastAsia="Times New Roman" w:hAnsi="Times New Roman"/>
          <w:sz w:val="22"/>
          <w:szCs w:val="22"/>
          <w:color w:val="auto"/>
        </w:rPr>
        <w:t>If the number and class of outstanding shares is changed by a stock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recapitalization, stock split, reverse stock split,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41" w:lineRule="auto"/>
        <w:rPr>
          <w:sz w:val="20"/>
          <w:szCs w:val="20"/>
          <w:color w:val="auto"/>
        </w:rPr>
      </w:pPr>
      <w:r>
        <w:rPr>
          <w:rFonts w:ascii="Times New Roman" w:cs="Times New Roman" w:eastAsia="Times New Roman" w:hAnsi="Times New Roman"/>
          <w:sz w:val="22"/>
          <w:szCs w:val="22"/>
          <w:color w:val="auto"/>
        </w:rPr>
        <w:t>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Sections 2 and 9 shall be proportionately adjusted, subject to any required action by the Board or the stockholders of the Company and in compliance with the applicable securities laws; provided that fractions of a share will not be issued.</w:t>
      </w:r>
    </w:p>
    <w:p>
      <w:pPr>
        <w:spacing w:after="0" w:line="173" w:lineRule="exact"/>
        <w:rPr>
          <w:sz w:val="20"/>
          <w:szCs w:val="20"/>
          <w:color w:val="auto"/>
        </w:rPr>
      </w:pPr>
    </w:p>
    <w:p>
      <w:pPr>
        <w:jc w:val="both"/>
        <w:ind w:firstLine="818"/>
        <w:spacing w:after="0" w:line="249" w:lineRule="auto"/>
        <w:tabs>
          <w:tab w:leader="none" w:pos="1350" w:val="left"/>
        </w:tabs>
        <w:numPr>
          <w:ilvl w:val="0"/>
          <w:numId w:val="4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NONASSIGNABILITY. </w:t>
      </w:r>
      <w:r>
        <w:rPr>
          <w:rFonts w:ascii="Times New Roman" w:cs="Times New Roman" w:eastAsia="Times New Roman" w:hAnsi="Times New Roman"/>
          <w:sz w:val="22"/>
          <w:szCs w:val="22"/>
          <w:color w:val="auto"/>
        </w:rPr>
        <w:t>Neither Contributions credited to a Participant’s account nor any rights with regard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exercise of an option or to receive shares under this Plan may be assigned, transferred, pledged or otherwise disposed of in any way (other than by will, by the laws of descent and distribution or as provided in Section 22 below) by the Participant. Any such attempt at assignment, transfer, pledge or other disposition shall be void and without effect.</w:t>
      </w:r>
    </w:p>
    <w:p>
      <w:pPr>
        <w:spacing w:after="0" w:line="165" w:lineRule="exact"/>
        <w:rPr>
          <w:rFonts w:ascii="Times New Roman" w:cs="Times New Roman" w:eastAsia="Times New Roman" w:hAnsi="Times New Roman"/>
          <w:sz w:val="22"/>
          <w:szCs w:val="22"/>
          <w:b w:val="1"/>
          <w:bCs w:val="1"/>
          <w:color w:val="010000"/>
        </w:rPr>
      </w:pPr>
    </w:p>
    <w:p>
      <w:pPr>
        <w:jc w:val="both"/>
        <w:ind w:firstLine="818"/>
        <w:spacing w:after="0"/>
        <w:tabs>
          <w:tab w:leader="none" w:pos="1336" w:val="left"/>
        </w:tabs>
        <w:numPr>
          <w:ilvl w:val="0"/>
          <w:numId w:val="4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USE OF PARTICIPANT FUNDS AND REPORTS. </w:t>
      </w:r>
      <w:r>
        <w:rPr>
          <w:rFonts w:ascii="Times New Roman" w:cs="Times New Roman" w:eastAsia="Times New Roman" w:hAnsi="Times New Roman"/>
          <w:sz w:val="22"/>
          <w:szCs w:val="22"/>
          <w:color w:val="auto"/>
        </w:rPr>
        <w:t>The Company may use all Contributions received or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it under the Plan for any 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186" w:lineRule="exact"/>
        <w:rPr>
          <w:rFonts w:ascii="Times New Roman" w:cs="Times New Roman" w:eastAsia="Times New Roman" w:hAnsi="Times New Roman"/>
          <w:sz w:val="22"/>
          <w:szCs w:val="22"/>
          <w:b w:val="1"/>
          <w:bCs w:val="1"/>
          <w:color w:val="010000"/>
        </w:rPr>
      </w:pPr>
    </w:p>
    <w:p>
      <w:pPr>
        <w:jc w:val="both"/>
        <w:ind w:firstLine="818"/>
        <w:spacing w:after="0"/>
        <w:tabs>
          <w:tab w:leader="none" w:pos="1471" w:val="left"/>
        </w:tabs>
        <w:numPr>
          <w:ilvl w:val="0"/>
          <w:numId w:val="4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NOTICE OF DISPOSITION. </w:t>
      </w:r>
      <w:r>
        <w:rPr>
          <w:rFonts w:ascii="Times New Roman" w:cs="Times New Roman" w:eastAsia="Times New Roman" w:hAnsi="Times New Roman"/>
          <w:sz w:val="22"/>
          <w:szCs w:val="22"/>
          <w:color w:val="auto"/>
        </w:rPr>
        <w:t>Each U.S. taxpayer Participant shall notify the Company in writing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disposes of any of the shares purchased in any Offering Period pursuant to this Plan if such disposition occurs within two (2) years from the Offering Date or within one (1) year from the Purchase Date on which such shares were purchased (the “</w:t>
      </w:r>
      <w:r>
        <w:rPr>
          <w:rFonts w:ascii="Times New Roman" w:cs="Times New Roman" w:eastAsia="Times New Roman" w:hAnsi="Times New Roman"/>
          <w:sz w:val="22"/>
          <w:szCs w:val="22"/>
          <w:b w:val="1"/>
          <w:bCs w:val="1"/>
          <w:i w:val="1"/>
          <w:iCs w:val="1"/>
          <w:color w:val="auto"/>
        </w:rPr>
        <w:t>Notice Period</w:t>
      </w:r>
      <w:r>
        <w:rPr>
          <w:rFonts w:ascii="Times New Roman" w:cs="Times New Roman" w:eastAsia="Times New Roman" w:hAnsi="Times New Roman"/>
          <w:sz w:val="22"/>
          <w:szCs w:val="22"/>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73" w:lineRule="exact"/>
        <w:rPr>
          <w:rFonts w:ascii="Times New Roman" w:cs="Times New Roman" w:eastAsia="Times New Roman" w:hAnsi="Times New Roman"/>
          <w:sz w:val="22"/>
          <w:szCs w:val="22"/>
          <w:b w:val="1"/>
          <w:bCs w:val="1"/>
          <w:color w:val="010000"/>
        </w:rPr>
      </w:pPr>
    </w:p>
    <w:p>
      <w:pPr>
        <w:jc w:val="both"/>
        <w:ind w:firstLine="818"/>
        <w:spacing w:after="0" w:line="252" w:lineRule="auto"/>
        <w:tabs>
          <w:tab w:leader="none" w:pos="1296" w:val="left"/>
        </w:tabs>
        <w:numPr>
          <w:ilvl w:val="0"/>
          <w:numId w:val="4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NO RIGHTS TO CONTINUED EMPLOYMENT. </w:t>
      </w:r>
      <w:r>
        <w:rPr>
          <w:rFonts w:ascii="Times New Roman" w:cs="Times New Roman" w:eastAsia="Times New Roman" w:hAnsi="Times New Roman"/>
          <w:sz w:val="22"/>
          <w:szCs w:val="22"/>
          <w:color w:val="auto"/>
        </w:rPr>
        <w:t>Neither this Plan nor the grant of any option hereunder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confer any right on any employee to remain in the employ of the Company or any Participating Corporation or restrict the right of the Company or any Participating Corporation to terminate such employee’s employment.</w:t>
      </w:r>
    </w:p>
    <w:p>
      <w:pPr>
        <w:spacing w:after="0" w:line="175" w:lineRule="exact"/>
        <w:rPr>
          <w:rFonts w:ascii="Times New Roman" w:cs="Times New Roman" w:eastAsia="Times New Roman" w:hAnsi="Times New Roman"/>
          <w:sz w:val="22"/>
          <w:szCs w:val="22"/>
          <w:b w:val="1"/>
          <w:bCs w:val="1"/>
          <w:color w:val="010000"/>
        </w:rPr>
      </w:pPr>
    </w:p>
    <w:p>
      <w:pPr>
        <w:jc w:val="both"/>
        <w:ind w:firstLine="818"/>
        <w:spacing w:after="0" w:line="241" w:lineRule="auto"/>
        <w:tabs>
          <w:tab w:leader="none" w:pos="1471" w:val="left"/>
        </w:tabs>
        <w:numPr>
          <w:ilvl w:val="0"/>
          <w:numId w:val="4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EQUAL RIGHTS AND PRIVILEGES. </w:t>
      </w:r>
      <w:r>
        <w:rPr>
          <w:rFonts w:ascii="Times New Roman" w:cs="Times New Roman" w:eastAsia="Times New Roman" w:hAnsi="Times New Roman"/>
          <w:sz w:val="22"/>
          <w:szCs w:val="22"/>
          <w:color w:val="auto"/>
        </w:rPr>
        <w:t>All eligible employees granted an option under the Section 423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Component of this Plan shall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8" w:right="33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22"/>
          <w:szCs w:val="22"/>
          <w:color w:val="auto"/>
        </w:rPr>
        <w:t>Company, the Committee or the Board, shall be reformed to comply with the requirements of Section 423. This Section 19 shall take precedence over all other provisions in this Plan.</w:t>
      </w:r>
    </w:p>
    <w:p>
      <w:pPr>
        <w:spacing w:after="0" w:line="168" w:lineRule="exact"/>
        <w:rPr>
          <w:sz w:val="20"/>
          <w:szCs w:val="20"/>
          <w:color w:val="auto"/>
        </w:rPr>
      </w:pPr>
    </w:p>
    <w:p>
      <w:pPr>
        <w:jc w:val="both"/>
        <w:ind w:firstLine="818"/>
        <w:spacing w:after="0" w:line="252" w:lineRule="auto"/>
        <w:tabs>
          <w:tab w:leader="none" w:pos="1296" w:val="left"/>
        </w:tabs>
        <w:numPr>
          <w:ilvl w:val="0"/>
          <w:numId w:val="4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All notices or other communications by a Participant to the Company under or in connection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shall be deemed to have been duly given when received in the form specified by the Company at the location, or by the person, designated by the Company for the receipt thereof.</w:t>
      </w:r>
    </w:p>
    <w:p>
      <w:pPr>
        <w:spacing w:after="0" w:line="161" w:lineRule="exact"/>
        <w:rPr>
          <w:rFonts w:ascii="Times New Roman" w:cs="Times New Roman" w:eastAsia="Times New Roman" w:hAnsi="Times New Roman"/>
          <w:sz w:val="22"/>
          <w:szCs w:val="22"/>
          <w:b w:val="1"/>
          <w:bCs w:val="1"/>
          <w:color w:val="010000"/>
        </w:rPr>
      </w:pPr>
    </w:p>
    <w:p>
      <w:pPr>
        <w:jc w:val="both"/>
        <w:ind w:firstLine="818"/>
        <w:spacing w:after="0" w:line="251" w:lineRule="auto"/>
        <w:tabs>
          <w:tab w:leader="none" w:pos="1309" w:val="left"/>
        </w:tabs>
        <w:numPr>
          <w:ilvl w:val="0"/>
          <w:numId w:val="4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 xml:space="preserve">TERM; STOCKHOLDER APPROVAL. </w:t>
      </w:r>
      <w:r>
        <w:rPr>
          <w:rFonts w:ascii="Times New Roman" w:cs="Times New Roman" w:eastAsia="Times New Roman" w:hAnsi="Times New Roman"/>
          <w:sz w:val="21"/>
          <w:szCs w:val="21"/>
          <w:color w:val="auto"/>
        </w:rPr>
        <w:t>This Plan will become effective on the Effective Date. This Plan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approved by the 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 (6)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(10th) anniversary of the Effective Date.</w:t>
      </w:r>
    </w:p>
    <w:p>
      <w:pPr>
        <w:spacing w:after="0" w:line="164" w:lineRule="exact"/>
        <w:rPr>
          <w:rFonts w:ascii="Times New Roman" w:cs="Times New Roman" w:eastAsia="Times New Roman" w:hAnsi="Times New Roman"/>
          <w:sz w:val="21"/>
          <w:szCs w:val="21"/>
          <w:b w:val="1"/>
          <w:bCs w:val="1"/>
          <w:color w:val="010000"/>
        </w:rPr>
      </w:pPr>
    </w:p>
    <w:p>
      <w:pPr>
        <w:ind w:left="1300" w:hanging="482"/>
        <w:spacing w:after="0"/>
        <w:tabs>
          <w:tab w:leader="none" w:pos="1300" w:val="left"/>
        </w:tabs>
        <w:numPr>
          <w:ilvl w:val="0"/>
          <w:numId w:val="4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DESIGNATION OF BENEFICIARY.</w:t>
      </w:r>
    </w:p>
    <w:p>
      <w:pPr>
        <w:spacing w:after="0" w:line="223" w:lineRule="exact"/>
        <w:rPr>
          <w:rFonts w:ascii="Times New Roman" w:cs="Times New Roman" w:eastAsia="Times New Roman" w:hAnsi="Times New Roman"/>
          <w:sz w:val="22"/>
          <w:szCs w:val="22"/>
          <w:b w:val="1"/>
          <w:bCs w:val="1"/>
          <w:color w:val="010000"/>
        </w:rPr>
      </w:pPr>
    </w:p>
    <w:p>
      <w:pPr>
        <w:jc w:val="both"/>
        <w:ind w:firstLine="1630"/>
        <w:spacing w:after="0" w:line="244" w:lineRule="auto"/>
        <w:tabs>
          <w:tab w:leader="none" w:pos="2199"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or a third party designated by the Company at the prescribed location before the Participant’s death.</w:t>
      </w:r>
    </w:p>
    <w:p>
      <w:pPr>
        <w:spacing w:after="0" w:line="172" w:lineRule="exact"/>
        <w:rPr>
          <w:rFonts w:ascii="Times New Roman" w:cs="Times New Roman" w:eastAsia="Times New Roman" w:hAnsi="Times New Roman"/>
          <w:sz w:val="22"/>
          <w:szCs w:val="22"/>
          <w:color w:val="010000"/>
        </w:rPr>
      </w:pPr>
    </w:p>
    <w:p>
      <w:pPr>
        <w:jc w:val="both"/>
        <w:ind w:firstLine="1630"/>
        <w:spacing w:after="0" w:line="243" w:lineRule="auto"/>
        <w:tabs>
          <w:tab w:leader="none" w:pos="2161"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authorized by the Company, 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8" w:right="339" w:bottom="1440" w:gutter="0" w:footer="0" w:header="0"/>
        </w:sectPr>
      </w:pPr>
    </w:p>
    <w:bookmarkStart w:id="51" w:name="page52"/>
    <w:bookmarkEnd w:id="51"/>
    <w:p>
      <w:pPr>
        <w:jc w:val="both"/>
        <w:ind w:firstLine="818"/>
        <w:spacing w:after="0"/>
        <w:tabs>
          <w:tab w:leader="none" w:pos="1350" w:val="left"/>
        </w:tabs>
        <w:numPr>
          <w:ilvl w:val="0"/>
          <w:numId w:val="4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CONDITIONS UPON ISSUANCE OF SHARES; LIMITATION ON SALE OF SHARES. </w:t>
      </w:r>
      <w:r>
        <w:rPr>
          <w:rFonts w:ascii="Times New Roman" w:cs="Times New Roman" w:eastAsia="Times New Roman" w:hAnsi="Times New Roman"/>
          <w:sz w:val="22"/>
          <w:szCs w:val="22"/>
          <w:color w:val="auto"/>
        </w:rPr>
        <w:t>Shares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issued with respect to an option unless the exercise of such option and the issuance and delivery of such shares pursuant thereto shall comply with all applicable provisions of U.S. or non-U.S. laws,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86" w:lineRule="exact"/>
        <w:rPr>
          <w:rFonts w:ascii="Times New Roman" w:cs="Times New Roman" w:eastAsia="Times New Roman" w:hAnsi="Times New Roman"/>
          <w:sz w:val="22"/>
          <w:szCs w:val="22"/>
          <w:b w:val="1"/>
          <w:bCs w:val="1"/>
          <w:color w:val="010000"/>
        </w:rPr>
      </w:pPr>
    </w:p>
    <w:p>
      <w:pPr>
        <w:ind w:firstLine="818"/>
        <w:spacing w:after="0" w:line="262" w:lineRule="auto"/>
        <w:tabs>
          <w:tab w:leader="none" w:pos="1296" w:val="left"/>
        </w:tabs>
        <w:numPr>
          <w:ilvl w:val="0"/>
          <w:numId w:val="4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The Plan shall be governed by the substantive laws (excluding the conflict of laws rules)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w:t>
      </w:r>
    </w:p>
    <w:p>
      <w:pPr>
        <w:spacing w:after="0" w:line="163" w:lineRule="exact"/>
        <w:rPr>
          <w:rFonts w:ascii="Times New Roman" w:cs="Times New Roman" w:eastAsia="Times New Roman" w:hAnsi="Times New Roman"/>
          <w:sz w:val="22"/>
          <w:szCs w:val="22"/>
          <w:b w:val="1"/>
          <w:bCs w:val="1"/>
          <w:color w:val="010000"/>
        </w:rPr>
      </w:pPr>
    </w:p>
    <w:p>
      <w:pPr>
        <w:jc w:val="both"/>
        <w:ind w:firstLine="818"/>
        <w:spacing w:after="0" w:line="236" w:lineRule="auto"/>
        <w:tabs>
          <w:tab w:leader="none" w:pos="1309" w:val="left"/>
        </w:tabs>
        <w:numPr>
          <w:ilvl w:val="0"/>
          <w:numId w:val="4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AMENDMENT OR TERMINATION. </w:t>
      </w:r>
      <w:r>
        <w:rPr>
          <w:rFonts w:ascii="Times New Roman" w:cs="Times New Roman" w:eastAsia="Times New Roman" w:hAnsi="Times New Roman"/>
          <w:sz w:val="22"/>
          <w:szCs w:val="22"/>
          <w:color w:val="auto"/>
        </w:rPr>
        <w:t>The Committee, in its sole discretion, may amend, suspend, or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or any part thereof, at 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12).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19 above) within twelve (12) months of the adoption of such amendment (or earlier if required by Section 19)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4" w:right="339" w:bottom="1440" w:gutter="0" w:footer="0" w:header="0"/>
        </w:sectPr>
      </w:pPr>
    </w:p>
    <w:bookmarkStart w:id="52" w:name="page53"/>
    <w:bookmarkEnd w:id="52"/>
    <w:p>
      <w:pPr>
        <w:jc w:val="both"/>
        <w:spacing w:after="0" w:line="244" w:lineRule="auto"/>
        <w:rPr>
          <w:sz w:val="20"/>
          <w:szCs w:val="20"/>
          <w:color w:val="auto"/>
        </w:rPr>
      </w:pPr>
      <w:r>
        <w:rPr>
          <w:rFonts w:ascii="Times New Roman" w:cs="Times New Roman" w:eastAsia="Times New Roman" w:hAnsi="Times New Roman"/>
          <w:sz w:val="22"/>
          <w:szCs w:val="22"/>
          <w:color w:val="auto"/>
        </w:rPr>
        <w:t>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82" w:lineRule="exact"/>
        <w:rPr>
          <w:sz w:val="20"/>
          <w:szCs w:val="20"/>
          <w:color w:val="auto"/>
        </w:rPr>
      </w:pPr>
    </w:p>
    <w:p>
      <w:pPr>
        <w:jc w:val="both"/>
        <w:ind w:firstLine="818"/>
        <w:spacing w:after="0" w:line="245" w:lineRule="auto"/>
        <w:tabs>
          <w:tab w:leader="none" w:pos="1471" w:val="left"/>
        </w:tabs>
        <w:numPr>
          <w:ilvl w:val="0"/>
          <w:numId w:val="4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CORPORATE TRANSACTIONS. </w:t>
      </w:r>
      <w:r>
        <w:rPr>
          <w:rFonts w:ascii="Times New Roman" w:cs="Times New Roman" w:eastAsia="Times New Roman" w:hAnsi="Times New Roman"/>
          <w:sz w:val="22"/>
          <w:szCs w:val="22"/>
          <w:color w:val="auto"/>
        </w:rPr>
        <w:t>In the event of a Corporate Transaction, the Offering Period for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right to purchase Common 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68" w:lineRule="exact"/>
        <w:rPr>
          <w:rFonts w:ascii="Times New Roman" w:cs="Times New Roman" w:eastAsia="Times New Roman" w:hAnsi="Times New Roman"/>
          <w:sz w:val="22"/>
          <w:szCs w:val="22"/>
          <w:b w:val="1"/>
          <w:bCs w:val="1"/>
          <w:color w:val="010000"/>
        </w:rPr>
      </w:pPr>
    </w:p>
    <w:p>
      <w:pPr>
        <w:ind w:left="1300" w:hanging="482"/>
        <w:spacing w:after="0"/>
        <w:tabs>
          <w:tab w:leader="none" w:pos="1300" w:val="left"/>
        </w:tabs>
        <w:numPr>
          <w:ilvl w:val="0"/>
          <w:numId w:val="4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CODE SECTION 409A; TAX QUALIFICATION.</w:t>
      </w:r>
    </w:p>
    <w:p>
      <w:pPr>
        <w:spacing w:after="0" w:line="223" w:lineRule="exact"/>
        <w:rPr>
          <w:rFonts w:ascii="Times New Roman" w:cs="Times New Roman" w:eastAsia="Times New Roman" w:hAnsi="Times New Roman"/>
          <w:sz w:val="22"/>
          <w:szCs w:val="22"/>
          <w:b w:val="1"/>
          <w:bCs w:val="1"/>
          <w:color w:val="010000"/>
        </w:rPr>
      </w:pPr>
    </w:p>
    <w:p>
      <w:pPr>
        <w:jc w:val="both"/>
        <w:ind w:firstLine="1630"/>
        <w:spacing w:after="0" w:line="237" w:lineRule="auto"/>
        <w:tabs>
          <w:tab w:leader="none" w:pos="2165"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88" w:lineRule="exact"/>
        <w:rPr>
          <w:rFonts w:ascii="Times New Roman" w:cs="Times New Roman" w:eastAsia="Times New Roman" w:hAnsi="Times New Roman"/>
          <w:sz w:val="22"/>
          <w:szCs w:val="22"/>
          <w:color w:val="010000"/>
        </w:rPr>
      </w:pPr>
    </w:p>
    <w:p>
      <w:pPr>
        <w:jc w:val="both"/>
        <w:ind w:firstLine="1630"/>
        <w:spacing w:after="0" w:line="258" w:lineRule="auto"/>
        <w:tabs>
          <w:tab w:leader="none" w:pos="2162"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Although the Company may endeavor to (i) qualify an option for favorable tax treatment under the laws of the United States or jurisdictions outside of the United States or (ii) avoid adverse tax treatment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0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APPENDIX REMITLY GLOBAL,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EMPLOYEE STOCK PURCHASE PLAN GLOBAL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ENROLLMENT/CHANGE FORM</w:t>
      </w:r>
    </w:p>
    <w:p>
      <w:pPr>
        <w:spacing w:after="0" w:line="20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COUNTRY SPECIFIC PROVISIONS FOR EMPLOYEES OUTSIDE THE U.S.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53" w:lineRule="exact"/>
        <w:rPr>
          <w:sz w:val="20"/>
          <w:szCs w:val="20"/>
          <w:color w:val="auto"/>
        </w:rPr>
      </w:pPr>
    </w:p>
    <w:p>
      <w:pPr>
        <w:jc w:val="both"/>
        <w:ind w:hanging="1"/>
        <w:spacing w:after="0" w:line="270"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the options granted to me under the ESPP if I reside and/or work in one of the countries below. This Appendix forms part of the Agreement. Any capitalized term used in this Appendix without definition will have the meaning ascribed to it in the Agreement or the ESPP, as applicable.</w:t>
      </w:r>
    </w:p>
    <w:p>
      <w:pPr>
        <w:spacing w:after="0" w:line="186" w:lineRule="exact"/>
        <w:rPr>
          <w:sz w:val="20"/>
          <w:szCs w:val="20"/>
          <w:color w:val="auto"/>
        </w:rPr>
      </w:pPr>
    </w:p>
    <w:p>
      <w:pPr>
        <w:jc w:val="both"/>
        <w:ind w:hanging="1"/>
        <w:spacing w:after="0" w:line="263" w:lineRule="auto"/>
        <w:rPr>
          <w:sz w:val="20"/>
          <w:szCs w:val="20"/>
          <w:color w:val="auto"/>
        </w:rPr>
      </w:pPr>
      <w:r>
        <w:rPr>
          <w:rFonts w:ascii="Times New Roman" w:cs="Times New Roman" w:eastAsia="Times New Roman" w:hAnsi="Times New Roman"/>
          <w:sz w:val="22"/>
          <w:szCs w:val="22"/>
          <w:color w:val="auto"/>
        </w:rPr>
        <w:t>If I am a citizen or resident of a country, or am considered resident of a country, other than the one in which I am currently working, or I transfer employment and/or residency between countries after the enrolling in the ESPP, the Company will, in its sole discretion, determine to what extent the additional terms and conditions included herein will apply to 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6" w:lineRule="exact"/>
        <w:rPr>
          <w:sz w:val="20"/>
          <w:szCs w:val="20"/>
          <w:color w:val="auto"/>
        </w:rPr>
      </w:pPr>
    </w:p>
    <w:p>
      <w:pPr>
        <w:jc w:val="both"/>
        <w:ind w:hanging="1"/>
        <w:spacing w:after="0" w:line="251" w:lineRule="auto"/>
        <w:rPr>
          <w:sz w:val="20"/>
          <w:szCs w:val="20"/>
          <w:color w:val="auto"/>
        </w:rPr>
      </w:pPr>
      <w:r>
        <w:rPr>
          <w:rFonts w:ascii="Times New Roman" w:cs="Times New Roman" w:eastAsia="Times New Roman" w:hAnsi="Times New Roman"/>
          <w:sz w:val="22"/>
          <w:szCs w:val="22"/>
          <w:color w:val="auto"/>
        </w:rPr>
        <w:t>This Appendix also includes information relating to exchange control, securities laws, foreign asset/account reporting and other issues of which you should be aware with respect to your participation in the ESPP. The information is based on the securities, exchange control, foreign asset/account reporting and other laws in effect in the respective countries as of July 2022. Such laws are complex and change frequently. As a result, you should not rely on the information herein as the only source of information relating to the consequences of your participation in the ESPP because the information may be out of date at the time that you purchase shares of Common Stock under the ESPP or sell any shares of Common Stock acquired under the ESPP.</w:t>
      </w:r>
    </w:p>
    <w:p>
      <w:pPr>
        <w:spacing w:after="0" w:line="208" w:lineRule="exact"/>
        <w:rPr>
          <w:sz w:val="20"/>
          <w:szCs w:val="20"/>
          <w:color w:val="auto"/>
        </w:rPr>
      </w:pPr>
    </w:p>
    <w:p>
      <w:pPr>
        <w:jc w:val="both"/>
        <w:ind w:hanging="1"/>
        <w:spacing w:after="0" w:line="263" w:lineRule="auto"/>
        <w:rPr>
          <w:sz w:val="20"/>
          <w:szCs w:val="20"/>
          <w:color w:val="auto"/>
        </w:rPr>
      </w:pPr>
      <w:r>
        <w:rPr>
          <w:rFonts w:ascii="Times New Roman" w:cs="Times New Roman" w:eastAsia="Times New Roman" w:hAnsi="Times New Roman"/>
          <w:sz w:val="22"/>
          <w:szCs w:val="22"/>
          <w:color w:val="auto"/>
        </w:rPr>
        <w:t>In addition, the information is general in nature and may not apply to your particular situation, and the Company is not in a position to assure you of any particular result. Accordingly, you should seek appropriate professional advice as to how the relevant laws in your country may apply to your situation.</w:t>
      </w:r>
    </w:p>
    <w:p>
      <w:pPr>
        <w:spacing w:after="0" w:line="221" w:lineRule="exact"/>
        <w:rPr>
          <w:sz w:val="20"/>
          <w:szCs w:val="20"/>
          <w:color w:val="auto"/>
        </w:rPr>
      </w:pPr>
    </w:p>
    <w:p>
      <w:pPr>
        <w:jc w:val="both"/>
        <w:ind w:hanging="1"/>
        <w:spacing w:after="0" w:line="257" w:lineRule="auto"/>
        <w:rPr>
          <w:sz w:val="20"/>
          <w:szCs w:val="20"/>
          <w:color w:val="auto"/>
        </w:rPr>
      </w:pPr>
      <w:r>
        <w:rPr>
          <w:rFonts w:ascii="Times New Roman" w:cs="Times New Roman" w:eastAsia="Times New Roman" w:hAnsi="Times New Roman"/>
          <w:sz w:val="22"/>
          <w:szCs w:val="22"/>
          <w:color w:val="auto"/>
        </w:rPr>
        <w:t>Finally, if you are a citizen or resident of a country, or are considered resident of a country, other than the one in which you are currently working and/or residing, or if you transfer employment and/or residency after enrollment in the ESPP, the information contained herein may not apply to you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2236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4" w:right="339" w:bottom="1440" w:gutter="0" w:footer="0" w:header="0"/>
        </w:sectPr>
      </w:pPr>
    </w:p>
    <w:bookmarkStart w:id="54" w:name="page55"/>
    <w:bookmarkEnd w:id="54"/>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ALL PARTICIPANTS OUTSIDE OF THE UNITED STATES</w:t>
      </w:r>
    </w:p>
    <w:p>
      <w:pPr>
        <w:spacing w:after="0" w:line="247" w:lineRule="exact"/>
        <w:rPr>
          <w:sz w:val="20"/>
          <w:szCs w:val="20"/>
          <w:color w:val="auto"/>
        </w:rPr>
      </w:pPr>
    </w:p>
    <w:p>
      <w:pPr>
        <w:ind w:left="960" w:hanging="385"/>
        <w:spacing w:after="0"/>
        <w:tabs>
          <w:tab w:leader="none" w:pos="9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Data Privac</w:t>
      </w:r>
      <w:r>
        <w:rPr>
          <w:rFonts w:ascii="Times New Roman" w:cs="Times New Roman" w:eastAsia="Times New Roman" w:hAnsi="Times New Roman"/>
          <w:sz w:val="22"/>
          <w:szCs w:val="22"/>
          <w:b w:val="1"/>
          <w:bCs w:val="1"/>
          <w:color w:val="auto"/>
        </w:rPr>
        <w:t>y.</w:t>
      </w:r>
    </w:p>
    <w:p>
      <w:pPr>
        <w:spacing w:after="0" w:line="258" w:lineRule="exact"/>
        <w:rPr>
          <w:rFonts w:ascii="Times New Roman" w:cs="Times New Roman" w:eastAsia="Times New Roman" w:hAnsi="Times New Roman"/>
          <w:sz w:val="22"/>
          <w:szCs w:val="22"/>
          <w:b w:val="1"/>
          <w:bCs w:val="1"/>
          <w:color w:val="auto"/>
        </w:rPr>
      </w:pPr>
    </w:p>
    <w:p>
      <w:pPr>
        <w:jc w:val="both"/>
        <w:ind w:firstLine="579"/>
        <w:spacing w:after="0" w:line="255" w:lineRule="auto"/>
        <w:tabs>
          <w:tab w:leader="none" w:pos="1065"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Data Collection and Usa</w:t>
      </w:r>
      <w:r>
        <w:rPr>
          <w:rFonts w:ascii="Times New Roman" w:cs="Times New Roman" w:eastAsia="Times New Roman" w:hAnsi="Times New Roman"/>
          <w:sz w:val="22"/>
          <w:szCs w:val="22"/>
          <w:b w:val="1"/>
          <w:bCs w:val="1"/>
          <w:i w:val="1"/>
          <w:iCs w:val="1"/>
          <w:color w:val="auto"/>
        </w:rPr>
        <w:t>g</w:t>
      </w:r>
      <w:r>
        <w:rPr>
          <w:rFonts w:ascii="Times New Roman" w:cs="Times New Roman" w:eastAsia="Times New Roman" w:hAnsi="Times New Roman"/>
          <w:sz w:val="22"/>
          <w:szCs w:val="22"/>
          <w:b w:val="1"/>
          <w:bCs w:val="1"/>
          <w:i w:val="1"/>
          <w:iCs w:val="1"/>
          <w:u w:val="single" w:color="auto"/>
          <w:color w:val="auto"/>
        </w:rPr>
        <w:t>e</w:t>
      </w:r>
      <w:r>
        <w:rPr>
          <w:rFonts w:ascii="Times New Roman" w:cs="Times New Roman" w:eastAsia="Times New Roman" w:hAnsi="Times New Roman"/>
          <w:sz w:val="22"/>
          <w:szCs w:val="22"/>
          <w:b w:val="1"/>
          <w:bCs w:val="1"/>
          <w:i w:val="1"/>
          <w:iCs w:val="1"/>
          <w:color w:val="auto"/>
        </w:rPr>
        <w:t>. The Company collects, processes and uses personal data about me, including but not limited to, my name, home address, email address and telephone number, date of birth, social insurance number, passport number or other identification number, salary, nationality, job title, any shares of stock or directorships held in the Company, details of all options or any other entitlement to shares awarded, canceled, exercised, vested, unvested, purchased or outstanding in my favor, which the Company receives from me or my Employer (“Personal Data”). In order for me to participate in the ESPP, I acknowledge that the Company will collect Personal Data for purposes of allocating shares of Common Stock and implementing, administering and managing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-1430020</wp:posOffset>
            </wp:positionV>
            <wp:extent cx="2540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400" cy="17145"/>
                    </a:xfrm>
                    <a:prstGeom prst="rect">
                      <a:avLst/>
                    </a:prstGeom>
                    <a:noFill/>
                  </pic:spPr>
                </pic:pic>
              </a:graphicData>
            </a:graphic>
          </wp:anchor>
        </w:drawing>
      </w:r>
    </w:p>
    <w:p>
      <w:pPr>
        <w:spacing w:after="0" w:line="191"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If I am based in the United Kingdom, the EU or EEA, the Company’s legal basis for the processing of Personal Data is the necessity of the processing for the Company’s performance of its obligations under the ESPP and, where applicable, the Company’s legitimate interest of complying with contractual or statutory obligations to which it is subject.</w:t>
      </w:r>
    </w:p>
    <w:p>
      <w:pPr>
        <w:spacing w:after="0" w:line="190" w:lineRule="exact"/>
        <w:rPr>
          <w:sz w:val="20"/>
          <w:szCs w:val="20"/>
          <w:color w:val="auto"/>
        </w:rPr>
      </w:pPr>
    </w:p>
    <w:p>
      <w:pPr>
        <w:ind w:right="180" w:firstLine="729"/>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If I am based in any other jurisdiction, the Company’s legal basis for the processing of Personal Data is my consent, as further described below.</w:t>
      </w:r>
    </w:p>
    <w:p>
      <w:pPr>
        <w:spacing w:after="0" w:line="174" w:lineRule="exact"/>
        <w:rPr>
          <w:sz w:val="20"/>
          <w:szCs w:val="20"/>
          <w:color w:val="auto"/>
        </w:rPr>
      </w:pPr>
    </w:p>
    <w:p>
      <w:pPr>
        <w:jc w:val="both"/>
        <w:ind w:firstLine="656"/>
        <w:spacing w:after="0" w:line="252" w:lineRule="auto"/>
        <w:tabs>
          <w:tab w:leader="none" w:pos="1168"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Stock Plan Administration and Service Providers</w:t>
      </w:r>
      <w:r>
        <w:rPr>
          <w:rFonts w:ascii="Times New Roman" w:cs="Times New Roman" w:eastAsia="Times New Roman" w:hAnsi="Times New Roman"/>
          <w:sz w:val="22"/>
          <w:szCs w:val="22"/>
          <w:b w:val="1"/>
          <w:bCs w:val="1"/>
          <w:i w:val="1"/>
          <w:iCs w:val="1"/>
          <w:color w:val="auto"/>
        </w:rPr>
        <w:t>. The Company may transfer Personal Data to [insert name of stock plan administrator/broker] (“Service Provider”), an independent service provider with operations, relevant to the Company, in the U.S., which is assisting the Company with the implementation, administration and management of the ESPP. Service Provider may open an account for me to receive and trade shares of Common Stock. I may be asked to acknowledge, or agree to, separate terms and data processing practices with Service Provider, with such agreement being a condition to the ability to participate in the ESPP.</w:t>
      </w:r>
    </w:p>
    <w:p>
      <w:pPr>
        <w:spacing w:after="0" w:line="215" w:lineRule="exact"/>
        <w:rPr>
          <w:rFonts w:ascii="Times New Roman" w:cs="Times New Roman" w:eastAsia="Times New Roman" w:hAnsi="Times New Roman"/>
          <w:sz w:val="22"/>
          <w:szCs w:val="22"/>
          <w:b w:val="1"/>
          <w:bCs w:val="1"/>
          <w:color w:val="auto"/>
        </w:rPr>
      </w:pPr>
    </w:p>
    <w:p>
      <w:pPr>
        <w:jc w:val="both"/>
        <w:ind w:firstLine="737"/>
        <w:spacing w:after="0" w:line="266" w:lineRule="auto"/>
        <w:tabs>
          <w:tab w:leader="none" w:pos="1360"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International Data Tran</w:t>
      </w:r>
      <w:r>
        <w:rPr>
          <w:rFonts w:ascii="Times New Roman" w:cs="Times New Roman" w:eastAsia="Times New Roman" w:hAnsi="Times New Roman"/>
          <w:sz w:val="22"/>
          <w:szCs w:val="22"/>
          <w:b w:val="1"/>
          <w:bCs w:val="1"/>
          <w:i w:val="1"/>
          <w:iCs w:val="1"/>
          <w:color w:val="auto"/>
        </w:rPr>
        <w:t>sf</w:t>
      </w:r>
      <w:r>
        <w:rPr>
          <w:rFonts w:ascii="Times New Roman" w:cs="Times New Roman" w:eastAsia="Times New Roman" w:hAnsi="Times New Roman"/>
          <w:sz w:val="22"/>
          <w:szCs w:val="22"/>
          <w:b w:val="1"/>
          <w:bCs w:val="1"/>
          <w:i w:val="1"/>
          <w:iCs w:val="1"/>
          <w:u w:val="single" w:color="auto"/>
          <w:color w:val="auto"/>
        </w:rPr>
        <w:t>ers</w:t>
      </w:r>
      <w:r>
        <w:rPr>
          <w:rFonts w:ascii="Times New Roman" w:cs="Times New Roman" w:eastAsia="Times New Roman" w:hAnsi="Times New Roman"/>
          <w:sz w:val="22"/>
          <w:szCs w:val="22"/>
          <w:b w:val="1"/>
          <w:bCs w:val="1"/>
          <w:i w:val="1"/>
          <w:iCs w:val="1"/>
          <w:color w:val="auto"/>
        </w:rPr>
        <w:t>. Personal Data will be transferred from my country to the U.S., where the Company and its service providers are based. I understand and acknowledge that the U.S. might have enacted data privacy laws that are less protective or otherwise different from those applicable in my country of residence.</w:t>
      </w:r>
    </w:p>
    <w:p>
      <w:pPr>
        <w:spacing w:after="0" w:line="198" w:lineRule="exact"/>
        <w:rPr>
          <w:sz w:val="20"/>
          <w:szCs w:val="20"/>
          <w:color w:val="auto"/>
        </w:rPr>
      </w:pPr>
    </w:p>
    <w:p>
      <w:pPr>
        <w:jc w:val="both"/>
        <w:ind w:firstLine="810"/>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If I am based in the UK/EU/EEA, the onward transfer of Personal Data by the Company to Service Provider will be based on consent and/or applicable data protection laws. I may request a copy of such appropriate safeguards at privacy@remitly.com.</w:t>
      </w:r>
    </w:p>
    <w:p>
      <w:pPr>
        <w:spacing w:after="0" w:line="190" w:lineRule="exact"/>
        <w:rPr>
          <w:sz w:val="20"/>
          <w:szCs w:val="20"/>
          <w:color w:val="auto"/>
        </w:rPr>
      </w:pPr>
    </w:p>
    <w:p>
      <w:pPr>
        <w:ind w:right="120" w:firstLine="81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If I am based in any other jurisdiction, the Company’s legal basis for the transfer of the Personal Data to the U.S. is my consent,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2236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357" w:lineRule="exact"/>
        <w:rPr>
          <w:sz w:val="20"/>
          <w:szCs w:val="20"/>
          <w:color w:val="auto"/>
        </w:rPr>
      </w:pPr>
    </w:p>
    <w:p>
      <w:pPr>
        <w:jc w:val="both"/>
        <w:ind w:firstLine="818"/>
        <w:spacing w:after="0" w:line="260" w:lineRule="auto"/>
        <w:tabs>
          <w:tab w:leader="none" w:pos="133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Data Retention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The Company will use Personal Data only as long as necessary to implement, administer and manage my participation in the ESPP or as required to comply with legal or regulatory obligations, including, without limitation, under tax and securities laws. When the Company no longer needs Personal Data for any of the above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55" w:name="page56"/>
    <w:bookmarkEnd w:id="55"/>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purposes, the Company will cease to use Personal Data for this purpose. If the Company keeps Personal Data longer, it would be to satisfy legal or regulatory obligations and the Company’s legal basis would be relevant laws or regulations (if I am in the UK/EU/EEA) and/or my consent (if I am outside the UK/EU/EEA).</w:t>
      </w:r>
    </w:p>
    <w:p>
      <w:pPr>
        <w:spacing w:after="0" w:line="204" w:lineRule="exact"/>
        <w:rPr>
          <w:sz w:val="20"/>
          <w:szCs w:val="20"/>
          <w:color w:val="auto"/>
        </w:rPr>
      </w:pPr>
    </w:p>
    <w:p>
      <w:pPr>
        <w:jc w:val="both"/>
        <w:ind w:firstLine="899"/>
        <w:spacing w:after="0" w:line="269" w:lineRule="auto"/>
        <w:tabs>
          <w:tab w:leader="none" w:pos="1522"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Data Sub</w:t>
      </w:r>
      <w:r>
        <w:rPr>
          <w:rFonts w:ascii="Times New Roman" w:cs="Times New Roman" w:eastAsia="Times New Roman" w:hAnsi="Times New Roman"/>
          <w:sz w:val="21"/>
          <w:szCs w:val="21"/>
          <w:b w:val="1"/>
          <w:bCs w:val="1"/>
          <w:i w:val="1"/>
          <w:iCs w:val="1"/>
          <w:color w:val="auto"/>
        </w:rPr>
        <w:t>j</w:t>
      </w:r>
      <w:r>
        <w:rPr>
          <w:rFonts w:ascii="Times New Roman" w:cs="Times New Roman" w:eastAsia="Times New Roman" w:hAnsi="Times New Roman"/>
          <w:sz w:val="21"/>
          <w:szCs w:val="21"/>
          <w:b w:val="1"/>
          <w:bCs w:val="1"/>
          <w:i w:val="1"/>
          <w:iCs w:val="1"/>
          <w:u w:val="single" w:color="auto"/>
          <w:color w:val="auto"/>
        </w:rPr>
        <w:t>ect Rights</w:t>
      </w:r>
      <w:r>
        <w:rPr>
          <w:rFonts w:ascii="Times New Roman" w:cs="Times New Roman" w:eastAsia="Times New Roman" w:hAnsi="Times New Roman"/>
          <w:sz w:val="21"/>
          <w:szCs w:val="21"/>
          <w:b w:val="1"/>
          <w:bCs w:val="1"/>
          <w:i w:val="1"/>
          <w:iCs w:val="1"/>
          <w:color w:val="auto"/>
        </w:rPr>
        <w:t>. I understand that I may have a number of rights under data privacy laws in my jurisdiction. Subject to the conditions set out in the applicable law and depending on where I am based, such rights may include the right to (i) request access to, or copies of, Personal Data processed by the Company, (ii) rectification of incorrect Personal Data, (iii) deletion of Personal Data, (iv) restrictions on the processing of Personal Data, (v) object to the processing of Personal Data for legitimate interests, (vi) portability of Personal Data, (vii) lodge complaints with competent authorities in my jurisdiction, and/or to (viii) receive a list with the names and addresses of any potential recipients of Personal Data. To receive clarification regarding these rights or to settlement these rights, I can contact privacy@remitly.com.</w:t>
      </w:r>
    </w:p>
    <w:p>
      <w:pPr>
        <w:spacing w:after="0" w:line="157" w:lineRule="exact"/>
        <w:rPr>
          <w:rFonts w:ascii="Times New Roman" w:cs="Times New Roman" w:eastAsia="Times New Roman" w:hAnsi="Times New Roman"/>
          <w:sz w:val="21"/>
          <w:szCs w:val="21"/>
          <w:b w:val="1"/>
          <w:bCs w:val="1"/>
          <w:color w:val="auto"/>
        </w:rPr>
      </w:pPr>
    </w:p>
    <w:p>
      <w:pPr>
        <w:jc w:val="both"/>
        <w:ind w:firstLine="980"/>
        <w:spacing w:after="0" w:line="266" w:lineRule="auto"/>
        <w:tabs>
          <w:tab w:leader="none" w:pos="1525"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Necessar</w:t>
      </w:r>
      <w:r>
        <w:rPr>
          <w:rFonts w:ascii="Times New Roman" w:cs="Times New Roman" w:eastAsia="Times New Roman" w:hAnsi="Times New Roman"/>
          <w:sz w:val="22"/>
          <w:szCs w:val="22"/>
          <w:b w:val="1"/>
          <w:bCs w:val="1"/>
          <w:i w:val="1"/>
          <w:iCs w:val="1"/>
          <w:color w:val="auto"/>
        </w:rPr>
        <w:t>y Disclosure of Personal Data. I understand that providing the Company with Personal Data is necessary for the performance of my participation in the ESPP and that my refusal to provide Personal Data would make it impossible for the Company to perform its contractual obligations and may affect my ability to participate in the ESPP.</w:t>
      </w:r>
    </w:p>
    <w:p>
      <w:pPr>
        <w:spacing w:after="0" w:line="306" w:lineRule="exact"/>
        <w:rPr>
          <w:rFonts w:ascii="Times New Roman" w:cs="Times New Roman" w:eastAsia="Times New Roman" w:hAnsi="Times New Roman"/>
          <w:sz w:val="22"/>
          <w:szCs w:val="22"/>
          <w:b w:val="1"/>
          <w:bCs w:val="1"/>
          <w:color w:val="auto"/>
        </w:rPr>
      </w:pPr>
    </w:p>
    <w:p>
      <w:pPr>
        <w:jc w:val="both"/>
        <w:ind w:firstLine="980"/>
        <w:spacing w:after="0" w:line="263" w:lineRule="auto"/>
        <w:tabs>
          <w:tab w:leader="none" w:pos="1494" w:val="left"/>
        </w:tabs>
        <w:numPr>
          <w:ilvl w:val="1"/>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Voluntariness and Conse</w:t>
      </w:r>
      <w:r>
        <w:rPr>
          <w:rFonts w:ascii="Times New Roman" w:cs="Times New Roman" w:eastAsia="Times New Roman" w:hAnsi="Times New Roman"/>
          <w:sz w:val="21"/>
          <w:szCs w:val="21"/>
          <w:b w:val="1"/>
          <w:bCs w:val="1"/>
          <w:i w:val="1"/>
          <w:iCs w:val="1"/>
          <w:color w:val="auto"/>
        </w:rPr>
        <w:t>q</w:t>
      </w:r>
      <w:r>
        <w:rPr>
          <w:rFonts w:ascii="Times New Roman" w:cs="Times New Roman" w:eastAsia="Times New Roman" w:hAnsi="Times New Roman"/>
          <w:sz w:val="21"/>
          <w:szCs w:val="21"/>
          <w:b w:val="1"/>
          <w:bCs w:val="1"/>
          <w:i w:val="1"/>
          <w:iCs w:val="1"/>
          <w:u w:val="single" w:color="auto"/>
          <w:color w:val="auto"/>
        </w:rPr>
        <w:t>uences of Consent Denial or Withdrawal</w:t>
      </w:r>
      <w:r>
        <w:rPr>
          <w:rFonts w:ascii="Times New Roman" w:cs="Times New Roman" w:eastAsia="Times New Roman" w:hAnsi="Times New Roman"/>
          <w:sz w:val="21"/>
          <w:szCs w:val="21"/>
          <w:b w:val="1"/>
          <w:bCs w:val="1"/>
          <w:i w:val="1"/>
          <w:iCs w:val="1"/>
          <w:color w:val="auto"/>
        </w:rPr>
        <w:t>. If I am located in a jurisdiction outside the UK/EU/EEA, I hereby unambiguously consent to the collection, use and transfer, in electronic or other form, of my Personal Data, as described above and in any other grant materials, by and among, as applicable, the Employer, the Company and any Subsidiary for the exclusive purpose of implementing, administering and managing my participation in the ESPP. I understand that I may, at any time, refuse or withdraw the consents herein, in any case without cost, by contacting in writing my human resources representative. If I do not consent or later seek to revoke consent, my employment status or service with the Employer will not be affected; the only consequence of refusing or withdrawing consent is that the Company would not be able to offer participation in the ESPP or other equity awards to me or administer or maintain such awards. Therefore, I understand that refusing or withdrawing consent may affect my ability to participate in the ESPP. For more information on the consequences of refusal to consent or withdrawal of consent, I should contact my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-1898650</wp:posOffset>
            </wp:positionV>
            <wp:extent cx="1688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688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62236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236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62236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COUNTRY-SPECIFIC PROVISIONS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04" w:lineRule="exact"/>
        <w:rPr>
          <w:sz w:val="20"/>
          <w:szCs w:val="20"/>
          <w:color w:val="auto"/>
        </w:rPr>
      </w:pPr>
    </w:p>
    <w:p>
      <w:pPr>
        <w:jc w:val="both"/>
        <w:ind w:hanging="1"/>
        <w:spacing w:after="0" w:line="258" w:lineRule="auto"/>
        <w:rPr>
          <w:sz w:val="20"/>
          <w:szCs w:val="20"/>
          <w:color w:val="auto"/>
        </w:rPr>
      </w:pPr>
      <w:r>
        <w:rPr>
          <w:rFonts w:ascii="Times New Roman" w:cs="Times New Roman" w:eastAsia="Times New Roman" w:hAnsi="Times New Roman"/>
          <w:sz w:val="22"/>
          <w:szCs w:val="22"/>
          <w:u w:val="single" w:color="auto"/>
          <w:color w:val="auto"/>
        </w:rPr>
        <w:t>Tax Information</w:t>
      </w:r>
      <w:r>
        <w:rPr>
          <w:rFonts w:ascii="Times New Roman" w:cs="Times New Roman" w:eastAsia="Times New Roman" w:hAnsi="Times New Roman"/>
          <w:sz w:val="22"/>
          <w:szCs w:val="22"/>
          <w:color w:val="auto"/>
        </w:rPr>
        <w:t>. The ESPP is a plan to which Subdivision 83A-C of the Income Tax Assessment Act 1997 (Cth) (the “Tax Act”) applies (subject to the conditions in the Tax Act).</w:t>
      </w:r>
    </w:p>
    <w:p>
      <w:pPr>
        <w:spacing w:after="0" w:line="199" w:lineRule="exact"/>
        <w:rPr>
          <w:sz w:val="20"/>
          <w:szCs w:val="20"/>
          <w:color w:val="auto"/>
        </w:rPr>
      </w:pPr>
    </w:p>
    <w:p>
      <w:pPr>
        <w:jc w:val="both"/>
        <w:ind w:hanging="1"/>
        <w:spacing w:after="0" w:line="244"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If I offer shares of Common Stock acquired under the ESPP for sale to a person or entity resident in Australia, my offer may be subject to disclosure requirements under Australian law. I acknowledge that I should obtain legal advice on any disclosure obligations prior to making any such offer.</w:t>
      </w:r>
    </w:p>
    <w:p>
      <w:pPr>
        <w:spacing w:after="0" w:line="214" w:lineRule="exact"/>
        <w:rPr>
          <w:sz w:val="20"/>
          <w:szCs w:val="20"/>
          <w:color w:val="auto"/>
        </w:rPr>
      </w:pPr>
    </w:p>
    <w:p>
      <w:pPr>
        <w:jc w:val="both"/>
        <w:ind w:hanging="1"/>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Exchange control reporting is required for cash transactions exceeding AUD 10,000 and international fund transfers. The Australian bank assisting with the transactions will file the report on my behalf. If an Australian bank is not involved in the transfer, I will be required to file the report.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BRAZIL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Authorization for ESPP Participation</w:t>
      </w:r>
      <w:r>
        <w:rPr>
          <w:rFonts w:ascii="Times New Roman" w:cs="Times New Roman" w:eastAsia="Times New Roman" w:hAnsi="Times New Roman"/>
          <w:sz w:val="22"/>
          <w:szCs w:val="22"/>
          <w:color w:val="auto"/>
        </w:rPr>
        <w:t>. The following provisions supplement Section 2 of the Agreement:</w:t>
      </w:r>
    </w:p>
    <w:p>
      <w:pPr>
        <w:spacing w:after="0" w:line="233"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I hereby authorize the Employer to take payroll deductions from each of my paychecks in that percentage of my compensation (from 1% to 15%) that I have specified and authorize the Employer or any other Subsidiary to remit such accumulated payroll deductions, on my behalf, to the United States of America, to purchase Shares, as provided under the terms of the ESPP.</w:t>
      </w:r>
    </w:p>
    <w:p>
      <w:pPr>
        <w:spacing w:after="0" w:line="208" w:lineRule="exact"/>
        <w:rPr>
          <w:sz w:val="20"/>
          <w:szCs w:val="20"/>
          <w:color w:val="auto"/>
        </w:rPr>
      </w:pPr>
    </w:p>
    <w:p>
      <w:pPr>
        <w:jc w:val="both"/>
        <w:ind w:hanging="1"/>
        <w:spacing w:after="0"/>
        <w:rPr>
          <w:sz w:val="20"/>
          <w:szCs w:val="20"/>
          <w:color w:val="auto"/>
        </w:rPr>
      </w:pPr>
      <w:r>
        <w:rPr>
          <w:rFonts w:ascii="Times New Roman" w:cs="Times New Roman" w:eastAsia="Times New Roman" w:hAnsi="Times New Roman"/>
          <w:sz w:val="22"/>
          <w:szCs w:val="22"/>
          <w:color w:val="auto"/>
        </w:rPr>
        <w:t>Upon request of the Company or the Employer, I agree to execute any letters of authorization or other agreements or consents that may be required to enable the Employer or any other Subsidiary to remit the accumulated payroll deductions taken from my compensation from Brazil to the United States of America for the purchase of Shares. I understands that if I fail to execute such letters of authorization or any other agreements or consents that may be required for the remittance of accumulated payroll deductions, I may not be able to participate in the ESPP.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Compliance with Brazilian Law</w:t>
      </w:r>
      <w:r>
        <w:rPr>
          <w:rFonts w:ascii="Times New Roman" w:cs="Times New Roman" w:eastAsia="Times New Roman" w:hAnsi="Times New Roman"/>
          <w:sz w:val="22"/>
          <w:szCs w:val="22"/>
          <w:color w:val="auto"/>
        </w:rPr>
        <w:t>. The following provision supplements the Agreement:</w:t>
      </w:r>
    </w:p>
    <w:p>
      <w:pPr>
        <w:spacing w:after="0" w:line="247" w:lineRule="exact"/>
        <w:rPr>
          <w:sz w:val="20"/>
          <w:szCs w:val="20"/>
          <w:color w:val="auto"/>
        </w:rPr>
      </w:pPr>
    </w:p>
    <w:p>
      <w:pPr>
        <w:jc w:val="both"/>
        <w:ind w:hanging="1"/>
        <w:spacing w:after="0" w:line="244" w:lineRule="auto"/>
        <w:rPr>
          <w:sz w:val="20"/>
          <w:szCs w:val="20"/>
          <w:color w:val="auto"/>
        </w:rPr>
      </w:pPr>
      <w:r>
        <w:rPr>
          <w:rFonts w:ascii="Times New Roman" w:cs="Times New Roman" w:eastAsia="Times New Roman" w:hAnsi="Times New Roman"/>
          <w:sz w:val="22"/>
          <w:szCs w:val="22"/>
          <w:color w:val="auto"/>
        </w:rPr>
        <w:t>By enrolling in the ESPP and accepting the terms of this Agreement, I expressly agree that I will fully comply with applicable laws in Brazil governing the ESPP, including (but not limited to) any requirements that apply upon the purchase of Shares pursuant to the ESPP. I also agree to report any pay any and all Tax-Related Items associated with the purchase of Shares, the receipt of any dividends and the sale of Shares acquired under the ESPP.</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The following provision supplements Section 12 of the Agreement:</w:t>
      </w:r>
    </w:p>
    <w:p>
      <w:pPr>
        <w:spacing w:after="0" w:line="247" w:lineRule="exact"/>
        <w:rPr>
          <w:sz w:val="20"/>
          <w:szCs w:val="20"/>
          <w:color w:val="auto"/>
        </w:rPr>
      </w:pPr>
    </w:p>
    <w:p>
      <w:pPr>
        <w:jc w:val="both"/>
        <w:ind w:hanging="1"/>
        <w:spacing w:after="0" w:line="258" w:lineRule="auto"/>
        <w:rPr>
          <w:sz w:val="20"/>
          <w:szCs w:val="20"/>
          <w:color w:val="auto"/>
        </w:rPr>
      </w:pPr>
      <w:r>
        <w:rPr>
          <w:rFonts w:ascii="Times New Roman" w:cs="Times New Roman" w:eastAsia="Times New Roman" w:hAnsi="Times New Roman"/>
          <w:sz w:val="22"/>
          <w:szCs w:val="22"/>
          <w:color w:val="auto"/>
        </w:rPr>
        <w:t>By enrolling and participating in the ESPP, I agree that (i) I am making a personal investment decision and (ii) the value of the Shares is not fixed and may increase or decrease in value without compensation to 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53" w:lineRule="exact"/>
        <w:rPr>
          <w:sz w:val="20"/>
          <w:szCs w:val="20"/>
          <w:color w:val="auto"/>
        </w:rPr>
      </w:pPr>
    </w:p>
    <w:p>
      <w:pPr>
        <w:jc w:val="both"/>
        <w:ind w:hanging="1"/>
        <w:spacing w:after="0" w:line="241"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I am a resident or domiciled in Brazil, I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acquired under the ESPP. I understand that I should consult with my personal advisor(s) regarding any personal legal, regulatory or foreign exchange obligations I may have in connection with my participation in the ESPP.</w:t>
      </w:r>
    </w:p>
    <w:p>
      <w:pPr>
        <w:spacing w:after="0" w:line="217" w:lineRule="exact"/>
        <w:rPr>
          <w:sz w:val="20"/>
          <w:szCs w:val="20"/>
          <w:color w:val="auto"/>
        </w:rPr>
      </w:pPr>
    </w:p>
    <w:p>
      <w:pPr>
        <w:jc w:val="both"/>
        <w:ind w:hanging="1"/>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I am a resident or domiciled in Brazil, I may be required to submit an annual declaration of assets and rights held outside of Brazil to the Central Bank of Brazil. If the aggregate value of such assets and/or rights is US$1 million or more but less than US$100 million, a declaration must be submitted annually. If the aggregate value exceeds US$100 million, a declaration must be submitted quarterly. I understand that I should consult with my personal advisor(s) regarding any personal foreign asset/foreign account tax obligations I may have in connection with my participation in the ESPP.</w:t>
      </w:r>
    </w:p>
    <w:p>
      <w:pPr>
        <w:spacing w:after="0" w:line="219" w:lineRule="exact"/>
        <w:rPr>
          <w:sz w:val="20"/>
          <w:szCs w:val="20"/>
          <w:color w:val="auto"/>
        </w:rPr>
      </w:pPr>
    </w:p>
    <w:p>
      <w:pPr>
        <w:jc w:val="both"/>
        <w:ind w:hanging="1"/>
        <w:spacing w:after="0" w:line="245" w:lineRule="auto"/>
        <w:rPr>
          <w:sz w:val="20"/>
          <w:szCs w:val="20"/>
          <w:color w:val="auto"/>
        </w:rPr>
      </w:pPr>
      <w:r>
        <w:rPr>
          <w:rFonts w:ascii="Times New Roman" w:cs="Times New Roman" w:eastAsia="Times New Roman" w:hAnsi="Times New Roman"/>
          <w:sz w:val="22"/>
          <w:szCs w:val="22"/>
          <w:u w:val="single" w:color="auto"/>
          <w:color w:val="auto"/>
        </w:rPr>
        <w:t>Tax on Financial Transaction (IOF)</w:t>
      </w:r>
      <w:r>
        <w:rPr>
          <w:rFonts w:ascii="Times New Roman" w:cs="Times New Roman" w:eastAsia="Times New Roman" w:hAnsi="Times New Roman"/>
          <w:sz w:val="22"/>
          <w:szCs w:val="22"/>
          <w:color w:val="auto"/>
        </w:rPr>
        <w:t>. Repatriation of funds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proceeds from the sale of Shares) into Brazil and the conversion of USD into BRL associated with such fund transfers may be subject to the Tax on Financial Transactions. It is my responsibility to comply with any applicable Tax on Financial Transactions arising from my participation in the ESPP. I understand that I should consult with my personal tax advisor for additional details.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Termination of Service Relationshi</w:t>
      </w:r>
      <w:r>
        <w:rPr>
          <w:rFonts w:ascii="Times New Roman" w:cs="Times New Roman" w:eastAsia="Times New Roman" w:hAnsi="Times New Roman"/>
          <w:sz w:val="22"/>
          <w:szCs w:val="22"/>
          <w:color w:val="auto"/>
        </w:rPr>
        <w:t>p. The following provision replaces Section 12(i)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-74295</wp:posOffset>
            </wp:positionV>
            <wp:extent cx="342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40" w:lineRule="exact"/>
        <w:rPr>
          <w:sz w:val="20"/>
          <w:szCs w:val="20"/>
          <w:color w:val="auto"/>
        </w:rPr>
      </w:pPr>
    </w:p>
    <w:p>
      <w:pPr>
        <w:jc w:val="both"/>
        <w:ind w:hanging="1"/>
        <w:spacing w:after="0" w:line="249" w:lineRule="auto"/>
        <w:rPr>
          <w:sz w:val="20"/>
          <w:szCs w:val="20"/>
          <w:color w:val="auto"/>
        </w:rPr>
      </w:pPr>
      <w:r>
        <w:rPr>
          <w:rFonts w:ascii="Times New Roman" w:cs="Times New Roman" w:eastAsia="Times New Roman" w:hAnsi="Times New Roman"/>
          <w:sz w:val="22"/>
          <w:szCs w:val="22"/>
          <w:color w:val="auto"/>
        </w:rPr>
        <w:t>for purposes of my participation in the ESPP, in the event of termination of my employment (for any reason whatsoever, whether or not later found to be invalid or in breach of employment laws in the jurisdiction where I am employed or the terms of my employment agreement, if any), my right to participate in the ESPP and my right to purchase shares of Common Stock, if any, will terminate effective as of the date that is the earliest of (1) the date my employment or service relationship is terminated, (2) the date that I receive notice of termination of employment, or (3) the date I am no longer actively providing service to the Company or any Participating Corporation, including the Employer, regardless of any notice period or period of pay in lieu of such notice required under applicable law (including, but not limited to statutory law, regulatory law and/or common law). In case of any dispute as to whether termination of my employment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22"/>
          <w:szCs w:val="22"/>
          <w:color w:val="auto"/>
        </w:rPr>
        <w:t>has occurred or the date I am no longer actively providing services cannot be reasonably determined under the terms of this Agreement and the ESPP, the Committee shall have exclusive discretion to determine when I am no longer actively providing services for purposes of my participation in the ESPP (including whether I may still be considered to be actively providing services while on a leave of absence).</w:t>
      </w:r>
    </w:p>
    <w:p>
      <w:pPr>
        <w:spacing w:after="0" w:line="203" w:lineRule="exact"/>
        <w:rPr>
          <w:sz w:val="20"/>
          <w:szCs w:val="20"/>
          <w:color w:val="auto"/>
        </w:rPr>
      </w:pPr>
    </w:p>
    <w:p>
      <w:pPr>
        <w:jc w:val="both"/>
        <w:ind w:hanging="1"/>
        <w:spacing w:after="0" w:line="253" w:lineRule="auto"/>
        <w:rPr>
          <w:sz w:val="20"/>
          <w:szCs w:val="20"/>
          <w:color w:val="auto"/>
        </w:rPr>
      </w:pPr>
      <w:r>
        <w:rPr>
          <w:rFonts w:ascii="Times New Roman" w:cs="Times New Roman" w:eastAsia="Times New Roman" w:hAnsi="Times New Roman"/>
          <w:sz w:val="22"/>
          <w:szCs w:val="22"/>
          <w:color w:val="auto"/>
        </w:rPr>
        <w:t>Notwithstanding the foregoing, if applicable employment standards legislation explicitly requires continued participation in the ESPP during a statutory notice period, I acknowledge that my right to participate in the ESPP, if any, will terminate effective as of the last day of my minimum statutory notice period, but I will not earn or be entitled to a pro-rata purchase if the Purchase Date falls after the end of my statutory notice period, nor will I will be entitled to any compensation for the lost ability to purchase shares of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The</w:t>
      </w:r>
      <w:r>
        <w:rPr>
          <w:rFonts w:ascii="Times New Roman" w:cs="Times New Roman" w:eastAsia="Times New Roman" w:hAnsi="Times New Roman"/>
          <w:sz w:val="22"/>
          <w:szCs w:val="22"/>
          <w:b w:val="1"/>
          <w:bCs w:val="1"/>
          <w:i w:val="1"/>
          <w:iCs w:val="1"/>
          <w:color w:val="auto"/>
        </w:rPr>
        <w:t xml:space="preserve"> f</w:t>
      </w:r>
      <w:r>
        <w:rPr>
          <w:rFonts w:ascii="Times New Roman" w:cs="Times New Roman" w:eastAsia="Times New Roman" w:hAnsi="Times New Roman"/>
          <w:sz w:val="22"/>
          <w:szCs w:val="22"/>
          <w:b w:val="1"/>
          <w:bCs w:val="1"/>
          <w:i w:val="1"/>
          <w:iCs w:val="1"/>
          <w:u w:val="single" w:color="auto"/>
          <w:color w:val="auto"/>
        </w:rPr>
        <w:t>ollowing provisions will apply if I am a resident of Quebec:</w:t>
      </w:r>
    </w:p>
    <w:p>
      <w:pPr>
        <w:spacing w:after="0" w:line="347" w:lineRule="exact"/>
        <w:rPr>
          <w:sz w:val="20"/>
          <w:szCs w:val="20"/>
          <w:color w:val="auto"/>
        </w:rPr>
      </w:pPr>
    </w:p>
    <w:p>
      <w:pPr>
        <w:jc w:val="both"/>
        <w:ind w:hanging="1"/>
        <w:spacing w:after="0" w:line="257" w:lineRule="auto"/>
        <w:rPr>
          <w:sz w:val="20"/>
          <w:szCs w:val="20"/>
          <w:color w:val="auto"/>
        </w:rPr>
      </w:pPr>
      <w:r>
        <w:rPr>
          <w:rFonts w:ascii="Times New Roman" w:cs="Times New Roman" w:eastAsia="Times New Roman" w:hAnsi="Times New Roman"/>
          <w:sz w:val="22"/>
          <w:szCs w:val="22"/>
          <w:u w:val="single" w:color="auto"/>
          <w:color w:val="auto"/>
        </w:rPr>
        <w:t>Lan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uage Provision.</w:t>
      </w:r>
      <w:r>
        <w:rPr>
          <w:rFonts w:ascii="Times New Roman" w:cs="Times New Roman" w:eastAsia="Times New Roman" w:hAnsi="Times New Roman"/>
          <w:sz w:val="22"/>
          <w:szCs w:val="22"/>
          <w:color w:val="auto"/>
        </w:rPr>
        <w:t xml:space="preserve"> The parties acknowledge that it is their express wish that the Agreement, as well as all documents, notices and legal proceedings entered into, given or instituted pursuant hereto or relating directly or indirectly hereto, be drawn up in English.</w:t>
      </w:r>
    </w:p>
    <w:p>
      <w:pPr>
        <w:spacing w:after="0" w:line="196" w:lineRule="exact"/>
        <w:rPr>
          <w:sz w:val="20"/>
          <w:szCs w:val="20"/>
          <w:color w:val="auto"/>
        </w:rPr>
      </w:pPr>
    </w:p>
    <w:p>
      <w:pPr>
        <w:ind w:right="200" w:hanging="1"/>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Les parties reconnaissent avoir exigé la rédaction en anglais de cette convention (« </w:t>
      </w:r>
      <w:r>
        <w:rPr>
          <w:rFonts w:ascii="Times New Roman" w:cs="Times New Roman" w:eastAsia="Times New Roman" w:hAnsi="Times New Roman"/>
          <w:sz w:val="22"/>
          <w:szCs w:val="22"/>
          <w:i w:val="1"/>
          <w:iCs w:val="1"/>
          <w:u w:val="single" w:color="auto"/>
          <w:color w:val="auto"/>
        </w:rPr>
        <w:t>A</w:t>
      </w:r>
      <w:r>
        <w:rPr>
          <w:rFonts w:ascii="Times New Roman" w:cs="Times New Roman" w:eastAsia="Times New Roman" w:hAnsi="Times New Roman"/>
          <w:sz w:val="22"/>
          <w:szCs w:val="22"/>
          <w:i w:val="1"/>
          <w:iCs w:val="1"/>
          <w:color w:val="auto"/>
        </w:rPr>
        <w:t>g</w:t>
      </w:r>
      <w:r>
        <w:rPr>
          <w:rFonts w:ascii="Times New Roman" w:cs="Times New Roman" w:eastAsia="Times New Roman" w:hAnsi="Times New Roman"/>
          <w:sz w:val="22"/>
          <w:szCs w:val="22"/>
          <w:i w:val="1"/>
          <w:iCs w:val="1"/>
          <w:u w:val="single" w:color="auto"/>
          <w:color w:val="auto"/>
        </w:rPr>
        <w:t>reement</w:t>
      </w:r>
      <w:r>
        <w:rPr>
          <w:rFonts w:ascii="Times New Roman" w:cs="Times New Roman" w:eastAsia="Times New Roman" w:hAnsi="Times New Roman"/>
          <w:sz w:val="22"/>
          <w:szCs w:val="22"/>
          <w:i w:val="1"/>
          <w:iCs w:val="1"/>
          <w:color w:val="auto"/>
        </w:rPr>
        <w:t xml:space="preserve"> »), ainsi que de tous documents, avis et procédures judiciaires, exécutés, donnés ou intentés en vertu de, ou liés directement ou indirectement à, la présente convention.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2236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provision supplements Data Privacy provisions of this Appendix:</w:t>
      </w:r>
    </w:p>
    <w:p>
      <w:pPr>
        <w:spacing w:after="0" w:line="260" w:lineRule="exact"/>
        <w:rPr>
          <w:sz w:val="20"/>
          <w:szCs w:val="20"/>
          <w:color w:val="auto"/>
        </w:rPr>
      </w:pPr>
    </w:p>
    <w:p>
      <w:pPr>
        <w:jc w:val="both"/>
        <w:ind w:hanging="1"/>
        <w:spacing w:after="0" w:line="253" w:lineRule="auto"/>
        <w:rPr>
          <w:sz w:val="20"/>
          <w:szCs w:val="20"/>
          <w:color w:val="auto"/>
        </w:rPr>
      </w:pPr>
      <w:r>
        <w:rPr>
          <w:rFonts w:ascii="Times New Roman" w:cs="Times New Roman" w:eastAsia="Times New Roman" w:hAnsi="Times New Roman"/>
          <w:sz w:val="22"/>
          <w:szCs w:val="22"/>
          <w:color w:val="auto"/>
        </w:rPr>
        <w:t>I hereby authorize the Company and the Company’s representatives to discuss with and obtain all relevant information from all personnel involved in the administration and operation of the ESPP. I further authorize the Company, the Employer and any of their respective Subsidiaries or Affiliates and the administrator of the ESPP to disclose and discuss the ESPP with their advisors. I further authorize the Company, the Employer and any of their respective Subsidiaries or Affiliates to record such information and to keep such information in my employee file.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347" w:lineRule="exact"/>
        <w:rPr>
          <w:sz w:val="20"/>
          <w:szCs w:val="20"/>
          <w:color w:val="auto"/>
        </w:rPr>
      </w:pPr>
    </w:p>
    <w:p>
      <w:pPr>
        <w:jc w:val="both"/>
        <w:ind w:hanging="1"/>
        <w:spacing w:after="0" w:line="257"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You are not permitted to sell or otherwise dispose of shares of Common Stock acquired under the ESPP in Canada. You will only be permitted to sell or dispose of any shares of Common Stock if such sale or disposal take place outside of Canada through the facilities of the exchange on which the shares of Common Stock are then listed.</w:t>
      </w:r>
    </w:p>
    <w:p>
      <w:pPr>
        <w:spacing w:after="0" w:line="200" w:lineRule="exact"/>
        <w:rPr>
          <w:sz w:val="20"/>
          <w:szCs w:val="20"/>
          <w:color w:val="auto"/>
        </w:rPr>
      </w:pPr>
    </w:p>
    <w:p>
      <w:pPr>
        <w:jc w:val="both"/>
        <w:ind w:hanging="1"/>
        <w:spacing w:after="0" w:line="251"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Canadian residents must report annually on Form T1135 (Foreign Income Verification Statement) the specified foreign property (including options, shares of Common Stock acquired under the ESPP and other rights to receive shares of Common Stock) they hold if the total cost of such specified foreign property exceeds CAD 100,000 at any time during the year. Options also must be reported (generally at nil cost) on Form T1135 if the CAD 100,000 threshold is exceeded due to other specified foreign property held. If shares of Common Stock are acquired, their cost generally is the adjusted cost base (“</w:t>
      </w:r>
      <w:r>
        <w:rPr>
          <w:rFonts w:ascii="Times New Roman" w:cs="Times New Roman" w:eastAsia="Times New Roman" w:hAnsi="Times New Roman"/>
          <w:sz w:val="22"/>
          <w:szCs w:val="22"/>
          <w:b w:val="1"/>
          <w:bCs w:val="1"/>
          <w:i w:val="1"/>
          <w:iCs w:val="1"/>
          <w:color w:val="auto"/>
        </w:rPr>
        <w:t>ACB</w:t>
      </w:r>
      <w:r>
        <w:rPr>
          <w:rFonts w:ascii="Times New Roman" w:cs="Times New Roman" w:eastAsia="Times New Roman" w:hAnsi="Times New Roman"/>
          <w:sz w:val="22"/>
          <w:szCs w:val="22"/>
          <w:color w:val="auto"/>
        </w:rPr>
        <w:t>”) of the shares of Common Stock. The ACB would normally equal the fair market value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of the shares of Common Stock at acquisition, but if you own other shares, this ACB may have to be averaged with the ACB of the other shares. The Form T1135 must be filed at the same time you file your annual tax return. </w:t>
      </w:r>
      <w:r>
        <w:rPr>
          <w:rFonts w:ascii="Times New Roman" w:cs="Times New Roman" w:eastAsia="Times New Roman" w:hAnsi="Times New Roman"/>
          <w:sz w:val="22"/>
          <w:szCs w:val="22"/>
          <w:i w:val="1"/>
          <w:iCs w:val="1"/>
          <w:color w:val="auto"/>
        </w:rPr>
        <w:t>You should consult your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personal legal advisor to ensure compliance with applicable reporting obligations.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NICARAGUA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PHILIPPINES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9" w:lineRule="exact"/>
        <w:rPr>
          <w:sz w:val="20"/>
          <w:szCs w:val="20"/>
          <w:color w:val="auto"/>
        </w:rPr>
      </w:pPr>
    </w:p>
    <w:p>
      <w:pPr>
        <w:jc w:val="both"/>
        <w:ind w:hanging="1"/>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Necessary Approvals. </w:t>
      </w:r>
      <w:r>
        <w:rPr>
          <w:rFonts w:ascii="Times New Roman" w:cs="Times New Roman" w:eastAsia="Times New Roman" w:hAnsi="Times New Roman"/>
          <w:sz w:val="22"/>
          <w:szCs w:val="22"/>
          <w:color w:val="auto"/>
        </w:rPr>
        <w:t>I understand that the offering of the ESPP and the grant of option may be subject to certain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approval/confirmation requirements in the Philippines with the Philippine Securities and Exchange Commission. Notwithstanding any provision of the ESPP or the Agreement to the contrary, if the Company has not obtained, or does not maintain, the necessary securities approval/confirmation, I will not be able to participate in the ESPP or purchase shares of Common Stock under the ESPP. I will be able to exercise my options only if and when all necessary securities approvals/confirmation have been obtained and are maintained.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ind w:hanging="1"/>
        <w:spacing w:after="0"/>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I acknowledge that there are risks of participating in the ESPP, which include (without limitation)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risk of fluctuation in the price of the shares of Common Stock on the Nasdaq and the risk of currency fluctuations between the U.S. Dollar and my local currency. In this regard, I understand that the value of any shares of Common Stock I may acquire under the ESPP may decrease below the purchase price of the shares, and fluctuations in foreign exchange rates between my local currency and the U.S. Dollar may affect the value of the shares of Common Stock or any amounts due to me pursuant to the purchase of shares of Common Stock under the ESPP or the subsequent sale of any shares of Common Stock I acquire. The Company is not making any representations, projections or assurances about the value of the shares of Common Stock now or in the future.</w:t>
      </w:r>
    </w:p>
    <w:p>
      <w:pPr>
        <w:spacing w:after="0" w:line="208" w:lineRule="exact"/>
        <w:rPr>
          <w:sz w:val="20"/>
          <w:szCs w:val="20"/>
          <w:color w:val="auto"/>
        </w:rPr>
      </w:pPr>
    </w:p>
    <w:p>
      <w:pPr>
        <w:jc w:val="both"/>
        <w:ind w:hanging="1"/>
        <w:spacing w:after="0" w:line="248" w:lineRule="auto"/>
        <w:rPr>
          <w:sz w:val="20"/>
          <w:szCs w:val="20"/>
          <w:color w:val="auto"/>
        </w:rPr>
      </w:pPr>
      <w:r>
        <w:rPr>
          <w:rFonts w:ascii="Times New Roman" w:cs="Times New Roman" w:eastAsia="Times New Roman" w:hAnsi="Times New Roman"/>
          <w:sz w:val="22"/>
          <w:szCs w:val="22"/>
          <w:color w:val="auto"/>
        </w:rPr>
        <w:t xml:space="preserve">For further information on risk factors impacting the Company’s business that may affect the value of the shares of Common Stock, I should refer to the risk factors discussion in the Company’s Annual Report on Form 10-K and Quarterly Reports on Form 10-Q, which are filed with the U.S. Securities and Exchange Commission and are available online at www.sec.gov, as well as on the Company’s “Investor Relations” page at </w:t>
      </w:r>
      <w:r>
        <w:rPr>
          <w:rFonts w:ascii="Times New Roman" w:cs="Times New Roman" w:eastAsia="Times New Roman" w:hAnsi="Times New Roman"/>
          <w:sz w:val="22"/>
          <w:szCs w:val="22"/>
          <w:u w:val="single" w:color="auto"/>
          <w:color w:val="0000FF"/>
        </w:rPr>
        <w:t>https://ir.remitly.com/</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color w:val="auto"/>
        </w:rPr>
        <w:t>I also understand that the sale or disposal of shares of Common Stock acquired under the ESPP may be subject to certain restrictions under Philippines securities laws. Those restrictions should not apply if the offer and resale of shares of Common Stock takes place outside of the Philippines through the facilities of a stock exchange on which the shares Common Stock are listed. The shares of Common Stock are currently listed on the Nasdaq. The Company’s designated broker should be able to assist me in the sale of shares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of Common Stock on Nasdaq. </w:t>
      </w:r>
      <w:r>
        <w:rPr>
          <w:rFonts w:ascii="Times New Roman" w:cs="Times New Roman" w:eastAsia="Times New Roman" w:hAnsi="Times New Roman"/>
          <w:sz w:val="22"/>
          <w:szCs w:val="22"/>
          <w:b w:val="1"/>
          <w:bCs w:val="1"/>
          <w:i w:val="1"/>
          <w:iCs w:val="1"/>
          <w:color w:val="auto"/>
        </w:rPr>
        <w:t>If I have questions with regard to the application of Philippines securities laws to the disposal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or sale of shares of Common Stock acquired under the ESPP, I should consult with my legal advisor.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66" w:lineRule="exact"/>
        <w:rPr>
          <w:sz w:val="20"/>
          <w:szCs w:val="20"/>
          <w:color w:val="auto"/>
        </w:rPr>
      </w:pPr>
    </w:p>
    <w:p>
      <w:pPr>
        <w:jc w:val="both"/>
        <w:ind w:hanging="1"/>
        <w:spacing w:after="0" w:line="255" w:lineRule="auto"/>
        <w:rPr>
          <w:sz w:val="20"/>
          <w:szCs w:val="20"/>
          <w:color w:val="auto"/>
        </w:rPr>
      </w:pPr>
      <w:r>
        <w:rPr>
          <w:rFonts w:ascii="Times New Roman" w:cs="Times New Roman" w:eastAsia="Times New Roman" w:hAnsi="Times New Roman"/>
          <w:sz w:val="21"/>
          <w:szCs w:val="21"/>
          <w:u w:val="single" w:color="auto"/>
          <w:color w:val="auto"/>
        </w:rPr>
        <w:t>Authorization for Pa</w:t>
      </w:r>
      <w:r>
        <w:rPr>
          <w:rFonts w:ascii="Times New Roman" w:cs="Times New Roman" w:eastAsia="Times New Roman" w:hAnsi="Times New Roman"/>
          <w:sz w:val="21"/>
          <w:szCs w:val="21"/>
          <w:color w:val="auto"/>
        </w:rPr>
        <w:t>y</w:t>
      </w:r>
      <w:r>
        <w:rPr>
          <w:rFonts w:ascii="Times New Roman" w:cs="Times New Roman" w:eastAsia="Times New Roman" w:hAnsi="Times New Roman"/>
          <w:sz w:val="21"/>
          <w:szCs w:val="21"/>
          <w:u w:val="single" w:color="auto"/>
          <w:color w:val="auto"/>
        </w:rPr>
        <w:t>roll Deductions</w:t>
      </w:r>
      <w:r>
        <w:rPr>
          <w:rFonts w:ascii="Times New Roman" w:cs="Times New Roman" w:eastAsia="Times New Roman" w:hAnsi="Times New Roman"/>
          <w:sz w:val="21"/>
          <w:szCs w:val="21"/>
          <w:color w:val="auto"/>
        </w:rPr>
        <w:t>. I understand that as a condition of my participation in the ESPP, I will be required to execute the attached Consent for Deduction form. I understand that I must print out the form, sign and date the form in the applicable places, scan the executed form and email it to the Company at the following address: 1111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1"/>
          <w:szCs w:val="21"/>
          <w:color w:val="auto"/>
        </w:rPr>
        <w:t xml:space="preserve"> Ave, Suite 2100, Seattle, WA, 98101. I understand that I will not be able to participate in the ESPP until the Company receives my executed form.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6"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Polish residents holding foreign securities (including shares of Common Stock)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transfers of funds in excess of €15,000 into and out of Poland must be made via a bank account held at a bank in Poland. Polish residents are required to store all documents related to any foreign exchange transactions for a period of five years. You are responsible for complying with all applicable exchange control regulations.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for Deduction form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622363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02" w:right="339" w:bottom="1440" w:gutter="0" w:footer="0" w:header="0"/>
        </w:sectPr>
      </w:pPr>
    </w:p>
    <w:bookmarkStart w:id="61" w:name="page62"/>
    <w:bookmarkEnd w:id="61"/>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CONSENT FOR DEDUCTION ZGODA NA POTRĄCENIE</w:t>
      </w:r>
    </w:p>
    <w:p>
      <w:pPr>
        <w:spacing w:after="0" w:line="129" w:lineRule="exact"/>
        <w:rPr>
          <w:sz w:val="20"/>
          <w:szCs w:val="20"/>
          <w:color w:val="auto"/>
        </w:rPr>
      </w:pPr>
    </w:p>
    <w:p>
      <w:pPr>
        <w:jc w:val="both"/>
        <w:ind w:hanging="1"/>
        <w:spacing w:after="0" w:line="253" w:lineRule="auto"/>
        <w:rPr>
          <w:sz w:val="20"/>
          <w:szCs w:val="20"/>
          <w:color w:val="auto"/>
        </w:rPr>
      </w:pPr>
      <w:r>
        <w:rPr>
          <w:rFonts w:ascii="Times New Roman" w:cs="Times New Roman" w:eastAsia="Times New Roman" w:hAnsi="Times New Roman"/>
          <w:sz w:val="22"/>
          <w:szCs w:val="22"/>
          <w:color w:val="auto"/>
        </w:rPr>
        <w:t>I, the undersigned, in order to participate in the Remitly Global, Inc. 2021 Employee Stock Purchase Plan (“Plan”), authorize my employer Remitly Poland sp. z.o.o. to withhold payroll deductions in the amount of % of my compensation, or such other percentage as subsequently selected by me under the Plan. I understand that this amount must not be less than 1% and not more than 15% of my compensation for any Offering Period with the reservation that the deductions are made in accordance with the applicable provisions of the Polish labor law.</w:t>
      </w:r>
    </w:p>
    <w:p>
      <w:pPr>
        <w:spacing w:after="0" w:line="200" w:lineRule="exact"/>
        <w:rPr>
          <w:sz w:val="20"/>
          <w:szCs w:val="20"/>
          <w:color w:val="auto"/>
        </w:rPr>
      </w:pPr>
    </w:p>
    <w:p>
      <w:pPr>
        <w:spacing w:after="0" w:line="276" w:lineRule="exact"/>
        <w:rPr>
          <w:sz w:val="20"/>
          <w:szCs w:val="20"/>
          <w:color w:val="auto"/>
        </w:rPr>
      </w:pPr>
    </w:p>
    <w:p>
      <w:pPr>
        <w:jc w:val="both"/>
        <w:ind w:right="20" w:hanging="1"/>
        <w:spacing w:after="0" w:line="284" w:lineRule="auto"/>
        <w:rPr>
          <w:sz w:val="20"/>
          <w:szCs w:val="20"/>
          <w:color w:val="auto"/>
        </w:rPr>
      </w:pPr>
      <w:r>
        <w:rPr>
          <w:rFonts w:ascii="Times New Roman" w:cs="Times New Roman" w:eastAsia="Times New Roman" w:hAnsi="Times New Roman"/>
          <w:sz w:val="22"/>
          <w:szCs w:val="22"/>
          <w:color w:val="auto"/>
        </w:rPr>
        <w:t>I acknowledge and agree that any past payroll deductions from my compensation with respect to my participation in the Plan complied with Polish law and that I authorized all such deductions.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the terms written in capital letters shall have the meanings given to them in the Plan.</w:t>
      </w:r>
    </w:p>
    <w:p>
      <w:pPr>
        <w:spacing w:after="0" w:line="200" w:lineRule="exact"/>
        <w:rPr>
          <w:sz w:val="20"/>
          <w:szCs w:val="20"/>
          <w:color w:val="auto"/>
        </w:rPr>
      </w:pPr>
    </w:p>
    <w:p>
      <w:pPr>
        <w:spacing w:after="0" w:line="209" w:lineRule="exact"/>
        <w:rPr>
          <w:sz w:val="20"/>
          <w:szCs w:val="20"/>
          <w:color w:val="auto"/>
        </w:rPr>
      </w:pPr>
    </w:p>
    <w:p>
      <w:pPr>
        <w:jc w:val="both"/>
        <w:ind w:right="20" w:hanging="1"/>
        <w:spacing w:after="0" w:line="284" w:lineRule="auto"/>
        <w:rPr>
          <w:sz w:val="20"/>
          <w:szCs w:val="20"/>
          <w:color w:val="auto"/>
        </w:rPr>
      </w:pPr>
      <w:r>
        <w:rPr>
          <w:rFonts w:ascii="Times New Roman" w:cs="Times New Roman" w:eastAsia="Times New Roman" w:hAnsi="Times New Roman"/>
          <w:sz w:val="22"/>
          <w:szCs w:val="22"/>
          <w:color w:val="auto"/>
        </w:rPr>
        <w:t>In case of any discrepancies between the Polish language version of this document and its English language version, the Polish language version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62" w:name="page63"/>
    <w:bookmarkEnd w:id="62"/>
    <w:p>
      <w:pPr>
        <w:jc w:val="both"/>
        <w:ind w:hanging="1"/>
        <w:spacing w:after="0" w:line="253" w:lineRule="auto"/>
        <w:rPr>
          <w:sz w:val="20"/>
          <w:szCs w:val="20"/>
          <w:color w:val="auto"/>
        </w:rPr>
      </w:pPr>
      <w:r>
        <w:rPr>
          <w:rFonts w:ascii="Times New Roman" w:cs="Times New Roman" w:eastAsia="Times New Roman" w:hAnsi="Times New Roman"/>
          <w:sz w:val="22"/>
          <w:szCs w:val="22"/>
          <w:color w:val="auto"/>
        </w:rPr>
        <w:t>Ja niżej podpisany, w celu uczestnictwa w Remitly Global, Inc. 2021 Employee Stock Purchase Plan (“Plan”), upoważniam mojego pracodawcę Remitly Poland sp. z.o.o. do potrącenia kwoty w wysokości % z mojego wynagrodzenia lub inny procent wskazany przeze mnie w umowie przystąpienia do Planu. Przyjmuję do wiadomości, iż ta kwota nie może być mniejsza niż 1% i większa niż 15% mojego wynagrodzenia w każdym Okresie Oferty z zastrzeżeniePurchasem, że potrącenia będą dokonywane zgodnie z obowiązującymi przepisami polskiego prawa pracy.</w:t>
      </w:r>
    </w:p>
    <w:p>
      <w:pPr>
        <w:spacing w:after="0" w:line="138" w:lineRule="exact"/>
        <w:rPr>
          <w:sz w:val="20"/>
          <w:szCs w:val="20"/>
          <w:color w:val="auto"/>
        </w:rPr>
      </w:pPr>
    </w:p>
    <w:p>
      <w:pPr>
        <w:jc w:val="both"/>
        <w:ind w:hanging="1"/>
        <w:spacing w:after="0" w:line="284" w:lineRule="auto"/>
        <w:rPr>
          <w:sz w:val="20"/>
          <w:szCs w:val="20"/>
          <w:color w:val="auto"/>
        </w:rPr>
      </w:pPr>
      <w:r>
        <w:rPr>
          <w:rFonts w:ascii="Times New Roman" w:cs="Times New Roman" w:eastAsia="Times New Roman" w:hAnsi="Times New Roman"/>
          <w:sz w:val="22"/>
          <w:szCs w:val="22"/>
          <w:color w:val="auto"/>
        </w:rPr>
        <w:t>Niniejszym potwierdzam i zgadzam się z tym, że jakiekolwiek przeszłe potrącenia z mojego wynagrodzenia dokonane w związku z moim uczestnictwem w Planie były zgodne z polskim prawem i że wyraziłem/am na nie zgodę.</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Wszystkie terminy pisane wielkimi literami mają znaczenie przypisane im w ramach Planu.</w:t>
      </w:r>
    </w:p>
    <w:p>
      <w:pPr>
        <w:spacing w:after="0" w:line="179" w:lineRule="exact"/>
        <w:rPr>
          <w:sz w:val="20"/>
          <w:szCs w:val="20"/>
          <w:color w:val="auto"/>
        </w:rPr>
      </w:pPr>
    </w:p>
    <w:p>
      <w:pPr>
        <w:jc w:val="both"/>
        <w:ind w:hanging="1"/>
        <w:spacing w:after="0" w:line="284" w:lineRule="auto"/>
        <w:rPr>
          <w:sz w:val="20"/>
          <w:szCs w:val="20"/>
          <w:color w:val="auto"/>
        </w:rPr>
      </w:pPr>
      <w:r>
        <w:rPr>
          <w:rFonts w:ascii="Times New Roman" w:cs="Times New Roman" w:eastAsia="Times New Roman" w:hAnsi="Times New Roman"/>
          <w:sz w:val="22"/>
          <w:szCs w:val="22"/>
          <w:color w:val="auto"/>
        </w:rPr>
        <w:t>W przypadku jakichkolwiek rozbieżności pomiędzy polską a angielską wersją językową niniejszego dokumentu, wersja polska ma charakter wiążący.</w:t>
      </w:r>
    </w:p>
    <w:p>
      <w:pPr>
        <w:spacing w:after="0" w:line="15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Employee:</w:t>
      </w:r>
      <w:r>
        <w:rPr>
          <w:sz w:val="20"/>
          <w:szCs w:val="20"/>
          <w:color w:val="auto"/>
        </w:rPr>
        <w:tab/>
      </w: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66" w:lineRule="exact"/>
        <w:rPr>
          <w:sz w:val="20"/>
          <w:szCs w:val="20"/>
          <w:color w:val="auto"/>
        </w:rPr>
      </w:pPr>
    </w:p>
    <w:p>
      <w:pPr>
        <w:jc w:val="both"/>
        <w:ind w:right="40" w:hanging="1"/>
        <w:spacing w:after="0" w:line="265" w:lineRule="auto"/>
        <w:rPr>
          <w:sz w:val="20"/>
          <w:szCs w:val="20"/>
          <w:color w:val="auto"/>
        </w:rPr>
      </w:pPr>
      <w:r>
        <w:rPr>
          <w:rFonts w:ascii="Times New Roman" w:cs="Times New Roman" w:eastAsia="Times New Roman" w:hAnsi="Times New Roman"/>
          <w:sz w:val="21"/>
          <w:szCs w:val="21"/>
          <w:u w:val="single" w:color="auto"/>
          <w:color w:val="auto"/>
        </w:rPr>
        <w:t>Securities Law Notification</w:t>
      </w:r>
      <w:r>
        <w:rPr>
          <w:rFonts w:ascii="Times New Roman" w:cs="Times New Roman" w:eastAsia="Times New Roman" w:hAnsi="Times New Roman"/>
          <w:sz w:val="21"/>
          <w:szCs w:val="21"/>
          <w:color w:val="auto"/>
        </w:rPr>
        <w:t>. The offer of participation in the ESPP is being made pursuant to the “Qualifying Person” exemption under Section 273 (1)(f) of the Securities and Futures Act (Chapter 289, 2006 Ed.) (“</w:t>
      </w:r>
      <w:r>
        <w:rPr>
          <w:rFonts w:ascii="Times New Roman" w:cs="Times New Roman" w:eastAsia="Times New Roman" w:hAnsi="Times New Roman"/>
          <w:sz w:val="21"/>
          <w:szCs w:val="21"/>
          <w:b w:val="1"/>
          <w:bCs w:val="1"/>
          <w:i w:val="1"/>
          <w:iCs w:val="1"/>
          <w:color w:val="auto"/>
        </w:rPr>
        <w:t>SFA</w:t>
      </w:r>
      <w:r>
        <w:rPr>
          <w:rFonts w:ascii="Times New Roman" w:cs="Times New Roman" w:eastAsia="Times New Roman" w:hAnsi="Times New Roman"/>
          <w:sz w:val="21"/>
          <w:szCs w:val="21"/>
          <w:color w:val="auto"/>
        </w:rPr>
        <w:t>”). The ESPP has not been lodged or registered as a prospectus with the Monetary Authority of Singapore and the offerings under the ESPP are not made with a view to the options or shares of Common Stock being subsequently offered for sale to another party. Your participation in the ESPP is subject to section 257 of the SFA and you should not make (i) any subsequent sale of shares of Common Stock in Singapore or</w:t>
      </w:r>
    </w:p>
    <w:p>
      <w:pPr>
        <w:jc w:val="both"/>
        <w:ind w:right="40" w:firstLine="8"/>
        <w:spacing w:after="0" w:line="252" w:lineRule="auto"/>
        <w:tabs>
          <w:tab w:leader="none" w:pos="33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offer of such subsequent sale of shares of Common Stock in Singapore, unless such sale or offer in Singapore is made after six months from the date of grant or pursuant to the exemptions under Part XIII Division 1 Subdivision (4) (other than section 280) of the SFA, or pursuant to, and in accordance with the conditions of, any applicable provisions of the SFA.</w:t>
      </w:r>
    </w:p>
    <w:p>
      <w:pPr>
        <w:spacing w:after="0" w:line="178" w:lineRule="exact"/>
        <w:rPr>
          <w:sz w:val="20"/>
          <w:szCs w:val="20"/>
          <w:color w:val="auto"/>
        </w:rPr>
      </w:pPr>
    </w:p>
    <w:p>
      <w:pPr>
        <w:jc w:val="both"/>
        <w:ind w:right="40" w:hanging="1"/>
        <w:spacing w:after="0" w:line="256" w:lineRule="auto"/>
        <w:rPr>
          <w:sz w:val="20"/>
          <w:szCs w:val="20"/>
          <w:color w:val="auto"/>
        </w:rPr>
      </w:pPr>
      <w:r>
        <w:rPr>
          <w:rFonts w:ascii="Times New Roman" w:cs="Times New Roman" w:eastAsia="Times New Roman" w:hAnsi="Times New Roman"/>
          <w:sz w:val="22"/>
          <w:szCs w:val="22"/>
          <w:u w:val="single" w:color="auto"/>
          <w:color w:val="auto"/>
        </w:rPr>
        <w:t>Director Notification Obli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ation</w:t>
      </w:r>
      <w:r>
        <w:rPr>
          <w:rFonts w:ascii="Times New Roman" w:cs="Times New Roman" w:eastAsia="Times New Roman" w:hAnsi="Times New Roman"/>
          <w:sz w:val="22"/>
          <w:szCs w:val="22"/>
          <w:color w:val="auto"/>
        </w:rPr>
        <w:t>. Directors, associate directors or shadow directors of a Singapore Subsidiary must notify the Singapore Subsidiary in writing of an interest (e.g., options or shares of Common Stock) in the Company or any related entity within two business days of (i) acquiring or disposing of such interest, (ii) any change in a previously disclosed interest (e.g., sale of shares of Common Stock), or (iii) becoming a director, associate director or shadow director.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w:t>
      </w: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onsibility for Taxes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63" w:name="page64"/>
    <w:bookmarkEnd w:id="63"/>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provisions supplement Section 11 of the Agreement:</w:t>
      </w:r>
    </w:p>
    <w:p>
      <w:pPr>
        <w:spacing w:after="0" w:line="247" w:lineRule="exact"/>
        <w:rPr>
          <w:sz w:val="20"/>
          <w:szCs w:val="20"/>
          <w:color w:val="auto"/>
        </w:rPr>
      </w:pPr>
    </w:p>
    <w:p>
      <w:pPr>
        <w:jc w:val="both"/>
        <w:ind w:hanging="1"/>
        <w:spacing w:after="0" w:line="253" w:lineRule="auto"/>
        <w:rPr>
          <w:sz w:val="20"/>
          <w:szCs w:val="20"/>
          <w:color w:val="auto"/>
        </w:rPr>
      </w:pPr>
      <w:r>
        <w:rPr>
          <w:rFonts w:ascii="Times New Roman" w:cs="Times New Roman" w:eastAsia="Times New Roman" w:hAnsi="Times New Roman"/>
          <w:sz w:val="22"/>
          <w:szCs w:val="22"/>
          <w:color w:val="auto"/>
        </w:rPr>
        <w:t>Without limitation to Section 11 of the Agreement, I agree that I am liable for all Tax-Related Items and hereby covenant to pay all such Tax-Related Items, as and when requested by the Company or, if different, the Employer or Her Majesty’s Revenue &amp; Customs (“</w:t>
      </w:r>
      <w:r>
        <w:rPr>
          <w:rFonts w:ascii="Times New Roman" w:cs="Times New Roman" w:eastAsia="Times New Roman" w:hAnsi="Times New Roman"/>
          <w:sz w:val="22"/>
          <w:szCs w:val="22"/>
          <w:b w:val="1"/>
          <w:bCs w:val="1"/>
          <w:i w:val="1"/>
          <w:iCs w:val="1"/>
          <w:color w:val="auto"/>
        </w:rPr>
        <w:t>HRMC</w:t>
      </w:r>
      <w:r>
        <w:rPr>
          <w:rFonts w:ascii="Times New Roman" w:cs="Times New Roman" w:eastAsia="Times New Roman" w:hAnsi="Times New Roman"/>
          <w:sz w:val="22"/>
          <w:szCs w:val="22"/>
          <w:color w:val="auto"/>
        </w:rPr>
        <w:t>”) (or any other tax or relevant authority). I also agree to indemnify and keep indemnified the Company and, if different, the Employer against any Tax-Related Items that they are required to pay or withhold or have paid or will pay to HMRC (or any other tax or relevant authority) on my behalf.</w:t>
      </w:r>
    </w:p>
    <w:p>
      <w:pPr>
        <w:spacing w:after="0" w:line="219" w:lineRule="exact"/>
        <w:rPr>
          <w:sz w:val="20"/>
          <w:szCs w:val="20"/>
          <w:color w:val="auto"/>
        </w:rPr>
      </w:pPr>
    </w:p>
    <w:p>
      <w:pPr>
        <w:jc w:val="both"/>
        <w:ind w:hanging="1"/>
        <w:spacing w:after="0" w:line="264" w:lineRule="auto"/>
        <w:rPr>
          <w:sz w:val="20"/>
          <w:szCs w:val="20"/>
          <w:color w:val="auto"/>
        </w:rPr>
      </w:pPr>
      <w:r>
        <w:rPr>
          <w:rFonts w:ascii="Times New Roman" w:cs="Times New Roman" w:eastAsia="Times New Roman" w:hAnsi="Times New Roman"/>
          <w:sz w:val="21"/>
          <w:szCs w:val="21"/>
          <w:color w:val="auto"/>
        </w:rPr>
        <w:t>Notwithstanding the foregoing, if I am a director or executive officer (within the meaning of Section 13(k) of the Exchange Act), the terms of the immediately foregoing provision will not apply. In such case, if the amount of any income tax due is not collected from or paid by me within 90 days of the end of the U.K. tax year in which an event giving rise to the indemnification described above occurs, the amount of any uncollected income tax may constitute an additional benefit to me on which additional income tax and National Insurance Contributions (“</w:t>
      </w:r>
      <w:r>
        <w:rPr>
          <w:rFonts w:ascii="Times New Roman" w:cs="Times New Roman" w:eastAsia="Times New Roman" w:hAnsi="Times New Roman"/>
          <w:sz w:val="21"/>
          <w:szCs w:val="21"/>
          <w:b w:val="1"/>
          <w:bCs w:val="1"/>
          <w:i w:val="1"/>
          <w:iCs w:val="1"/>
          <w:color w:val="auto"/>
        </w:rPr>
        <w:t>NICs</w:t>
      </w:r>
      <w:r>
        <w:rPr>
          <w:rFonts w:ascii="Times New Roman" w:cs="Times New Roman" w:eastAsia="Times New Roman" w:hAnsi="Times New Roman"/>
          <w:sz w:val="21"/>
          <w:szCs w:val="21"/>
          <w:color w:val="auto"/>
        </w:rPr>
        <w:t>”) may be payable. I acknowledge that the Company or the Employer may recover any such additional income tax and employee NICs at any time thereafter by any of the means referred to in this Agreement. However, I am primarily responsible for reporting and paying any income tax due on this additional benefit</w:t>
      </w:r>
    </w:p>
    <w:p>
      <w:pPr>
        <w:spacing w:after="0" w:line="1" w:lineRule="exact"/>
        <w:rPr>
          <w:sz w:val="20"/>
          <w:szCs w:val="20"/>
          <w:color w:val="auto"/>
        </w:rPr>
      </w:pPr>
    </w:p>
    <w:p>
      <w:pPr>
        <w:spacing w:after="0"/>
        <w:tabs>
          <w:tab w:leader="none" w:pos="1800" w:val="left"/>
          <w:tab w:leader="none" w:pos="3140" w:val="left"/>
          <w:tab w:leader="none" w:pos="4940" w:val="left"/>
          <w:tab w:leader="none" w:pos="6580" w:val="left"/>
          <w:tab w:leader="none" w:pos="8020" w:val="left"/>
          <w:tab w:leader="none" w:pos="10520" w:val="left"/>
        </w:tabs>
        <w:rPr>
          <w:sz w:val="20"/>
          <w:szCs w:val="20"/>
          <w:color w:val="auto"/>
        </w:rPr>
      </w:pPr>
      <w:r>
        <w:rPr>
          <w:rFonts w:ascii="Times New Roman" w:cs="Times New Roman" w:eastAsia="Times New Roman" w:hAnsi="Times New Roman"/>
          <w:sz w:val="22"/>
          <w:szCs w:val="22"/>
          <w:color w:val="auto"/>
        </w:rPr>
        <w:t>directly</w:t>
      </w:r>
      <w:r>
        <w:rPr>
          <w:sz w:val="20"/>
          <w:szCs w:val="20"/>
          <w:color w:val="auto"/>
        </w:rPr>
        <w:tab/>
      </w: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HMRC</w:t>
      </w:r>
      <w:r>
        <w:rPr>
          <w:sz w:val="20"/>
          <w:szCs w:val="20"/>
          <w:color w:val="auto"/>
        </w:rPr>
        <w:tab/>
      </w:r>
      <w:r>
        <w:rPr>
          <w:rFonts w:ascii="Times New Roman" w:cs="Times New Roman" w:eastAsia="Times New Roman" w:hAnsi="Times New Roman"/>
          <w:sz w:val="22"/>
          <w:szCs w:val="22"/>
          <w:color w:val="auto"/>
        </w:rPr>
        <w:t>under</w:t>
      </w:r>
      <w:r>
        <w:rPr>
          <w:sz w:val="20"/>
          <w:szCs w:val="20"/>
          <w:color w:val="auto"/>
        </w:rPr>
        <w:tab/>
      </w:r>
      <w:r>
        <w:rPr>
          <w:rFonts w:ascii="Times New Roman" w:cs="Times New Roman" w:eastAsia="Times New Roman" w:hAnsi="Times New Roman"/>
          <w:sz w:val="22"/>
          <w:szCs w:val="22"/>
          <w:color w:val="auto"/>
        </w:rPr>
        <w:t>the</w:t>
      </w:r>
      <w:r>
        <w:rPr>
          <w:sz w:val="20"/>
          <w:szCs w:val="20"/>
          <w:color w:val="auto"/>
        </w:rPr>
        <w:tab/>
      </w:r>
      <w:r>
        <w:rPr>
          <w:rFonts w:ascii="Times New Roman" w:cs="Times New Roman" w:eastAsia="Times New Roman" w:hAnsi="Times New Roman"/>
          <w:sz w:val="22"/>
          <w:szCs w:val="22"/>
          <w:color w:val="auto"/>
        </w:rPr>
        <w:t>self-assessment</w:t>
      </w:r>
      <w:r>
        <w:rPr>
          <w:sz w:val="20"/>
          <w:szCs w:val="20"/>
          <w:color w:val="auto"/>
        </w:rPr>
        <w:tab/>
      </w:r>
      <w:r>
        <w:rPr>
          <w:rFonts w:ascii="Times New Roman" w:cs="Times New Roman" w:eastAsia="Times New Roman" w:hAnsi="Times New Roman"/>
          <w:sz w:val="21"/>
          <w:szCs w:val="21"/>
          <w:color w:val="auto"/>
        </w:rPr>
        <w:t>regime.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236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00"/>
          </w:cols>
          <w:pgMar w:left="320" w:top="1440" w:right="379" w:bottom="1440" w:gutter="0" w:footer="0" w:header="0"/>
        </w:sectPr>
      </w:pPr>
    </w:p>
    <w:bookmarkStart w:id="64" w:name="page65"/>
    <w:bookmarkEnd w:id="64"/>
    <w:p>
      <w:pPr>
        <w:spacing w:after="0" w:line="59" w:lineRule="exact"/>
        <w:rPr>
          <w:sz w:val="20"/>
          <w:szCs w:val="20"/>
          <w:color w:val="auto"/>
        </w:rPr>
      </w:pPr>
    </w:p>
    <w:p>
      <w:pPr>
        <w:ind w:right="240" w:hanging="1"/>
        <w:spacing w:after="0" w:line="262" w:lineRule="auto"/>
        <w:rPr>
          <w:sz w:val="20"/>
          <w:szCs w:val="20"/>
          <w:color w:val="auto"/>
        </w:rPr>
      </w:pPr>
      <w:r>
        <w:rPr>
          <w:rFonts w:ascii="Times New Roman" w:cs="Times New Roman" w:eastAsia="Times New Roman" w:hAnsi="Times New Roman"/>
          <w:sz w:val="22"/>
          <w:szCs w:val="22"/>
          <w:b w:val="1"/>
          <w:bCs w:val="1"/>
          <w:color w:val="auto"/>
        </w:rPr>
        <w:t>Global ESPP Enrollment and Change Form (Nicaragua) Remitly Global, Inc. (the “Company”) 2021 Employee Stock Purchase Plan (the “ESPP”)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Capitalized terms used but not otherwise defined herein shall have the meaning given to them in the ESPP</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193675</wp:posOffset>
            </wp:positionV>
            <wp:extent cx="7071995" cy="2186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071995" cy="218630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1:</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ENROLLMENT</w:t>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CONFIRMED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both"/>
        <w:ind w:hanging="1"/>
        <w:spacing w:after="0" w:line="249" w:lineRule="auto"/>
        <w:rPr>
          <w:sz w:val="20"/>
          <w:szCs w:val="20"/>
          <w:color w:val="auto"/>
        </w:rPr>
      </w:pPr>
      <w:r>
        <w:rPr>
          <w:rFonts w:ascii="Times New Roman" w:cs="Times New Roman" w:eastAsia="Times New Roman" w:hAnsi="Times New Roman"/>
          <w:sz w:val="22"/>
          <w:szCs w:val="22"/>
          <w:color w:val="auto"/>
        </w:rPr>
        <w:t>I understand that I have been automatically enrolled in the ESPP and I hereby elect to continue to participate in the ESPP. I understand that my enrollment in the ESPP was effective at the beginning of the initial Purchase Period and, as a result of that enrollment, I am electing to purchase shares of Common Stock of the Company pursuant to the terms and conditions of the ESPP and this Agreement. I understand that the shares purchased on my behalf will be issued in street name and deposited directly into my brokerage account. I hereby agree to take all steps, and sign all forms, required to establish an account with the Company’s broker for this purpose.</w:t>
      </w:r>
    </w:p>
    <w:p>
      <w:pPr>
        <w:spacing w:after="0" w:line="74" w:lineRule="exact"/>
        <w:rPr>
          <w:sz w:val="20"/>
          <w:szCs w:val="20"/>
          <w:color w:val="auto"/>
        </w:rPr>
      </w:pPr>
    </w:p>
    <w:p>
      <w:pPr>
        <w:jc w:val="both"/>
        <w:ind w:hanging="1"/>
        <w:spacing w:after="0" w:line="261" w:lineRule="auto"/>
        <w:rPr>
          <w:sz w:val="20"/>
          <w:szCs w:val="20"/>
          <w:color w:val="auto"/>
        </w:rPr>
      </w:pPr>
      <w:r>
        <w:rPr>
          <w:rFonts w:ascii="Times New Roman" w:cs="Times New Roman" w:eastAsia="Times New Roman" w:hAnsi="Times New Roman"/>
          <w:sz w:val="22"/>
          <w:szCs w:val="22"/>
          <w:color w:val="auto"/>
        </w:rPr>
        <w:t>My participation will continue as long as the Company offers the ESPP and I remain eligible, unless I withdraw from the ESPP by filing an Enrollment/Change Form with the Company or any third party designated by the Company. I understand that I must notify the Company of any disposition of shares of Common Stock purchased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64135</wp:posOffset>
            </wp:positionV>
            <wp:extent cx="62236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23635" cy="1714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313055</wp:posOffset>
            </wp:positionV>
            <wp:extent cx="7071995" cy="2177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071995" cy="2177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8020"/>
          </w:cols>
          <w:pgMar w:left="320" w:top="1440" w:right="519" w:bottom="1440" w:gutter="0" w:footer="0" w:header="0"/>
          <w:type w:val="continuous"/>
        </w:sectPr>
      </w:pP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2:</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ELECT/CHANGE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CONTRIBUTION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both"/>
        <w:ind w:right="20" w:hanging="1"/>
        <w:spacing w:after="0" w:line="263" w:lineRule="auto"/>
        <w:rPr>
          <w:sz w:val="20"/>
          <w:szCs w:val="20"/>
          <w:color w:val="auto"/>
        </w:rPr>
      </w:pPr>
      <w:r>
        <w:rPr>
          <w:rFonts w:ascii="Times New Roman" w:cs="Times New Roman" w:eastAsia="Times New Roman" w:hAnsi="Times New Roman"/>
          <w:sz w:val="22"/>
          <w:szCs w:val="22"/>
          <w:color w:val="auto"/>
        </w:rPr>
        <w:t>I understand that I am currently enrolled in the ESPP at a contribution level equal to 1% of my compensation (base salary or wages). My contributions will be applied to the purchase of shares of Common Stock pursuant to the ESPP.</w:t>
      </w:r>
    </w:p>
    <w:p>
      <w:pPr>
        <w:spacing w:after="0" w:line="127" w:lineRule="exact"/>
        <w:rPr>
          <w:sz w:val="20"/>
          <w:szCs w:val="20"/>
          <w:color w:val="auto"/>
        </w:rPr>
      </w:pPr>
    </w:p>
    <w:p>
      <w:pPr>
        <w:jc w:val="both"/>
        <w:ind w:right="20" w:hanging="1"/>
        <w:spacing w:after="0" w:line="253" w:lineRule="auto"/>
        <w:rPr>
          <w:sz w:val="20"/>
          <w:szCs w:val="20"/>
          <w:color w:val="auto"/>
        </w:rPr>
      </w:pPr>
      <w:r>
        <w:rPr>
          <w:rFonts w:ascii="Times New Roman" w:cs="Times New Roman" w:eastAsia="Times New Roman" w:hAnsi="Times New Roman"/>
          <w:sz w:val="22"/>
          <w:szCs w:val="22"/>
          <w:color w:val="auto"/>
        </w:rPr>
        <w:t>I hereby authorize the Company or the Parent, Subsidiary or Affiliate employing me (the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xml:space="preserve">”) to continue my enrollment by withholding from each of my paychecks (to the extent permitted by applicable laws) during each Purchase Period the specified percentage of my compensation, as long as I continue to participate in the ESPP. </w:t>
      </w:r>
      <w:r>
        <w:rPr>
          <w:rFonts w:ascii="Times New Roman" w:cs="Times New Roman" w:eastAsia="Times New Roman" w:hAnsi="Times New Roman"/>
          <w:sz w:val="22"/>
          <w:szCs w:val="22"/>
          <w:b w:val="1"/>
          <w:bCs w:val="1"/>
          <w:color w:val="auto"/>
        </w:rPr>
        <w:t>The percentage must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 exceed a maximum of 15.0%.</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Continue my contribution level at 1%</w:t>
      </w:r>
    </w:p>
    <w:p>
      <w:pPr>
        <w:spacing w:after="0" w:line="108" w:lineRule="exact"/>
        <w:rPr>
          <w:sz w:val="20"/>
          <w:szCs w:val="20"/>
          <w:color w:val="auto"/>
        </w:rPr>
      </w:pPr>
    </w:p>
    <w:p>
      <w:pPr>
        <w:ind w:left="20" w:right="900" w:hanging="1"/>
        <w:spacing w:after="0" w:line="257" w:lineRule="auto"/>
        <w:rPr>
          <w:sz w:val="20"/>
          <w:szCs w:val="20"/>
          <w:color w:val="auto"/>
        </w:rPr>
      </w:pPr>
      <w:r>
        <w:rPr>
          <w:rFonts w:ascii="Times New Roman" w:cs="Times New Roman" w:eastAsia="Times New Roman" w:hAnsi="Times New Roman"/>
          <w:sz w:val="22"/>
          <w:szCs w:val="22"/>
          <w:color w:val="auto"/>
        </w:rPr>
        <w:t>Increase or decrease my contribution level to</w:t>
      </w:r>
      <w:r>
        <w:rPr>
          <w:sz w:val="20"/>
          <w:szCs w:val="20"/>
          <w:color w:val="auto"/>
        </w:rPr>
        <w:t xml:space="preserve">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(must be a percentage up to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maximum of 15.0%)</w:t>
      </w:r>
    </w:p>
    <w:p>
      <w:pPr>
        <w:spacing w:after="0" w:line="200" w:lineRule="exact"/>
        <w:rPr>
          <w:sz w:val="20"/>
          <w:szCs w:val="20"/>
          <w:color w:val="auto"/>
        </w:rPr>
      </w:pPr>
    </w:p>
    <w:p>
      <w:pPr>
        <w:sectPr>
          <w:pgSz w:w="11900" w:h="16838" w:orient="portrait"/>
          <w:cols w:equalWidth="0" w:num="2">
            <w:col w:w="2320" w:space="720"/>
            <w:col w:w="8020"/>
          </w:cols>
          <w:pgMar w:left="32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60"/>
          </w:cols>
          <w:pgMar w:left="320" w:top="1440" w:right="519" w:bottom="1440" w:gutter="0" w:footer="0" w:header="0"/>
          <w:type w:val="continuous"/>
        </w:sectPr>
      </w:pPr>
    </w:p>
    <w:bookmarkStart w:id="65" w:name="page66"/>
    <w:bookmarkEnd w:id="6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929005</wp:posOffset>
            </wp:positionV>
            <wp:extent cx="7071995" cy="1645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071995" cy="1645920"/>
                    </a:xfrm>
                    <a:prstGeom prst="rect">
                      <a:avLst/>
                    </a:prstGeom>
                    <a:noFill/>
                  </pic:spPr>
                </pic:pic>
              </a:graphicData>
            </a:graphic>
          </wp:anchor>
        </w:drawing>
      </w:r>
    </w:p>
    <w:p>
      <w:pPr>
        <w:jc w:val="both"/>
        <w:ind w:left="2780" w:hanging="1"/>
        <w:spacing w:after="0" w:line="255" w:lineRule="auto"/>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After this initial election, you may only decrease your contributions one more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percentage other than 0% during this Offering Period, to be effective during this Offering Period. Such a change will be effective as soon as reasonably practicable after the change form is received by the Company. Any other decreases will take effect with the next Offering Period. You may not increase your contributions during this Offering Period, other than pursuant to this initial election. Any further increase in your contribution percentage can only take effect with the next Offering Period.</w:t>
      </w:r>
    </w:p>
    <w:p>
      <w:pPr>
        <w:spacing w:after="0" w:line="80" w:lineRule="exact"/>
        <w:rPr>
          <w:sz w:val="20"/>
          <w:szCs w:val="20"/>
          <w:color w:val="auto"/>
        </w:rPr>
      </w:pPr>
    </w:p>
    <w:p>
      <w:pPr>
        <w:jc w:val="both"/>
        <w:ind w:left="2780" w:right="20" w:hanging="1"/>
        <w:spacing w:after="0" w:line="271" w:lineRule="auto"/>
        <w:rPr>
          <w:sz w:val="20"/>
          <w:szCs w:val="20"/>
          <w:color w:val="auto"/>
        </w:rPr>
      </w:pPr>
      <w:r>
        <w:rPr>
          <w:rFonts w:ascii="Times New Roman" w:cs="Times New Roman" w:eastAsia="Times New Roman" w:hAnsi="Times New Roman"/>
          <w:sz w:val="22"/>
          <w:szCs w:val="22"/>
          <w:color w:val="auto"/>
        </w:rPr>
        <w:t>I understand that if I do not file or submit this Agreement by [ ], 2021, the Initial Offering Period Deadline, my participation in the ESPP will be automatically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57785</wp:posOffset>
            </wp:positionV>
            <wp:extent cx="37115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711575" cy="1714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134620</wp:posOffset>
            </wp:positionV>
            <wp:extent cx="62236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23635" cy="1714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537845</wp:posOffset>
            </wp:positionV>
            <wp:extent cx="7071995" cy="3249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071995" cy="3249295"/>
                    </a:xfrm>
                    <a:prstGeom prst="rect">
                      <a:avLst/>
                    </a:prstGeom>
                    <a:noFill/>
                  </pic:spPr>
                </pic:pic>
              </a:graphicData>
            </a:graphic>
          </wp:anchor>
        </w:drawing>
      </w:r>
    </w:p>
    <w:p>
      <w:pPr>
        <w:sectPr>
          <w:pgSz w:w="11900" w:h="16838" w:orient="portrait"/>
          <w:cols w:equalWidth="0" w:num="1">
            <w:col w:w="10780"/>
          </w:cols>
          <w:pgMar w:left="60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w:t>
      </w:r>
    </w:p>
    <w:p>
      <w:pPr>
        <w:spacing w:after="0" w:line="113" w:lineRule="exact"/>
        <w:rPr>
          <w:sz w:val="20"/>
          <w:szCs w:val="20"/>
          <w:color w:val="auto"/>
        </w:rPr>
      </w:pPr>
    </w:p>
    <w:p>
      <w:pPr>
        <w:ind w:hanging="1"/>
        <w:spacing w:after="0" w:line="268" w:lineRule="auto"/>
        <w:rPr>
          <w:sz w:val="20"/>
          <w:szCs w:val="20"/>
          <w:color w:val="auto"/>
        </w:rPr>
      </w:pPr>
      <w:r>
        <w:rPr>
          <w:rFonts w:ascii="Times New Roman" w:cs="Times New Roman" w:eastAsia="Times New Roman" w:hAnsi="Times New Roman"/>
          <w:sz w:val="18"/>
          <w:szCs w:val="18"/>
          <w:b w:val="1"/>
          <w:bCs w:val="1"/>
          <w:color w:val="auto"/>
        </w:rPr>
        <w:t>WITHDRAW FROM ESPP / DISCONTINUE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300" w:hanging="1"/>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DO </w:t>
      </w:r>
      <w:r>
        <w:rPr>
          <w:rFonts w:ascii="Times New Roman" w:cs="Times New Roman" w:eastAsia="Times New Roman" w:hAnsi="Times New Roman"/>
          <w:sz w:val="22"/>
          <w:szCs w:val="22"/>
          <w:b w:val="1"/>
          <w:bCs w:val="1"/>
          <w:i w:val="1"/>
          <w:iCs w:val="1"/>
          <w:u w:val="single" w:color="auto"/>
          <w:color w:val="auto"/>
        </w:rPr>
        <w:t>NOT</w:t>
      </w:r>
      <w:r>
        <w:rPr>
          <w:rFonts w:ascii="Times New Roman" w:cs="Times New Roman" w:eastAsia="Times New Roman" w:hAnsi="Times New Roman"/>
          <w:sz w:val="22"/>
          <w:szCs w:val="22"/>
          <w:b w:val="1"/>
          <w:bCs w:val="1"/>
          <w:i w:val="1"/>
          <w:iCs w:val="1"/>
          <w:color w:val="auto"/>
        </w:rPr>
        <w:t xml:space="preserve"> CHECK THE BOX BELOW IF YOU WISH TO CONTINUE TO PARTICIPATE IN THE ESPP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Withdraw from the ESPP</w:t>
      </w:r>
    </w:p>
    <w:p>
      <w:pPr>
        <w:spacing w:after="0" w:line="129" w:lineRule="exact"/>
        <w:rPr>
          <w:sz w:val="20"/>
          <w:szCs w:val="20"/>
          <w:color w:val="auto"/>
        </w:rPr>
      </w:pPr>
    </w:p>
    <w:p>
      <w:pPr>
        <w:jc w:val="both"/>
        <w:ind w:right="80" w:hanging="1"/>
        <w:spacing w:after="0" w:line="253" w:lineRule="auto"/>
        <w:rPr>
          <w:sz w:val="20"/>
          <w:szCs w:val="20"/>
          <w:color w:val="auto"/>
        </w:rPr>
      </w:pPr>
      <w:r>
        <w:rPr>
          <w:rFonts w:ascii="Times New Roman" w:cs="Times New Roman" w:eastAsia="Times New Roman" w:hAnsi="Times New Roman"/>
          <w:sz w:val="22"/>
          <w:szCs w:val="22"/>
          <w:color w:val="auto"/>
        </w:rPr>
        <w:t xml:space="preserve">I understand that my enrollment in the ESPP was automatically effective at the beginning of the initial Offering Period. I hereby elect to withdraw from the ESPP and </w:t>
      </w:r>
      <w:r>
        <w:rPr>
          <w:rFonts w:ascii="Times New Roman" w:cs="Times New Roman" w:eastAsia="Times New Roman" w:hAnsi="Times New Roman"/>
          <w:sz w:val="22"/>
          <w:szCs w:val="22"/>
          <w:u w:val="single" w:color="auto"/>
          <w:color w:val="auto"/>
        </w:rPr>
        <w:t>sto</w:t>
      </w:r>
      <w:r>
        <w:rPr>
          <w:rFonts w:ascii="Times New Roman" w:cs="Times New Roman" w:eastAsia="Times New Roman" w:hAnsi="Times New Roman"/>
          <w:sz w:val="22"/>
          <w:szCs w:val="22"/>
          <w:color w:val="auto"/>
        </w:rPr>
        <w:t>p my contributions under the ESPP, effective as soon as reasonably practicable after this form is received by the Company. Accumulated contributions will be returned to me without interest, pursuant to Section 11 of the ESPP.</w:t>
      </w:r>
    </w:p>
    <w:p>
      <w:pPr>
        <w:spacing w:after="0" w:line="67" w:lineRule="exact"/>
        <w:rPr>
          <w:sz w:val="20"/>
          <w:szCs w:val="20"/>
          <w:color w:val="auto"/>
        </w:rPr>
      </w:pPr>
    </w:p>
    <w:p>
      <w:pPr>
        <w:jc w:val="both"/>
        <w:ind w:right="100" w:hanging="1"/>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No contributions will be made if you elect to withdraw from the ESPP.</w:t>
      </w:r>
      <w:r>
        <w:rPr>
          <w:rFonts w:ascii="Times New Roman" w:cs="Times New Roman" w:eastAsia="Times New Roman" w:hAnsi="Times New Roman"/>
          <w:sz w:val="22"/>
          <w:szCs w:val="22"/>
          <w:b w:val="1"/>
          <w:bCs w:val="1"/>
          <w:color w:val="auto"/>
        </w:rPr>
        <w:t xml:space="preserve"> If you withdraw, you cannot resume participation until the start of the next Offering Period and you must timely file a new Enrollment/Change Form to do so.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Sus</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22"/>
          <w:szCs w:val="22"/>
          <w:b w:val="1"/>
          <w:bCs w:val="1"/>
          <w:u w:val="single" w:color="auto"/>
          <w:color w:val="auto"/>
        </w:rPr>
        <w:t>end Contributions under the ESPP</w:t>
      </w:r>
    </w:p>
    <w:p>
      <w:pPr>
        <w:spacing w:after="0" w:line="116" w:lineRule="exact"/>
        <w:rPr>
          <w:sz w:val="20"/>
          <w:szCs w:val="20"/>
          <w:color w:val="auto"/>
        </w:rPr>
      </w:pPr>
    </w:p>
    <w:p>
      <w:pPr>
        <w:jc w:val="both"/>
        <w:ind w:right="80" w:hanging="1"/>
        <w:spacing w:after="0" w:line="250" w:lineRule="auto"/>
        <w:rPr>
          <w:sz w:val="20"/>
          <w:szCs w:val="20"/>
          <w:color w:val="auto"/>
        </w:rPr>
      </w:pPr>
      <w:r>
        <w:rPr>
          <w:rFonts w:ascii="Times New Roman" w:cs="Times New Roman" w:eastAsia="Times New Roman" w:hAnsi="Times New Roman"/>
          <w:sz w:val="22"/>
          <w:szCs w:val="22"/>
          <w:color w:val="auto"/>
        </w:rPr>
        <w:t xml:space="preserve">I hereby authorize the Company to </w:t>
      </w:r>
      <w:r>
        <w:rPr>
          <w:rFonts w:ascii="Times New Roman" w:cs="Times New Roman" w:eastAsia="Times New Roman" w:hAnsi="Times New Roman"/>
          <w:sz w:val="22"/>
          <w:szCs w:val="22"/>
          <w:u w:val="single" w:color="auto"/>
          <w:color w:val="auto"/>
        </w:rPr>
        <w:t>sus</w:t>
      </w: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end m</w:t>
      </w:r>
      <w:r>
        <w:rPr>
          <w:rFonts w:ascii="Times New Roman" w:cs="Times New Roman" w:eastAsia="Times New Roman" w:hAnsi="Times New Roman"/>
          <w:sz w:val="22"/>
          <w:szCs w:val="22"/>
          <w:color w:val="auto"/>
        </w:rPr>
        <w:t>y contributions under the ESPP, effective as soon as reasonably practicable after this form is received by the Company. My accumulated contributions thus far during the current Offering Period will be applied to the purchase of shares of Common Stock pursuant to the ESPP. Following the purchase, my participation in the ESPP will cease.</w:t>
      </w:r>
    </w:p>
    <w:p>
      <w:pPr>
        <w:spacing w:after="0" w:line="200" w:lineRule="exact"/>
        <w:rPr>
          <w:sz w:val="20"/>
          <w:szCs w:val="20"/>
          <w:color w:val="auto"/>
        </w:rPr>
      </w:pPr>
    </w:p>
    <w:p>
      <w:pPr>
        <w:sectPr>
          <w:pgSz w:w="11900" w:h="16838" w:orient="portrait"/>
          <w:cols w:equalWidth="0" w:num="2">
            <w:col w:w="2220" w:space="560"/>
            <w:col w:w="8000"/>
          </w:cols>
          <w:pgMar w:left="60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780"/>
          </w:cols>
          <w:pgMar w:left="600" w:top="1440" w:right="519" w:bottom="1440" w:gutter="0" w:footer="0" w:header="0"/>
          <w:type w:val="continuous"/>
        </w:sectPr>
      </w:pPr>
    </w:p>
    <w:bookmarkStart w:id="66" w:name="page67"/>
    <w:bookmarkEnd w:id="66"/>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7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No future contributions will be made if you elect to suspend contributions. You may</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only suspend your contributions once during this Offering Period. You may enroll in</w:t>
            </w:r>
          </w:p>
        </w:tc>
        <w:tc>
          <w:tcPr>
            <w:tcW w:w="0" w:type="dxa"/>
            <w:vAlign w:val="bottom"/>
          </w:tcPr>
          <w:p>
            <w:pPr>
              <w:spacing w:after="0"/>
              <w:rPr>
                <w:sz w:val="1"/>
                <w:szCs w:val="1"/>
                <w:color w:val="auto"/>
              </w:rPr>
            </w:pP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subsequent Purchase Periods.</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 4:</w:t>
            </w:r>
          </w:p>
        </w:tc>
        <w:tc>
          <w:tcPr>
            <w:tcW w:w="84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2"/>
                <w:szCs w:val="22"/>
                <w:color w:val="auto"/>
              </w:rPr>
              <w:t>Unless there is an available exemption from any registration, qualification or other legal</w:t>
            </w: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COMPLIANCE WITH LAW</w:t>
            </w:r>
          </w:p>
        </w:tc>
        <w:tc>
          <w:tcPr>
            <w:tcW w:w="8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40" w:type="dxa"/>
            <w:vAlign w:val="bottom"/>
            <w:tcBorders>
              <w:left w:val="single" w:sz="8" w:color="auto"/>
              <w:right w:val="single" w:sz="8" w:color="auto"/>
            </w:tcBorders>
            <w:vMerge w:val="continue"/>
          </w:tcPr>
          <w:p>
            <w:pPr>
              <w:spacing w:after="0"/>
              <w:rPr>
                <w:sz w:val="15"/>
                <w:szCs w:val="15"/>
                <w:color w:val="auto"/>
              </w:rPr>
            </w:pPr>
          </w:p>
        </w:tc>
        <w:tc>
          <w:tcPr>
            <w:tcW w:w="84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2"/>
                <w:szCs w:val="22"/>
                <w:color w:val="auto"/>
              </w:rPr>
              <w:t>requirement applicable to the shares of Common Stock the Company shall not be required</w:t>
            </w:r>
          </w:p>
        </w:tc>
        <w:tc>
          <w:tcPr>
            <w:tcW w:w="0" w:type="dxa"/>
            <w:vAlign w:val="bottom"/>
          </w:tcPr>
          <w:p>
            <w:pPr>
              <w:spacing w:after="0"/>
              <w:rPr>
                <w:sz w:val="1"/>
                <w:szCs w:val="1"/>
                <w:color w:val="auto"/>
              </w:rPr>
            </w:pPr>
          </w:p>
        </w:tc>
      </w:tr>
      <w:tr>
        <w:trPr>
          <w:trHeight w:val="81"/>
        </w:trPr>
        <w:tc>
          <w:tcPr>
            <w:tcW w:w="2740" w:type="dxa"/>
            <w:vAlign w:val="bottom"/>
            <w:tcBorders>
              <w:left w:val="single" w:sz="8" w:color="auto"/>
              <w:right w:val="single" w:sz="8" w:color="auto"/>
            </w:tcBorders>
          </w:tcPr>
          <w:p>
            <w:pPr>
              <w:spacing w:after="0"/>
              <w:rPr>
                <w:sz w:val="7"/>
                <w:szCs w:val="7"/>
                <w:color w:val="auto"/>
              </w:rPr>
            </w:pPr>
          </w:p>
        </w:tc>
        <w:tc>
          <w:tcPr>
            <w:tcW w:w="8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to deliver any shares under the ESPP prior to the completion of any registration or</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qualification of the shares under any applicable law, or prior to obtaining any approval or</w:t>
            </w:r>
          </w:p>
        </w:tc>
        <w:tc>
          <w:tcPr>
            <w:tcW w:w="0" w:type="dxa"/>
            <w:vAlign w:val="bottom"/>
          </w:tcPr>
          <w:p>
            <w:pPr>
              <w:spacing w:after="0"/>
              <w:rPr>
                <w:sz w:val="1"/>
                <w:szCs w:val="1"/>
                <w:color w:val="auto"/>
              </w:rPr>
            </w:pP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other clearance from any local, state, federal or foreign governmental agency, which</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registration, qualification or approval the Company shall, in its absolute discretion, deem</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necessary or advisable. I agree that the Company shall have unilateral authority to amend</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the ESPP and this Agreement without my consent to the extent necessary to comply with</w:t>
            </w:r>
          </w:p>
        </w:tc>
        <w:tc>
          <w:tcPr>
            <w:tcW w:w="0" w:type="dxa"/>
            <w:vAlign w:val="bottom"/>
          </w:tcPr>
          <w:p>
            <w:pPr>
              <w:spacing w:after="0"/>
              <w:rPr>
                <w:sz w:val="1"/>
                <w:szCs w:val="1"/>
                <w:color w:val="auto"/>
              </w:rPr>
            </w:pPr>
          </w:p>
        </w:tc>
      </w:tr>
      <w:tr>
        <w:trPr>
          <w:trHeight w:val="282"/>
        </w:trPr>
        <w:tc>
          <w:tcPr>
            <w:tcW w:w="27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securities or other laws applicable to the issuance of shares.</w:t>
            </w:r>
          </w:p>
        </w:tc>
        <w:tc>
          <w:tcPr>
            <w:tcW w:w="0" w:type="dxa"/>
            <w:vAlign w:val="bottom"/>
          </w:tcPr>
          <w:p>
            <w:pPr>
              <w:spacing w:after="0"/>
              <w:rPr>
                <w:sz w:val="1"/>
                <w:szCs w:val="1"/>
                <w:color w:val="auto"/>
              </w:rPr>
            </w:pPr>
          </w:p>
        </w:tc>
      </w:tr>
      <w:tr>
        <w:trPr>
          <w:trHeight w:val="28"/>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 5:</w:t>
            </w:r>
          </w:p>
        </w:tc>
        <w:tc>
          <w:tcPr>
            <w:tcW w:w="84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w:t>
            </w: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NO ADVICE REGARDING</w:t>
            </w:r>
          </w:p>
        </w:tc>
        <w:tc>
          <w:tcPr>
            <w:tcW w:w="8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40" w:type="dxa"/>
            <w:vAlign w:val="bottom"/>
            <w:tcBorders>
              <w:left w:val="single" w:sz="8" w:color="auto"/>
              <w:right w:val="single" w:sz="8" w:color="auto"/>
            </w:tcBorders>
            <w:vMerge w:val="continue"/>
          </w:tcPr>
          <w:p>
            <w:pPr>
              <w:spacing w:after="0"/>
              <w:rPr>
                <w:sz w:val="13"/>
                <w:szCs w:val="13"/>
                <w:color w:val="auto"/>
              </w:rPr>
            </w:pPr>
          </w:p>
        </w:tc>
        <w:tc>
          <w:tcPr>
            <w:tcW w:w="84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2"/>
                <w:szCs w:val="22"/>
                <w:color w:val="auto"/>
              </w:rPr>
              <w:t>making any recommendations regarding my participation in the ESPP or my acquisition or</w:t>
            </w:r>
          </w:p>
        </w:tc>
        <w:tc>
          <w:tcPr>
            <w:tcW w:w="0" w:type="dxa"/>
            <w:vAlign w:val="bottom"/>
          </w:tcPr>
          <w:p>
            <w:pPr>
              <w:spacing w:after="0"/>
              <w:rPr>
                <w:sz w:val="1"/>
                <w:szCs w:val="1"/>
                <w:color w:val="auto"/>
              </w:rPr>
            </w:pPr>
          </w:p>
        </w:tc>
      </w:tr>
      <w:tr>
        <w:trPr>
          <w:trHeight w:val="103"/>
        </w:trPr>
        <w:tc>
          <w:tcPr>
            <w:tcW w:w="2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40" w:type="dxa"/>
            <w:vAlign w:val="bottom"/>
            <w:tcBorders>
              <w:left w:val="single" w:sz="8" w:color="auto"/>
              <w:right w:val="single" w:sz="8" w:color="auto"/>
            </w:tcBorders>
            <w:vMerge w:val="continue"/>
          </w:tcPr>
          <w:p>
            <w:pPr>
              <w:spacing w:after="0"/>
              <w:rPr>
                <w:sz w:val="11"/>
                <w:szCs w:val="11"/>
                <w:color w:val="auto"/>
              </w:rPr>
            </w:pPr>
          </w:p>
        </w:tc>
        <w:tc>
          <w:tcPr>
            <w:tcW w:w="84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2"/>
                <w:szCs w:val="22"/>
                <w:color w:val="auto"/>
              </w:rPr>
              <w:t>sale of shares of Common Stock. I understand that I should consult with my own personal</w:t>
            </w:r>
          </w:p>
        </w:tc>
        <w:tc>
          <w:tcPr>
            <w:tcW w:w="0" w:type="dxa"/>
            <w:vAlign w:val="bottom"/>
          </w:tcPr>
          <w:p>
            <w:pPr>
              <w:spacing w:after="0"/>
              <w:rPr>
                <w:sz w:val="1"/>
                <w:szCs w:val="1"/>
                <w:color w:val="auto"/>
              </w:rPr>
            </w:pPr>
          </w:p>
        </w:tc>
      </w:tr>
      <w:tr>
        <w:trPr>
          <w:trHeight w:val="121"/>
        </w:trPr>
        <w:tc>
          <w:tcPr>
            <w:tcW w:w="2740" w:type="dxa"/>
            <w:vAlign w:val="bottom"/>
            <w:tcBorders>
              <w:left w:val="single" w:sz="8" w:color="auto"/>
              <w:right w:val="single" w:sz="8" w:color="auto"/>
            </w:tcBorders>
          </w:tcPr>
          <w:p>
            <w:pPr>
              <w:spacing w:after="0"/>
              <w:rPr>
                <w:sz w:val="10"/>
                <w:szCs w:val="10"/>
                <w:color w:val="auto"/>
              </w:rPr>
            </w:pPr>
          </w:p>
        </w:tc>
        <w:tc>
          <w:tcPr>
            <w:tcW w:w="8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tax, legal and financial advisors regarding my participation in the ESPP before taking any</w:t>
            </w:r>
          </w:p>
        </w:tc>
        <w:tc>
          <w:tcPr>
            <w:tcW w:w="0" w:type="dxa"/>
            <w:vAlign w:val="bottom"/>
          </w:tcPr>
          <w:p>
            <w:pPr>
              <w:spacing w:after="0"/>
              <w:rPr>
                <w:sz w:val="1"/>
                <w:szCs w:val="1"/>
                <w:color w:val="auto"/>
              </w:rPr>
            </w:pP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action related to the ESPP.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368300</wp:posOffset>
            </wp:positionV>
            <wp:extent cx="62236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74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SECTION 6:</w:t>
            </w:r>
          </w:p>
        </w:tc>
        <w:tc>
          <w:tcPr>
            <w:tcW w:w="84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Notwithstanding any provisions of the Agreement, my participation in the ESPP will be</w:t>
            </w:r>
          </w:p>
        </w:tc>
      </w:tr>
      <w:tr>
        <w:trPr>
          <w:trHeight w:val="250"/>
        </w:trPr>
        <w:tc>
          <w:tcPr>
            <w:tcW w:w="2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APPENDIX</w:t>
            </w:r>
          </w:p>
        </w:tc>
        <w:tc>
          <w:tcPr>
            <w:tcW w:w="8400" w:type="dxa"/>
            <w:vAlign w:val="bottom"/>
            <w:tcBorders>
              <w:right w:val="single" w:sz="8" w:color="auto"/>
            </w:tcBorders>
          </w:tcPr>
          <w:p>
            <w:pPr>
              <w:ind w:left="200"/>
              <w:spacing w:after="0" w:line="250" w:lineRule="exact"/>
              <w:rPr>
                <w:sz w:val="20"/>
                <w:szCs w:val="20"/>
                <w:color w:val="auto"/>
              </w:rPr>
            </w:pPr>
            <w:r>
              <w:rPr>
                <w:rFonts w:ascii="Times New Roman" w:cs="Times New Roman" w:eastAsia="Times New Roman" w:hAnsi="Times New Roman"/>
                <w:sz w:val="22"/>
                <w:szCs w:val="22"/>
                <w:color w:val="auto"/>
              </w:rPr>
              <w:t>subject to any additional or different terms and conditions set forth in the appendix to this</w:t>
            </w:r>
          </w:p>
        </w:tc>
      </w:tr>
      <w:tr>
        <w:trPr>
          <w:trHeight w:val="263"/>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Agreement for employees outside the United States (the “</w:t>
            </w:r>
            <w:r>
              <w:rPr>
                <w:rFonts w:ascii="Times New Roman" w:cs="Times New Roman" w:eastAsia="Times New Roman" w:hAnsi="Times New Roman"/>
                <w:sz w:val="22"/>
                <w:szCs w:val="22"/>
                <w:b w:val="1"/>
                <w:bCs w:val="1"/>
                <w:i w:val="1"/>
                <w:iCs w:val="1"/>
                <w:color w:val="auto"/>
              </w:rPr>
              <w:t>Appendix</w:t>
            </w:r>
            <w:r>
              <w:rPr>
                <w:rFonts w:ascii="Times New Roman" w:cs="Times New Roman" w:eastAsia="Times New Roman" w:hAnsi="Times New Roman"/>
                <w:sz w:val="22"/>
                <w:szCs w:val="22"/>
                <w:color w:val="auto"/>
              </w:rPr>
              <w:t>”). Moreover, if I</w:t>
            </w: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relocate to one of the countries included in the Appendix, the additional or different terms</w:t>
            </w: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and conditions for such country will apply to me, to the extent the Company determines that</w:t>
            </w: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the  application  of  such  terms  and  conditions  is  necessary  or  advisable  for  legal  or</w:t>
            </w: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administrative reasons. The Appendix constitutes part of the Agreement.</w:t>
            </w:r>
          </w:p>
        </w:tc>
      </w:tr>
      <w:tr>
        <w:trPr>
          <w:trHeight w:val="297"/>
        </w:trPr>
        <w:tc>
          <w:tcPr>
            <w:tcW w:w="2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SECTION 7:</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If one or more provisions of the Agreement are held to be unenforceable under applicable</w:t>
            </w:r>
          </w:p>
        </w:tc>
      </w:tr>
      <w:tr>
        <w:trPr>
          <w:trHeight w:val="256"/>
        </w:trPr>
        <w:tc>
          <w:tcPr>
            <w:tcW w:w="2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law, then such provision will be enforced to the maximum extent possible given the intent</w:t>
            </w: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of the parties thereto. If such clause or provision cannot be so enforced, then (a) such</w:t>
            </w: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provision will be excluded from the Agreement, (b) the balance of the Agreement will be</w:t>
            </w: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interpreted as if such provision were so excluded and (c) the balance of the Agreement will</w:t>
            </w: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be enforceable in accordance with its terms.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140"/>
          </w:cols>
          <w:pgMar w:left="440" w:top="1440" w:right="319" w:bottom="1440" w:gutter="0" w:footer="0" w:header="0"/>
        </w:sectPr>
      </w:pPr>
    </w:p>
    <w:bookmarkStart w:id="67" w:name="page68"/>
    <w:bookmarkEnd w:id="6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74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SECTION 8:</w:t>
            </w:r>
          </w:p>
        </w:tc>
        <w:tc>
          <w:tcPr>
            <w:tcW w:w="84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I acknowledge that a waiver by the Company of breach of any provision of the Agreement</w:t>
            </w:r>
          </w:p>
        </w:tc>
      </w:tr>
      <w:tr>
        <w:trPr>
          <w:trHeight w:val="257"/>
        </w:trPr>
        <w:tc>
          <w:tcPr>
            <w:tcW w:w="2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WAIVER</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shall not operate or be construed as a waiver of any other provision of the Agreement, or</w:t>
            </w: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any subsequent breach by any participant.</w:t>
            </w:r>
          </w:p>
        </w:tc>
      </w:tr>
      <w:tr>
        <w:trPr>
          <w:trHeight w:val="297"/>
        </w:trPr>
        <w:tc>
          <w:tcPr>
            <w:tcW w:w="2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SECTION 9:</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This Agreement and all acts and transactions pursuant hereto and the rights and obligations</w:t>
            </w:r>
          </w:p>
        </w:tc>
      </w:tr>
      <w:tr>
        <w:trPr>
          <w:trHeight w:val="257"/>
        </w:trPr>
        <w:tc>
          <w:tcPr>
            <w:tcW w:w="2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GOVERNING LAW AND</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of the parties hereto will be governed, construed and interpreted in accordance with the laws</w:t>
            </w:r>
          </w:p>
        </w:tc>
      </w:tr>
      <w:tr>
        <w:trPr>
          <w:trHeight w:val="257"/>
        </w:trPr>
        <w:tc>
          <w:tcPr>
            <w:tcW w:w="2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VENUE</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of the State of Delaware, without giving effect to such state’s conflict of laws rules. Any</w:t>
            </w: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and all disputes relating to, concerning or arising from this Agreement, or relating to,</w:t>
            </w: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concerning or arising from the relationship between the parties evidenced by the ESPP or</w:t>
            </w: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this Agreement, will be brought and heard exclusively in the state and federal courts in</w:t>
            </w:r>
          </w:p>
        </w:tc>
      </w:tr>
      <w:tr>
        <w:trPr>
          <w:trHeight w:val="282"/>
        </w:trPr>
        <w:tc>
          <w:tcPr>
            <w:tcW w:w="27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King County, Washington.</w:t>
            </w:r>
          </w:p>
        </w:tc>
      </w:tr>
      <w:tr>
        <w:trPr>
          <w:trHeight w:val="487"/>
        </w:trPr>
        <w:tc>
          <w:tcPr>
            <w:tcW w:w="27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Each of the parties hereby represents and agrees that such party is subject to the personal</w:t>
            </w: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jurisdiction of said courts; hereby irrevocably consents to the jurisdiction of such courts in</w:t>
            </w: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any legal or equitable proceedings related to, concerning, or arising from such dispute, and</w:t>
            </w: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waives, to the fullest extent permitted by law, any objection which such party may now or</w:t>
            </w: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hereafter have that the laying of the venue of any legal or equitable proceedings related to,</w:t>
            </w: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concerning, or arising from such dispute which is brought in such courts is improper or that</w:t>
            </w: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such proceedings have been brought in an inconvenient forum.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213995</wp:posOffset>
            </wp:positionV>
            <wp:extent cx="62236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2363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462915</wp:posOffset>
            </wp:positionV>
            <wp:extent cx="7071995" cy="900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071995" cy="900430"/>
                    </a:xfrm>
                    <a:prstGeom prst="rect">
                      <a:avLst/>
                    </a:prstGeom>
                    <a:noFill/>
                  </pic:spPr>
                </pic:pic>
              </a:graphicData>
            </a:graphic>
          </wp:anchor>
        </w:drawing>
      </w:r>
    </w:p>
    <w:p>
      <w:pPr>
        <w:sectPr>
          <w:pgSz w:w="11900" w:h="16838" w:orient="portrait"/>
          <w:cols w:equalWidth="0" w:num="1">
            <w:col w:w="11140"/>
          </w:cols>
          <w:pgMar w:left="44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SECTION 10:</w:t>
      </w:r>
    </w:p>
    <w:p>
      <w:pPr>
        <w:spacing w:after="0" w:line="113" w:lineRule="exact"/>
        <w:rPr>
          <w:sz w:val="20"/>
          <w:szCs w:val="20"/>
          <w:color w:val="auto"/>
        </w:rPr>
      </w:pPr>
    </w:p>
    <w:p>
      <w:pPr>
        <w:ind w:left="160" w:hanging="1"/>
        <w:spacing w:after="0" w:line="317" w:lineRule="auto"/>
        <w:rPr>
          <w:sz w:val="20"/>
          <w:szCs w:val="20"/>
          <w:color w:val="auto"/>
        </w:rPr>
      </w:pPr>
      <w:r>
        <w:rPr>
          <w:rFonts w:ascii="Times New Roman" w:cs="Times New Roman" w:eastAsia="Times New Roman" w:hAnsi="Times New Roman"/>
          <w:sz w:val="17"/>
          <w:szCs w:val="17"/>
          <w:b w:val="1"/>
          <w:bCs w:val="1"/>
          <w:color w:val="auto"/>
        </w:rPr>
        <w:t>ELECTRONIC DELIVERY AND ACCEPTANCE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300" w:hanging="1"/>
        <w:spacing w:after="0" w:line="256"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223520</wp:posOffset>
            </wp:positionV>
            <wp:extent cx="62236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580"/>
            <w:col w:w="8200"/>
          </w:cols>
          <w:pgMar w:left="44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40"/>
          </w:cols>
          <w:pgMar w:left="440" w:top="1440" w:right="319" w:bottom="1440" w:gutter="0" w:footer="0" w:header="0"/>
          <w:type w:val="continuous"/>
        </w:sectPr>
      </w:pPr>
    </w:p>
    <w:bookmarkStart w:id="68" w:name="page69"/>
    <w:bookmarkEnd w:id="68"/>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113" w:lineRule="exact"/>
        <w:rPr>
          <w:sz w:val="20"/>
          <w:szCs w:val="20"/>
          <w:color w:val="auto"/>
        </w:rPr>
      </w:pPr>
    </w:p>
    <w:p>
      <w:pPr>
        <w:ind w:left="140" w:right="120" w:hanging="1"/>
        <w:spacing w:after="0" w:line="286" w:lineRule="auto"/>
        <w:rPr>
          <w:sz w:val="20"/>
          <w:szCs w:val="20"/>
          <w:color w:val="auto"/>
        </w:rPr>
      </w:pPr>
      <w:r>
        <w:rPr>
          <w:rFonts w:ascii="Times New Roman" w:cs="Times New Roman" w:eastAsia="Times New Roman" w:hAnsi="Times New Roman"/>
          <w:sz w:val="18"/>
          <w:szCs w:val="18"/>
          <w:b w:val="1"/>
          <w:bCs w:val="1"/>
          <w:color w:val="auto"/>
        </w:rPr>
        <w:t>RESPONSIBILITY FOR TAXES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hanging="1"/>
        <w:spacing w:after="0" w:line="248" w:lineRule="auto"/>
        <w:rPr>
          <w:sz w:val="20"/>
          <w:szCs w:val="20"/>
          <w:color w:val="auto"/>
        </w:rPr>
      </w:pPr>
      <w:r>
        <w:rPr>
          <w:rFonts w:ascii="Times New Roman" w:cs="Times New Roman" w:eastAsia="Times New Roman" w:hAnsi="Times New Roman"/>
          <w:sz w:val="22"/>
          <w:szCs w:val="22"/>
          <w:color w:val="auto"/>
        </w:rPr>
        <w:t>I acknowledge that, regardless of any action taken by the Company or the Employer, the ultimate liability for all income tax, social insurance, payroll tax, fringe benefits tax, payment on account or other tax related items related to my participation in the ESPP and legally applicable to me (“</w:t>
      </w:r>
      <w:r>
        <w:rPr>
          <w:rFonts w:ascii="Times New Roman" w:cs="Times New Roman" w:eastAsia="Times New Roman" w:hAnsi="Times New Roman"/>
          <w:sz w:val="22"/>
          <w:szCs w:val="22"/>
          <w:b w:val="1"/>
          <w:bCs w:val="1"/>
          <w:i w:val="1"/>
          <w:iCs w:val="1"/>
          <w:color w:val="auto"/>
        </w:rPr>
        <w:t>Tax-Related Items</w:t>
      </w:r>
      <w:r>
        <w:rPr>
          <w:rFonts w:ascii="Times New Roman" w:cs="Times New Roman" w:eastAsia="Times New Roman" w:hAnsi="Times New Roman"/>
          <w:sz w:val="22"/>
          <w:szCs w:val="22"/>
          <w:color w:val="auto"/>
        </w:rPr>
        <w:t>”) is and remains my responsibility and may exceed the amount withheld by the Company or the Employer, if any. I further acknowledge that the Company and/or the Employer (i) make no representations or undertakings regarding the treatment of any Tax-Related Items in connection with any aspect of the options, including, but not limited to, the purchase of shares of Common Stock, the subsequent sale of shares of Common Stock acquired pursuant to such purchase and the receipt of any dividends;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-1693545</wp:posOffset>
            </wp:positionV>
            <wp:extent cx="7071995" cy="5477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071995" cy="5477510"/>
                    </a:xfrm>
                    <a:prstGeom prst="rect">
                      <a:avLst/>
                    </a:prstGeom>
                    <a:noFill/>
                  </pic:spPr>
                </pic:pic>
              </a:graphicData>
            </a:graphic>
          </wp:anchor>
        </w:drawing>
      </w:r>
    </w:p>
    <w:p>
      <w:pPr>
        <w:jc w:val="both"/>
        <w:ind w:firstLine="8"/>
        <w:spacing w:after="0" w:line="246" w:lineRule="auto"/>
        <w:tabs>
          <w:tab w:leader="none" w:pos="54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commit to and are under no obligation to structure the terms of the grant or any aspect of my participation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w:t>
      </w:r>
    </w:p>
    <w:p>
      <w:pPr>
        <w:spacing w:after="0" w:line="229" w:lineRule="exact"/>
        <w:rPr>
          <w:sz w:val="20"/>
          <w:szCs w:val="20"/>
          <w:color w:val="auto"/>
        </w:rPr>
      </w:pPr>
    </w:p>
    <w:p>
      <w:pPr>
        <w:jc w:val="both"/>
        <w:ind w:right="20" w:hanging="1"/>
        <w:spacing w:after="0" w:line="253"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I agree to make arrangements satisfactory to the Company and/or the Employer to fulfill all Tax-Related Items. In this regard, I authorize the Company and/or the Employer, or their respective agents, at their discretion, to satisfy any withholding obligations for Tax-Related Items by one or a combination of the following:</w:t>
      </w:r>
    </w:p>
    <w:p>
      <w:pPr>
        <w:spacing w:after="0" w:line="219" w:lineRule="exact"/>
        <w:rPr>
          <w:sz w:val="20"/>
          <w:szCs w:val="20"/>
          <w:color w:val="auto"/>
        </w:rPr>
      </w:pPr>
    </w:p>
    <w:p>
      <w:pPr>
        <w:ind w:left="540" w:right="20" w:hanging="319"/>
        <w:spacing w:after="0" w:line="254" w:lineRule="auto"/>
        <w:tabs>
          <w:tab w:leader="none" w:pos="58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my wages or other cash compensation paid to me by the Company and/or the Employer or any Parent or Subsidiary; or</w:t>
      </w:r>
    </w:p>
    <w:p>
      <w:pPr>
        <w:spacing w:after="0" w:line="1" w:lineRule="exact"/>
        <w:rPr>
          <w:rFonts w:ascii="Times New Roman" w:cs="Times New Roman" w:eastAsia="Times New Roman" w:hAnsi="Times New Roman"/>
          <w:sz w:val="22"/>
          <w:szCs w:val="22"/>
          <w:color w:val="auto"/>
        </w:rPr>
      </w:pPr>
    </w:p>
    <w:p>
      <w:pPr>
        <w:jc w:val="both"/>
        <w:ind w:left="540" w:right="20" w:hanging="319"/>
        <w:spacing w:after="0" w:line="243" w:lineRule="auto"/>
        <w:tabs>
          <w:tab w:leader="none" w:pos="66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proceeds of the sale of shares of Common Stock acquired upon purchase either through a voluntary sale or through a mandatory sale arranged by the Company (on my behalf pursuant to this authorization and without further consent); or</w:t>
      </w:r>
    </w:p>
    <w:p>
      <w:pPr>
        <w:spacing w:after="0" w:line="1" w:lineRule="exact"/>
        <w:rPr>
          <w:rFonts w:ascii="Times New Roman" w:cs="Times New Roman" w:eastAsia="Times New Roman" w:hAnsi="Times New Roman"/>
          <w:sz w:val="22"/>
          <w:szCs w:val="22"/>
          <w:color w:val="auto"/>
        </w:rPr>
      </w:pPr>
    </w:p>
    <w:p>
      <w:pPr>
        <w:ind w:left="540" w:right="20" w:hanging="319"/>
        <w:spacing w:after="0" w:line="243" w:lineRule="auto"/>
        <w:tabs>
          <w:tab w:leader="none" w:pos="6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 cash amount (including by check representing readily available funds or a wire transfer); or</w:t>
      </w:r>
    </w:p>
    <w:p>
      <w:pPr>
        <w:ind w:left="540" w:hanging="319"/>
        <w:spacing w:after="0" w:line="248" w:lineRule="auto"/>
        <w:tabs>
          <w:tab w:leader="none" w:pos="6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arrangement approved by the Committee and permitted under applicable law;</w:t>
      </w:r>
    </w:p>
    <w:p>
      <w:pPr>
        <w:spacing w:after="0" w:line="200" w:lineRule="exact"/>
        <w:rPr>
          <w:sz w:val="20"/>
          <w:szCs w:val="20"/>
          <w:color w:val="auto"/>
        </w:rPr>
      </w:pPr>
    </w:p>
    <w:p>
      <w:pPr>
        <w:sectPr>
          <w:pgSz w:w="11900" w:h="16838" w:orient="portrait"/>
          <w:cols w:equalWidth="0" w:num="2">
            <w:col w:w="2200" w:space="720"/>
            <w:col w:w="7920"/>
          </w:cols>
          <w:pgMar w:left="46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840"/>
          </w:cols>
          <w:pgMar w:left="460" w:top="1440" w:right="599" w:bottom="1440" w:gutter="0" w:footer="0" w:header="0"/>
          <w:type w:val="continuous"/>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40575" cy="3154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4057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940" w:right="20" w:hanging="1"/>
        <w:spacing w:after="0" w:line="258" w:lineRule="auto"/>
        <w:rPr>
          <w:sz w:val="20"/>
          <w:szCs w:val="20"/>
          <w:color w:val="auto"/>
        </w:rPr>
      </w:pPr>
      <w:r>
        <w:rPr>
          <w:rFonts w:ascii="Times New Roman" w:cs="Times New Roman" w:eastAsia="Times New Roman" w:hAnsi="Times New Roman"/>
          <w:sz w:val="22"/>
          <w:szCs w:val="22"/>
          <w:color w:val="auto"/>
        </w:rPr>
        <w:t>all under such rules as may be established by the Committee and in compliance with the Company’s Insider Trading Policy and 10b5-1 Trading Plan Policy, if applicable.</w:t>
      </w:r>
    </w:p>
    <w:p>
      <w:pPr>
        <w:spacing w:after="0" w:line="185" w:lineRule="exact"/>
        <w:rPr>
          <w:sz w:val="20"/>
          <w:szCs w:val="20"/>
          <w:color w:val="auto"/>
        </w:rPr>
      </w:pPr>
    </w:p>
    <w:p>
      <w:pPr>
        <w:jc w:val="both"/>
        <w:ind w:left="1940" w:hanging="1"/>
        <w:spacing w:after="0" w:line="235" w:lineRule="auto"/>
        <w:rPr>
          <w:sz w:val="20"/>
          <w:szCs w:val="20"/>
          <w:color w:val="auto"/>
        </w:rPr>
      </w:pPr>
      <w:r>
        <w:rPr>
          <w:rFonts w:ascii="Times New Roman" w:cs="Times New Roman" w:eastAsia="Times New Roman" w:hAnsi="Times New Roman"/>
          <w:sz w:val="22"/>
          <w:szCs w:val="22"/>
          <w:color w:val="auto"/>
        </w:rPr>
        <w:t>Depending on the withholding method, the Company may withhold or account for Tax-Related Items by considering applicable statutory withholding rates or other applicable withholding rates, including up to the maximum permissible statutory rate for my tax jurisdiction(s) in which case I will have no entitlement to the equivalent amount in shares of Common Stock and may receive a refund of any over-withheld amount in cash or if not refunded, I may seek a refund from the local tax authorities. In the event of under-withholding, I may be required to pay any additional Tax-Related Items directly to the applicable tax authority or to the Company and/or the Employer.</w:t>
      </w:r>
    </w:p>
    <w:p>
      <w:pPr>
        <w:spacing w:after="0" w:line="219" w:lineRule="exact"/>
        <w:rPr>
          <w:sz w:val="20"/>
          <w:szCs w:val="20"/>
          <w:color w:val="auto"/>
        </w:rPr>
      </w:pPr>
    </w:p>
    <w:p>
      <w:pPr>
        <w:ind w:left="1940" w:right="80" w:hanging="1"/>
        <w:spacing w:after="0" w:line="251" w:lineRule="auto"/>
        <w:rPr>
          <w:sz w:val="20"/>
          <w:szCs w:val="20"/>
          <w:color w:val="auto"/>
        </w:rPr>
      </w:pPr>
      <w:r>
        <w:rPr>
          <w:rFonts w:ascii="Times New Roman" w:cs="Times New Roman" w:eastAsia="Times New Roman" w:hAnsi="Times New Roman"/>
          <w:sz w:val="22"/>
          <w:szCs w:val="22"/>
          <w:color w:val="auto"/>
        </w:rPr>
        <w:t>Finally, I agree to pay to the Company or the Employer any amount of Tax- Related Items that the Company or the Employer may be required to withhold or account for as a result of my participation in the ESPP that cannot be satisfied by the means previously described. The Company may refuse to issue or deliver the shares of Common Stock or the proceeds of the sale of shares of Common Stock, if I fail to comply with my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9940"/>
          </w:cols>
          <w:pgMar w:left="1440" w:top="1440" w:right="519" w:bottom="1440" w:gutter="0" w:footer="0" w:header="0"/>
        </w:sectPr>
      </w:pPr>
    </w:p>
    <w:bookmarkStart w:id="70" w:name="page71"/>
    <w:bookmarkEnd w:id="70"/>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OF GRANT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enrolling and participating in the ESPP, I acknowledge, understand and agree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-262890</wp:posOffset>
            </wp:positionV>
            <wp:extent cx="7071995" cy="8418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071995" cy="8418195"/>
                    </a:xfrm>
                    <a:prstGeom prst="rect">
                      <a:avLst/>
                    </a:prstGeom>
                    <a:noFill/>
                  </pic:spPr>
                </pic:pic>
              </a:graphicData>
            </a:graphic>
          </wp:anchor>
        </w:drawing>
      </w:r>
    </w:p>
    <w:p>
      <w:pPr>
        <w:spacing w:after="0" w:line="227"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ESPP is established voluntarily by the Company and it is discretionary in nature;</w:t>
      </w:r>
    </w:p>
    <w:p>
      <w:pPr>
        <w:spacing w:after="0" w:line="219" w:lineRule="exact"/>
        <w:rPr>
          <w:rFonts w:ascii="Times New Roman" w:cs="Times New Roman" w:eastAsia="Times New Roman" w:hAnsi="Times New Roman"/>
          <w:sz w:val="22"/>
          <w:szCs w:val="22"/>
          <w:color w:val="auto"/>
        </w:rPr>
      </w:pPr>
    </w:p>
    <w:p>
      <w:pPr>
        <w:ind w:right="20" w:firstLine="8"/>
        <w:spacing w:after="0" w:line="271" w:lineRule="auto"/>
        <w:tabs>
          <w:tab w:leader="none" w:pos="37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offers to participate in the ESPP, if any, will be at the sole discretion of the Committee;</w:t>
      </w:r>
    </w:p>
    <w:p>
      <w:pPr>
        <w:spacing w:after="0" w:line="17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ESPP;</w:t>
      </w:r>
    </w:p>
    <w:p>
      <w:pPr>
        <w:spacing w:after="0" w:line="260" w:lineRule="exact"/>
        <w:rPr>
          <w:rFonts w:ascii="Times New Roman" w:cs="Times New Roman" w:eastAsia="Times New Roman" w:hAnsi="Times New Roman"/>
          <w:sz w:val="22"/>
          <w:szCs w:val="22"/>
          <w:color w:val="auto"/>
        </w:rPr>
      </w:pPr>
    </w:p>
    <w:p>
      <w:pPr>
        <w:ind w:firstLine="8"/>
        <w:spacing w:after="0" w:line="284" w:lineRule="auto"/>
        <w:tabs>
          <w:tab w:leader="none" w:pos="43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and shares of Common Stock subject to the options, and the income from and value of same, are not intended to replace any pension rights or compensation;</w:t>
      </w:r>
    </w:p>
    <w:p>
      <w:pPr>
        <w:spacing w:after="0" w:line="143" w:lineRule="exact"/>
        <w:rPr>
          <w:rFonts w:ascii="Times New Roman" w:cs="Times New Roman" w:eastAsia="Times New Roman" w:hAnsi="Times New Roman"/>
          <w:sz w:val="22"/>
          <w:szCs w:val="22"/>
          <w:color w:val="auto"/>
        </w:rPr>
      </w:pPr>
    </w:p>
    <w:p>
      <w:pPr>
        <w:jc w:val="both"/>
        <w:ind w:firstLine="8"/>
        <w:spacing w:after="0" w:line="253" w:lineRule="auto"/>
        <w:tabs>
          <w:tab w:leader="none" w:pos="45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and the shares of Common Stock subject to the options, and the income from and value of same, are not part of normal or expected compensation for purposes of, including, but not limited to calculating any severance, resignation, termination, redundancy, dismissal, end-of-service payments, holiday pay, bonuses, long- service awards, pension or retirement or welfare benefits or similar payments;</w:t>
      </w:r>
    </w:p>
    <w:p>
      <w:pPr>
        <w:spacing w:after="0" w:line="165" w:lineRule="exact"/>
        <w:rPr>
          <w:rFonts w:ascii="Times New Roman" w:cs="Times New Roman" w:eastAsia="Times New Roman" w:hAnsi="Times New Roman"/>
          <w:sz w:val="22"/>
          <w:szCs w:val="22"/>
          <w:color w:val="auto"/>
        </w:rPr>
      </w:pPr>
    </w:p>
    <w:p>
      <w:pPr>
        <w:ind w:firstLine="8"/>
        <w:spacing w:after="0" w:line="284" w:lineRule="auto"/>
        <w:tabs>
          <w:tab w:leader="none" w:pos="42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subject to the options is unknown, indeterminable, and cannot be predicted with certainty;</w:t>
      </w:r>
    </w:p>
    <w:p>
      <w:pPr>
        <w:spacing w:after="0" w:line="130" w:lineRule="exact"/>
        <w:rPr>
          <w:rFonts w:ascii="Times New Roman" w:cs="Times New Roman" w:eastAsia="Times New Roman" w:hAnsi="Times New Roman"/>
          <w:sz w:val="22"/>
          <w:szCs w:val="22"/>
          <w:color w:val="auto"/>
        </w:rPr>
      </w:pPr>
    </w:p>
    <w:p>
      <w:pPr>
        <w:ind w:right="20" w:firstLine="8"/>
        <w:spacing w:after="0" w:line="284" w:lineRule="auto"/>
        <w:tabs>
          <w:tab w:leader="none" w:pos="50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the shares purchased under the ESPP may increase or decrease in the future, even below the purchase price of the shares;</w:t>
      </w:r>
    </w:p>
    <w:p>
      <w:pPr>
        <w:spacing w:after="0" w:line="130" w:lineRule="exact"/>
        <w:rPr>
          <w:rFonts w:ascii="Times New Roman" w:cs="Times New Roman" w:eastAsia="Times New Roman" w:hAnsi="Times New Roman"/>
          <w:sz w:val="22"/>
          <w:szCs w:val="22"/>
          <w:color w:val="auto"/>
        </w:rPr>
      </w:pPr>
    </w:p>
    <w:p>
      <w:pPr>
        <w:jc w:val="both"/>
        <w:ind w:firstLine="8"/>
        <w:spacing w:after="0" w:line="256" w:lineRule="auto"/>
        <w:tabs>
          <w:tab w:leader="none" w:pos="4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options and the shares of Common Stock subject to the options, and the income from and value of same, are not granted as consideration for or in connection with the service I may provide as a director of any parent or Subsidiary;</w:t>
      </w:r>
    </w:p>
    <w:p>
      <w:pPr>
        <w:spacing w:after="0" w:line="176" w:lineRule="exact"/>
        <w:rPr>
          <w:rFonts w:ascii="Times New Roman" w:cs="Times New Roman" w:eastAsia="Times New Roman" w:hAnsi="Times New Roman"/>
          <w:sz w:val="22"/>
          <w:szCs w:val="22"/>
          <w:color w:val="auto"/>
        </w:rPr>
      </w:pPr>
    </w:p>
    <w:p>
      <w:pPr>
        <w:jc w:val="both"/>
        <w:ind w:firstLine="8"/>
        <w:spacing w:after="0" w:line="247" w:lineRule="auto"/>
        <w:tabs>
          <w:tab w:leader="none" w:pos="49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my participation in the ESPP, my employment will be considered terminated as of the date I am no longer actively employed by the Company or a designated Participating Corporation, including the Employer, (regardless of the reason for such termination and regardless of whether later found to be invalid or in breach of employment laws in the jurisdiction where I am employed or the terms of my employment agreement, if any), and my right to participate in the ESPP and my options, if any, will terminate effective as of my last day of active employment and will not be extended by any notice period (e.g., active employment would not include any contractual notice or any period of "garden leave" or similar period mandated under employment laws in the jurisdiction where I am employed or the terms of my employment agreement, if any); the Committee shall have exclusive discretion to determine when I am no longer actively employed for purposes of my participation in the ESPP (including whether I may still be considered to be providing services while on a leave of absence);</w:t>
      </w:r>
    </w:p>
    <w:p>
      <w:pPr>
        <w:spacing w:after="0" w:line="179" w:lineRule="exact"/>
        <w:rPr>
          <w:rFonts w:ascii="Times New Roman" w:cs="Times New Roman" w:eastAsia="Times New Roman" w:hAnsi="Times New Roman"/>
          <w:sz w:val="22"/>
          <w:szCs w:val="22"/>
          <w:color w:val="auto"/>
        </w:rPr>
      </w:pPr>
    </w:p>
    <w:p>
      <w:pPr>
        <w:jc w:val="both"/>
        <w:ind w:firstLine="8"/>
        <w:spacing w:after="0" w:line="272" w:lineRule="auto"/>
        <w:tabs>
          <w:tab w:leader="none" w:pos="39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options under the ESPP resulting from termination of my employment (for any reason whatsoever, whether or not later found to be invalid or in breach of employment laws in the jurisdiction where I am employed, or the terms of my employment agreement, if any); and</w:t>
      </w:r>
    </w:p>
    <w:p>
      <w:pPr>
        <w:spacing w:after="0" w:line="160" w:lineRule="exact"/>
        <w:rPr>
          <w:rFonts w:ascii="Times New Roman" w:cs="Times New Roman" w:eastAsia="Times New Roman" w:hAnsi="Times New Roman"/>
          <w:sz w:val="21"/>
          <w:szCs w:val="21"/>
          <w:color w:val="auto"/>
        </w:rPr>
      </w:pPr>
    </w:p>
    <w:p>
      <w:pPr>
        <w:jc w:val="both"/>
        <w:ind w:firstLine="8"/>
        <w:spacing w:after="0" w:line="252" w:lineRule="auto"/>
        <w:tabs>
          <w:tab w:leader="none" w:pos="41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parent or Subsidiary will be liable for any foreign exchange rate fluctuation between my local currency and the United States Dollar that may affect the value of the options or of any amounts due to me pursuant to purchase or sale of shares of Common Stock under the ESPP.</w:t>
      </w:r>
    </w:p>
    <w:p>
      <w:pPr>
        <w:spacing w:after="0" w:line="200" w:lineRule="exact"/>
        <w:rPr>
          <w:sz w:val="20"/>
          <w:szCs w:val="20"/>
          <w:color w:val="auto"/>
        </w:rPr>
      </w:pPr>
    </w:p>
    <w:p>
      <w:pPr>
        <w:sectPr>
          <w:pgSz w:w="11900" w:h="16838" w:orient="portrait"/>
          <w:cols w:equalWidth="0" w:num="2">
            <w:col w:w="2200" w:space="720"/>
            <w:col w:w="8000"/>
          </w:cols>
          <w:pgMar w:left="460" w:top="1440" w:right="519" w:bottom="4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920"/>
          </w:cols>
          <w:pgMar w:left="460" w:top="1440" w:right="519" w:bottom="437" w:gutter="0" w:footer="0" w:header="0"/>
          <w:type w:val="continuous"/>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62236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7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 13:</w:t>
            </w:r>
          </w:p>
        </w:tc>
        <w:tc>
          <w:tcPr>
            <w:tcW w:w="84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I acknowledge that, depending on my country of residence, the broker’s country, or the</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INSIDER</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country in which the shares of Common Stock are listed, I may be subject to insider trading</w:t>
            </w:r>
          </w:p>
        </w:tc>
        <w:tc>
          <w:tcPr>
            <w:tcW w:w="0" w:type="dxa"/>
            <w:vAlign w:val="bottom"/>
          </w:tcPr>
          <w:p>
            <w:pPr>
              <w:spacing w:after="0"/>
              <w:rPr>
                <w:sz w:val="1"/>
                <w:szCs w:val="1"/>
                <w:color w:val="auto"/>
              </w:rPr>
            </w:pPr>
          </w:p>
        </w:tc>
      </w:tr>
      <w:tr>
        <w:trPr>
          <w:trHeight w:val="221"/>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TRADING/MARKET ABUSE</w:t>
            </w:r>
          </w:p>
        </w:tc>
        <w:tc>
          <w:tcPr>
            <w:tcW w:w="8400" w:type="dxa"/>
            <w:vAlign w:val="bottom"/>
            <w:tcBorders>
              <w:right w:val="single" w:sz="8" w:color="auto"/>
            </w:tcBorders>
          </w:tcPr>
          <w:p>
            <w:pPr>
              <w:ind w:left="200"/>
              <w:spacing w:after="0" w:line="221" w:lineRule="exact"/>
              <w:rPr>
                <w:sz w:val="20"/>
                <w:szCs w:val="20"/>
                <w:color w:val="auto"/>
              </w:rPr>
            </w:pPr>
            <w:r>
              <w:rPr>
                <w:rFonts w:ascii="Times New Roman" w:cs="Times New Roman" w:eastAsia="Times New Roman" w:hAnsi="Times New Roman"/>
                <w:sz w:val="22"/>
                <w:szCs w:val="22"/>
                <w:color w:val="auto"/>
              </w:rPr>
              <w:t>restrictions and/or market abuse laws in applicable jurisdictions, which may affect my</w:t>
            </w:r>
          </w:p>
        </w:tc>
        <w:tc>
          <w:tcPr>
            <w:tcW w:w="0" w:type="dxa"/>
            <w:vAlign w:val="bottom"/>
          </w:tcPr>
          <w:p>
            <w:pPr>
              <w:spacing w:after="0"/>
              <w:rPr>
                <w:sz w:val="1"/>
                <w:szCs w:val="1"/>
                <w:color w:val="auto"/>
              </w:rPr>
            </w:pPr>
          </w:p>
        </w:tc>
      </w:tr>
      <w:tr>
        <w:trPr>
          <w:trHeight w:val="288"/>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LAWS</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ability to directly or indirectly, accept, acquire, sell or attempt to sell or otherwise dispose of</w:t>
            </w:r>
          </w:p>
        </w:tc>
        <w:tc>
          <w:tcPr>
            <w:tcW w:w="0" w:type="dxa"/>
            <w:vAlign w:val="bottom"/>
          </w:tcPr>
          <w:p>
            <w:pPr>
              <w:spacing w:after="0"/>
              <w:rPr>
                <w:sz w:val="1"/>
                <w:szCs w:val="1"/>
                <w:color w:val="auto"/>
              </w:rPr>
            </w:pPr>
          </w:p>
        </w:tc>
      </w:tr>
      <w:tr>
        <w:trPr>
          <w:trHeight w:val="260"/>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shares of Common Stock, or rights to shares of Common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options), or rights</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linked to the value of shares of Common Stock, during such times as I am considered to</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have “inside information” regarding the Company (as defined by the laws or regulations in</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the applicable jurisdiction(s)). Local insider trading laws and regulations may prohibit the</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cancellation or amendment of orders I placed before possessing the inside information.</w:t>
            </w:r>
          </w:p>
        </w:tc>
        <w:tc>
          <w:tcPr>
            <w:tcW w:w="0" w:type="dxa"/>
            <w:vAlign w:val="bottom"/>
          </w:tcPr>
          <w:p>
            <w:pPr>
              <w:spacing w:after="0"/>
              <w:rPr>
                <w:sz w:val="1"/>
                <w:szCs w:val="1"/>
                <w:color w:val="auto"/>
              </w:rPr>
            </w:pP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Furthermore, I may be prohibited from (i) disclosing the inside information to any third</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party, including fellow employees and (ii) “tipping” third parties or causing them to</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otherwise buy or sell securities. Any restrictions under these laws or regulations are</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separate from and in addition to any restrictions that may be imposed under any applicable</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Company insider trading policy. I acknowledge that it is my responsibility to comply with</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any applicable restrictions and understand that I should consult my personal legal advisor</w:t>
            </w:r>
          </w:p>
        </w:tc>
        <w:tc>
          <w:tcPr>
            <w:tcW w:w="0" w:type="dxa"/>
            <w:vAlign w:val="bottom"/>
          </w:tcPr>
          <w:p>
            <w:pPr>
              <w:spacing w:after="0"/>
              <w:rPr>
                <w:sz w:val="1"/>
                <w:szCs w:val="1"/>
                <w:color w:val="auto"/>
              </w:rPr>
            </w:pP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on such matters. In addition, I acknowledge having read the Company’s Insider Trading</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Policy, and agree to comply with such policy, as it may be amended from time to time,</w:t>
            </w:r>
          </w:p>
        </w:tc>
        <w:tc>
          <w:tcPr>
            <w:tcW w:w="0" w:type="dxa"/>
            <w:vAlign w:val="bottom"/>
          </w:tcPr>
          <w:p>
            <w:pPr>
              <w:spacing w:after="0"/>
              <w:rPr>
                <w:sz w:val="1"/>
                <w:szCs w:val="1"/>
                <w:color w:val="auto"/>
              </w:rPr>
            </w:pP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whenever I acquire or dispose of the Company’s securities.</w:t>
            </w:r>
          </w:p>
        </w:tc>
        <w:tc>
          <w:tcPr>
            <w:tcW w:w="0" w:type="dxa"/>
            <w:vAlign w:val="bottom"/>
          </w:tcPr>
          <w:p>
            <w:pPr>
              <w:spacing w:after="0"/>
              <w:rPr>
                <w:sz w:val="1"/>
                <w:szCs w:val="1"/>
                <w:color w:val="auto"/>
              </w:rPr>
            </w:pPr>
          </w:p>
        </w:tc>
      </w:tr>
      <w:tr>
        <w:trPr>
          <w:trHeight w:val="297"/>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 14:</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I  may  be  subject  to  foreign  asset/account,  exchange  control  and/or  tax  reporting</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requirements as a result of the acquisition, holding and/or transfer of shares of Common</w:t>
            </w:r>
          </w:p>
        </w:tc>
        <w:tc>
          <w:tcPr>
            <w:tcW w:w="0" w:type="dxa"/>
            <w:vAlign w:val="bottom"/>
          </w:tcPr>
          <w:p>
            <w:pPr>
              <w:spacing w:after="0"/>
              <w:rPr>
                <w:sz w:val="1"/>
                <w:szCs w:val="1"/>
                <w:color w:val="auto"/>
              </w:rPr>
            </w:pPr>
          </w:p>
        </w:tc>
      </w:tr>
      <w:tr>
        <w:trPr>
          <w:trHeight w:val="221"/>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ASSET/ACCOUNT,</w:t>
            </w:r>
          </w:p>
        </w:tc>
        <w:tc>
          <w:tcPr>
            <w:tcW w:w="8400" w:type="dxa"/>
            <w:vAlign w:val="bottom"/>
            <w:tcBorders>
              <w:right w:val="single" w:sz="8" w:color="auto"/>
            </w:tcBorders>
          </w:tcPr>
          <w:p>
            <w:pPr>
              <w:ind w:left="200"/>
              <w:spacing w:after="0" w:line="221" w:lineRule="exact"/>
              <w:rPr>
                <w:sz w:val="20"/>
                <w:szCs w:val="20"/>
                <w:color w:val="auto"/>
              </w:rPr>
            </w:pPr>
            <w:r>
              <w:rPr>
                <w:rFonts w:ascii="Times New Roman" w:cs="Times New Roman" w:eastAsia="Times New Roman" w:hAnsi="Times New Roman"/>
                <w:sz w:val="22"/>
                <w:szCs w:val="22"/>
                <w:color w:val="auto"/>
              </w:rPr>
              <w:t>Stock or cash resulting from my participation in the ESPP. I may be required to report such</w:t>
            </w:r>
          </w:p>
        </w:tc>
        <w:tc>
          <w:tcPr>
            <w:tcW w:w="0" w:type="dxa"/>
            <w:vAlign w:val="bottom"/>
          </w:tcPr>
          <w:p>
            <w:pPr>
              <w:spacing w:after="0"/>
              <w:rPr>
                <w:sz w:val="1"/>
                <w:szCs w:val="1"/>
                <w:color w:val="auto"/>
              </w:rPr>
            </w:pPr>
          </w:p>
        </w:tc>
      </w:tr>
      <w:tr>
        <w:trPr>
          <w:trHeight w:val="252"/>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EXCHANGE CONTROL</w:t>
            </w:r>
          </w:p>
        </w:tc>
        <w:tc>
          <w:tcPr>
            <w:tcW w:w="8400" w:type="dxa"/>
            <w:vAlign w:val="bottom"/>
            <w:tcBorders>
              <w:right w:val="single" w:sz="8" w:color="auto"/>
            </w:tcBorders>
          </w:tcPr>
          <w:p>
            <w:pPr>
              <w:ind w:left="200"/>
              <w:spacing w:after="0" w:line="251" w:lineRule="exact"/>
              <w:rPr>
                <w:sz w:val="20"/>
                <w:szCs w:val="20"/>
                <w:color w:val="auto"/>
              </w:rPr>
            </w:pPr>
            <w:r>
              <w:rPr>
                <w:rFonts w:ascii="Times New Roman" w:cs="Times New Roman" w:eastAsia="Times New Roman" w:hAnsi="Times New Roman"/>
                <w:sz w:val="22"/>
                <w:szCs w:val="22"/>
                <w:color w:val="auto"/>
              </w:rPr>
              <w:t>accounts, assets, the balances therein, the value thereof and/or the transactions related</w:t>
            </w:r>
          </w:p>
        </w:tc>
        <w:tc>
          <w:tcPr>
            <w:tcW w:w="0" w:type="dxa"/>
            <w:vAlign w:val="bottom"/>
          </w:tcPr>
          <w:p>
            <w:pPr>
              <w:spacing w:after="0"/>
              <w:rPr>
                <w:sz w:val="1"/>
                <w:szCs w:val="1"/>
                <w:color w:val="auto"/>
              </w:rPr>
            </w:pPr>
          </w:p>
        </w:tc>
      </w:tr>
      <w:tr>
        <w:trPr>
          <w:trHeight w:val="238"/>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AND TAX REPORTING</w:t>
            </w:r>
          </w:p>
        </w:tc>
        <w:tc>
          <w:tcPr>
            <w:tcW w:w="84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2"/>
                <w:szCs w:val="22"/>
                <w:color w:val="auto"/>
              </w:rPr>
              <w:t>thereto to the applicable authorities in my country and/or repatriate funds received in</w:t>
            </w:r>
          </w:p>
        </w:tc>
        <w:tc>
          <w:tcPr>
            <w:tcW w:w="0" w:type="dxa"/>
            <w:vAlign w:val="bottom"/>
          </w:tcPr>
          <w:p>
            <w:pPr>
              <w:spacing w:after="0"/>
              <w:rPr>
                <w:sz w:val="1"/>
                <w:szCs w:val="1"/>
                <w:color w:val="auto"/>
              </w:rPr>
            </w:pPr>
          </w:p>
        </w:tc>
      </w:tr>
      <w:tr>
        <w:trPr>
          <w:trHeight w:val="58"/>
        </w:trPr>
        <w:tc>
          <w:tcPr>
            <w:tcW w:w="2740" w:type="dxa"/>
            <w:vAlign w:val="bottom"/>
            <w:tcBorders>
              <w:left w:val="single" w:sz="8" w:color="auto"/>
              <w:right w:val="single" w:sz="8" w:color="auto"/>
            </w:tcBorders>
          </w:tcPr>
          <w:p>
            <w:pPr>
              <w:spacing w:after="0"/>
              <w:rPr>
                <w:sz w:val="5"/>
                <w:szCs w:val="5"/>
                <w:color w:val="auto"/>
              </w:rPr>
            </w:pPr>
          </w:p>
        </w:tc>
        <w:tc>
          <w:tcPr>
            <w:tcW w:w="8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connection with the ESPP within certain time limits or according to specified procedures. I</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acknowledge that I am responsible for ensuring compliance with any applicable foreign</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asset/account, exchange control and tax reporting requirements and should consult my</w:t>
            </w:r>
          </w:p>
        </w:tc>
        <w:tc>
          <w:tcPr>
            <w:tcW w:w="0" w:type="dxa"/>
            <w:vAlign w:val="bottom"/>
          </w:tcPr>
          <w:p>
            <w:pPr>
              <w:spacing w:after="0"/>
              <w:rPr>
                <w:sz w:val="1"/>
                <w:szCs w:val="1"/>
                <w:color w:val="auto"/>
              </w:rPr>
            </w:pP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personal legal and tax advisors on such matters.</w:t>
            </w:r>
          </w:p>
        </w:tc>
        <w:tc>
          <w:tcPr>
            <w:tcW w:w="0" w:type="dxa"/>
            <w:vAlign w:val="bottom"/>
          </w:tcPr>
          <w:p>
            <w:pPr>
              <w:spacing w:after="0"/>
              <w:rPr>
                <w:sz w:val="1"/>
                <w:szCs w:val="1"/>
                <w:color w:val="auto"/>
              </w:rPr>
            </w:pPr>
          </w:p>
        </w:tc>
      </w:tr>
      <w:tr>
        <w:trPr>
          <w:trHeight w:val="297"/>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 15:</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I acknowledge that I am sufficiently proficient in the English language or have consulted</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LANGUAGE</w:t>
            </w: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with an advisor who is sufficiently proficient in English so as to allow me to understand the</w:t>
            </w:r>
          </w:p>
        </w:tc>
        <w:tc>
          <w:tcPr>
            <w:tcW w:w="0" w:type="dxa"/>
            <w:vAlign w:val="bottom"/>
          </w:tcPr>
          <w:p>
            <w:pPr>
              <w:spacing w:after="0"/>
              <w:rPr>
                <w:sz w:val="1"/>
                <w:szCs w:val="1"/>
                <w:color w:val="auto"/>
              </w:rPr>
            </w:pP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terms and conditions of the Agreement and any other documents related to the ESPP.</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Furthermore, if I have received this Agreement, or any other document related to the</w:t>
            </w:r>
          </w:p>
        </w:tc>
        <w:tc>
          <w:tcPr>
            <w:tcW w:w="0" w:type="dxa"/>
            <w:vAlign w:val="bottom"/>
          </w:tcPr>
          <w:p>
            <w:pPr>
              <w:spacing w:after="0"/>
              <w:rPr>
                <w:sz w:val="1"/>
                <w:szCs w:val="1"/>
                <w:color w:val="auto"/>
              </w:rPr>
            </w:pP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options and/or the ESPP translated into a language other than English and if the meaning of</w:t>
            </w:r>
          </w:p>
        </w:tc>
        <w:tc>
          <w:tcPr>
            <w:tcW w:w="0" w:type="dxa"/>
            <w:vAlign w:val="bottom"/>
          </w:tcPr>
          <w:p>
            <w:pPr>
              <w:spacing w:after="0"/>
              <w:rPr>
                <w:sz w:val="1"/>
                <w:szCs w:val="1"/>
                <w:color w:val="auto"/>
              </w:rPr>
            </w:pPr>
          </w:p>
        </w:tc>
      </w:tr>
      <w:tr>
        <w:trPr>
          <w:trHeight w:val="291"/>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the translated version is different than the English version, the English version will control.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325755</wp:posOffset>
            </wp:positionV>
            <wp:extent cx="62236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140"/>
          </w:cols>
          <w:pgMar w:left="440" w:top="1440" w:right="319" w:bottom="1440" w:gutter="0" w:footer="0" w:header="0"/>
        </w:sectPr>
      </w:pPr>
    </w:p>
    <w:bookmarkStart w:id="72" w:name="page73"/>
    <w:bookmarkEnd w:id="7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7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 16:</w:t>
            </w:r>
          </w:p>
        </w:tc>
        <w:tc>
          <w:tcPr>
            <w:tcW w:w="8400" w:type="dxa"/>
            <w:vAlign w:val="bottom"/>
            <w:tcBorders>
              <w:top w:val="single" w:sz="8" w:color="auto"/>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22"/>
                <w:szCs w:val="22"/>
                <w:color w:val="auto"/>
              </w:rPr>
              <w:t>The Company, at its option, may elect to terminate, suspend or modify the terms of the</w:t>
            </w: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840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40" w:type="dxa"/>
            <w:vAlign w:val="bottom"/>
            <w:tcBorders>
              <w:left w:val="single" w:sz="8" w:color="auto"/>
              <w:right w:val="single" w:sz="8" w:color="auto"/>
            </w:tcBorders>
            <w:vMerge w:val="continue"/>
          </w:tcPr>
          <w:p>
            <w:pPr>
              <w:spacing w:after="0"/>
              <w:rPr>
                <w:sz w:val="13"/>
                <w:szCs w:val="13"/>
                <w:color w:val="auto"/>
              </w:rPr>
            </w:pPr>
          </w:p>
        </w:tc>
        <w:tc>
          <w:tcPr>
            <w:tcW w:w="8400" w:type="dxa"/>
            <w:vAlign w:val="bottom"/>
            <w:tcBorders>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22"/>
                <w:szCs w:val="22"/>
                <w:color w:val="auto"/>
              </w:rPr>
              <w:t>ESPP at any time, to the extent permitted by the ESPP. I agree to be bound by such</w:t>
            </w:r>
          </w:p>
        </w:tc>
        <w:tc>
          <w:tcPr>
            <w:tcW w:w="0" w:type="dxa"/>
            <w:vAlign w:val="bottom"/>
          </w:tcPr>
          <w:p>
            <w:pPr>
              <w:spacing w:after="0"/>
              <w:rPr>
                <w:sz w:val="1"/>
                <w:szCs w:val="1"/>
                <w:color w:val="auto"/>
              </w:rPr>
            </w:pPr>
          </w:p>
        </w:tc>
      </w:tr>
      <w:tr>
        <w:trPr>
          <w:trHeight w:val="116"/>
        </w:trPr>
        <w:tc>
          <w:tcPr>
            <w:tcW w:w="2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MODIFICATION AND</w:t>
            </w:r>
          </w:p>
        </w:tc>
        <w:tc>
          <w:tcPr>
            <w:tcW w:w="840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740" w:type="dxa"/>
            <w:vAlign w:val="bottom"/>
            <w:tcBorders>
              <w:left w:val="single" w:sz="8" w:color="auto"/>
              <w:right w:val="single" w:sz="8" w:color="auto"/>
            </w:tcBorders>
            <w:vMerge w:val="continue"/>
          </w:tcPr>
          <w:p>
            <w:pPr>
              <w:spacing w:after="0"/>
              <w:rPr>
                <w:sz w:val="8"/>
                <w:szCs w:val="8"/>
                <w:color w:val="auto"/>
              </w:rPr>
            </w:pPr>
          </w:p>
        </w:tc>
        <w:tc>
          <w:tcPr>
            <w:tcW w:w="8400" w:type="dxa"/>
            <w:vAlign w:val="bottom"/>
            <w:tcBorders>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22"/>
                <w:szCs w:val="22"/>
                <w:color w:val="auto"/>
              </w:rPr>
              <w:t>termination, suspension or modification regardless of whether notice is given to me of such</w:t>
            </w:r>
          </w:p>
        </w:tc>
        <w:tc>
          <w:tcPr>
            <w:tcW w:w="0" w:type="dxa"/>
            <w:vAlign w:val="bottom"/>
          </w:tcPr>
          <w:p>
            <w:pPr>
              <w:spacing w:after="0"/>
              <w:rPr>
                <w:sz w:val="1"/>
                <w:szCs w:val="1"/>
                <w:color w:val="auto"/>
              </w:rPr>
            </w:pPr>
          </w:p>
        </w:tc>
      </w:tr>
      <w:tr>
        <w:trPr>
          <w:trHeight w:val="184"/>
        </w:trPr>
        <w:tc>
          <w:tcPr>
            <w:tcW w:w="2740" w:type="dxa"/>
            <w:vAlign w:val="bottom"/>
            <w:tcBorders>
              <w:left w:val="single" w:sz="8" w:color="auto"/>
              <w:right w:val="single" w:sz="8" w:color="auto"/>
            </w:tcBorders>
          </w:tcPr>
          <w:p>
            <w:pPr>
              <w:ind w:left="160"/>
              <w:spacing w:after="0" w:line="184" w:lineRule="exact"/>
              <w:rPr>
                <w:sz w:val="20"/>
                <w:szCs w:val="20"/>
                <w:color w:val="auto"/>
              </w:rPr>
            </w:pPr>
            <w:r>
              <w:rPr>
                <w:rFonts w:ascii="Times New Roman" w:cs="Times New Roman" w:eastAsia="Times New Roman" w:hAnsi="Times New Roman"/>
                <w:sz w:val="18"/>
                <w:szCs w:val="18"/>
                <w:b w:val="1"/>
                <w:bCs w:val="1"/>
                <w:color w:val="auto"/>
              </w:rPr>
              <w:t>IMPOSITION OF OTHER</w:t>
            </w:r>
          </w:p>
        </w:tc>
        <w:tc>
          <w:tcPr>
            <w:tcW w:w="8400" w:type="dxa"/>
            <w:vAlign w:val="bottom"/>
            <w:tcBorders>
              <w:right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REQUIREMENTS</w:t>
            </w:r>
          </w:p>
        </w:tc>
        <w:tc>
          <w:tcPr>
            <w:tcW w:w="8400" w:type="dxa"/>
            <w:vAlign w:val="bottom"/>
            <w:tcBorders>
              <w:right w:val="single" w:sz="8" w:color="auto"/>
            </w:tcBorders>
            <w:gridSpan w:val="5"/>
          </w:tcPr>
          <w:p>
            <w:pPr>
              <w:ind w:left="200"/>
              <w:spacing w:after="0" w:line="243" w:lineRule="exact"/>
              <w:rPr>
                <w:sz w:val="20"/>
                <w:szCs w:val="20"/>
                <w:color w:val="auto"/>
              </w:rPr>
            </w:pPr>
            <w:r>
              <w:rPr>
                <w:rFonts w:ascii="Times New Roman" w:cs="Times New Roman" w:eastAsia="Times New Roman" w:hAnsi="Times New Roman"/>
                <w:sz w:val="22"/>
                <w:szCs w:val="22"/>
                <w:color w:val="auto"/>
              </w:rPr>
              <w:t>event, subject in any case to my right to timely withdraw from the ESPP in accordance with</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the ESPP withdrawal procedures then in effect. The Company reserves the right to impose</w:t>
            </w:r>
          </w:p>
        </w:tc>
        <w:tc>
          <w:tcPr>
            <w:tcW w:w="0" w:type="dxa"/>
            <w:vAlign w:val="bottom"/>
          </w:tcPr>
          <w:p>
            <w:pPr>
              <w:spacing w:after="0"/>
              <w:rPr>
                <w:sz w:val="1"/>
                <w:szCs w:val="1"/>
                <w:color w:val="auto"/>
              </w:rPr>
            </w:pPr>
          </w:p>
        </w:tc>
      </w:tr>
      <w:tr>
        <w:trPr>
          <w:trHeight w:val="257"/>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other requirements on my participation in the ESPP to the extent the Company determines it</w:t>
            </w: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is necessary or advisable for legal or administrative reasons and to require me to sign any</w:t>
            </w:r>
          </w:p>
        </w:tc>
        <w:tc>
          <w:tcPr>
            <w:tcW w:w="0" w:type="dxa"/>
            <w:vAlign w:val="bottom"/>
          </w:tcPr>
          <w:p>
            <w:pPr>
              <w:spacing w:after="0"/>
              <w:rPr>
                <w:sz w:val="1"/>
                <w:szCs w:val="1"/>
                <w:color w:val="auto"/>
              </w:rPr>
            </w:pPr>
          </w:p>
        </w:tc>
      </w:tr>
      <w:tr>
        <w:trPr>
          <w:trHeight w:val="256"/>
        </w:trPr>
        <w:tc>
          <w:tcPr>
            <w:tcW w:w="27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additional agreements or undertakings that may be</w:t>
            </w:r>
          </w:p>
        </w:tc>
        <w:tc>
          <w:tcPr>
            <w:tcW w:w="0" w:type="dxa"/>
            <w:vAlign w:val="bottom"/>
          </w:tcPr>
          <w:p>
            <w:pPr>
              <w:spacing w:after="0"/>
              <w:rPr>
                <w:sz w:val="1"/>
                <w:szCs w:val="1"/>
                <w:color w:val="auto"/>
              </w:rPr>
            </w:pPr>
          </w:p>
        </w:tc>
      </w:tr>
      <w:tr>
        <w:trPr>
          <w:trHeight w:val="282"/>
        </w:trPr>
        <w:tc>
          <w:tcPr>
            <w:tcW w:w="27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necessary to accomplish the foregoing.</w:t>
            </w:r>
          </w:p>
        </w:tc>
        <w:tc>
          <w:tcPr>
            <w:tcW w:w="0" w:type="dxa"/>
            <w:vAlign w:val="bottom"/>
          </w:tcPr>
          <w:p>
            <w:pPr>
              <w:spacing w:after="0"/>
              <w:rPr>
                <w:sz w:val="1"/>
                <w:szCs w:val="1"/>
                <w:color w:val="auto"/>
              </w:rPr>
            </w:pPr>
          </w:p>
        </w:tc>
      </w:tr>
      <w:tr>
        <w:trPr>
          <w:trHeight w:val="42"/>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7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 17:</w:t>
            </w:r>
          </w:p>
        </w:tc>
        <w:tc>
          <w:tcPr>
            <w:tcW w:w="8400" w:type="dxa"/>
            <w:vAlign w:val="bottom"/>
            <w:tcBorders>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22"/>
                <w:szCs w:val="22"/>
                <w:color w:val="auto"/>
              </w:rPr>
              <w:t>I acknowledge that I have received the ESPP Prospectus (which summarizes the major</w:t>
            </w: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ACKNOWLEDGMENT AND</w:t>
            </w:r>
          </w:p>
        </w:tc>
        <w:tc>
          <w:tcPr>
            <w:tcW w:w="8400" w:type="dxa"/>
            <w:vAlign w:val="bottom"/>
            <w:tcBorders>
              <w:right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40" w:type="dxa"/>
            <w:vAlign w:val="bottom"/>
            <w:tcBorders>
              <w:left w:val="single" w:sz="8" w:color="auto"/>
              <w:right w:val="single" w:sz="8" w:color="auto"/>
            </w:tcBorders>
            <w:vMerge w:val="continue"/>
          </w:tcPr>
          <w:p>
            <w:pPr>
              <w:spacing w:after="0"/>
              <w:rPr>
                <w:sz w:val="13"/>
                <w:szCs w:val="13"/>
                <w:color w:val="auto"/>
              </w:rPr>
            </w:pPr>
          </w:p>
        </w:tc>
        <w:tc>
          <w:tcPr>
            <w:tcW w:w="8400" w:type="dxa"/>
            <w:vAlign w:val="bottom"/>
            <w:tcBorders>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22"/>
                <w:szCs w:val="22"/>
                <w:color w:val="auto"/>
              </w:rPr>
              <w:t>features of the ESPP) and that the ESPP is available online at sec.gov. I have read the ESPP</w:t>
            </w:r>
          </w:p>
        </w:tc>
        <w:tc>
          <w:tcPr>
            <w:tcW w:w="0" w:type="dxa"/>
            <w:vAlign w:val="bottom"/>
          </w:tcPr>
          <w:p>
            <w:pPr>
              <w:spacing w:after="0"/>
              <w:rPr>
                <w:sz w:val="1"/>
                <w:szCs w:val="1"/>
                <w:color w:val="auto"/>
              </w:rPr>
            </w:pPr>
          </w:p>
        </w:tc>
      </w:tr>
      <w:tr>
        <w:trPr>
          <w:trHeight w:val="116"/>
        </w:trPr>
        <w:tc>
          <w:tcPr>
            <w:tcW w:w="27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40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Borders>
              <w:left w:val="single" w:sz="8" w:color="auto"/>
              <w:right w:val="single" w:sz="8" w:color="auto"/>
            </w:tcBorders>
            <w:vMerge w:val="continue"/>
          </w:tcPr>
          <w:p>
            <w:pPr>
              <w:spacing w:after="0"/>
              <w:rPr>
                <w:sz w:val="10"/>
                <w:szCs w:val="10"/>
                <w:color w:val="auto"/>
              </w:rPr>
            </w:pPr>
          </w:p>
        </w:tc>
        <w:tc>
          <w:tcPr>
            <w:tcW w:w="8400" w:type="dxa"/>
            <w:vAlign w:val="bottom"/>
            <w:tcBorders>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22"/>
                <w:szCs w:val="22"/>
                <w:color w:val="auto"/>
              </w:rPr>
              <w:t>and the ESPP Prospectus and my signature below indicates that I hereby agree to be bound</w:t>
            </w:r>
          </w:p>
        </w:tc>
        <w:tc>
          <w:tcPr>
            <w:tcW w:w="0" w:type="dxa"/>
            <w:vAlign w:val="bottom"/>
          </w:tcPr>
          <w:p>
            <w:pPr>
              <w:spacing w:after="0"/>
              <w:rPr>
                <w:sz w:val="1"/>
                <w:szCs w:val="1"/>
                <w:color w:val="auto"/>
              </w:rPr>
            </w:pPr>
          </w:p>
        </w:tc>
      </w:tr>
      <w:tr>
        <w:trPr>
          <w:trHeight w:val="135"/>
        </w:trPr>
        <w:tc>
          <w:tcPr>
            <w:tcW w:w="2740" w:type="dxa"/>
            <w:vAlign w:val="bottom"/>
            <w:tcBorders>
              <w:left w:val="single" w:sz="8" w:color="auto"/>
              <w:right w:val="single" w:sz="8" w:color="auto"/>
            </w:tcBorders>
          </w:tcPr>
          <w:p>
            <w:pPr>
              <w:spacing w:after="0"/>
              <w:rPr>
                <w:sz w:val="11"/>
                <w:szCs w:val="11"/>
                <w:color w:val="auto"/>
              </w:rPr>
            </w:pPr>
          </w:p>
        </w:tc>
        <w:tc>
          <w:tcPr>
            <w:tcW w:w="8400" w:type="dxa"/>
            <w:vAlign w:val="bottom"/>
            <w:tcBorders>
              <w:right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7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by the terms of the ESPP.</w:t>
            </w:r>
          </w:p>
        </w:tc>
        <w:tc>
          <w:tcPr>
            <w:tcW w:w="0" w:type="dxa"/>
            <w:vAlign w:val="bottom"/>
          </w:tcPr>
          <w:p>
            <w:pPr>
              <w:spacing w:after="0"/>
              <w:rPr>
                <w:sz w:val="1"/>
                <w:szCs w:val="1"/>
                <w:color w:val="auto"/>
              </w:rPr>
            </w:pPr>
          </w:p>
        </w:tc>
      </w:tr>
      <w:tr>
        <w:trPr>
          <w:trHeight w:val="447"/>
        </w:trPr>
        <w:tc>
          <w:tcPr>
            <w:tcW w:w="27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Signature:    Date:</w:t>
            </w:r>
          </w:p>
        </w:tc>
        <w:tc>
          <w:tcPr>
            <w:tcW w:w="0" w:type="dxa"/>
            <w:vAlign w:val="bottom"/>
          </w:tcPr>
          <w:p>
            <w:pPr>
              <w:spacing w:after="0"/>
              <w:rPr>
                <w:sz w:val="1"/>
                <w:szCs w:val="1"/>
                <w:color w:val="auto"/>
              </w:rPr>
            </w:pPr>
          </w:p>
        </w:tc>
      </w:tr>
      <w:tr>
        <w:trPr>
          <w:trHeight w:val="48"/>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6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140"/>
          </w:cols>
          <w:pgMar w:left="440" w:top="1440" w:right="319" w:bottom="1440" w:gutter="0" w:footer="0" w:header="0"/>
        </w:sectPr>
      </w:pPr>
    </w:p>
    <w:bookmarkStart w:id="73" w:name="page74"/>
    <w:bookmarkEnd w:id="7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340" w:hanging="8"/>
        <w:spacing w:after="0" w:line="376"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74" w:name="page75"/>
    <w:bookmarkEnd w:id="7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Hemanth Munipalli, certify that:</w:t>
      </w:r>
    </w:p>
    <w:p>
      <w:pPr>
        <w:spacing w:after="0" w:line="306" w:lineRule="exact"/>
        <w:rPr>
          <w:sz w:val="20"/>
          <w:szCs w:val="20"/>
          <w:color w:val="auto"/>
        </w:rPr>
      </w:pPr>
    </w:p>
    <w:p>
      <w:pPr>
        <w:ind w:left="640" w:hanging="308"/>
        <w:spacing w:after="0"/>
        <w:tabs>
          <w:tab w:leader="none" w:pos="6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firstLine="8"/>
        <w:spacing w:after="0" w:line="376" w:lineRule="auto"/>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37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Hemanth Munipalli</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2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70"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right="20" w:hanging="328"/>
        <w:spacing w:after="0" w:line="313"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313"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4"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I, Hemanth Munipalli, Chief Financial Officer of Remitly Global, Inc. (the “Company”), do hereby certify, pursuant to 18 U.S.C. Section 1350, as adopted pursuant to Section 906 of the Sarbanes-Oxley Act of 2002, that to the best of my knowledge:</w:t>
      </w:r>
    </w:p>
    <w:p>
      <w:pPr>
        <w:spacing w:after="0" w:line="134" w:lineRule="exact"/>
        <w:rPr>
          <w:sz w:val="20"/>
          <w:szCs w:val="20"/>
          <w:color w:val="auto"/>
        </w:rPr>
      </w:pPr>
    </w:p>
    <w:p>
      <w:pPr>
        <w:ind w:left="660" w:right="20" w:hanging="328"/>
        <w:spacing w:after="0" w:line="329"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660" w:right="240" w:hanging="328"/>
        <w:spacing w:after="0" w:line="329"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Hemanth Munipalli</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1."/>
      <w:numFmt w:val="decimal"/>
      <w:start w:val="3"/>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6"/>
    </w:lvl>
  </w:abstractNum>
  <w:abstractNum w:abstractNumId="10">
    <w:nsid w:val="419AC241"/>
    <w:multiLevelType w:val="hybridMultilevel"/>
    <w:lvl w:ilvl="0">
      <w:lvlJc w:val="left"/>
      <w:lvlText w:val="%1."/>
      <w:numFmt w:val="decimal"/>
      <w:start w:val="7"/>
    </w:lvl>
  </w:abstractNum>
  <w:abstractNum w:abstractNumId="11">
    <w:nsid w:val="5577F8E1"/>
    <w:multiLevelType w:val="hybridMultilevel"/>
    <w:lvl w:ilvl="0">
      <w:lvlJc w:val="left"/>
      <w:lvlText w:val="%1."/>
      <w:numFmt w:val="decimal"/>
      <w:start w:val="9"/>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1"/>
    </w:lvl>
  </w:abstractNum>
  <w:abstractNum w:abstractNumId="14">
    <w:nsid w:val="3804823E"/>
    <w:multiLevelType w:val="hybridMultilevel"/>
    <w:lvl w:ilvl="0">
      <w:lvlJc w:val="left"/>
      <w:lvlText w:val="%1."/>
      <w:numFmt w:val="decimal"/>
      <w:start w:val="12"/>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6"/>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lowerRoman"/>
      <w:start w:val="2"/>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8"/>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3"/>
    </w:lvl>
  </w:abstractNum>
  <w:abstractNum w:abstractNumId="30">
    <w:nsid w:val="2CD89A3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
    <w:nsid w:val="57E4CCAF"/>
    <w:multiLevelType w:val="hybridMultilevel"/>
    <w:lvl w:ilvl="0">
      <w:lvlJc w:val="left"/>
      <w:lvlText w:val="(%1)"/>
      <w:numFmt w:val="lowerRoman"/>
      <w:start w:val="7"/>
    </w:lvl>
  </w:abstractNum>
  <w:abstractNum w:abstractNumId="32">
    <w:nsid w:val="7A6D8D3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
    <w:nsid w:val="4B588F5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4">
    <w:nsid w:val="542289E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lvl w:ilvl="3">
      <w:lvlJc w:val="left"/>
      <w:lvlText w:val="%4"/>
      <w:numFmt w:val="lowerLetter"/>
      <w:start w:val="1"/>
    </w:lvl>
  </w:abstractNum>
  <w:abstractNum w:abstractNumId="35">
    <w:nsid w:val="6DE91B1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lvl w:ilvl="3">
      <w:lvlJc w:val="left"/>
      <w:lvlText w:val="(%4)"/>
      <w:numFmt w:val="lowerLetter"/>
      <w:start w:val="9"/>
    </w:lvl>
  </w:abstractNum>
  <w:abstractNum w:abstractNumId="36">
    <w:nsid w:val="38437FDB"/>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37">
    <w:nsid w:val="7644A45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8">
    <w:nsid w:val="32FFF902"/>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9">
    <w:nsid w:val="684A481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40">
    <w:nsid w:val="579478FE"/>
    <w:multiLevelType w:val="hybridMultilevel"/>
    <w:lvl w:ilvl="0">
      <w:lvlJc w:val="left"/>
      <w:lvlText w:val="%1."/>
      <w:numFmt w:val="decimal"/>
      <w:start w:val="10"/>
    </w:lvl>
    <w:lvl w:ilvl="1">
      <w:lvlJc w:val="left"/>
      <w:lvlText w:val="(%2)"/>
      <w:numFmt w:val="lowerLetter"/>
      <w:start w:val="1"/>
    </w:lvl>
  </w:abstractNum>
  <w:abstractNum w:abstractNumId="41">
    <w:nsid w:val="749ABB43"/>
    <w:multiLevelType w:val="hybridMultilevel"/>
    <w:lvl w:ilvl="0">
      <w:lvlJc w:val="left"/>
      <w:lvlText w:val="%1."/>
      <w:numFmt w:val="decimal"/>
      <w:start w:val="14"/>
    </w:lvl>
  </w:abstractNum>
  <w:abstractNum w:abstractNumId="42">
    <w:nsid w:val="3DC240FB"/>
    <w:multiLevelType w:val="hybridMultilevel"/>
    <w:lvl w:ilvl="0">
      <w:lvlJc w:val="left"/>
      <w:lvlText w:val="%1."/>
      <w:numFmt w:val="decimal"/>
      <w:start w:val="19"/>
    </w:lvl>
    <w:lvl w:ilvl="1">
      <w:lvlJc w:val="left"/>
      <w:lvlText w:val="(%2)"/>
      <w:numFmt w:val="lowerLetter"/>
      <w:start w:val="1"/>
    </w:lvl>
  </w:abstractNum>
  <w:abstractNum w:abstractNumId="43">
    <w:nsid w:val="1BA026FA"/>
    <w:multiLevelType w:val="hybridMultilevel"/>
    <w:lvl w:ilvl="0">
      <w:lvlJc w:val="left"/>
      <w:lvlText w:val="%1."/>
      <w:numFmt w:val="decimal"/>
      <w:start w:val="22"/>
    </w:lvl>
  </w:abstractNum>
  <w:abstractNum w:abstractNumId="44">
    <w:nsid w:val="79A1DEAA"/>
    <w:multiLevelType w:val="hybridMultilevel"/>
    <w:lvl w:ilvl="0">
      <w:lvlJc w:val="left"/>
      <w:lvlText w:val="%1."/>
      <w:numFmt w:val="decimal"/>
      <w:start w:val="25"/>
    </w:lvl>
    <w:lvl w:ilvl="1">
      <w:lvlJc w:val="left"/>
      <w:lvlText w:val="(%2)"/>
      <w:numFmt w:val="lowerLetter"/>
      <w:start w:val="1"/>
    </w:lvl>
  </w:abstractNum>
  <w:abstractNum w:abstractNumId="45">
    <w:nsid w:val="75C6C33A"/>
    <w:multiLevelType w:val="hybridMultilevel"/>
    <w:lvl w:ilvl="0">
      <w:lvlJc w:val="left"/>
      <w:lvlText w:val="%1."/>
      <w:numFmt w:val="decimal"/>
      <w:start w:val="1"/>
    </w:lvl>
    <w:lvl w:ilvl="1">
      <w:lvlJc w:val="left"/>
      <w:lvlText w:val="(%2)"/>
      <w:numFmt w:val="lowerLetter"/>
      <w:start w:val="1"/>
    </w:lvl>
  </w:abstractNum>
  <w:abstractNum w:abstractNumId="46">
    <w:nsid w:val="12E685FB"/>
    <w:multiLevelType w:val="hybridMultilevel"/>
    <w:lvl w:ilvl="0">
      <w:lvlJc w:val="left"/>
      <w:lvlText w:val="(%1)"/>
      <w:numFmt w:val="lowerLetter"/>
      <w:start w:val="2"/>
    </w:lvl>
    <w:lvl w:ilvl="1">
      <w:lvlJc w:val="left"/>
      <w:lvlText w:val="(%2)"/>
      <w:numFmt w:val="lowerLetter"/>
      <w:start w:val="3"/>
    </w:lvl>
  </w:abstractNum>
  <w:abstractNum w:abstractNumId="47">
    <w:nsid w:val="70C6A529"/>
    <w:multiLevelType w:val="hybridMultilevel"/>
    <w:lvl w:ilvl="0">
      <w:lvlJc w:val="left"/>
      <w:lvlText w:val="(%1)"/>
      <w:numFmt w:val="lowerLetter"/>
      <w:start w:val="4"/>
    </w:lvl>
  </w:abstractNum>
  <w:abstractNum w:abstractNumId="48">
    <w:nsid w:val="520EEDD1"/>
    <w:multiLevelType w:val="hybridMultilevel"/>
    <w:lvl w:ilvl="0">
      <w:lvlJc w:val="left"/>
      <w:lvlText w:val="(%1)"/>
      <w:numFmt w:val="lowerLetter"/>
      <w:start w:val="5"/>
    </w:lvl>
    <w:lvl w:ilvl="1">
      <w:lvlJc w:val="left"/>
      <w:lvlText w:val="(%2)"/>
      <w:numFmt w:val="lowerLetter"/>
      <w:start w:val="6"/>
    </w:lvl>
  </w:abstractNum>
  <w:abstractNum w:abstractNumId="49">
    <w:nsid w:val="374A3FE6"/>
    <w:multiLevelType w:val="hybridMultilevel"/>
    <w:lvl w:ilvl="0">
      <w:lvlJc w:val="left"/>
      <w:lvlText w:val="(%1)"/>
      <w:numFmt w:val="lowerRoman"/>
      <w:start w:val="2"/>
    </w:lvl>
  </w:abstractNum>
  <w:abstractNum w:abstractNumId="50">
    <w:nsid w:val="4F4EF005"/>
    <w:multiLevelType w:val="hybridMultilevel"/>
    <w:lvl w:ilvl="0">
      <w:lvlJc w:val="left"/>
      <w:lvlText w:val="(%1)"/>
      <w:numFmt w:val="lowerRoman"/>
      <w:start w:val="2"/>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5">
    <w:nsid w:val="1CF10FD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jpeg"/><Relationship Id="rId78" Type="http://schemas.openxmlformats.org/officeDocument/2006/relationships/image" Target="media/image69.png"/><Relationship Id="rId79" Type="http://schemas.openxmlformats.org/officeDocument/2006/relationships/image" Target="media/image70.jpe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jpeg"/><Relationship Id="rId87" Type="http://schemas.openxmlformats.org/officeDocument/2006/relationships/image" Target="media/image78.jpe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58" Type="http://schemas.openxmlformats.org/officeDocument/2006/relationships/hyperlink" Target="https://www.sec.gov/Archives/edgar/data/0001782170/000178217021000011/exhibit33-remitlyglobalxpu.htm" TargetMode="External"/><Relationship Id="rId59" Type="http://schemas.openxmlformats.org/officeDocument/2006/relationships/hyperlink" Target="https://www.sec.gov/Archives/edgar/data/1782170/000178217024000074/ex31-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2024-07-31T15:32:46Z</dcterms:created>
  <dcterms:modified xsi:type="dcterms:W3CDTF">2024-07-31T15:32:46Z</dcterms:modified>
</cp:coreProperties>
</file>