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w:t>
        </w:r>
      </w:hyperlink>
      <w:hyperlink w:anchor="ia61f5f549cc04155b1c59bb766cccfa1_7">
        <w:r>
          <w:rPr>
            <w:rStyle w:val="InternetLink"/>
            <w:rFonts w:ascii="Times New Roman;serif" w:hAnsi="Times New Roman;serif"/>
            <w:b w:val="false"/>
            <w:color w:val="000080"/>
            <w:sz w:val="18"/>
            <w:u w:val="single"/>
          </w:rPr>
          <w:t>of</w:t>
        </w:r>
      </w:hyperlink>
      <w:hyperlink w:anchor="ia61f5f549cc04155b1c59bb766cccfa1_7">
        <w:r>
          <w:rPr>
            <w:rStyle w:val="InternetLink"/>
            <w:rFonts w:ascii="Times New Roman;serif" w:hAnsi="Times New Roman;serif"/>
            <w:b w:val="false"/>
            <w:color w:val="000080"/>
            <w:sz w:val="18"/>
            <w:u w:val="single"/>
          </w:rPr>
          <w:t xml:space="preserve"> </w:t>
        </w:r>
      </w:hyperlink>
      <w:hyperlink w:anchor="ia61f5f549cc04155b1c59bb766cccfa1_7">
        <w:r>
          <w:rPr>
            <w:rStyle w:val="InternetLink"/>
            <w:rFonts w:ascii="Times New Roman;serif" w:hAnsi="Times New Roman;serif"/>
            <w:b w:val="false"/>
            <w:color w:val="000080"/>
            <w:sz w:val="18"/>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UNITED STATES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SECURITIES AND EXCHANGE COMMISSION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 One)</w:t>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 the quarterly period ended June 30, 2025</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OR</w:t>
      </w:r>
    </w:p>
    <w:p>
      <w:pPr>
        <w:pStyle w:val="TextBody"/>
        <w:bidi w:val="0"/>
        <w:spacing w:lineRule="auto" w:line="288" w:before="0" w:after="180"/>
        <w:jc w:val="left"/>
        <w:rPr>
          <w:color w:val="000000"/>
        </w:rPr>
      </w:pPr>
      <w:r>
        <w:rPr>
          <w:color w:val="000000"/>
        </w:rPr>
        <w:t xml:space="preserve">☐ </w:t>
      </w:r>
      <w:r>
        <w:rPr>
          <w:rFonts w:ascii="Times New Roman;serif" w:hAnsi="Times New Roman;serif"/>
          <w:b/>
          <w:color w:val="000000"/>
          <w:sz w:val="18"/>
        </w:rPr>
        <w:t>TRANSITION REPORT PURSUANT TO SECTION 13 OR 15(d) OF THE SECURITIES EXCHANGE ACT OF 1934</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Commission file number: 001-40822</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Remitly Global, Inc.</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833"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722"/>
        <w:gridCol w:w="722"/>
        <w:gridCol w:w="730"/>
        <w:gridCol w:w="109"/>
        <w:gridCol w:w="109"/>
        <w:gridCol w:w="109"/>
        <w:gridCol w:w="516"/>
        <w:gridCol w:w="516"/>
        <w:gridCol w:w="738"/>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7372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83-2301143</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(Primary Standard Industrial</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Classification Code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75" w:type="dxa"/>
        <w:jc w:val="center"/>
        <w:tblInd w:w="0" w:type="dxa"/>
        <w:tblLayout w:type="fixed"/>
        <w:tblCellMar>
          <w:top w:w="28" w:type="dxa"/>
          <w:left w:w="28" w:type="dxa"/>
          <w:bottom w:w="28" w:type="dxa"/>
          <w:right w:w="28" w:type="dxa"/>
        </w:tblCellMar>
      </w:tblPr>
      <w:tblGrid>
        <w:gridCol w:w="525"/>
        <w:gridCol w:w="462"/>
        <w:gridCol w:w="467"/>
        <w:gridCol w:w="299"/>
        <w:gridCol w:w="299"/>
        <w:gridCol w:w="301"/>
        <w:gridCol w:w="219"/>
        <w:gridCol w:w="219"/>
        <w:gridCol w:w="221"/>
        <w:gridCol w:w="140"/>
        <w:gridCol w:w="140"/>
        <w:gridCol w:w="141"/>
        <w:gridCol w:w="109"/>
        <w:gridCol w:w="109"/>
        <w:gridCol w:w="109"/>
        <w:gridCol w:w="268"/>
        <w:gridCol w:w="268"/>
        <w:gridCol w:w="379"/>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401 Union Street,</w:t>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Suite 1000</w:t>
            </w:r>
          </w:p>
        </w:tc>
        <w:tc>
          <w:tcPr>
            <w:tcW w:w="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Seattle,</w:t>
            </w:r>
          </w:p>
        </w:tc>
        <w:tc>
          <w:tcPr>
            <w:tcW w:w="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98101</w:t>
            </w:r>
          </w:p>
        </w:tc>
      </w:tr>
      <w:tr>
        <w:trPr/>
        <w:tc>
          <w:tcPr>
            <w:tcW w:w="343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60"/>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(888) 736-4859 </w:t>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bl>
      <w:tblPr>
        <w:tblW w:w="9077" w:type="dxa"/>
        <w:jc w:val="center"/>
        <w:tblInd w:w="0" w:type="dxa"/>
        <w:tblLayout w:type="fixed"/>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rPr/>
        <w:tc>
          <w:tcPr>
            <w:tcW w:w="94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90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RELY</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before="0" w:after="60"/>
        <w:jc w:val="center"/>
        <w:rPr/>
      </w:pPr>
      <w:r>
        <w:rPr/>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August 4, 2025, the registrant had 206,193,217 shares of common stock, $0.0001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w:t>
        </w:r>
      </w:hyperlink>
      <w:hyperlink w:anchor="ia61f5f549cc04155b1c59bb766cccfa1_7">
        <w:r>
          <w:rPr>
            <w:rStyle w:val="InternetLink"/>
            <w:rFonts w:ascii="Times New Roman;serif" w:hAnsi="Times New Roman;serif"/>
            <w:b w:val="false"/>
            <w:color w:val="000080"/>
            <w:sz w:val="18"/>
            <w:u w:val="single"/>
          </w:rPr>
          <w:t>of</w:t>
        </w:r>
      </w:hyperlink>
      <w:hyperlink w:anchor="ia61f5f549cc04155b1c59bb766cccfa1_7">
        <w:r>
          <w:rPr>
            <w:rStyle w:val="InternetLink"/>
            <w:rFonts w:ascii="Times New Roman;serif" w:hAnsi="Times New Roman;serif"/>
            <w:b w:val="false"/>
            <w:color w:val="000080"/>
            <w:sz w:val="18"/>
            <w:u w:val="single"/>
          </w:rPr>
          <w:t xml:space="preserve"> </w:t>
        </w:r>
      </w:hyperlink>
      <w:hyperlink w:anchor="ia61f5f549cc04155b1c59bb766cccfa1_7">
        <w:r>
          <w:rPr>
            <w:rStyle w:val="InternetLink"/>
            <w:rFonts w:ascii="Times New Roman;serif" w:hAnsi="Times New Roman;serif"/>
            <w:b w:val="false"/>
            <w:color w:val="000080"/>
            <w:sz w:val="18"/>
            <w:u w:val="single"/>
          </w:rPr>
          <w:t>Contents</w:t>
        </w:r>
      </w:hyperlink>
    </w:p>
    <w:tbl>
      <w:tblPr>
        <w:tblW w:w="10205" w:type="dxa"/>
        <w:jc w:val="center"/>
        <w:tblInd w:w="0" w:type="dxa"/>
        <w:tblLayout w:type="fixed"/>
        <w:tblCellMar>
          <w:top w:w="28" w:type="dxa"/>
          <w:left w:w="28" w:type="dxa"/>
          <w:bottom w:w="28" w:type="dxa"/>
          <w:right w:w="28" w:type="dxa"/>
        </w:tblCellMar>
      </w:tblPr>
      <w:tblGrid>
        <w:gridCol w:w="698"/>
        <w:gridCol w:w="614"/>
        <w:gridCol w:w="592"/>
        <w:gridCol w:w="2623"/>
        <w:gridCol w:w="2482"/>
        <w:gridCol w:w="2529"/>
        <w:gridCol w:w="194"/>
        <w:gridCol w:w="194"/>
        <w:gridCol w:w="279"/>
      </w:tblGrid>
      <w:tr>
        <w:trPr/>
        <w:tc>
          <w:tcPr>
            <w:tcW w:w="69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53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TABLE OF CONTENTS</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Page(s)</w:t>
            </w:r>
          </w:p>
        </w:tc>
      </w:tr>
      <w:tr>
        <w:trPr/>
        <w:tc>
          <w:tcPr>
            <w:tcW w:w="953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
              <w:r>
                <w:rPr>
                  <w:rStyle w:val="InternetLink"/>
                  <w:rFonts w:ascii="Times New Roman;serif" w:hAnsi="Times New Roman;serif"/>
                  <w:b/>
                  <w:strike w:val="false"/>
                  <w:dstrike w:val="false"/>
                  <w:color w:val="000000"/>
                  <w:sz w:val="18"/>
                  <w:u w:val="none"/>
                  <w:effect w:val="none"/>
                </w:rPr>
                <w:t>Special Note Regarding Forward-Looking Statements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
              <w:r>
                <w:rPr>
                  <w:rStyle w:val="InternetLink"/>
                  <w:rFonts w:ascii="Times New Roman;serif" w:hAnsi="Times New Roman;serif"/>
                  <w:b w:val="false"/>
                  <w:strike w:val="false"/>
                  <w:dstrike w:val="false"/>
                  <w:color w:val="000000"/>
                  <w:sz w:val="18"/>
                  <w:u w:val="none"/>
                  <w:effect w:val="none"/>
                </w:rPr>
                <w:t>ii</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 I</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Information</w:t>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3">
              <w:r>
                <w:rPr>
                  <w:rStyle w:val="InternetLink"/>
                  <w:rFonts w:ascii="Times New Roman;serif" w:hAnsi="Times New Roman;serif"/>
                  <w:b w:val="false"/>
                  <w:color w:val="3051F2"/>
                  <w:sz w:val="18"/>
                  <w:u w:val="single"/>
                </w:rPr>
                <w:t>Financial Statements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3">
              <w:r>
                <w:rPr>
                  <w:rStyle w:val="InternetLink"/>
                  <w:rFonts w:ascii="Times New Roman;serif" w:hAnsi="Times New Roman;serif"/>
                  <w:b w:val="false"/>
                  <w:strike w:val="false"/>
                  <w:dstrike w:val="false"/>
                  <w:color w:val="000000"/>
                  <w:sz w:val="18"/>
                  <w:u w:val="none"/>
                  <w:effect w:val="none"/>
                </w:rPr>
                <w:t>1</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6">
              <w:r>
                <w:rPr>
                  <w:rStyle w:val="InternetLink"/>
                  <w:rFonts w:ascii="Times New Roman;serif" w:hAnsi="Times New Roman;serif"/>
                  <w:b w:val="false"/>
                  <w:color w:val="000080"/>
                  <w:sz w:val="18"/>
                  <w:u w:val="single"/>
                </w:rPr>
                <w:t>Condensed Consolidated Balance Sheets as o</w:t>
              </w:r>
            </w:hyperlink>
            <w:hyperlink w:anchor="ia61f5f549cc04155b1c59bb766cccfa1_16">
              <w:r>
                <w:rPr>
                  <w:rStyle w:val="InternetLink"/>
                  <w:rFonts w:ascii="Times New Roman;serif" w:hAnsi="Times New Roman;serif"/>
                  <w:b w:val="false"/>
                  <w:color w:val="000080"/>
                  <w:sz w:val="18"/>
                  <w:u w:val="single"/>
                </w:rPr>
                <w:t>f</w:t>
              </w:r>
            </w:hyperlink>
            <w:hyperlink w:anchor="ia61f5f549cc04155b1c59bb766cccfa1_16">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2025</w:t>
            </w:r>
            <w:hyperlink w:anchor="ia61f5f549cc04155b1c59bb766cccfa1_16">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December 31, 2024</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6">
              <w:r>
                <w:rPr>
                  <w:rStyle w:val="InternetLink"/>
                  <w:rFonts w:ascii="Times New Roman;serif" w:hAnsi="Times New Roman;serif"/>
                  <w:b w:val="false"/>
                  <w:strike w:val="false"/>
                  <w:dstrike w:val="false"/>
                  <w:color w:val="000000"/>
                  <w:sz w:val="18"/>
                  <w:u w:val="none"/>
                  <w:effect w:val="none"/>
                </w:rPr>
                <w:t>1</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9">
              <w:r>
                <w:rPr>
                  <w:rStyle w:val="InternetLink"/>
                  <w:rFonts w:ascii="Times New Roman;serif" w:hAnsi="Times New Roman;serif"/>
                  <w:b w:val="false"/>
                  <w:color w:val="000080"/>
                  <w:sz w:val="18"/>
                  <w:u w:val="single"/>
                </w:rPr>
                <w:t xml:space="preserve">Condensed Consolidated Statements of Operations for the </w:t>
              </w:r>
            </w:hyperlink>
            <w:r>
              <w:rPr>
                <w:rFonts w:ascii="Times New Roman;serif" w:hAnsi="Times New Roman;serif"/>
                <w:b w:val="false"/>
                <w:color w:val="3051F2"/>
                <w:sz w:val="18"/>
                <w:u w:val="single"/>
              </w:rPr>
              <w:t>three and six months ended</w:t>
            </w:r>
            <w:hyperlink w:anchor="ia61f5f549cc04155b1c59bb766cccfa1_19">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2025</w:t>
            </w:r>
            <w:hyperlink w:anchor="ia61f5f549cc04155b1c59bb766cccfa1_19">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2024</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9">
              <w:r>
                <w:rPr>
                  <w:rStyle w:val="InternetLink"/>
                  <w:rFonts w:ascii="Times New Roman;serif" w:hAnsi="Times New Roman;serif"/>
                  <w:b w:val="false"/>
                  <w:strike w:val="false"/>
                  <w:dstrike w:val="false"/>
                  <w:color w:val="000000"/>
                  <w:sz w:val="18"/>
                  <w:u w:val="none"/>
                  <w:effect w:val="none"/>
                </w:rPr>
                <w:t>2</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2">
              <w:r>
                <w:rPr>
                  <w:rStyle w:val="InternetLink"/>
                  <w:rFonts w:ascii="Times New Roman;serif" w:hAnsi="Times New Roman;serif"/>
                  <w:b w:val="false"/>
                  <w:color w:val="000080"/>
                  <w:sz w:val="18"/>
                  <w:u w:val="single"/>
                </w:rPr>
                <w:t xml:space="preserve">Condensed Consolidated Statements of Comprehensive Income (Loss) for the </w:t>
              </w:r>
            </w:hyperlink>
            <w:r>
              <w:rPr>
                <w:rFonts w:ascii="Times New Roman;serif" w:hAnsi="Times New Roman;serif"/>
                <w:b w:val="false"/>
                <w:color w:val="3051F2"/>
                <w:sz w:val="18"/>
                <w:u w:val="single"/>
              </w:rPr>
              <w:t>three and six months ended</w:t>
            </w:r>
            <w:hyperlink w:anchor="ia61f5f549cc04155b1c59bb766cccfa1_22">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2025</w:t>
            </w:r>
            <w:hyperlink w:anchor="ia61f5f549cc04155b1c59bb766cccfa1_22">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2024</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2">
              <w:r>
                <w:rPr>
                  <w:rStyle w:val="InternetLink"/>
                  <w:rFonts w:ascii="Times New Roman;serif" w:hAnsi="Times New Roman;serif"/>
                  <w:b w:val="false"/>
                  <w:strike w:val="false"/>
                  <w:dstrike w:val="false"/>
                  <w:color w:val="000000"/>
                  <w:sz w:val="18"/>
                  <w:u w:val="none"/>
                  <w:effect w:val="none"/>
                </w:rPr>
                <w:t>3</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611">
              <w:r>
                <w:rPr>
                  <w:rStyle w:val="InternetLink"/>
                  <w:rFonts w:ascii="Times New Roman;serif" w:hAnsi="Times New Roman;serif"/>
                  <w:b w:val="false"/>
                  <w:color w:val="000080"/>
                  <w:sz w:val="18"/>
                  <w:u w:val="single"/>
                </w:rPr>
                <w:t xml:space="preserve">Condensed Consolidated Statements of </w:t>
              </w:r>
            </w:hyperlink>
            <w:hyperlink w:anchor="ia61f5f549cc04155b1c59bb766cccfa1_611">
              <w:r>
                <w:rPr>
                  <w:rStyle w:val="InternetLink"/>
                  <w:rFonts w:ascii="Times New Roman;serif" w:hAnsi="Times New Roman;serif"/>
                  <w:b w:val="false"/>
                  <w:color w:val="000080"/>
                  <w:sz w:val="18"/>
                  <w:u w:val="single"/>
                </w:rPr>
                <w:t xml:space="preserve">Stockholders’ Equity </w:t>
              </w:r>
            </w:hyperlink>
            <w:hyperlink w:anchor="ia61f5f549cc04155b1c59bb766cccfa1_611">
              <w:r>
                <w:rPr>
                  <w:rStyle w:val="InternetLink"/>
                  <w:rFonts w:ascii="Times New Roman;serif" w:hAnsi="Times New Roman;serif"/>
                  <w:b w:val="false"/>
                  <w:color w:val="000080"/>
                  <w:sz w:val="18"/>
                  <w:u w:val="single"/>
                </w:rPr>
                <w:t xml:space="preserve">for the </w:t>
              </w:r>
            </w:hyperlink>
            <w:r>
              <w:rPr>
                <w:rFonts w:ascii="Times New Roman;serif" w:hAnsi="Times New Roman;serif"/>
                <w:b w:val="false"/>
                <w:color w:val="3051F2"/>
                <w:sz w:val="18"/>
                <w:u w:val="single"/>
              </w:rPr>
              <w:t>three and six months ended</w:t>
            </w:r>
            <w:hyperlink w:anchor="ia61f5f549cc04155b1c59bb766cccfa1_25">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2025</w:t>
            </w:r>
            <w:hyperlink w:anchor="ia61f5f549cc04155b1c59bb766cccfa1_25">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2024</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611">
              <w:r>
                <w:rPr>
                  <w:rStyle w:val="InternetLink"/>
                  <w:rFonts w:ascii="Times New Roman;serif" w:hAnsi="Times New Roman;serif"/>
                  <w:b w:val="false"/>
                  <w:strike w:val="false"/>
                  <w:dstrike w:val="false"/>
                  <w:color w:val="000000"/>
                  <w:sz w:val="18"/>
                  <w:u w:val="none"/>
                  <w:effect w:val="none"/>
                </w:rPr>
                <w:t>4</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28">
              <w:r>
                <w:rPr>
                  <w:rStyle w:val="InternetLink"/>
                  <w:rFonts w:ascii="Times New Roman;serif" w:hAnsi="Times New Roman;serif"/>
                  <w:b w:val="false"/>
                  <w:color w:val="000080"/>
                  <w:sz w:val="18"/>
                  <w:u w:val="single"/>
                </w:rPr>
                <w:t xml:space="preserve">Condensed Consolidated Statements of Cash Flows for the </w:t>
              </w:r>
            </w:hyperlink>
            <w:r>
              <w:rPr>
                <w:rFonts w:ascii="Times New Roman;serif" w:hAnsi="Times New Roman;serif"/>
                <w:b w:val="false"/>
                <w:color w:val="3051F2"/>
                <w:sz w:val="18"/>
                <w:u w:val="single"/>
              </w:rPr>
              <w:t>six months ended</w:t>
            </w:r>
            <w:hyperlink w:anchor="ia61f5f549cc04155b1c59bb766cccfa1_28">
              <w:r>
                <w:rPr>
                  <w:rStyle w:val="InternetLink"/>
                  <w:rFonts w:ascii="Times New Roman;serif" w:hAnsi="Times New Roman;serif"/>
                  <w:b w:val="false"/>
                  <w:color w:val="000080"/>
                  <w:sz w:val="18"/>
                  <w:u w:val="single"/>
                </w:rPr>
                <w:t xml:space="preserve"> </w:t>
              </w:r>
            </w:hyperlink>
            <w:r>
              <w:rPr>
                <w:rFonts w:ascii="Times New Roman;serif" w:hAnsi="Times New Roman;serif"/>
                <w:b w:val="false"/>
                <w:color w:val="3051F2"/>
                <w:sz w:val="18"/>
                <w:u w:val="single"/>
              </w:rPr>
              <w:t>June 30, 2025</w:t>
            </w:r>
            <w:hyperlink w:anchor="ia61f5f549cc04155b1c59bb766cccfa1_28">
              <w:r>
                <w:rPr>
                  <w:rStyle w:val="InternetLink"/>
                  <w:rFonts w:ascii="Times New Roman;serif" w:hAnsi="Times New Roman;serif"/>
                  <w:b w:val="false"/>
                  <w:color w:val="000080"/>
                  <w:sz w:val="18"/>
                  <w:u w:val="single"/>
                </w:rPr>
                <w:t xml:space="preserve"> and </w:t>
              </w:r>
            </w:hyperlink>
            <w:r>
              <w:rPr>
                <w:rFonts w:ascii="Times New Roman;serif" w:hAnsi="Times New Roman;serif"/>
                <w:b w:val="false"/>
                <w:color w:val="3051F2"/>
                <w:sz w:val="18"/>
                <w:u w:val="single"/>
              </w:rPr>
              <w:t>2024</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28">
              <w:r>
                <w:rPr>
                  <w:rStyle w:val="InternetLink"/>
                  <w:rFonts w:ascii="Times New Roman;serif" w:hAnsi="Times New Roman;serif"/>
                  <w:b w:val="false"/>
                  <w:strike w:val="false"/>
                  <w:dstrike w:val="false"/>
                  <w:color w:val="000000"/>
                  <w:sz w:val="18"/>
                  <w:u w:val="none"/>
                  <w:effect w:val="none"/>
                </w:rPr>
                <w:t>6</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31">
              <w:r>
                <w:rPr>
                  <w:rStyle w:val="InternetLink"/>
                  <w:rFonts w:ascii="Times New Roman;serif" w:hAnsi="Times New Roman;serif"/>
                  <w:b w:val="false"/>
                  <w:color w:val="000080"/>
                  <w:sz w:val="18"/>
                  <w:u w:val="single"/>
                </w:rPr>
                <w:t xml:space="preserve">Notes to </w:t>
              </w:r>
            </w:hyperlink>
            <w:r>
              <w:rPr>
                <w:rFonts w:ascii="Times New Roman;serif" w:hAnsi="Times New Roman;serif"/>
                <w:b w:val="false"/>
                <w:color w:val="3051F2"/>
                <w:sz w:val="18"/>
                <w:u w:val="single"/>
              </w:rPr>
              <w:t>C</w:t>
            </w:r>
            <w:hyperlink w:anchor="ia61f5f549cc04155b1c59bb766cccfa1_31">
              <w:r>
                <w:rPr>
                  <w:rStyle w:val="InternetLink"/>
                  <w:rFonts w:ascii="Times New Roman;serif" w:hAnsi="Times New Roman;serif"/>
                  <w:b w:val="false"/>
                  <w:color w:val="000080"/>
                  <w:sz w:val="18"/>
                  <w:u w:val="single"/>
                </w:rPr>
                <w:t xml:space="preserve">ondensed </w:t>
              </w:r>
            </w:hyperlink>
            <w:r>
              <w:rPr>
                <w:rFonts w:ascii="Times New Roman;serif" w:hAnsi="Times New Roman;serif"/>
                <w:b w:val="false"/>
                <w:color w:val="3051F2"/>
                <w:sz w:val="18"/>
                <w:u w:val="single"/>
              </w:rPr>
              <w:t>C</w:t>
            </w:r>
            <w:hyperlink w:anchor="ia61f5f549cc04155b1c59bb766cccfa1_31">
              <w:r>
                <w:rPr>
                  <w:rStyle w:val="InternetLink"/>
                  <w:rFonts w:ascii="Times New Roman;serif" w:hAnsi="Times New Roman;serif"/>
                  <w:b w:val="false"/>
                  <w:color w:val="000080"/>
                  <w:sz w:val="18"/>
                  <w:u w:val="single"/>
                </w:rPr>
                <w:t xml:space="preserve">onsolidated </w:t>
              </w:r>
            </w:hyperlink>
            <w:r>
              <w:rPr>
                <w:rFonts w:ascii="Times New Roman;serif" w:hAnsi="Times New Roman;serif"/>
                <w:b w:val="false"/>
                <w:color w:val="3051F2"/>
                <w:sz w:val="18"/>
                <w:u w:val="single"/>
              </w:rPr>
              <w:t>F</w:t>
            </w:r>
            <w:hyperlink w:anchor="ia61f5f549cc04155b1c59bb766cccfa1_31">
              <w:r>
                <w:rPr>
                  <w:rStyle w:val="InternetLink"/>
                  <w:rFonts w:ascii="Times New Roman;serif" w:hAnsi="Times New Roman;serif"/>
                  <w:b w:val="false"/>
                  <w:color w:val="000080"/>
                  <w:sz w:val="18"/>
                  <w:u w:val="single"/>
                </w:rPr>
                <w:t xml:space="preserve">inancial </w:t>
              </w:r>
            </w:hyperlink>
            <w:r>
              <w:rPr>
                <w:rFonts w:ascii="Times New Roman;serif" w:hAnsi="Times New Roman;serif"/>
                <w:b w:val="false"/>
                <w:color w:val="3051F2"/>
                <w:sz w:val="18"/>
                <w:u w:val="single"/>
              </w:rPr>
              <w:t>S</w:t>
            </w:r>
            <w:hyperlink w:anchor="ia61f5f549cc04155b1c59bb766cccfa1_31">
              <w:r>
                <w:rPr>
                  <w:rStyle w:val="InternetLink"/>
                  <w:rFonts w:ascii="Times New Roman;serif" w:hAnsi="Times New Roman;serif"/>
                  <w:b w:val="false"/>
                  <w:color w:val="000080"/>
                  <w:sz w:val="18"/>
                  <w:u w:val="single"/>
                </w:rPr>
                <w:t>tatements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31">
              <w:r>
                <w:rPr>
                  <w:rStyle w:val="InternetLink"/>
                  <w:rFonts w:ascii="Times New Roman;serif" w:hAnsi="Times New Roman;serif"/>
                  <w:b w:val="false"/>
                  <w:strike w:val="false"/>
                  <w:dstrike w:val="false"/>
                  <w:color w:val="000000"/>
                  <w:sz w:val="18"/>
                  <w:u w:val="none"/>
                  <w:effect w:val="none"/>
                </w:rPr>
                <w:t>7</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1">
              <w:r>
                <w:rPr>
                  <w:rStyle w:val="InternetLink"/>
                  <w:rFonts w:ascii="Times New Roman;serif" w:hAnsi="Times New Roman;serif"/>
                  <w:b w:val="false"/>
                  <w:color w:val="3051F2"/>
                  <w:sz w:val="18"/>
                  <w:u w:val="single"/>
                </w:rPr>
                <w:t>Management’s Discussion and Analysis of Financial Condition and Results of Operations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1">
              <w:r>
                <w:rPr>
                  <w:rStyle w:val="InternetLink"/>
                  <w:rFonts w:ascii="Times New Roman;serif" w:hAnsi="Times New Roman;serif"/>
                  <w:b w:val="false"/>
                  <w:strike w:val="false"/>
                  <w:dstrike w:val="false"/>
                  <w:color w:val="000000"/>
                  <w:sz w:val="18"/>
                  <w:u w:val="none"/>
                  <w:effect w:val="none"/>
                </w:rPr>
                <w:t>19</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4">
              <w:r>
                <w:rPr>
                  <w:rStyle w:val="InternetLink"/>
                  <w:rFonts w:ascii="Times New Roman;serif" w:hAnsi="Times New Roman;serif"/>
                  <w:b w:val="false"/>
                  <w:color w:val="000080"/>
                  <w:sz w:val="18"/>
                  <w:u w:val="single"/>
                </w:rPr>
                <w:t>Quantitative and Qualitative Disclosure</w:t>
              </w:r>
            </w:hyperlink>
            <w:hyperlink w:anchor="ia61f5f549cc04155b1c59bb766cccfa1_94">
              <w:r>
                <w:rPr>
                  <w:rStyle w:val="InternetLink"/>
                  <w:rFonts w:ascii="Times New Roman;serif" w:hAnsi="Times New Roman;serif"/>
                  <w:b w:val="false"/>
                  <w:color w:val="000080"/>
                  <w:sz w:val="18"/>
                  <w:u w:val="single"/>
                </w:rPr>
                <w:t>s</w:t>
              </w:r>
            </w:hyperlink>
            <w:hyperlink w:anchor="ia61f5f549cc04155b1c59bb766cccfa1_94">
              <w:r>
                <w:rPr>
                  <w:rStyle w:val="InternetLink"/>
                  <w:rFonts w:ascii="Times New Roman;serif" w:hAnsi="Times New Roman;serif"/>
                  <w:b w:val="false"/>
                  <w:color w:val="000080"/>
                  <w:sz w:val="18"/>
                  <w:u w:val="single"/>
                </w:rPr>
                <w:t xml:space="preserve"> About Market Risk</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4">
              <w:r>
                <w:rPr>
                  <w:rStyle w:val="InternetLink"/>
                  <w:rFonts w:ascii="Times New Roman;serif" w:hAnsi="Times New Roman;serif"/>
                  <w:b w:val="false"/>
                  <w:strike w:val="false"/>
                  <w:dstrike w:val="false"/>
                  <w:color w:val="000000"/>
                  <w:sz w:val="18"/>
                  <w:u w:val="none"/>
                  <w:effect w:val="none"/>
                </w:rPr>
                <w:t>30</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97">
              <w:r>
                <w:rPr>
                  <w:rStyle w:val="InternetLink"/>
                  <w:rFonts w:ascii="Times New Roman;serif" w:hAnsi="Times New Roman;serif"/>
                  <w:b w:val="false"/>
                  <w:color w:val="3051F2"/>
                  <w:sz w:val="18"/>
                  <w:u w:val="single"/>
                </w:rPr>
                <w:t>Controls and Procedures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97">
              <w:r>
                <w:rPr>
                  <w:rStyle w:val="InternetLink"/>
                  <w:rFonts w:ascii="Times New Roman;serif" w:hAnsi="Times New Roman;serif"/>
                  <w:b w:val="false"/>
                  <w:strike w:val="false"/>
                  <w:dstrike w:val="false"/>
                  <w:color w:val="000000"/>
                  <w:sz w:val="18"/>
                  <w:u w:val="none"/>
                  <w:effect w:val="none"/>
                </w:rPr>
                <w:t>31</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Part II</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Information</w:t>
            </w:r>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0">
              <w:r>
                <w:rPr>
                  <w:rStyle w:val="InternetLink"/>
                  <w:rFonts w:ascii="Times New Roman;serif" w:hAnsi="Times New Roman;serif"/>
                  <w:b w:val="false"/>
                  <w:strike w:val="false"/>
                  <w:dstrike w:val="false"/>
                  <w:color w:val="000000"/>
                  <w:sz w:val="18"/>
                  <w:u w:val="none"/>
                  <w:effect w:val="none"/>
                </w:rPr>
                <w:t>32</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3">
              <w:r>
                <w:rPr>
                  <w:rStyle w:val="InternetLink"/>
                  <w:rFonts w:ascii="Times New Roman;serif" w:hAnsi="Times New Roman;serif"/>
                  <w:b w:val="false"/>
                  <w:color w:val="3051F2"/>
                  <w:sz w:val="18"/>
                  <w:u w:val="single"/>
                </w:rPr>
                <w:t>Legal Proceedings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3">
              <w:r>
                <w:rPr>
                  <w:rStyle w:val="InternetLink"/>
                  <w:rFonts w:ascii="Times New Roman;serif" w:hAnsi="Times New Roman;serif"/>
                  <w:b w:val="false"/>
                  <w:strike w:val="false"/>
                  <w:dstrike w:val="false"/>
                  <w:color w:val="000000"/>
                  <w:sz w:val="18"/>
                  <w:u w:val="none"/>
                  <w:effect w:val="none"/>
                </w:rPr>
                <w:t>32</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6">
              <w:r>
                <w:rPr>
                  <w:rStyle w:val="InternetLink"/>
                  <w:rFonts w:ascii="Times New Roman;serif" w:hAnsi="Times New Roman;serif"/>
                  <w:b w:val="false"/>
                  <w:color w:val="3051F2"/>
                  <w:sz w:val="18"/>
                  <w:u w:val="single"/>
                </w:rPr>
                <w:t>Risk Factors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6">
              <w:r>
                <w:rPr>
                  <w:rStyle w:val="InternetLink"/>
                  <w:rFonts w:ascii="Times New Roman;serif" w:hAnsi="Times New Roman;serif"/>
                  <w:b w:val="false"/>
                  <w:strike w:val="false"/>
                  <w:dstrike w:val="false"/>
                  <w:color w:val="000000"/>
                  <w:sz w:val="18"/>
                  <w:u w:val="none"/>
                  <w:effect w:val="none"/>
                </w:rPr>
                <w:t>32</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09">
              <w:r>
                <w:rPr>
                  <w:rStyle w:val="InternetLink"/>
                  <w:rFonts w:ascii="Times New Roman;serif" w:hAnsi="Times New Roman;serif"/>
                  <w:b w:val="false"/>
                  <w:color w:val="3051F2"/>
                  <w:sz w:val="18"/>
                  <w:u w:val="single"/>
                </w:rPr>
                <w:t>Unregistered Sales of Equity Securities and Use of Proceeds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09">
              <w:r>
                <w:rPr>
                  <w:rStyle w:val="InternetLink"/>
                  <w:rFonts w:ascii="Times New Roman;serif" w:hAnsi="Times New Roman;serif"/>
                  <w:b w:val="false"/>
                  <w:strike w:val="false"/>
                  <w:dstrike w:val="false"/>
                  <w:color w:val="000000"/>
                  <w:sz w:val="18"/>
                  <w:u w:val="none"/>
                  <w:effect w:val="none"/>
                </w:rPr>
                <w:t>32</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2">
              <w:r>
                <w:rPr>
                  <w:rStyle w:val="InternetLink"/>
                  <w:rFonts w:ascii="Times New Roman;serif" w:hAnsi="Times New Roman;serif"/>
                  <w:b w:val="false"/>
                  <w:color w:val="3051F2"/>
                  <w:sz w:val="18"/>
                  <w:u w:val="single"/>
                </w:rPr>
                <w:t>Defaults Upon Senior Securities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2">
              <w:r>
                <w:rPr>
                  <w:rStyle w:val="InternetLink"/>
                  <w:rFonts w:ascii="Times New Roman;serif" w:hAnsi="Times New Roman;serif"/>
                  <w:b w:val="false"/>
                  <w:strike w:val="false"/>
                  <w:dstrike w:val="false"/>
                  <w:color w:val="000000"/>
                  <w:sz w:val="18"/>
                  <w:u w:val="none"/>
                  <w:effect w:val="none"/>
                </w:rPr>
                <w:t>32</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5">
              <w:r>
                <w:rPr>
                  <w:rStyle w:val="InternetLink"/>
                  <w:rFonts w:ascii="Times New Roman;serif" w:hAnsi="Times New Roman;serif"/>
                  <w:b w:val="false"/>
                  <w:color w:val="3051F2"/>
                  <w:sz w:val="18"/>
                  <w:u w:val="single"/>
                </w:rPr>
                <w:t>Mine Safety Disclosures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5">
              <w:r>
                <w:rPr>
                  <w:rStyle w:val="InternetLink"/>
                  <w:rFonts w:ascii="Times New Roman;serif" w:hAnsi="Times New Roman;serif"/>
                  <w:b w:val="false"/>
                  <w:strike w:val="false"/>
                  <w:dstrike w:val="false"/>
                  <w:color w:val="000000"/>
                  <w:sz w:val="18"/>
                  <w:u w:val="none"/>
                  <w:effect w:val="none"/>
                </w:rPr>
                <w:t>32</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18">
              <w:r>
                <w:rPr>
                  <w:rStyle w:val="InternetLink"/>
                  <w:rFonts w:ascii="Times New Roman;serif" w:hAnsi="Times New Roman;serif"/>
                  <w:b w:val="false"/>
                  <w:color w:val="3051F2"/>
                  <w:sz w:val="18"/>
                  <w:u w:val="single"/>
                </w:rPr>
                <w:t>Other Information</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18">
              <w:r>
                <w:rPr>
                  <w:rStyle w:val="InternetLink"/>
                  <w:rFonts w:ascii="Times New Roman;serif" w:hAnsi="Times New Roman;serif"/>
                  <w:b w:val="false"/>
                  <w:strike w:val="false"/>
                  <w:dstrike w:val="false"/>
                  <w:color w:val="000000"/>
                  <w:sz w:val="18"/>
                  <w:u w:val="none"/>
                  <w:effect w:val="none"/>
                </w:rPr>
                <w:t>32</w:t>
              </w:r>
            </w:hyperlink>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76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1">
              <w:r>
                <w:rPr>
                  <w:rStyle w:val="InternetLink"/>
                  <w:rFonts w:ascii="Times New Roman;serif" w:hAnsi="Times New Roman;serif"/>
                  <w:b w:val="false"/>
                  <w:color w:val="000080"/>
                  <w:sz w:val="18"/>
                  <w:u w:val="single"/>
                </w:rPr>
                <w:t>Exhibit</w:t>
              </w:r>
            </w:hyperlink>
            <w:hyperlink w:anchor="ia61f5f549cc04155b1c59bb766cccfa1_121">
              <w:r>
                <w:rPr>
                  <w:rStyle w:val="InternetLink"/>
                  <w:rFonts w:ascii="Times New Roman;serif" w:hAnsi="Times New Roman;serif"/>
                  <w:b w:val="false"/>
                  <w:color w:val="000080"/>
                  <w:sz w:val="18"/>
                  <w:u w:val="single"/>
                </w:rPr>
                <w:t>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61f5f549cc04155b1c59bb766cccfa1_121">
              <w:r>
                <w:rPr>
                  <w:rStyle w:val="InternetLink"/>
                  <w:rFonts w:ascii="Times New Roman;serif" w:hAnsi="Times New Roman;serif"/>
                  <w:b w:val="false"/>
                  <w:strike w:val="false"/>
                  <w:dstrike w:val="false"/>
                  <w:color w:val="000000"/>
                  <w:sz w:val="18"/>
                  <w:u w:val="none"/>
                  <w:effect w:val="none"/>
                </w:rPr>
                <w:t>33</w:t>
              </w:r>
            </w:hyperlink>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8"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61f5f549cc04155b1c59bb766cccfa1_124">
              <w:r>
                <w:rPr>
                  <w:rStyle w:val="InternetLink"/>
                  <w:rFonts w:ascii="Times New Roman;serif" w:hAnsi="Times New Roman;serif"/>
                  <w:b/>
                  <w:strike w:val="false"/>
                  <w:dstrike w:val="false"/>
                  <w:color w:val="000000"/>
                  <w:sz w:val="18"/>
                  <w:u w:val="none"/>
                  <w:effect w:val="none"/>
                </w:rPr>
                <w:t>Signatures</w:t>
              </w:r>
            </w:hyperlink>
          </w:p>
        </w:tc>
        <w:tc>
          <w:tcPr>
            <w:tcW w:w="667"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a61f5f549cc04155b1c59bb766cccfa1_124">
              <w:r>
                <w:rPr>
                  <w:rStyle w:val="InternetLink"/>
                  <w:rFonts w:ascii="Times New Roman;serif" w:hAnsi="Times New Roman;serif"/>
                  <w:b w:val="false"/>
                  <w:strike w:val="false"/>
                  <w:dstrike w:val="false"/>
                  <w:color w:val="000000"/>
                  <w:sz w:val="18"/>
                  <w:u w:val="none"/>
                  <w:effect w:val="none"/>
                </w:rPr>
                <w:t>34</w:t>
              </w:r>
            </w:hyperlink>
          </w:p>
        </w:tc>
      </w:tr>
    </w:tbl>
    <w:p>
      <w:pPr>
        <w:pStyle w:val="TextBody"/>
        <w:bidi w:val="0"/>
        <w:spacing w:before="0" w:after="24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Table of Con</w:t>
        </w:r>
      </w:hyperlink>
      <w:hyperlink w:anchor="ia61f5f549cc04155b1c59bb766cccfa1_7">
        <w:r>
          <w:rPr>
            <w:rStyle w:val="InternetLink"/>
            <w:rFonts w:ascii="Times New Roman;serif" w:hAnsi="Times New Roman;serif"/>
            <w:b w:val="false"/>
            <w:color w:val="000080"/>
            <w:sz w:val="18"/>
            <w:u w:val="single"/>
          </w:rPr>
          <w:t>t</w:t>
        </w:r>
      </w:hyperlink>
      <w:hyperlink w:anchor="ia61f5f549cc04155b1c59bb766cccfa1_7">
        <w:r>
          <w:rPr>
            <w:rStyle w:val="InternetLink"/>
            <w:rFonts w:ascii="Times New Roman;serif" w:hAnsi="Times New Roman;serif"/>
            <w:b w:val="false"/>
            <w:color w:val="000080"/>
            <w:sz w:val="18"/>
            <w:u w:val="single"/>
          </w:rPr>
          <w:t>ents</w:t>
        </w:r>
      </w:hyperlink>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expectations regarding our revenue, expenses, and other operating results;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acquire new customers and successfully retain existing customers;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develop new products and services in a timely manner;</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achieve or sustain our profitability;</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maintain and expand our strategic relationships with third parties;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business plan and our ability to effectively manage our growth;</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anticipated trends, growth rates, and challenges in our business and in the market segments in which we operate;</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attract and retain qualified employees;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uncertainties regarding the impact of geopolitical and macroeconomic conditions, including currency fluctuations, inflation, regulatory changes (including as may be related to immigration, fiscal and tax policy, foreign trade, or foreign investment), regional and global conflicts or related government sanctions, or legislative or regulatory developments;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maintain the security and availability of our solutions;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maintain our money transmission licenses and other regulatory clearances or obtain new licenses and regulatory clearances;</w:t>
      </w:r>
    </w:p>
    <w:p>
      <w:pPr>
        <w:pStyle w:val="TextBody"/>
        <w:bidi w:val="0"/>
        <w:spacing w:lineRule="auto" w:line="288" w:before="0" w:after="60"/>
        <w:ind w:left="0" w:right="0" w:hanging="360"/>
        <w:jc w:val="left"/>
        <w:rPr>
          <w:color w:val="000000"/>
        </w:rPr>
      </w:pPr>
      <w:r>
        <w:rPr>
          <w:color w:val="000000"/>
        </w:rPr>
        <w:t>•    </w:t>
      </w:r>
      <w:r>
        <w:rPr>
          <w:rFonts w:ascii="Times New Roman;serif" w:hAnsi="Times New Roman;serif"/>
          <w:b w:val="false"/>
          <w:color w:val="000000"/>
          <w:sz w:val="18"/>
        </w:rPr>
        <w:t>our ability to maintain and expand international operations; and</w:t>
      </w:r>
    </w:p>
    <w:p>
      <w:pPr>
        <w:pStyle w:val="TextBody"/>
        <w:bidi w:val="0"/>
        <w:spacing w:lineRule="auto" w:line="288" w:before="0" w:after="180"/>
        <w:ind w:left="0" w:right="0" w:hanging="360"/>
        <w:jc w:val="left"/>
        <w:rPr>
          <w:color w:val="000000"/>
        </w:rPr>
      </w:pPr>
      <w:r>
        <w:rPr>
          <w:color w:val="000000"/>
        </w:rPr>
        <w:t>•    </w:t>
      </w:r>
      <w:r>
        <w:rPr>
          <w:rFonts w:ascii="Times New Roman;serif" w:hAnsi="Times New Roman;serif"/>
          <w:b w:val="false"/>
          <w:color w:val="000000"/>
          <w:sz w:val="18"/>
        </w:rPr>
        <w:t>our expectations regarding anticipated technology needs and developments and our ability to address those needs and developments with our solutions.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Unless the context otherwise requires, the terms “Remitly Global,” “Remitly,” “the Company,” “we,” “us,” and “our” in this Quarterly Report on Form 10-Q refer to Remitly Global, Inc. and our consolidated subsidiaries, taken as a whole.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 Financial Information</w:t>
      </w:r>
    </w:p>
    <w:p>
      <w:pPr>
        <w:pStyle w:val="TextBody"/>
        <w:bidi w:val="0"/>
        <w:spacing w:lineRule="auto" w:line="288" w:before="0" w:after="40"/>
        <w:jc w:val="left"/>
        <w:rPr>
          <w:rFonts w:ascii="Times New Roman;serif" w:hAnsi="Times New Roman;serif"/>
          <w:b/>
          <w:color w:val="000000"/>
          <w:sz w:val="18"/>
        </w:rPr>
      </w:pPr>
      <w:r>
        <w:rPr>
          <w:rFonts w:ascii="Times New Roman;serif" w:hAnsi="Times New Roman;serif"/>
          <w:b/>
          <w:color w:val="000000"/>
          <w:sz w:val="18"/>
        </w:rPr>
        <w:t xml:space="preserve">Item 1. Financial Statements (Unaudited)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83"/>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share and per share data</w:t>
      </w:r>
      <w:r>
        <w:rPr>
          <w:rFonts w:ascii="Times New Roman;serif" w:hAnsi="Times New Roman;serif"/>
          <w:b w:val="false"/>
          <w:color w:val="000000"/>
          <w:sz w:val="16"/>
        </w:rPr>
        <w: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2855"/>
        <w:gridCol w:w="2326"/>
        <w:gridCol w:w="2298"/>
        <w:gridCol w:w="196"/>
        <w:gridCol w:w="871"/>
        <w:gridCol w:w="109"/>
        <w:gridCol w:w="109"/>
        <w:gridCol w:w="109"/>
        <w:gridCol w:w="109"/>
        <w:gridCol w:w="196"/>
        <w:gridCol w:w="871"/>
        <w:gridCol w:w="156"/>
      </w:tblGrid>
      <w:tr>
        <w:trPr/>
        <w:tc>
          <w:tcPr>
            <w:tcW w:w="2855"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368,097 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Disbursement prefunding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288,934 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funds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193,965 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46,518 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897,514 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13,002 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54,940 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1,012,871 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188,984 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116,652 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329,008 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9,319 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347,400 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725,000,000 shares authorized as of both June 30, 2025 and December 31, 2024; 206,091,275 and 200,534,626 shares issued and outstanding as of June 30, 2025 and December 31,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1,195,390 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(528,281)</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665,471 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1,012,871 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share and per share data</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736"/>
        <w:gridCol w:w="1222"/>
        <w:gridCol w:w="1241"/>
        <w:gridCol w:w="221"/>
        <w:gridCol w:w="830"/>
        <w:gridCol w:w="109"/>
        <w:gridCol w:w="109"/>
        <w:gridCol w:w="109"/>
        <w:gridCol w:w="109"/>
        <w:gridCol w:w="221"/>
        <w:gridCol w:w="830"/>
        <w:gridCol w:w="109"/>
        <w:gridCol w:w="109"/>
        <w:gridCol w:w="109"/>
        <w:gridCol w:w="109"/>
        <w:gridCol w:w="221"/>
        <w:gridCol w:w="830"/>
        <w:gridCol w:w="109"/>
        <w:gridCol w:w="109"/>
        <w:gridCol w:w="109"/>
        <w:gridCol w:w="109"/>
        <w:gridCol w:w="221"/>
        <w:gridCol w:w="830"/>
        <w:gridCol w:w="494"/>
      </w:tblGrid>
      <w:tr>
        <w:trPr/>
        <w:tc>
          <w:tcPr>
            <w:tcW w:w="173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575,541 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Transaction expenses</w:t>
            </w:r>
            <w:r>
              <w:rPr>
                <w:rFonts w:ascii="Times New Roman;serif" w:hAnsi="Times New Roman;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197,661 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Customer support and operations</w:t>
            </w:r>
            <w:r>
              <w:rPr>
                <w:rFonts w:ascii="Times New Roman;serif" w:hAnsi="Times New Roman;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40,118 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w:t>
            </w:r>
            <w:r>
              <w:rPr>
                <w:rFonts w:ascii="Times New Roman;serif" w:hAnsi="Times New Roman;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145,070 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 and development</w:t>
            </w:r>
            <w:r>
              <w:rPr>
                <w:rFonts w:ascii="Times New Roman;serif" w:hAnsi="Times New Roman;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130,760 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w:t>
            </w:r>
            <w:r>
              <w:rPr>
                <w:rFonts w:ascii="Times New Roman;serif" w:hAnsi="Times New Roman;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90,062 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611,256 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(35,715)</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494"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(28,883)</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4,288 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(33,171)</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common stockholders:</w:t>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(loss) per share attributable to common stockholders:</w:t>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204,693,035 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193,452,628 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203,226,963 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191,650,713 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218,977,561 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193,452,628 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218,704,338 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191,650,713 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Exclusive of depreciation and amortization, shown separately.</w:t>
      </w:r>
    </w:p>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0565"/>
                <wp:effectExtent l="0" t="0" r="0" b="0"/>
                <wp:wrapNone/>
                <wp:docPr id="5" name="Frame5"/>
                <a:graphic xmlns:a="http://schemas.openxmlformats.org/drawingml/2006/main">
                  <a:graphicData uri="http://schemas.microsoft.com/office/word/2010/wordprocessingShape">
                    <wps:wsp>
                      <wps:cNvSpPr txBox="1"/>
                      <wps:spPr>
                        <a:xfrm>
                          <a:off x="0" y="0"/>
                          <a:ext cx="6480175" cy="71056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 (Loss)</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8453" w:type="dxa"/>
        <w:jc w:val="left"/>
        <w:tblInd w:w="0" w:type="dxa"/>
        <w:tblLayout w:type="fixed"/>
        <w:tblCellMar>
          <w:top w:w="28" w:type="dxa"/>
          <w:left w:w="28" w:type="dxa"/>
          <w:bottom w:w="28" w:type="dxa"/>
          <w:right w:w="28" w:type="dxa"/>
        </w:tblCellMar>
      </w:tblPr>
      <w:tblGrid>
        <w:gridCol w:w="1083"/>
        <w:gridCol w:w="955"/>
        <w:gridCol w:w="961"/>
        <w:gridCol w:w="208"/>
        <w:gridCol w:w="685"/>
        <w:gridCol w:w="115"/>
        <w:gridCol w:w="115"/>
        <w:gridCol w:w="115"/>
        <w:gridCol w:w="115"/>
        <w:gridCol w:w="208"/>
        <w:gridCol w:w="765"/>
        <w:gridCol w:w="115"/>
        <w:gridCol w:w="109"/>
        <w:gridCol w:w="109"/>
        <w:gridCol w:w="109"/>
        <w:gridCol w:w="196"/>
        <w:gridCol w:w="646"/>
        <w:gridCol w:w="109"/>
        <w:gridCol w:w="109"/>
        <w:gridCol w:w="109"/>
        <w:gridCol w:w="109"/>
        <w:gridCol w:w="196"/>
        <w:gridCol w:w="721"/>
        <w:gridCol w:w="491"/>
      </w:tblGrid>
      <w:tr>
        <w:trPr/>
        <w:tc>
          <w:tcPr>
            <w:tcW w:w="108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(33,171)</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(739)</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10,645 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(12,188)</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(33,910)</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2025 </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share data</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747"/>
        <w:gridCol w:w="263"/>
        <w:gridCol w:w="263"/>
        <w:gridCol w:w="109"/>
        <w:gridCol w:w="109"/>
        <w:gridCol w:w="109"/>
        <w:gridCol w:w="525"/>
        <w:gridCol w:w="526"/>
        <w:gridCol w:w="211"/>
        <w:gridCol w:w="109"/>
        <w:gridCol w:w="109"/>
        <w:gridCol w:w="109"/>
        <w:gridCol w:w="231"/>
        <w:gridCol w:w="390"/>
        <w:gridCol w:w="130"/>
        <w:gridCol w:w="109"/>
        <w:gridCol w:w="109"/>
        <w:gridCol w:w="109"/>
        <w:gridCol w:w="196"/>
        <w:gridCol w:w="871"/>
        <w:gridCol w:w="109"/>
        <w:gridCol w:w="109"/>
        <w:gridCol w:w="109"/>
        <w:gridCol w:w="109"/>
        <w:gridCol w:w="311"/>
        <w:gridCol w:w="907"/>
        <w:gridCol w:w="173"/>
        <w:gridCol w:w="109"/>
        <w:gridCol w:w="109"/>
        <w:gridCol w:w="109"/>
        <w:gridCol w:w="208"/>
        <w:gridCol w:w="800"/>
        <w:gridCol w:w="118"/>
        <w:gridCol w:w="109"/>
        <w:gridCol w:w="109"/>
        <w:gridCol w:w="109"/>
        <w:gridCol w:w="226"/>
        <w:gridCol w:w="853"/>
        <w:gridCol w:w="185"/>
      </w:tblGrid>
      <w:tr>
        <w:trPr/>
        <w:tc>
          <w:tcPr>
            <w:tcW w:w="7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6"/>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6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200,534,626 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(528,281)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665,471 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497,130 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2,792,726 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(44,052)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(1,089)</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36,890 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11,352 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203,825,920 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(516,929)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723,476 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and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2,738,866 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(519,001)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(11,589)</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39,296 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206,091,275 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(510,393)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764,922 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Three and Six Months Ended June 30, 2024 </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In thousands, except share data</w:t>
      </w:r>
      <w:r>
        <w:rPr>
          <w:rFonts w:ascii="Times New Roman;serif" w:hAnsi="Times New Roman;serif"/>
          <w:b w:val="false"/>
          <w:color w:val="000000"/>
          <w:sz w:val="16"/>
        </w:rPr>
        <w:t>)</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10205" w:type="dxa"/>
        <w:jc w:val="center"/>
        <w:tblInd w:w="0" w:type="dxa"/>
        <w:tblLayout w:type="fixed"/>
        <w:tblCellMar>
          <w:top w:w="28" w:type="dxa"/>
          <w:left w:w="28" w:type="dxa"/>
          <w:bottom w:w="28" w:type="dxa"/>
          <w:right w:w="28" w:type="dxa"/>
        </w:tblCellMar>
      </w:tblPr>
      <w:tblGrid>
        <w:gridCol w:w="784"/>
        <w:gridCol w:w="291"/>
        <w:gridCol w:w="291"/>
        <w:gridCol w:w="109"/>
        <w:gridCol w:w="109"/>
        <w:gridCol w:w="109"/>
        <w:gridCol w:w="525"/>
        <w:gridCol w:w="526"/>
        <w:gridCol w:w="211"/>
        <w:gridCol w:w="109"/>
        <w:gridCol w:w="109"/>
        <w:gridCol w:w="109"/>
        <w:gridCol w:w="231"/>
        <w:gridCol w:w="390"/>
        <w:gridCol w:w="130"/>
        <w:gridCol w:w="109"/>
        <w:gridCol w:w="109"/>
        <w:gridCol w:w="109"/>
        <w:gridCol w:w="196"/>
        <w:gridCol w:w="871"/>
        <w:gridCol w:w="109"/>
        <w:gridCol w:w="109"/>
        <w:gridCol w:w="109"/>
        <w:gridCol w:w="109"/>
        <w:gridCol w:w="345"/>
        <w:gridCol w:w="768"/>
        <w:gridCol w:w="193"/>
        <w:gridCol w:w="109"/>
        <w:gridCol w:w="109"/>
        <w:gridCol w:w="109"/>
        <w:gridCol w:w="208"/>
        <w:gridCol w:w="800"/>
        <w:gridCol w:w="118"/>
        <w:gridCol w:w="109"/>
        <w:gridCol w:w="109"/>
        <w:gridCol w:w="109"/>
        <w:gridCol w:w="225"/>
        <w:gridCol w:w="848"/>
        <w:gridCol w:w="183"/>
      </w:tblGrid>
      <w:tr>
        <w:trPr/>
        <w:tc>
          <w:tcPr>
            <w:tcW w:w="78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8512" w:type="dxa"/>
            <w:gridSpan w:val="33"/>
            <w:tcBorders/>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188,435,952 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1,020,286 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(491,303)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529,337 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439,247 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3,500,485 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35,575 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(21,080)</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192,311,050 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(512,383)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549,358 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 including early exercised options, and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2,741,097 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Issuance of common stock previously held back for acquisition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131,507 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shares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(87,676)</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38,438 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(12,091)</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195,095,978 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(524,474)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578,902 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(unaudited)</w:t>
      </w:r>
    </w:p>
    <w:tbl>
      <w:tblPr>
        <w:tblW w:w="9382" w:type="dxa"/>
        <w:jc w:val="center"/>
        <w:tblInd w:w="0" w:type="dxa"/>
        <w:tblLayout w:type="fixed"/>
        <w:tblCellMar>
          <w:top w:w="28" w:type="dxa"/>
          <w:left w:w="28" w:type="dxa"/>
          <w:bottom w:w="28" w:type="dxa"/>
          <w:right w:w="28" w:type="dxa"/>
        </w:tblCellMar>
      </w:tblPr>
      <w:tblGrid>
        <w:gridCol w:w="2504"/>
        <w:gridCol w:w="2197"/>
        <w:gridCol w:w="2214"/>
        <w:gridCol w:w="198"/>
        <w:gridCol w:w="747"/>
        <w:gridCol w:w="109"/>
        <w:gridCol w:w="109"/>
        <w:gridCol w:w="109"/>
        <w:gridCol w:w="109"/>
        <w:gridCol w:w="196"/>
        <w:gridCol w:w="736"/>
        <w:gridCol w:w="154"/>
      </w:tblGrid>
      <w:tr>
        <w:trPr/>
        <w:tc>
          <w:tcPr>
            <w:tcW w:w="2504"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(33,171)</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71,245 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Donation of common stock</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Disbursement prefunding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funds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(14,041)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 and 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in connection with ESPP</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credit facility borrowings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revolving credit facility borrowings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equity awards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settlement of amounts previously held back for acquisition consideration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(136,339)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325,029 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915"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Reconciliation of cash, cash equivalents, and restricted cash</w:t>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185,187 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 net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188,690 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FF"/>
            <w:sz w:val="18"/>
            <w:u w:val="single"/>
          </w:rPr>
          <w:t>Table of Contents</w:t>
        </w:r>
      </w:hyperlink>
    </w:p>
    <w:p>
      <w:pPr>
        <w:pStyle w:val="TextBody"/>
        <w:bidi w:val="0"/>
        <w:spacing w:before="0" w:after="12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REMITLY GLOBAL,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    Organization and Description of Business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Description of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Global, Inc. (the “Company” or “Remitly”) was incorporated in the State of Delaware in October 2018 and is headquartered in Seattle, Washington, with various other global office locations. Remitly was founded and incorporated in the State of Delaware in 2011 under the name of Remitly, Inc., which is now a wholly-owned subsidiary of Remitly Global, Inc.</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Unless otherwise expressly stated or the context otherwise requires, the terms “Remitly” and the “Company” within these notes to the condensed consolidated financial statements refer to Remitly Global, Inc. and its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2.    Basis of Presentation and Summary of Significant Accounting Policies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Basis of Presentation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data within the Condensed Consolidated Balance Sheets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2024.</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income (loss), and cash flows for the interim periods. The interim results for the three and six months ended June 30, 2025 are not necessarily indicative of the results that may be expected for the year ending December 31, 2025, or for any other future annual or interim period.</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Principles of Consolidation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include the accounts of Remitly Global, Inc. and its wholly-owned subsidiaries. All intercompany transactions and balances have been eliminated in consolidation.</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Use of Estimates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preparation of the accompanying condensed consolidated financial statements requires management to make estimates and assumptions that affect the amounts reported and disclosed within the condensed consolidated financial statements and accompanying notes. These estimates and assumptions include, but are not limited to, revenue recognition including the treatment of sales incentive programs, reserves for transaction losses, stock-based compensation expense, the carrying value of operating lease right-of-use assets and operating lease liabilities, the recoverability of deferred tax assets, capitalization of software development costs, goodwill, and intangible assets. The key assumptions applied for the value of the intangible assets include revenue growth rates for a hypothetical market participant, selected discount rates, as well as migration curves for developed technology. The Company bases its estimates on historical experience and on assumptions that management considers reasonable. Actual results could differ from these estimates and assumptions, and these differences could be material to the condensed consolidated financial statements.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Concentration of Credit Risk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Mexico, and the Philippines. The Company has not experienced material losses on its deposits of cash and cash equivalents, disbursement prefunding, restricted cash, or customer funds receivable in the three and six months ended June 30, 2025 and 2024.</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the three and six months ended June 30, 2025 and 2024, no individual customer represented 10% or more of total revenues or customer funds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Summary of Significant Accounting Policies</w:t>
      </w:r>
    </w:p>
    <w:p>
      <w:pPr>
        <w:pStyle w:val="TextBody"/>
        <w:bidi w:val="0"/>
        <w:spacing w:lineRule="auto" w:line="288" w:before="0" w:after="180"/>
        <w:jc w:val="left"/>
        <w:rPr/>
      </w:pPr>
      <w:r>
        <w:rPr>
          <w:rFonts w:ascii="Times New Roman;serif" w:hAnsi="Times New Roman;serif"/>
          <w:b w:val="false"/>
          <w:color w:val="000000"/>
          <w:sz w:val="18"/>
        </w:rPr>
        <w:t xml:space="preserve">The Company’s significant accounting policies are discussed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within the notes to the consolidated financial statements included in the Company’s Annual Report on Form 10-K for the year ended December 31, 2024. There have been no significant changes to these policies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Advertising</w:t>
      </w:r>
    </w:p>
    <w:p>
      <w:pPr>
        <w:pStyle w:val="TextBody"/>
        <w:bidi w:val="0"/>
        <w:spacing w:lineRule="auto" w:line="288" w:before="0" w:after="180"/>
        <w:jc w:val="left"/>
        <w:rPr/>
      </w:pPr>
      <w:r>
        <w:rPr>
          <w:rFonts w:ascii="Times New Roman;serif" w:hAnsi="Times New Roman;serif"/>
          <w:b w:val="false"/>
          <w:color w:val="000000"/>
          <w:sz w:val="18"/>
        </w:rPr>
        <w:t>Advertising expenses are charged to operations as incurred and are included as a component of ‘</w:t>
      </w:r>
      <w:r>
        <w:rPr>
          <w:rFonts w:ascii="Times New Roman;serif" w:hAnsi="Times New Roman;serif"/>
          <w:b w:val="false"/>
          <w:i/>
          <w:color w:val="000000"/>
          <w:sz w:val="18"/>
        </w:rPr>
        <w:t>Marketing expenses</w:t>
      </w:r>
      <w:r>
        <w:rPr>
          <w:color w:val="000000"/>
        </w:rPr>
        <w:t xml:space="preserve">’ </w:t>
      </w:r>
      <w:r>
        <w:rPr>
          <w:rFonts w:ascii="Times New Roman;serif" w:hAnsi="Times New Roman;serif"/>
          <w:b w:val="false"/>
          <w:color w:val="000000"/>
          <w:sz w:val="18"/>
        </w:rPr>
        <w:t>within the Condensed Consolidated Statements of Operations. Advertising expenses are used primarily to attract new customers. Advertising expenses totaled $64.5 million and $56.8 million during the three months ended June 30, 2025 and 2024, respectively. Advertising expenses totaled $118.1 million and $108.5 million during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Recently Adopted Accounting Pronouncements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Accounting Pronouncements Not Yet Adopted</w:t>
      </w:r>
    </w:p>
    <w:p>
      <w:pPr>
        <w:pStyle w:val="TextBody"/>
        <w:bidi w:val="0"/>
        <w:spacing w:lineRule="auto" w:line="288" w:before="0" w:after="180"/>
        <w:jc w:val="left"/>
        <w:rPr/>
      </w:pPr>
      <w:r>
        <w:rPr>
          <w:rFonts w:ascii="Times New Roman;serif" w:hAnsi="Times New Roman;serif"/>
          <w:b w:val="false"/>
          <w:color w:val="000000"/>
          <w:sz w:val="18"/>
        </w:rPr>
        <w:t xml:space="preserve">There have been no changes to the Company’s new accounting pronouncements not yet adopted as discussed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 xml:space="preserve">within the notes to the consolidated financial statements included in the Company’s Annual Report on Form 10-K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3.    Revenue</w:t>
      </w:r>
    </w:p>
    <w:p>
      <w:pPr>
        <w:pStyle w:val="TextBody"/>
        <w:bidi w:val="0"/>
        <w:spacing w:lineRule="auto" w:line="288" w:before="0" w:after="180"/>
        <w:jc w:val="left"/>
        <w:rPr/>
      </w:pPr>
      <w:r>
        <w:rPr>
          <w:rFonts w:ascii="Times New Roman;serif" w:hAnsi="Times New Roman;serif"/>
          <w:b w:val="false"/>
          <w:color w:val="000000"/>
          <w:sz w:val="18"/>
        </w:rPr>
        <w:t xml:space="preserve">The Company’s primary source of revenue is generated from its remittance business. Revenue is earned from transaction fees charged to customers and the foreign exchange spreads earned between the foreign exchange rate offered to customers and the foreign exchange rate on the Company’s currency purchases. Revenue is recognized, in an amount that reflects the consideration the Company expects to be entitled to in exchange for services provided, when control of these services is transferred to the Company’s customers, which is the time the funds have been delivered to the intended recipient. The Company accounts for revenue in accordance with Accounting Standards Codification (“ASC”) 606, </w:t>
      </w:r>
      <w:r>
        <w:rPr>
          <w:rFonts w:ascii="Times New Roman;serif" w:hAnsi="Times New Roman;serif"/>
          <w:b w:val="false"/>
          <w:i/>
          <w:color w:val="000000"/>
          <w:sz w:val="18"/>
        </w:rPr>
        <w:t>Revenue from Contracts with Customers</w:t>
      </w:r>
      <w:r>
        <w:rPr>
          <w:rFonts w:ascii="Times New Roman;serif" w:hAnsi="Times New Roman;serif"/>
          <w:b w:val="false"/>
          <w:color w:val="000000"/>
          <w:sz w:val="18"/>
        </w:rPr>
        <w:t>, which includes the following steps:</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(1)identification of the contract with a customer;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(2)identification of the performance obligations in the contract;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(3)determination of the transaction price;</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(4)allocation of the transaction price to the performance obligations in the contract; and </w:t>
      </w:r>
    </w:p>
    <w:p>
      <w:pPr>
        <w:pStyle w:val="TextBody"/>
        <w:bidi w:val="0"/>
        <w:spacing w:lineRule="auto" w:line="288" w:before="0" w:after="18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(5)recognition of revenue when, or as, the Company satisfies a performance obligation.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Customers engage the Company to perform one integrated service—collect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the disbursement method chosen by the customer, and the country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pPr>
      <w:r>
        <w:rPr>
          <w:rFonts w:ascii="Times New Roman;serif" w:hAnsi="Times New Roman;serif"/>
          <w:b w:val="false"/>
          <w:color w:val="000000"/>
          <w:sz w:val="18"/>
        </w:rPr>
        <w:t>The Company recognizes transaction revenue on a gross basis as it is the principal for fulfilling payment transactions. As the principal to the transaction, the Company controls the service of completing payments for its customers.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w:t>
      </w:r>
      <w:r>
        <w:rPr>
          <w:rFonts w:ascii="Times New Roman;serif" w:hAnsi="Times New Roman;serif"/>
          <w:b w:val="false"/>
          <w:i/>
          <w:color w:val="000000"/>
          <w:sz w:val="18"/>
        </w:rPr>
        <w:t>Transaction expenses</w:t>
      </w:r>
      <w:r>
        <w:rPr>
          <w:color w:val="000000"/>
        </w:rPr>
        <w:t xml:space="preserve">’ </w:t>
      </w:r>
      <w:r>
        <w:rPr>
          <w:rFonts w:ascii="Times New Roman;serif" w:hAnsi="Times New Roman;serif"/>
          <w:b w:val="false"/>
          <w:color w:val="000000"/>
          <w:sz w:val="18"/>
        </w:rPr>
        <w:t>within the Condensed Consolidated Statements of Operations. The Company does not have any capitalized contract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Sales Incentives </w:t>
      </w:r>
    </w:p>
    <w:p>
      <w:pPr>
        <w:pStyle w:val="TextBody"/>
        <w:bidi w:val="0"/>
        <w:spacing w:lineRule="auto" w:line="288" w:before="0" w:after="180"/>
        <w:jc w:val="left"/>
        <w:rPr/>
      </w:pPr>
      <w:r>
        <w:rPr>
          <w:rFonts w:ascii="Times New Roman;serif" w:hAnsi="Times New Roman;serif"/>
          <w:b w:val="false"/>
          <w:color w:val="000000"/>
          <w:sz w:val="18"/>
        </w:rPr>
        <w:t>The Company provides sales incentives to customers in a variety of forms, including promotions, discounts, and other sales incentives. Evaluating whether a sales incentive is a payment to a customer requires judgment. Sales incentives determined to be consideration payable to a customer or paid on behalf of a customer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Times New Roman;serif" w:hAnsi="Times New Roman;serif"/>
          <w:b w:val="false"/>
          <w:i/>
          <w:color w:val="000000"/>
          <w:sz w:val="18"/>
        </w:rPr>
        <w:t>Marketing expenses</w:t>
      </w:r>
      <w:r>
        <w:rPr>
          <w:color w:val="000000"/>
        </w:rPr>
        <w:t xml:space="preserve">’ </w:t>
      </w:r>
      <w:r>
        <w:rPr>
          <w:rFonts w:ascii="Times New Roman;serif" w:hAnsi="Times New Roman;serif"/>
          <w:b w:val="false"/>
          <w:color w:val="000000"/>
          <w:sz w:val="18"/>
        </w:rPr>
        <w:t>within the Condensed Consolidated Statements of Operations. In addition, referral credits given to a referrer are classified as ‘</w:t>
      </w:r>
      <w:r>
        <w:rPr>
          <w:rFonts w:ascii="Times New Roman;serif" w:hAnsi="Times New Roman;serif"/>
          <w:b w:val="false"/>
          <w:i/>
          <w:color w:val="000000"/>
          <w:sz w:val="18"/>
        </w:rPr>
        <w:t>Marketing expenses</w:t>
      </w:r>
      <w:r>
        <w:rPr>
          <w:rFonts w:ascii="Times New Roman;serif" w:hAnsi="Times New Roman;serif"/>
          <w:b w:val="false"/>
          <w:color w:val="000000"/>
          <w:sz w:val="18"/>
        </w:rPr>
        <w:t>,’ as these incentives are paid in exchange for a distinct service.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sales incentives for the three and six months ended June 30, 2025 and 2024:</w:t>
      </w:r>
    </w:p>
    <w:tbl>
      <w:tblPr>
        <w:tblW w:w="6738" w:type="dxa"/>
        <w:jc w:val="left"/>
        <w:tblInd w:w="0" w:type="dxa"/>
        <w:tblLayout w:type="fixed"/>
        <w:tblCellMar>
          <w:top w:w="28" w:type="dxa"/>
          <w:left w:w="28" w:type="dxa"/>
          <w:bottom w:w="28" w:type="dxa"/>
          <w:right w:w="28" w:type="dxa"/>
        </w:tblCellMar>
      </w:tblPr>
      <w:tblGrid>
        <w:gridCol w:w="613"/>
        <w:gridCol w:w="540"/>
        <w:gridCol w:w="541"/>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to revenue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Times New Roman;serif" w:hAnsi="Times New Roman;serif"/>
                <w:b w:val="false"/>
                <w:color w:val="000000"/>
                <w:sz w:val="18"/>
              </w:rPr>
              <w:t>Marketing expenses</w:t>
            </w:r>
            <w:r>
              <w:rPr>
                <w:rFonts w:ascii="Times New Roman;serif" w:hAnsi="Times New Roman;serif"/>
                <w:b w:val="false"/>
                <w:color w:val="000000"/>
                <w:sz w:val="12"/>
              </w:rPr>
              <w:t>(1)</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sales incentives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Sales incentives that are charged to marketing expenses are included in </w:t>
      </w:r>
      <w:r>
        <w:rPr>
          <w:rFonts w:ascii="Times New Roman;serif" w:hAnsi="Times New Roman;serif"/>
          <w:b w:val="false"/>
          <w:i/>
          <w:color w:val="000000"/>
          <w:sz w:val="16"/>
        </w:rPr>
        <w:t xml:space="preserve">Advertising expenses </w:t>
      </w:r>
      <w:r>
        <w:rPr>
          <w:rFonts w:ascii="Times New Roman;serif" w:hAnsi="Times New Roman;serif"/>
          <w:b w:val="false"/>
          <w:color w:val="000000"/>
          <w:sz w:val="16"/>
        </w:rPr>
        <w:t xml:space="preserve">as disclosed in Note 2. </w:t>
      </w:r>
      <w:r>
        <w:rPr>
          <w:rFonts w:ascii="Times New Roman;serif" w:hAnsi="Times New Roman;serif"/>
          <w:b w:val="false"/>
          <w:i/>
          <w:color w:val="000000"/>
          <w:sz w:val="16"/>
        </w:rPr>
        <w:t>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Revenue by Geography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revenue disaggregated by primary geographical location for the three and six months ended June 30, 2025 and 2024, attributed to the country in which the sending customer is located:</w:t>
      </w:r>
    </w:p>
    <w:tbl>
      <w:tblPr>
        <w:tblW w:w="6347" w:type="dxa"/>
        <w:jc w:val="left"/>
        <w:tblInd w:w="0" w:type="dxa"/>
        <w:tblLayout w:type="fixed"/>
        <w:tblCellMar>
          <w:top w:w="28" w:type="dxa"/>
          <w:left w:w="28" w:type="dxa"/>
          <w:bottom w:w="28" w:type="dxa"/>
          <w:right w:w="28" w:type="dxa"/>
        </w:tblCellMar>
      </w:tblPr>
      <w:tblGrid>
        <w:gridCol w:w="407"/>
        <w:gridCol w:w="358"/>
        <w:gridCol w:w="359"/>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272,427 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201,884 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97,567 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411,852 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306,423 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575,541 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4.    Prepaid Expenses &amp; Other Current Assets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 consisted of the following:</w:t>
      </w:r>
    </w:p>
    <w:tbl>
      <w:tblPr>
        <w:tblW w:w="6318" w:type="dxa"/>
        <w:jc w:val="left"/>
        <w:tblInd w:w="0" w:type="dxa"/>
        <w:tblLayout w:type="fixed"/>
        <w:tblCellMar>
          <w:top w:w="28" w:type="dxa"/>
          <w:left w:w="28" w:type="dxa"/>
          <w:bottom w:w="28" w:type="dxa"/>
          <w:right w:w="28" w:type="dxa"/>
        </w:tblCellMar>
      </w:tblPr>
      <w:tblGrid>
        <w:gridCol w:w="1396"/>
        <w:gridCol w:w="1228"/>
        <w:gridCol w:w="1231"/>
        <w:gridCol w:w="196"/>
        <w:gridCol w:w="646"/>
        <w:gridCol w:w="109"/>
        <w:gridCol w:w="109"/>
        <w:gridCol w:w="109"/>
        <w:gridCol w:w="109"/>
        <w:gridCol w:w="233"/>
        <w:gridCol w:w="769"/>
        <w:gridCol w:w="183"/>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Tenant improvement allowance and other receivables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Payment card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11,677 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compensation arrangements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prepaid expenses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46,518 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5.    Property and Equipment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consisted of the following as of June 30, 2025 and December 31, 2024:</w:t>
      </w:r>
    </w:p>
    <w:tbl>
      <w:tblPr>
        <w:tblW w:w="6048" w:type="dxa"/>
        <w:jc w:val="center"/>
        <w:tblInd w:w="0" w:type="dxa"/>
        <w:tblLayout w:type="fixed"/>
        <w:tblCellMar>
          <w:top w:w="28" w:type="dxa"/>
          <w:left w:w="28" w:type="dxa"/>
          <w:bottom w:w="28" w:type="dxa"/>
          <w:right w:w="28" w:type="dxa"/>
        </w:tblCellMar>
      </w:tblPr>
      <w:tblGrid>
        <w:gridCol w:w="1298"/>
        <w:gridCol w:w="1142"/>
        <w:gridCol w:w="1145"/>
        <w:gridCol w:w="196"/>
        <w:gridCol w:w="646"/>
        <w:gridCol w:w="109"/>
        <w:gridCol w:w="109"/>
        <w:gridCol w:w="109"/>
        <w:gridCol w:w="109"/>
        <w:gridCol w:w="233"/>
        <w:gridCol w:w="769"/>
        <w:gridCol w:w="183"/>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internal-use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39,627 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Projects in process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7,672 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property and equipment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67,312 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(35,746)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31,566 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 related to property and equipment was $4.2 million and $2.7 million for the three months ended June 30, 2025 and 2024, respectively.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 related to property and equipment was $7.6 million and $5.2 million for the six months ended June 30, 2025 and 2024, respectively.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the six months ended June 30, 2025, the Company disposed of fully depreciated property and equipment assets with an accumulated depreciation amount of $5.1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Capitalized Internal-Use Software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capitalized internal-use software, including amortization expense recognized, for the three and six months ended June 30, 2025 and 2024:</w:t>
      </w:r>
    </w:p>
    <w:tbl>
      <w:tblPr>
        <w:tblW w:w="9948" w:type="dxa"/>
        <w:jc w:val="left"/>
        <w:tblInd w:w="0" w:type="dxa"/>
        <w:tblLayout w:type="fixed"/>
        <w:tblCellMar>
          <w:top w:w="28" w:type="dxa"/>
          <w:left w:w="28" w:type="dxa"/>
          <w:bottom w:w="28" w:type="dxa"/>
          <w:right w:w="28" w:type="dxa"/>
        </w:tblCellMar>
      </w:tblPr>
      <w:tblGrid>
        <w:gridCol w:w="1776"/>
        <w:gridCol w:w="1562"/>
        <w:gridCol w:w="1566"/>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77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capitalized internal-use software costs</w:t>
            </w:r>
            <w:r>
              <w:rPr>
                <w:rFonts w:ascii="Times New Roman;serif" w:hAnsi="Times New Roman;serif"/>
                <w:b w:val="false"/>
                <w:color w:val="000000"/>
                <w:sz w:val="12"/>
              </w:rPr>
              <w:t>(1)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4,406 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costs capitalized to internal-use software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Amortization expense</w:t>
            </w:r>
            <w:r>
              <w:rPr>
                <w:rFonts w:ascii="Times New Roman;serif" w:hAnsi="Times New Roman;serif"/>
                <w:b w:val="false"/>
                <w:color w:val="000000"/>
                <w:sz w:val="12"/>
              </w:rPr>
              <w:t>(2)</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Amounts are inclusive of stock-based compensation costs capitalized to internal-use software as denoted within the table.</w:t>
      </w:r>
    </w:p>
    <w:p>
      <w:pPr>
        <w:pStyle w:val="TextBody"/>
        <w:bidi w:val="0"/>
        <w:spacing w:lineRule="auto" w:line="288" w:before="0" w:after="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Amounts are included within ‘</w:t>
      </w:r>
      <w:r>
        <w:rPr>
          <w:rFonts w:ascii="Times New Roman;serif" w:hAnsi="Times New Roman;serif"/>
          <w:b w:val="false"/>
          <w:i/>
          <w:color w:val="000000"/>
          <w:sz w:val="16"/>
        </w:rPr>
        <w:t>Depreciation and amortization</w:t>
      </w:r>
      <w:r>
        <w:rPr>
          <w:color w:val="000000"/>
        </w:rPr>
        <w:t xml:space="preserve">’ </w:t>
      </w:r>
      <w:r>
        <w:rPr>
          <w:rFonts w:ascii="Times New Roman;serif" w:hAnsi="Times New Roman;serif"/>
          <w:b w:val="false"/>
          <w:color w:val="000000"/>
          <w:sz w:val="16"/>
        </w:rPr>
        <w:t>within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Company’s long-lived assets based on geography, which consist of property and equipment, net and operating lease right-of-use assets as of June 30, 2025 and December 31, 2024:</w:t>
      </w:r>
    </w:p>
    <w:tbl>
      <w:tblPr>
        <w:tblW w:w="4172" w:type="dxa"/>
        <w:jc w:val="center"/>
        <w:tblInd w:w="0" w:type="dxa"/>
        <w:tblLayout w:type="fixed"/>
        <w:tblCellMar>
          <w:top w:w="28" w:type="dxa"/>
          <w:left w:w="28" w:type="dxa"/>
          <w:bottom w:w="28" w:type="dxa"/>
          <w:right w:w="28" w:type="dxa"/>
        </w:tblCellMar>
      </w:tblPr>
      <w:tblGrid>
        <w:gridCol w:w="619"/>
        <w:gridCol w:w="544"/>
        <w:gridCol w:w="546"/>
        <w:gridCol w:w="196"/>
        <w:gridCol w:w="646"/>
        <w:gridCol w:w="109"/>
        <w:gridCol w:w="109"/>
        <w:gridCol w:w="109"/>
        <w:gridCol w:w="109"/>
        <w:gridCol w:w="233"/>
        <w:gridCol w:w="769"/>
        <w:gridCol w:w="183"/>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30,141 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Israel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44,568 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6.    Intangible Assets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components of identifiable intangible assets as of June 30, 2025 and December 31, 2024 were as follows:</w:t>
      </w:r>
    </w:p>
    <w:tbl>
      <w:tblPr>
        <w:tblW w:w="10209" w:type="dxa"/>
        <w:jc w:val="left"/>
        <w:tblInd w:w="0" w:type="dxa"/>
        <w:tblLayout w:type="fixed"/>
        <w:tblCellMar>
          <w:top w:w="28" w:type="dxa"/>
          <w:left w:w="28" w:type="dxa"/>
          <w:bottom w:w="28" w:type="dxa"/>
          <w:right w:w="28" w:type="dxa"/>
        </w:tblCellMar>
      </w:tblPr>
      <w:tblGrid>
        <w:gridCol w:w="352"/>
        <w:gridCol w:w="298"/>
        <w:gridCol w:w="236"/>
        <w:gridCol w:w="181"/>
        <w:gridCol w:w="541"/>
        <w:gridCol w:w="109"/>
        <w:gridCol w:w="109"/>
        <w:gridCol w:w="109"/>
        <w:gridCol w:w="109"/>
        <w:gridCol w:w="109"/>
        <w:gridCol w:w="109"/>
        <w:gridCol w:w="192"/>
        <w:gridCol w:w="592"/>
        <w:gridCol w:w="117"/>
        <w:gridCol w:w="109"/>
        <w:gridCol w:w="109"/>
        <w:gridCol w:w="109"/>
        <w:gridCol w:w="181"/>
        <w:gridCol w:w="466"/>
        <w:gridCol w:w="109"/>
        <w:gridCol w:w="109"/>
        <w:gridCol w:w="109"/>
        <w:gridCol w:w="109"/>
        <w:gridCol w:w="250"/>
        <w:gridCol w:w="250"/>
        <w:gridCol w:w="251"/>
        <w:gridCol w:w="109"/>
        <w:gridCol w:w="109"/>
        <w:gridCol w:w="109"/>
        <w:gridCol w:w="181"/>
        <w:gridCol w:w="541"/>
        <w:gridCol w:w="109"/>
        <w:gridCol w:w="109"/>
        <w:gridCol w:w="109"/>
        <w:gridCol w:w="109"/>
        <w:gridCol w:w="192"/>
        <w:gridCol w:w="592"/>
        <w:gridCol w:w="117"/>
        <w:gridCol w:w="109"/>
        <w:gridCol w:w="109"/>
        <w:gridCol w:w="109"/>
        <w:gridCol w:w="181"/>
        <w:gridCol w:w="541"/>
        <w:gridCol w:w="109"/>
        <w:gridCol w:w="109"/>
        <w:gridCol w:w="109"/>
        <w:gridCol w:w="109"/>
        <w:gridCol w:w="250"/>
        <w:gridCol w:w="250"/>
        <w:gridCol w:w="251"/>
        <w:gridCol w:w="109"/>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thousands)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Weighted Average Estimated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Weighted Average Estimated Remaining Useful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Trade name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Customer relationships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(5,313)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(4,250)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Developed technology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(6,120)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(15,206)</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(11,037)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acquired identified intangible assets have estimated useful lives ranging from three to four years. Amortization expense for intangible assets was $2.1 million and $1.2 million for the three months ended June 30, 2025 and 2024, respectively. Amortization expense for intangible assets was $4.2 million and $2.4 million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Expected future intangible asset amortization as of June 30, 2025 was as follows:</w:t>
      </w:r>
    </w:p>
    <w:tbl>
      <w:tblPr>
        <w:tblW w:w="2391" w:type="dxa"/>
        <w:jc w:val="left"/>
        <w:tblInd w:w="0" w:type="dxa"/>
        <w:tblLayout w:type="fixed"/>
        <w:tblCellMar>
          <w:top w:w="28" w:type="dxa"/>
          <w:left w:w="28" w:type="dxa"/>
          <w:bottom w:w="28" w:type="dxa"/>
          <w:right w:w="28" w:type="dxa"/>
        </w:tblCellMar>
      </w:tblPr>
      <w:tblGrid>
        <w:gridCol w:w="538"/>
        <w:gridCol w:w="473"/>
        <w:gridCol w:w="474"/>
        <w:gridCol w:w="196"/>
        <w:gridCol w:w="55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7.    Fair Value Measurements</w:t>
      </w:r>
    </w:p>
    <w:p>
      <w:pPr>
        <w:pStyle w:val="TextBody"/>
        <w:bidi w:val="0"/>
        <w:spacing w:lineRule="auto" w:line="288" w:before="0" w:after="180"/>
        <w:jc w:val="left"/>
        <w:rPr/>
      </w:pPr>
      <w:r>
        <w:rPr>
          <w:rFonts w:ascii="Times New Roman;serif" w:hAnsi="Times New Roman;serif"/>
          <w:b w:val="false"/>
          <w:color w:val="000000"/>
          <w:sz w:val="18"/>
        </w:rPr>
        <w:t>Ther</w:t>
      </w:r>
      <w:r>
        <w:rPr>
          <w:rFonts w:ascii="Times New Roman;serif" w:hAnsi="Times New Roman;serif"/>
          <w:b w:val="false"/>
          <w:color w:val="000000"/>
          <w:sz w:val="18"/>
          <w:shd w:fill="FFFFFF" w:val="clear"/>
        </w:rPr>
        <w:t>e were no financial assets and liabilities that were measured at f</w:t>
      </w:r>
      <w:r>
        <w:rPr>
          <w:rFonts w:ascii="Times New Roman;serif" w:hAnsi="Times New Roman;serif"/>
          <w:b w:val="false"/>
          <w:color w:val="000000"/>
          <w:sz w:val="18"/>
        </w:rPr>
        <w:t>air value on a recurring basis as of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carrying values of certain financial instruments, including disbursement prefunding, customer funds receivable, accounts payable, accrued expenses and other current liabilities, customer liabilities, short-term debt, and long-term debt, approximate their respective fair values due to their relative short maturities. If these financial instruments were measured at fair value in the financial statements, they would be classified as Level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8.    Debt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Secured Revolving Credit Facility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lineRule="auto" w:line="288" w:before="0" w:after="180"/>
        <w:jc w:val="left"/>
        <w:rPr/>
      </w:pPr>
      <w:r>
        <w:rPr>
          <w:rFonts w:ascii="Times New Roman;serif" w:hAnsi="Times New Roman;serif"/>
          <w:b w:val="false"/>
          <w:color w:val="000000"/>
          <w:sz w:val="18"/>
        </w:rPr>
        <w:t>In June 2025, Remitly Global, Inc. and Remitly, Inc., a wholly-owned subsidiary of Remitly Global, Inc., as co-borrowers, entered into a credit agreement (the “2025 Revolving Credit Facility”) with certain lenders and JPMorgan Chase Bank, N.A. acting as administrative agent and collateral agent. The 2025 Revolving Credit Facility has a revolving commitment of $550.0 million (including a $200.0 million letter of credit sub-facility). The 2025 Revolving Credit Facility replaced the existing 2021 Revolving Credit Facility which is further discussed below. Proceeds under the 2025 Revolving Credit Facility are primarily to support prefunding of customer flows within the Company’s global remittance business and also for general corporate purposes. As part of the new credit agreement, the Company capitalized $3.1 million of new debt issuance costs within ‘</w:t>
      </w:r>
      <w:r>
        <w:rPr>
          <w:rFonts w:ascii="Times New Roman;serif" w:hAnsi="Times New Roman;serif"/>
          <w:b w:val="false"/>
          <w:i/>
          <w:color w:val="000000"/>
          <w:sz w:val="18"/>
        </w:rPr>
        <w:t>Other noncurrent assets, net</w:t>
      </w:r>
      <w:r>
        <w:rPr>
          <w:color w:val="000000"/>
        </w:rPr>
        <w:t xml:space="preserve">’ </w:t>
      </w:r>
      <w:r>
        <w:rPr>
          <w:rFonts w:ascii="Times New Roman;serif" w:hAnsi="Times New Roman;serif"/>
          <w:b w:val="false"/>
          <w:color w:val="000000"/>
          <w:sz w:val="18"/>
        </w:rPr>
        <w:t>on the Consolidated Balance Sheets, and will be amortized to interest expense over the term of the 2025 Revolving Credit Facility.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2025 Revolving Credit Facility permits borrowings in the form of (a) alternate base rate loans, (b) term benchmark loans, and (c) swingline loans and has a maturity date of June 24, 2030. Borrowings under the 2025 Revolving Credit Facility accrue interest at a floating rate per annum equal to, at the Company’s option, (1) the Alternate Base Rate (defined in the 2025 Revolving Credit Facility as the rate per annum equal to the highest of (a) the Prime Rate in effect on such day, (b) the New York Federal Reserve Bank Rate in effect on such day plus 0.50% and (c) the Term SOFR Rate for an interest period of one month plus 1.00% (subject to a floor of 1.00%) plus 0.50% per annum) or (2) the Term SOFR Rate (subject to a floor of 0.00%) plus 1.50% per annum. Such interest is payable (a) with respect to loans bearing interest based on the Alternate Base Rate, the last day of each March, June, September, and December, (b) with respect to any term benchmark loan, at the end of each applicable interest period, but in no event less frequently than three months, and (c) with respect to any swingline loan, the day the loan is required to be repaid. In addition, an unused commitment fee, which accrues at a rate per annum equal to 0.25% of the unused portion of the revolving commitments, is payable on the fifteenth business day of each January, April, July, and October.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pPr>
      <w:r>
        <w:rPr>
          <w:rFonts w:ascii="Times New Roman;serif" w:hAnsi="Times New Roman;serif"/>
          <w:b w:val="false"/>
          <w:color w:val="000000"/>
          <w:sz w:val="18"/>
        </w:rPr>
        <w:t xml:space="preserve">The 2025 Revolving Credit Facility contains customary conditions to borrowing, events of default, and covenants, including covenants that restrict the ability to dispose of certain assets, merge with other entities, incur certain indebtedness, grant liens, pay dividends or make other distributions to holders of the Company’s capital stock, make investments, enter into restrictive agreements, or engage in certain transactions with affiliates. As of June 30, 2025, financial covenants in the 2025 Revolving Credit Facility include a requirement to maintain a net leverage ratio of no greater than 4.50:1.00, which is tested quarterly. </w:t>
      </w:r>
      <w:r>
        <w:rPr>
          <w:rFonts w:ascii="Times New Roman;serif" w:hAnsi="Times New Roman;serif"/>
          <w:b w:val="false"/>
          <w:color w:val="000000"/>
          <w:sz w:val="18"/>
          <w:shd w:fill="FFFFFF" w:val="clear"/>
        </w:rPr>
        <w:t xml:space="preserve">The Company was in compliance with all financial covenants under the 2025 Revolving Credit Facility as of </w:t>
      </w:r>
      <w:r>
        <w:rPr>
          <w:rFonts w:ascii="Times New Roman;serif" w:hAnsi="Times New Roman;serif"/>
          <w:b w:val="false"/>
          <w:color w:val="000000"/>
          <w:sz w:val="18"/>
        </w:rPr>
        <w:t>June 30, 2025</w:t>
      </w:r>
      <w:r>
        <w:rPr>
          <w:rFonts w:ascii="Times New Roman;serif" w:hAnsi="Times New Roman;serif"/>
          <w:b w:val="false"/>
          <w:color w:val="000000"/>
          <w:sz w:val="18"/>
          <w:shd w:fill="FFFFFF" w:val="clear"/>
        </w:rPr>
        <w: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obligations under the 2025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2025 Revolving Credit Facility may fluctuate depending on transaction volumes and seasonality. </w:t>
      </w:r>
    </w:p>
    <w:p>
      <w:pPr>
        <w:pStyle w:val="TextBody"/>
        <w:bidi w:val="0"/>
        <w:spacing w:lineRule="auto" w:line="288" w:before="0" w:after="180"/>
        <w:jc w:val="left"/>
        <w:rPr/>
      </w:pPr>
      <w:r>
        <w:rPr>
          <w:rFonts w:ascii="Times New Roman;serif" w:hAnsi="Times New Roman;serif"/>
          <w:b w:val="false"/>
          <w:color w:val="000000"/>
          <w:sz w:val="18"/>
        </w:rPr>
        <w:t>As of June 30, 2025, the Company had no outstanding borrowings under the 2025 Revolving Credit Facility. As of June 30, 2025, the Company had unused borrowing capacity o</w:t>
      </w:r>
      <w:r>
        <w:rPr>
          <w:rFonts w:ascii="Times New Roman;serif" w:hAnsi="Times New Roman;serif"/>
          <w:b w:val="false"/>
          <w:color w:val="000000"/>
          <w:sz w:val="18"/>
          <w:shd w:fill="FFFFFF" w:val="clear"/>
        </w:rPr>
        <w:t xml:space="preserve">f </w:t>
      </w:r>
      <w:r>
        <w:rPr>
          <w:rFonts w:ascii="Times New Roman;serif" w:hAnsi="Times New Roman;serif"/>
          <w:b w:val="false"/>
          <w:color w:val="000000"/>
          <w:sz w:val="18"/>
        </w:rPr>
        <w:t>$497.2 million under the 2025 Revolving Credit Facility. As of June 30, 2025, the Company had $53.4 million in issued, but undrawn, standby letters of credit.</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2021 Revolving Credit Facility</w:t>
      </w:r>
    </w:p>
    <w:p>
      <w:pPr>
        <w:pStyle w:val="TextBody"/>
        <w:bidi w:val="0"/>
        <w:spacing w:lineRule="auto" w:line="288" w:before="0" w:after="180"/>
        <w:jc w:val="left"/>
        <w:rPr/>
      </w:pPr>
      <w:r>
        <w:rPr>
          <w:rFonts w:ascii="Times New Roman;serif" w:hAnsi="Times New Roman;serif"/>
          <w:b w:val="false"/>
          <w:color w:val="000000"/>
          <w:sz w:val="18"/>
        </w:rPr>
        <w:t xml:space="preserve">On September 13, 2021, Remitly Global, Inc. and Remitly, Inc., a wholly-owned subsidiary of Remitly Global, Inc., as co-borrowers, entered into a credit agreement (the “2021 Revolving Credit Facility”) with certain lenders and JPMorgan Chase Bank, N.A. acting as administrative agent and collateral agent. The 2021 Revolving Credit Facility, as amended in and prior to December 2023, had a revolving commitment of $325.0 million </w:t>
      </w:r>
      <w:r>
        <w:rPr>
          <w:rFonts w:ascii="Times New Roman;serif" w:hAnsi="Times New Roman;serif"/>
          <w:b w:val="false"/>
          <w:color w:val="000000"/>
          <w:sz w:val="18"/>
          <w:shd w:fill="FFFFFF" w:val="clear"/>
        </w:rPr>
        <w:t xml:space="preserve">(including a </w:t>
      </w:r>
      <w:r>
        <w:rPr>
          <w:rFonts w:ascii="Times New Roman;serif" w:hAnsi="Times New Roman;serif"/>
          <w:b w:val="false"/>
          <w:color w:val="000000"/>
          <w:sz w:val="18"/>
        </w:rPr>
        <w:t>$60.0 million</w:t>
      </w:r>
      <w:r>
        <w:rPr>
          <w:color w:val="000000"/>
          <w:shd w:fill="FFFFFF" w:val="clear"/>
        </w:rPr>
        <w:t xml:space="preserve"> </w:t>
      </w:r>
      <w:r>
        <w:rPr>
          <w:rFonts w:ascii="Times New Roman;serif" w:hAnsi="Times New Roman;serif"/>
          <w:b w:val="false"/>
          <w:color w:val="000000"/>
          <w:sz w:val="18"/>
          <w:shd w:fill="FFFFFF" w:val="clear"/>
        </w:rPr>
        <w:t>letter of credit sub-facility). In connection with the 2025 Revolving Credit Facility, all obligations under the 2021 Revolving Credit Facility were paid in full and the agreement was terminated.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2021 Revolving Credit Facility had a maturity date of September 13, 2026. Borrowings under the 2021 Revolving Credit Facility, as amended, accrued interest at a floating rate per annum equal to, at the Company’s option, (1) the Alternate Base Rate (defined in the 2021 Revolving Credit Facility as the rate per annum equal to the highest of (a) the Prime Rate in effect on such day, (b) the NYFRB Rate in effect for such day plus 0.50%, and (c) the Adjusted Term SOFR Rate for an interest period of one month plus 1.00% (subject to a floor of 1.00%) plus 0.50% per annum) or (2) the Adjusted Term SOFR Rate (subject to a floor of 0.00%) plus 1.50% per annum. </w:t>
      </w:r>
    </w:p>
    <w:p>
      <w:pPr>
        <w:pStyle w:val="TextBody"/>
        <w:bidi w:val="0"/>
        <w:spacing w:lineRule="auto" w:line="288" w:before="0" w:after="180"/>
        <w:jc w:val="left"/>
        <w:rPr/>
      </w:pPr>
      <w:r>
        <w:rPr>
          <w:rFonts w:ascii="Times New Roman;serif" w:hAnsi="Times New Roman;serif"/>
          <w:b w:val="false"/>
          <w:color w:val="000000"/>
          <w:sz w:val="18"/>
        </w:rPr>
        <w:t xml:space="preserve">The 2021 Revolving Credit Facility contained customary conditions to borrowing, events of default, and covenants, including covenants that restricted the ability to dispose of assets, merge with other entities, incur indebtedness, grant liens, pay dividends or make other distributions to holders of its capital stock, make investments, enter into restrictive agreements, or engage in transactions with affiliates. As of December 31, 2024, financial covenants in the 2021 Revolving Credit Facility included (1) a requirement to maintain a minimum Adjusted Quick Ratio of 1.50:1.00, which is tested quarterly and (2) a requirement to maintain a minimum Liquidity of $100.0 million, which is tested quarterly. </w:t>
      </w:r>
      <w:r>
        <w:rPr>
          <w:rFonts w:ascii="Times New Roman;serif" w:hAnsi="Times New Roman;serif"/>
          <w:b w:val="false"/>
          <w:color w:val="000000"/>
          <w:sz w:val="18"/>
          <w:shd w:fill="FFFFFF" w:val="clear"/>
        </w:rPr>
        <w:t>The Company was in compliance with all financial covenants under the 2021 Revolving Credit Facility as of</w:t>
      </w:r>
      <w:r>
        <w:rPr>
          <w:color w:val="000000"/>
        </w:rPr>
        <w:t xml:space="preserve"> </w:t>
      </w:r>
      <w:r>
        <w:rPr>
          <w:rFonts w:ascii="Times New Roman;serif" w:hAnsi="Times New Roman;serif"/>
          <w:b w:val="false"/>
          <w:color w:val="000000"/>
          <w:sz w:val="18"/>
          <w:shd w:fill="FFFFFF" w:val="clear"/>
        </w:rPr>
        <w:t xml:space="preserve">December 31, </w:t>
      </w:r>
      <w:r>
        <w:rPr>
          <w:rFonts w:ascii="Times New Roman;serif" w:hAnsi="Times New Roman;serif"/>
          <w:b w:val="false"/>
          <w:color w:val="000000"/>
          <w:sz w:val="18"/>
        </w:rPr>
        <w:t>2024</w:t>
      </w:r>
      <w:r>
        <w:rPr>
          <w:rFonts w:ascii="Times New Roman;serif" w:hAnsi="Times New Roman;serif"/>
          <w:b w:val="false"/>
          <w:color w:val="000000"/>
          <w:sz w:val="18"/>
          <w:shd w:fill="FFFFFF" w:val="clear"/>
        </w:rPr>
        <w:t>.</w:t>
      </w:r>
    </w:p>
    <w:p>
      <w:pPr>
        <w:pStyle w:val="TextBody"/>
        <w:bidi w:val="0"/>
        <w:spacing w:lineRule="auto" w:line="288" w:before="0" w:after="180"/>
        <w:jc w:val="left"/>
        <w:rPr/>
      </w:pPr>
      <w:r>
        <w:rPr>
          <w:rFonts w:ascii="Times New Roman;serif" w:hAnsi="Times New Roman;serif"/>
          <w:b w:val="false"/>
          <w:color w:val="000000"/>
          <w:sz w:val="18"/>
        </w:rPr>
        <w:t>The obligations under the 2021 Revolving Credit Facility were guaranteed by the material domestic subsidiaries of Remitly Global, Inc., subject to customary exceptions, and were secured by substantially all of the assets of the borrowers and guarantors thereunder, subject to customary exceptions. Amounts of borrowings under the 2021 Revolving Credit Facility fluctuated depending on transaction volumes and seasonality.</w:t>
      </w:r>
      <w:r>
        <w:rPr>
          <w:color w:val="000000"/>
          <w:shd w:fill="FFFFFF" w:val="clear"/>
        </w:rPr>
        <w:t xml:space="preserve"> </w:t>
      </w:r>
    </w:p>
    <w:p>
      <w:pPr>
        <w:pStyle w:val="TextBody"/>
        <w:bidi w:val="0"/>
        <w:spacing w:lineRule="auto" w:line="288" w:before="0" w:after="180"/>
        <w:jc w:val="left"/>
        <w:rPr/>
      </w:pPr>
      <w:r>
        <w:rPr>
          <w:rFonts w:ascii="Times New Roman;serif" w:hAnsi="Times New Roman;serif"/>
          <w:b w:val="false"/>
          <w:color w:val="000000"/>
          <w:sz w:val="18"/>
        </w:rPr>
        <w:t>As of December 31, 2024, the Company had no outstanding borrowings under the 2021 Revolving Credit Facility. As of December 31, 2024, the Company had unused borrowing capacity o</w:t>
      </w:r>
      <w:r>
        <w:rPr>
          <w:rFonts w:ascii="Times New Roman;serif" w:hAnsi="Times New Roman;serif"/>
          <w:b w:val="false"/>
          <w:color w:val="000000"/>
          <w:sz w:val="18"/>
          <w:shd w:fill="FFFFFF" w:val="clear"/>
        </w:rPr>
        <w:t xml:space="preserve">f </w:t>
      </w:r>
      <w:r>
        <w:rPr>
          <w:rFonts w:ascii="Times New Roman;serif" w:hAnsi="Times New Roman;serif"/>
          <w:b w:val="false"/>
          <w:color w:val="000000"/>
          <w:sz w:val="18"/>
        </w:rPr>
        <w:t>$277.3 million under the 2021 Revolving Credit Facility. As of December 31, 2024, the Company had $48.2 million, in issued, but undrawn, standby letters of credit.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1005"/>
                <wp:effectExtent l="0" t="0" r="0" b="0"/>
                <wp:wrapNone/>
                <wp:docPr id="15" name="Frame1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pPr>
      <w:r>
        <w:rPr>
          <w:rFonts w:ascii="Times New Roman;serif" w:hAnsi="Times New Roman;serif"/>
          <w:b/>
          <w:color w:val="000000"/>
          <w:sz w:val="18"/>
          <w:shd w:fill="FFFFFF" w:val="clear"/>
        </w:rPr>
        <w:t>9.    </w:t>
      </w:r>
      <w:r>
        <w:rPr>
          <w:rFonts w:ascii="Times New Roman;serif" w:hAnsi="Times New Roman;serif"/>
          <w:b/>
          <w:color w:val="000000"/>
          <w:sz w:val="18"/>
        </w:rPr>
        <w:t>Net Income (Loss)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calculation of basic and diluted net income (loss) per share attributable to common stockholders for the periods indicated. Basic net income (loss) per share is calculated using the weighted-average number of shares of common stock outstanding during the period. Diluted net income per share is calculated using the weighted-average number of shares of common stock outstanding including the dilutive effect of all potential shares of common stock as determined under the treasury stock method. Dilutive common shares primarily include outstanding stock options, unvested RSUs, and Employee Stock Purchase Plan (“ESPP”) related shares. In periods when the Company reported a net loss, diluted net loss per share is the same as basic net loss per share because the effects of potentially dilutive items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56"/>
        <w:gridCol w:w="1295"/>
        <w:gridCol w:w="1304"/>
        <w:gridCol w:w="273"/>
        <w:gridCol w:w="778"/>
        <w:gridCol w:w="114"/>
        <w:gridCol w:w="114"/>
        <w:gridCol w:w="114"/>
        <w:gridCol w:w="114"/>
        <w:gridCol w:w="240"/>
        <w:gridCol w:w="811"/>
        <w:gridCol w:w="114"/>
        <w:gridCol w:w="109"/>
        <w:gridCol w:w="109"/>
        <w:gridCol w:w="109"/>
        <w:gridCol w:w="244"/>
        <w:gridCol w:w="807"/>
        <w:gridCol w:w="109"/>
        <w:gridCol w:w="109"/>
        <w:gridCol w:w="109"/>
        <w:gridCol w:w="109"/>
        <w:gridCol w:w="240"/>
        <w:gridCol w:w="811"/>
        <w:gridCol w:w="313"/>
      </w:tblGrid>
      <w:tr>
        <w:trPr/>
        <w:tc>
          <w:tcPr>
            <w:tcW w:w="175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(loss) per share attributable to common stockholders:</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204,693,035 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193,452,628 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203,226,963 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191,650,713 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14,284,526 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15,477,375 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218,977,561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193,452,628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218,704,338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191,650,713</w:t>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attributable to common stockholders:</w:t>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securities were not included in the computation of diluted shares outstanding because the effect would be anti-dilutive:</w:t>
      </w:r>
    </w:p>
    <w:tbl>
      <w:tblPr>
        <w:tblW w:w="10205" w:type="dxa"/>
        <w:jc w:val="left"/>
        <w:tblInd w:w="0" w:type="dxa"/>
        <w:tblLayout w:type="fixed"/>
        <w:tblCellMar>
          <w:top w:w="28" w:type="dxa"/>
          <w:left w:w="28" w:type="dxa"/>
          <w:bottom w:w="28" w:type="dxa"/>
          <w:right w:w="28" w:type="dxa"/>
        </w:tblCellMar>
      </w:tblPr>
      <w:tblGrid>
        <w:gridCol w:w="1607"/>
        <w:gridCol w:w="1354"/>
        <w:gridCol w:w="1362"/>
        <w:gridCol w:w="604"/>
        <w:gridCol w:w="268"/>
        <w:gridCol w:w="188"/>
        <w:gridCol w:w="188"/>
        <w:gridCol w:w="188"/>
        <w:gridCol w:w="188"/>
        <w:gridCol w:w="667"/>
        <w:gridCol w:w="294"/>
        <w:gridCol w:w="188"/>
        <w:gridCol w:w="109"/>
        <w:gridCol w:w="109"/>
        <w:gridCol w:w="109"/>
        <w:gridCol w:w="589"/>
        <w:gridCol w:w="282"/>
        <w:gridCol w:w="174"/>
        <w:gridCol w:w="174"/>
        <w:gridCol w:w="174"/>
        <w:gridCol w:w="174"/>
        <w:gridCol w:w="650"/>
        <w:gridCol w:w="311"/>
        <w:gridCol w:w="254"/>
      </w:tblGrid>
      <w:tr>
        <w:trPr/>
        <w:tc>
          <w:tcPr>
            <w:tcW w:w="160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outstanding</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9,406,325 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9,406,325 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RSUs outstanding</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1,443,143 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25,198,287 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1,443,143 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25,198,287 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378,790 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1,128,472 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378,790 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1,128,472 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3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common stock, subject to service-based vesting conditions, issued in connection with acquisition</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52,040 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3"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3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1,823,183 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35,785,124 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1,823,183 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35,785,124 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10.    Common Stock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As of June 30, 2025,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No dividends have been declared or paid by the Company during the six months ended June 30,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Donation to Remitly Philanthropy Fund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installments over ten years. On September 10, 2021, the Company executed the stock donation agreement, pursuant to which it issued the first installment of the Pledge 1% commitment to Remitly Philanthropy Fund, a donor advised fund administered on the Company’s behalf by Rockefeller Philanthropy Advisors, Inc., on the day after consummation of the Company’s initial public offering. </w:t>
      </w:r>
    </w:p>
    <w:p>
      <w:pPr>
        <w:pStyle w:val="TextBody"/>
        <w:bidi w:val="0"/>
        <w:spacing w:lineRule="auto" w:line="288" w:before="0" w:after="180"/>
        <w:jc w:val="left"/>
        <w:rPr/>
      </w:pPr>
      <w:r>
        <w:rPr>
          <w:rFonts w:ascii="Times New Roman;serif" w:hAnsi="Times New Roman;serif"/>
          <w:b w:val="false"/>
          <w:color w:val="000000"/>
          <w:sz w:val="18"/>
        </w:rPr>
        <w:t xml:space="preserve">The Company donated 45,490 shares of its common stock to Remitly Philanthropy Fund on both March 7, 2025 and June 12, 2025, pursuant to the stock donation agreement, and in connection with the Pledge 1% commitment, which publicly acknowledges the Company’s intent to give back and increase social impact, in order to sustainably fund a portion of its corporate social responsibility goals and further its mission to expand financial inclusion for immigrants. Historically, these contributions were performed annually. In the three and six months ended June 30, 2025, quarterly donations were completed in an amount equal to a quarter of the annual share contribution. For the three and six months ended June 30, 2025, the Company recorded a charge </w:t>
      </w:r>
      <w:r>
        <w:rPr>
          <w:rFonts w:ascii="Times New Roman;serif" w:hAnsi="Times New Roman;serif"/>
          <w:b w:val="false"/>
          <w:color w:val="000000"/>
          <w:sz w:val="18"/>
          <w:shd w:fill="FFFFFF" w:val="clear"/>
        </w:rPr>
        <w:t xml:space="preserve">of </w:t>
      </w:r>
      <w:r>
        <w:rPr>
          <w:rFonts w:ascii="Times New Roman;serif" w:hAnsi="Times New Roman;serif"/>
          <w:b w:val="false"/>
          <w:color w:val="000000"/>
          <w:sz w:val="18"/>
        </w:rPr>
        <w:t>$0.9 million and $1.9 million, respectively, to ‘</w:t>
      </w: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within the</w:t>
      </w:r>
      <w:r>
        <w:rPr>
          <w:color w:val="000000"/>
        </w:rPr>
        <w:t xml:space="preserve"> </w:t>
      </w:r>
      <w:r>
        <w:rPr>
          <w:rFonts w:ascii="Times New Roman;serif" w:hAnsi="Times New Roman;serif"/>
          <w:b w:val="false"/>
          <w:color w:val="000000"/>
          <w:sz w:val="18"/>
        </w:rPr>
        <w:t>Condensed Consolidated Statements of Operations based on the closing price of its common stock as reported on the Nasdaq Global Select Market (the “NASDAQ”) on March 7, 2025, and June 12, 2025, respectively. There were no donations completed during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1005"/>
                <wp:effectExtent l="0" t="0" r="0" b="0"/>
                <wp:wrapNone/>
                <wp:docPr id="16" name="Frame1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11.    Stock-Based Compensation </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Shares Available for Issuance</w:t>
      </w:r>
    </w:p>
    <w:p>
      <w:pPr>
        <w:pStyle w:val="TextBody"/>
        <w:bidi w:val="0"/>
        <w:spacing w:lineRule="auto" w:line="288" w:before="0" w:after="180"/>
        <w:jc w:val="left"/>
        <w:rPr/>
      </w:pPr>
      <w:r>
        <w:rPr>
          <w:rFonts w:ascii="Times New Roman;serif" w:hAnsi="Times New Roman;serif"/>
          <w:b w:val="false"/>
          <w:color w:val="000000"/>
          <w:sz w:val="18"/>
          <w:shd w:fill="FFFFFF" w:val="clear"/>
        </w:rPr>
        <w:t xml:space="preserve">As of </w:t>
      </w:r>
      <w:r>
        <w:rPr>
          <w:rFonts w:ascii="Times New Roman;serif" w:hAnsi="Times New Roman;serif"/>
          <w:b w:val="false"/>
          <w:color w:val="000000"/>
          <w:sz w:val="18"/>
        </w:rPr>
        <w:t>June 30, 2025</w:t>
      </w:r>
      <w:r>
        <w:rPr>
          <w:rFonts w:ascii="Times New Roman;serif" w:hAnsi="Times New Roman;serif"/>
          <w:b w:val="false"/>
          <w:color w:val="000000"/>
          <w:sz w:val="18"/>
          <w:shd w:fill="FFFFFF" w:val="clear"/>
        </w:rPr>
        <w:t xml:space="preserve">, </w:t>
      </w:r>
      <w:r>
        <w:rPr>
          <w:rFonts w:ascii="Times New Roman;serif" w:hAnsi="Times New Roman;serif"/>
          <w:b w:val="false"/>
          <w:color w:val="000000"/>
          <w:sz w:val="18"/>
        </w:rPr>
        <w:t>17,676,055</w:t>
      </w:r>
      <w:r>
        <w:rPr>
          <w:color w:val="000000"/>
          <w:shd w:fill="FFFFFF" w:val="clear"/>
        </w:rPr>
        <w:t xml:space="preserve"> </w:t>
      </w:r>
      <w:r>
        <w:rPr>
          <w:rFonts w:ascii="Times New Roman;serif" w:hAnsi="Times New Roman;serif"/>
          <w:b w:val="false"/>
          <w:color w:val="000000"/>
          <w:sz w:val="18"/>
          <w:shd w:fill="FFFFFF" w:val="clear"/>
        </w:rPr>
        <w:t xml:space="preserve">and </w:t>
      </w:r>
      <w:r>
        <w:rPr>
          <w:rFonts w:ascii="Times New Roman;serif" w:hAnsi="Times New Roman;serif"/>
          <w:b w:val="false"/>
          <w:color w:val="000000"/>
          <w:sz w:val="18"/>
        </w:rPr>
        <w:t>8,429,925</w:t>
      </w:r>
      <w:r>
        <w:rPr>
          <w:color w:val="000000"/>
          <w:shd w:fill="FFFFFF" w:val="clear"/>
        </w:rPr>
        <w:t xml:space="preserve"> </w:t>
      </w:r>
      <w:r>
        <w:rPr>
          <w:rFonts w:ascii="Times New Roman;serif" w:hAnsi="Times New Roman;serif"/>
          <w:b w:val="false"/>
          <w:color w:val="000000"/>
          <w:sz w:val="18"/>
          <w:shd w:fill="FFFFFF" w:val="clear"/>
        </w:rPr>
        <w:t>awards remain available for issuance under the 2021 Plan and the ESPP, respectively.</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Stock Options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stock option activity during the six months ended June 30, 2025:</w:t>
      </w:r>
    </w:p>
    <w:tbl>
      <w:tblPr>
        <w:tblW w:w="10205" w:type="dxa"/>
        <w:jc w:val="left"/>
        <w:tblInd w:w="0" w:type="dxa"/>
        <w:tblLayout w:type="fixed"/>
        <w:tblCellMar>
          <w:top w:w="28" w:type="dxa"/>
          <w:left w:w="28" w:type="dxa"/>
          <w:bottom w:w="28" w:type="dxa"/>
          <w:right w:w="28" w:type="dxa"/>
        </w:tblCellMar>
      </w:tblPr>
      <w:tblGrid>
        <w:gridCol w:w="675"/>
        <w:gridCol w:w="577"/>
        <w:gridCol w:w="581"/>
        <w:gridCol w:w="644"/>
        <w:gridCol w:w="505"/>
        <w:gridCol w:w="506"/>
        <w:gridCol w:w="109"/>
        <w:gridCol w:w="109"/>
        <w:gridCol w:w="109"/>
        <w:gridCol w:w="469"/>
        <w:gridCol w:w="1117"/>
        <w:gridCol w:w="262"/>
        <w:gridCol w:w="109"/>
        <w:gridCol w:w="109"/>
        <w:gridCol w:w="109"/>
        <w:gridCol w:w="806"/>
        <w:gridCol w:w="806"/>
        <w:gridCol w:w="807"/>
        <w:gridCol w:w="109"/>
        <w:gridCol w:w="109"/>
        <w:gridCol w:w="109"/>
        <w:gridCol w:w="263"/>
        <w:gridCol w:w="991"/>
        <w:gridCol w:w="215"/>
      </w:tblGrid>
      <w:tr>
        <w:trPr/>
        <w:tc>
          <w:tcPr>
            <w:tcW w:w="6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Aggregate Intrinsic Value</w:t>
            </w:r>
            <w:r>
              <w:rPr>
                <w:rFonts w:ascii="Times New Roman;serif" w:hAnsi="Times New Roman;serif"/>
                <w:b/>
                <w:color w:val="000000"/>
                <w:sz w:val="10"/>
              </w:rPr>
              <w:t>(1)</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January 1, 2025</w:t>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8,240,251 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148,247 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(1,365,728)</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25,521 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(11,190)</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Balances as of June 30, 2025</w:t>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6,863,333 </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95,730 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exercisable as of June 30, 2025</w:t>
            </w:r>
          </w:p>
        </w:tc>
        <w:tc>
          <w:tcPr>
            <w:tcW w:w="11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6,862,831 </w:t>
            </w:r>
          </w:p>
        </w:tc>
        <w:tc>
          <w:tcPr>
            <w:tcW w:w="5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95,728 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Vested and expected to vest as of June 30, 2025</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6,863,333 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95,730 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The aggregate intrinsic value is calculated as the difference between the exercise price of the underlying stock options and the estimated fair value of the Company’s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 stock options were granted during the six months ended June 30, 2025 and 2024.</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stock option activity during the six months ended June 30, 2025 and 2024:</w:t>
      </w:r>
    </w:p>
    <w:tbl>
      <w:tblPr>
        <w:tblW w:w="5845" w:type="dxa"/>
        <w:jc w:val="left"/>
        <w:tblInd w:w="0" w:type="dxa"/>
        <w:tblLayout w:type="fixed"/>
        <w:tblCellMar>
          <w:top w:w="28" w:type="dxa"/>
          <w:left w:w="28" w:type="dxa"/>
          <w:bottom w:w="28" w:type="dxa"/>
          <w:right w:w="28" w:type="dxa"/>
        </w:tblCellMar>
      </w:tblPr>
      <w:tblGrid>
        <w:gridCol w:w="1293"/>
        <w:gridCol w:w="1137"/>
        <w:gridCol w:w="1140"/>
        <w:gridCol w:w="213"/>
        <w:gridCol w:w="605"/>
        <w:gridCol w:w="118"/>
        <w:gridCol w:w="118"/>
        <w:gridCol w:w="118"/>
        <w:gridCol w:w="118"/>
        <w:gridCol w:w="213"/>
        <w:gridCol w:w="605"/>
        <w:gridCol w:w="167"/>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grant-date fair value of options vested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Intrinsic value of options exercised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Restricted Stock Units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Restricted stock unit activity during the six months ended June 30, 2025 was as follows:</w:t>
      </w:r>
    </w:p>
    <w:tbl>
      <w:tblPr>
        <w:tblW w:w="7909" w:type="dxa"/>
        <w:jc w:val="left"/>
        <w:tblInd w:w="0" w:type="dxa"/>
        <w:tblLayout w:type="fixed"/>
        <w:tblCellMar>
          <w:top w:w="28" w:type="dxa"/>
          <w:left w:w="28" w:type="dxa"/>
          <w:bottom w:w="28" w:type="dxa"/>
          <w:right w:w="28" w:type="dxa"/>
        </w:tblCellMar>
      </w:tblPr>
      <w:tblGrid>
        <w:gridCol w:w="776"/>
        <w:gridCol w:w="682"/>
        <w:gridCol w:w="687"/>
        <w:gridCol w:w="480"/>
        <w:gridCol w:w="481"/>
        <w:gridCol w:w="471"/>
        <w:gridCol w:w="109"/>
        <w:gridCol w:w="109"/>
        <w:gridCol w:w="109"/>
        <w:gridCol w:w="864"/>
        <w:gridCol w:w="2457"/>
        <w:gridCol w:w="684"/>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 Per Share</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January 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23,886,131 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6,324,001 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(4,165,864)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Cancelled/forfeited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(1,902,346)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Unvested at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24,141,922 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17.28 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is a summary of the Company’s restricted stock unit activity during the six months ended June 30, 2025 and 2024:</w:t>
      </w:r>
    </w:p>
    <w:tbl>
      <w:tblPr>
        <w:tblW w:w="6354" w:type="dxa"/>
        <w:jc w:val="left"/>
        <w:tblInd w:w="0" w:type="dxa"/>
        <w:tblLayout w:type="fixed"/>
        <w:tblCellMar>
          <w:top w:w="28" w:type="dxa"/>
          <w:left w:w="28" w:type="dxa"/>
          <w:bottom w:w="28" w:type="dxa"/>
          <w:right w:w="28" w:type="dxa"/>
        </w:tblCellMar>
      </w:tblPr>
      <w:tblGrid>
        <w:gridCol w:w="1475"/>
        <w:gridCol w:w="1297"/>
        <w:gridCol w:w="1307"/>
        <w:gridCol w:w="213"/>
        <w:gridCol w:w="605"/>
        <w:gridCol w:w="118"/>
        <w:gridCol w:w="118"/>
        <w:gridCol w:w="118"/>
        <w:gridCol w:w="118"/>
        <w:gridCol w:w="213"/>
        <w:gridCol w:w="605"/>
        <w:gridCol w:w="167"/>
      </w:tblGrid>
      <w:tr>
        <w:trPr/>
        <w:tc>
          <w:tcPr>
            <w:tcW w:w="147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grant date fair value of RSUs granted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grant-date fair value of RSUs vested</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62,530 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Employee Stock Purchase Plan (“ESPP”)</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 new 24-month ESPP offering period commenced on March 1, 2025, and a new 12-month ESPP offering period will commence on September 1, 2025. The ESPP includes a rollover feature for the purchase price if the Company's stock price at the end of the purchase period is less than the Company's stock price on the first day of the offering. If this rollover feature is triggered, a new offering period begins. This feature under the ESPP was triggered on February 29, 2024, resulting in incremental stock-based compensation expense of $1.7 million to be recognized over the new offering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1005"/>
                <wp:effectExtent l="0" t="0" r="0" b="0"/>
                <wp:wrapNone/>
                <wp:docPr id="17" name="Frame1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fair value of the ESPP offerings, including those described above, were estimated using the Black-Scholes option-pricing model as of the respective offering dates, using the following assumptions. These assumptions represent the grant date fair value inputs for new offerings which commenced during the six months ended June 30, 2025 and 2024, as well as updated valuation information as of the modification date for any offerings for which a modification occurred during the periods presented herein:</w:t>
      </w:r>
    </w:p>
    <w:tbl>
      <w:tblPr>
        <w:tblW w:w="5200" w:type="dxa"/>
        <w:jc w:val="left"/>
        <w:tblInd w:w="0" w:type="dxa"/>
        <w:tblLayout w:type="fixed"/>
        <w:tblCellMar>
          <w:top w:w="28" w:type="dxa"/>
          <w:left w:w="28" w:type="dxa"/>
          <w:bottom w:w="28" w:type="dxa"/>
          <w:right w:w="28" w:type="dxa"/>
        </w:tblCellMar>
      </w:tblPr>
      <w:tblGrid>
        <w:gridCol w:w="668"/>
        <w:gridCol w:w="586"/>
        <w:gridCol w:w="590"/>
        <w:gridCol w:w="290"/>
        <w:gridCol w:w="290"/>
        <w:gridCol w:w="680"/>
        <w:gridCol w:w="191"/>
        <w:gridCol w:w="191"/>
        <w:gridCol w:w="191"/>
        <w:gridCol w:w="290"/>
        <w:gridCol w:w="290"/>
        <w:gridCol w:w="680"/>
        <w:gridCol w:w="109"/>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3.92% to 4.26%</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4.49% to 5.20%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 to 2.0 years</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0.5 to 2.0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43.8% to 49.1%</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52.9% to 61.3%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rate</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Stock-Based Compensation Expense</w:t>
      </w:r>
    </w:p>
    <w:p>
      <w:pPr>
        <w:pStyle w:val="TextBody"/>
        <w:bidi w:val="0"/>
        <w:spacing w:lineRule="auto" w:line="288" w:before="0" w:after="180"/>
        <w:jc w:val="left"/>
        <w:rPr/>
      </w:pPr>
      <w:r>
        <w:rPr>
          <w:rFonts w:ascii="Times New Roman;serif" w:hAnsi="Times New Roman;serif"/>
          <w:b w:val="false"/>
          <w:color w:val="000000"/>
          <w:sz w:val="18"/>
        </w:rPr>
        <w:t xml:space="preserve">Stock-based compensation expense for stock options, RSUs, and ESPP, included within the Condensed Consolidated Statements of Operations, net of amounts capitalized to internal-use software, as described in Note 5. </w:t>
      </w:r>
      <w:r>
        <w:rPr>
          <w:rFonts w:ascii="Times New Roman;serif" w:hAnsi="Times New Roman;serif"/>
          <w:b w:val="false"/>
          <w:i/>
          <w:color w:val="000000"/>
          <w:sz w:val="18"/>
        </w:rPr>
        <w:t>Property and Equipment</w:t>
      </w:r>
      <w:r>
        <w:rPr>
          <w:rFonts w:ascii="Times New Roman;serif" w:hAnsi="Times New Roman;serif"/>
          <w:b w:val="false"/>
          <w:color w:val="000000"/>
          <w:sz w:val="18"/>
        </w:rPr>
        <w:t>, was as follows:</w:t>
      </w:r>
    </w:p>
    <w:tbl>
      <w:tblPr>
        <w:tblW w:w="7518" w:type="dxa"/>
        <w:jc w:val="left"/>
        <w:tblInd w:w="0" w:type="dxa"/>
        <w:tblLayout w:type="fixed"/>
        <w:tblCellMar>
          <w:top w:w="28" w:type="dxa"/>
          <w:left w:w="28" w:type="dxa"/>
          <w:bottom w:w="28" w:type="dxa"/>
          <w:right w:w="28" w:type="dxa"/>
        </w:tblCellMar>
      </w:tblPr>
      <w:tblGrid>
        <w:gridCol w:w="896"/>
        <w:gridCol w:w="788"/>
        <w:gridCol w:w="790"/>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Marketing</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37,157 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June 30, 2025, the total unamortized compensation cost related to all non-vested equity awards, including options and RSUs, was $338.0 million, which will be amortized over a weighted-average remaining requisite service period of approximately 2.6 years. As of June 30, 2025, the total unrecognized compensation expense related to the ESPP was $8.1 million, which is expected to be amortized over the next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12.    Restructuring Initiatives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had no material restructuring initiatives for the three and six months ended June 30, 2025.</w:t>
      </w:r>
    </w:p>
    <w:p>
      <w:pPr>
        <w:pStyle w:val="TextBody"/>
        <w:bidi w:val="0"/>
        <w:spacing w:lineRule="auto" w:line="288" w:before="0" w:after="180"/>
        <w:jc w:val="left"/>
        <w:rPr/>
      </w:pPr>
      <w:r>
        <w:rPr>
          <w:rFonts w:ascii="Times New Roman;serif" w:hAnsi="Times New Roman;serif"/>
          <w:b w:val="false"/>
          <w:color w:val="000000"/>
          <w:sz w:val="18"/>
        </w:rPr>
        <w:t xml:space="preserve">In the </w:t>
      </w:r>
      <w:r>
        <w:rPr>
          <w:rFonts w:ascii="Times New Roman;serif" w:hAnsi="Times New Roman;serif"/>
          <w:b w:val="false"/>
          <w:color w:val="000000"/>
          <w:sz w:val="18"/>
          <w:shd w:fill="FFFFFF" w:val="clear"/>
        </w:rPr>
        <w:t>six</w:t>
      </w:r>
      <w:r>
        <w:rPr>
          <w:color w:val="000000"/>
        </w:rPr>
        <w:t xml:space="preserve"> </w:t>
      </w:r>
      <w:r>
        <w:rPr>
          <w:rFonts w:ascii="Times New Roman;serif" w:hAnsi="Times New Roman;serif"/>
          <w:b w:val="false"/>
          <w:color w:val="000000"/>
          <w:sz w:val="18"/>
        </w:rPr>
        <w:t>months ended June 30, 2024, as a result of simplifying and scaling certain processes, functions, and team capabilities, the Company continued restructuring initiatives that commenced within the three months ended September 30, 2023 in order to better serve the Company's customers and allow the Company to centralize, transform, and automate global operations. The Company incurred no charges and $0.8 million for the three and six months ended June 30, 2024, respectively, related to these initiatives. Restructuring costs incurred primarily included severance and certain other associated costs. These specific restructuring initiatives were complete as of June 30, 2024.</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restructuring costs included within the Condensed Consolidated Statements of Operations for the six months ended June 30, 2024:</w:t>
      </w:r>
    </w:p>
    <w:tbl>
      <w:tblPr>
        <w:tblW w:w="3270" w:type="dxa"/>
        <w:jc w:val="center"/>
        <w:tblInd w:w="0" w:type="dxa"/>
        <w:tblLayout w:type="fixed"/>
        <w:tblCellMar>
          <w:top w:w="28" w:type="dxa"/>
          <w:left w:w="28" w:type="dxa"/>
          <w:bottom w:w="28" w:type="dxa"/>
          <w:right w:w="28" w:type="dxa"/>
        </w:tblCellMar>
      </w:tblPr>
      <w:tblGrid>
        <w:gridCol w:w="896"/>
        <w:gridCol w:w="788"/>
        <w:gridCol w:w="790"/>
        <w:gridCol w:w="202"/>
        <w:gridCol w:w="434"/>
        <w:gridCol w:w="160"/>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restructuring costs</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the changes in liabilities, including expenses incurred and cash payments resulting from the restructuring costs and related accruals, during the six months ended June 30, 2024:</w:t>
      </w:r>
    </w:p>
    <w:tbl>
      <w:tblPr>
        <w:tblW w:w="3301" w:type="dxa"/>
        <w:jc w:val="center"/>
        <w:tblInd w:w="0" w:type="dxa"/>
        <w:tblLayout w:type="fixed"/>
        <w:tblCellMar>
          <w:top w:w="28" w:type="dxa"/>
          <w:left w:w="28" w:type="dxa"/>
          <w:bottom w:w="28" w:type="dxa"/>
          <w:right w:w="28" w:type="dxa"/>
        </w:tblCellMar>
      </w:tblPr>
      <w:tblGrid>
        <w:gridCol w:w="907"/>
        <w:gridCol w:w="798"/>
        <w:gridCol w:w="800"/>
        <w:gridCol w:w="206"/>
        <w:gridCol w:w="427"/>
        <w:gridCol w:w="163"/>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Expenses incurred</w:t>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payments</w:t>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2024</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1005"/>
                <wp:effectExtent l="0" t="0" r="0" b="0"/>
                <wp:wrapNone/>
                <wp:docPr id="18" name="Frame1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13.    Income Taxes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 computes its tax provision for interim periods by applying the estimated annual effective tax rate to year-to-date income from recurring operations and adjusting for discrete items arising in that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val="false"/>
          <w:color w:val="000000"/>
          <w:sz w:val="18"/>
        </w:rPr>
        <w:t>The Company’s effective tax rates on pre-tax income wer</w:t>
      </w:r>
      <w:r>
        <w:rPr>
          <w:rFonts w:ascii="Times New Roman;serif" w:hAnsi="Times New Roman;serif"/>
          <w:b w:val="false"/>
          <w:color w:val="000000"/>
          <w:sz w:val="18"/>
          <w:shd w:fill="FFFFFF" w:val="clear"/>
        </w:rPr>
        <w:t xml:space="preserve">e 19.4% and (37.4)% for the three months ended June 30, 2025 and 2024, respectively, and 22.4% and (14.8)% for the </w:t>
      </w:r>
      <w:r>
        <w:rPr>
          <w:rFonts w:ascii="Times New Roman;serif" w:hAnsi="Times New Roman;serif"/>
          <w:b w:val="false"/>
          <w:color w:val="000000"/>
          <w:sz w:val="18"/>
        </w:rPr>
        <w:t>six</w:t>
      </w:r>
      <w:r>
        <w:rPr>
          <w:color w:val="000000"/>
          <w:shd w:fill="FFFFFF" w:val="clear"/>
        </w:rPr>
        <w:t xml:space="preserve"> </w:t>
      </w:r>
      <w:r>
        <w:rPr>
          <w:rFonts w:ascii="Times New Roman;serif" w:hAnsi="Times New Roman;serif"/>
          <w:b w:val="false"/>
          <w:color w:val="000000"/>
          <w:sz w:val="18"/>
          <w:shd w:fill="FFFFFF" w:val="clear"/>
        </w:rPr>
        <w:t xml:space="preserve">months ended June 30, 2025 and 2024, respectively. </w:t>
      </w:r>
      <w:r>
        <w:rPr>
          <w:rFonts w:ascii="Times New Roman;serif" w:hAnsi="Times New Roman;serif"/>
          <w:b w:val="false"/>
          <w:color w:val="000000"/>
          <w:sz w:val="18"/>
        </w:rPr>
        <w:t xml:space="preserve">The difference between the effective tax rate and the U.S. federal statutory rate of 21.0% in both periods was primarily the result of foreign income taxed at different rates, changes in the U.S. valuation allowance, non-deductible stock-based compensation, and recognition of a discrete income tax benefit, primarily driven by excess stock-based compensation deductions.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maintains a full valuation allowance against the U.S. net deferred tax assets, as it believes that these deferred tax assets do not meet the more likely than not threshold.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files income tax returns in the U.S. federal jurisdiction, various state jurisdictions, and internationally. As of June 30, 2025, tax years 2012 through 2024 remain open for examination by taxing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14.    Commitments and Contingencies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Guarantees and Indemnification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amended and restated certificate of incorporation and amended and restated bylaws include similar indemnification obligations to its officers and directors. To date, there have been no claims under any indemnification provisions; therefore, no such amounts have been accrued as of June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Litigation and Loss Contingencies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Litigation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As of June 30, 2025, the Company was involved in certain intellectual property and trademark disputes in certain jurisdictions; any potential loss related to those disputes cannot currently be reasonably estimated and any impact is expected to be immaterial.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Although the results of litigation and claims are inherently unpredictable, the Company does not believe that there was a reasonable possibility that it had incurred a material loss with respect to such loss contingencies as of June 30,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Purchase Commitments</w:t>
      </w:r>
    </w:p>
    <w:p>
      <w:pPr>
        <w:pStyle w:val="TextBody"/>
        <w:bidi w:val="0"/>
        <w:spacing w:lineRule="auto" w:line="288" w:before="0" w:after="180"/>
        <w:jc w:val="left"/>
        <w:rPr/>
      </w:pPr>
      <w:r>
        <w:rPr>
          <w:rFonts w:ascii="Times New Roman;serif" w:hAnsi="Times New Roman;serif"/>
          <w:b w:val="false"/>
          <w:color w:val="000000"/>
          <w:sz w:val="18"/>
        </w:rPr>
        <w:t>The disclosure of purchase commitments in these condensed consolidated financial statements should be read in conjunction with the consolidated financial statements and related notes within the Company’s Annual Report on Form 10-K for the year ended December 31, 2024. The Company routinely enters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given notice of cancellation based on the applicable terms of the agreements.</w:t>
      </w:r>
      <w:r>
        <w:rPr>
          <w:color w:val="00000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July 2025, the Company entered into a five-year cloud infrastructure arrangement in an amount of $134.5 million, increasing the total future minimum payments under non-cancellable purchase commitments from the amounts disclosed within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Leases Commenced in Current Period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2025, the Company entered into lease agreements for its corporate facilities with terms of one to seven years and contractual lease commitments of $12.6 million. Leasehold improvements within certain of the facilities will be constructed under the Company’s direction, and the Company will be entitled to an allowance for a substantial portion of the improvements.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1005"/>
                <wp:effectExtent l="0" t="0" r="0" b="0"/>
                <wp:wrapNone/>
                <wp:docPr id="19" name="Frame1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Reserve for Transaction Losses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the Company’s reserve for transaction losses for the three and six months ended June 30, 2025 and 2024: </w:t>
      </w:r>
    </w:p>
    <w:tbl>
      <w:tblPr>
        <w:tblW w:w="7549" w:type="dxa"/>
        <w:jc w:val="left"/>
        <w:tblInd w:w="0" w:type="dxa"/>
        <w:tblLayout w:type="fixed"/>
        <w:tblCellMar>
          <w:top w:w="28" w:type="dxa"/>
          <w:left w:w="28" w:type="dxa"/>
          <w:bottom w:w="28" w:type="dxa"/>
          <w:right w:w="28" w:type="dxa"/>
        </w:tblCellMar>
      </w:tblPr>
      <w:tblGrid>
        <w:gridCol w:w="907"/>
        <w:gridCol w:w="798"/>
        <w:gridCol w:w="800"/>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for transaction losses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Losses incurred, net of recoveries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(26,447)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(15,996)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15.    Accrued Expenses &amp; Other Current Liabilities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 consisted of the following:</w:t>
      </w:r>
    </w:p>
    <w:tbl>
      <w:tblPr>
        <w:tblW w:w="5747" w:type="dxa"/>
        <w:jc w:val="left"/>
        <w:tblInd w:w="0" w:type="dxa"/>
        <w:tblLayout w:type="fixed"/>
        <w:tblCellMar>
          <w:top w:w="28" w:type="dxa"/>
          <w:left w:w="28" w:type="dxa"/>
          <w:bottom w:w="28" w:type="dxa"/>
          <w:right w:w="28" w:type="dxa"/>
        </w:tblCellMar>
      </w:tblPr>
      <w:tblGrid>
        <w:gridCol w:w="1157"/>
        <w:gridCol w:w="1017"/>
        <w:gridCol w:w="1020"/>
        <w:gridCol w:w="196"/>
        <w:gridCol w:w="736"/>
        <w:gridCol w:w="109"/>
        <w:gridCol w:w="109"/>
        <w:gridCol w:w="109"/>
        <w:gridCol w:w="109"/>
        <w:gridCol w:w="214"/>
        <w:gridCol w:w="803"/>
        <w:gridCol w:w="168"/>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Trade settlement liability</w:t>
            </w:r>
            <w:r>
              <w:rPr>
                <w:rFonts w:ascii="Times New Roman;serif" w:hAnsi="Times New Roman;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33,946 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transaction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marketing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salary, benefits, and related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Reserve for transaction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taxes and taxes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ESPP employee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Accrued property and equipment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116,652 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trade settlement liability amount represents the total of disbursement postfunding liabilities and book overdrafts owed to the Company’s disbursement partners. Refer to Note 2. </w:t>
      </w:r>
      <w:r>
        <w:rPr>
          <w:rFonts w:ascii="Times New Roman;serif" w:hAnsi="Times New Roman;serif"/>
          <w:b w:val="false"/>
          <w:i/>
          <w:color w:val="000000"/>
          <w:sz w:val="16"/>
        </w:rPr>
        <w:t>Basis of Presentation and Summary of Significant Accounting Policies</w:t>
      </w:r>
      <w:r>
        <w:rPr>
          <w:color w:val="000000"/>
        </w:rPr>
        <w:t xml:space="preserve"> </w:t>
      </w:r>
      <w:r>
        <w:rPr>
          <w:rFonts w:ascii="Times New Roman;serif" w:hAnsi="Times New Roman;serif"/>
          <w:b w:val="false"/>
          <w:color w:val="000000"/>
          <w:sz w:val="16"/>
        </w:rPr>
        <w:t>within the notes to consolidated financial statements included in the Company’s Annual Report on Form 10-K for the year ended December 31, 2024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16.    Supplemental Cash Flow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supplemental disclosures of cash flow information consisted of the following:</w:t>
      </w:r>
    </w:p>
    <w:tbl>
      <w:tblPr>
        <w:tblW w:w="10205" w:type="dxa"/>
        <w:jc w:val="left"/>
        <w:tblInd w:w="0" w:type="dxa"/>
        <w:tblLayout w:type="fixed"/>
        <w:tblCellMar>
          <w:top w:w="28" w:type="dxa"/>
          <w:left w:w="28" w:type="dxa"/>
          <w:bottom w:w="28" w:type="dxa"/>
          <w:right w:w="28" w:type="dxa"/>
        </w:tblCellMar>
      </w:tblPr>
      <w:tblGrid>
        <w:gridCol w:w="2869"/>
        <w:gridCol w:w="2521"/>
        <w:gridCol w:w="2541"/>
        <w:gridCol w:w="212"/>
        <w:gridCol w:w="604"/>
        <w:gridCol w:w="117"/>
        <w:gridCol w:w="117"/>
        <w:gridCol w:w="117"/>
        <w:gridCol w:w="117"/>
        <w:gridCol w:w="212"/>
        <w:gridCol w:w="604"/>
        <w:gridCol w:w="174"/>
      </w:tblGrid>
      <w:tr>
        <w:trPr/>
        <w:tc>
          <w:tcPr>
            <w:tcW w:w="286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3,239 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and financing activities</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1"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obtained in exchange for operating lease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5,310 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early exercised options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capitalized to internal-use software</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2,768 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 of equity amounts previously held back for acquisition consideration</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2,783 </w:t>
            </w:r>
          </w:p>
        </w:tc>
        <w:tc>
          <w:tcPr>
            <w:tcW w:w="17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property and equipment purchases in accounts payable and accrued expenses and other current liabilities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7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Unpaid taxes related to net share settlement of equity awards in accrued expenses and other current liabilities</w:t>
            </w:r>
          </w:p>
        </w:tc>
        <w:tc>
          <w:tcPr>
            <w:tcW w:w="8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1"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7931"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7931"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7931"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7931"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7931"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1005"/>
                <wp:effectExtent l="0" t="0" r="0" b="0"/>
                <wp:wrapNone/>
                <wp:docPr id="20" name="Frame2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17.    Segment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Segment and Geographic Information</w:t>
      </w:r>
    </w:p>
    <w:p>
      <w:pPr>
        <w:pStyle w:val="TextBody"/>
        <w:bidi w:val="0"/>
        <w:spacing w:lineRule="auto" w:line="288" w:before="0" w:after="180"/>
        <w:jc w:val="left"/>
        <w:rPr/>
      </w:pPr>
      <w:r>
        <w:rPr>
          <w:rFonts w:ascii="Times New Roman;serif" w:hAnsi="Times New Roman;serif"/>
          <w:b w:val="false"/>
          <w:color w:val="000000"/>
          <w:sz w:val="18"/>
        </w:rPr>
        <w:t xml:space="preserve">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operating segment. Based on the information provided to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 Refer to Note 3. </w:t>
      </w:r>
      <w:r>
        <w:rPr>
          <w:rFonts w:ascii="Times New Roman;serif" w:hAnsi="Times New Roman;serif"/>
          <w:b w:val="false"/>
          <w:i/>
          <w:color w:val="000000"/>
          <w:sz w:val="18"/>
        </w:rPr>
        <w:t>Revenue</w:t>
      </w:r>
      <w:r>
        <w:rPr>
          <w:color w:val="000000"/>
        </w:rPr>
        <w:t xml:space="preserve"> </w:t>
      </w:r>
      <w:r>
        <w:rPr>
          <w:rFonts w:ascii="Times New Roman;serif" w:hAnsi="Times New Roman;serif"/>
          <w:b w:val="false"/>
          <w:color w:val="000000"/>
          <w:sz w:val="18"/>
        </w:rPr>
        <w:t xml:space="preserve">and Note 5. </w:t>
      </w:r>
      <w:r>
        <w:rPr>
          <w:rFonts w:ascii="Times New Roman;serif" w:hAnsi="Times New Roman;serif"/>
          <w:b w:val="false"/>
          <w:i/>
          <w:color w:val="000000"/>
          <w:sz w:val="18"/>
        </w:rPr>
        <w:t>Property and Equipment</w:t>
      </w:r>
      <w:r>
        <w:rPr>
          <w:color w:val="000000"/>
        </w:rPr>
        <w:t xml:space="preserve"> </w:t>
      </w:r>
      <w:r>
        <w:rPr>
          <w:rFonts w:ascii="Times New Roman;serif" w:hAnsi="Times New Roman;serif"/>
          <w:b w:val="false"/>
          <w:color w:val="000000"/>
          <w:sz w:val="18"/>
        </w:rPr>
        <w:t>for information related to the Company’s geographic information for revenue and long-lived assets, respectively.</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Segment Loss and Performance Measurement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CODM is provided the financial performance of the Company's one operating segment showing net income (loss) as the primary measure of segment profitability. Net income (loss) reflects revenue generated and expenses incurred for the business. The CODM uses this measure to evaluate the operational efficiency and profitability of the Company, to make strategic decisions about capital allocation, and to assess whether the Company is meeting its financial targets. The CODM does not evaluate the performance of its one operating segment using asset information.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Company’s CODM is regularly provided results comparing actual performance against budgeted targets and prior periods. This measure aligns with how resources are managed and allocated within the Company’s one operating segment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Significant Segment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On a regular basis, the Company’s CODM is provided certain significant segment expenses which include advertising expense and stock-based compensation expense in addition to those significant segment expenses reported within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the significant segment expenses regularly provided to the Company’s CODM for the three and six months ended June 30, 2025 and 2024, to the primary measure of segment profitability, net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858"/>
        <w:gridCol w:w="1563"/>
        <w:gridCol w:w="1567"/>
        <w:gridCol w:w="198"/>
        <w:gridCol w:w="744"/>
        <w:gridCol w:w="109"/>
        <w:gridCol w:w="109"/>
        <w:gridCol w:w="109"/>
        <w:gridCol w:w="109"/>
        <w:gridCol w:w="198"/>
        <w:gridCol w:w="744"/>
        <w:gridCol w:w="109"/>
        <w:gridCol w:w="109"/>
        <w:gridCol w:w="109"/>
        <w:gridCol w:w="109"/>
        <w:gridCol w:w="196"/>
        <w:gridCol w:w="736"/>
        <w:gridCol w:w="109"/>
        <w:gridCol w:w="109"/>
        <w:gridCol w:w="109"/>
        <w:gridCol w:w="109"/>
        <w:gridCol w:w="196"/>
        <w:gridCol w:w="736"/>
        <w:gridCol w:w="161"/>
      </w:tblGrid>
      <w:tr>
        <w:trPr/>
        <w:tc>
          <w:tcPr>
            <w:tcW w:w="1858"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9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575,541 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Significant segment expenses: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expenses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Customer support and operations, excluding stock-based compensation expense</w:t>
            </w:r>
            <w:r>
              <w:rPr>
                <w:rFonts w:ascii="Times New Roman;serif" w:hAnsi="Times New Roman;serif"/>
                <w:b w:val="false"/>
                <w:color w:val="000000"/>
                <w:sz w:val="12"/>
              </w:rPr>
              <w:t>(1)</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(39,506)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 excluding stock-based compensation expense and advertising expense</w:t>
            </w:r>
            <w:r>
              <w:rPr>
                <w:rFonts w:ascii="Times New Roman;serif" w:hAnsi="Times New Roman;serif"/>
                <w:b w:val="false"/>
                <w:color w:val="000000"/>
                <w:sz w:val="12"/>
              </w:rPr>
              <w:t>(1)(2)</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Technology and development, excluding stock-based compensation expense</w:t>
            </w:r>
            <w:r>
              <w:rPr>
                <w:rFonts w:ascii="Times New Roman;serif" w:hAnsi="Times New Roman;serif"/>
                <w:b w:val="false"/>
                <w:color w:val="000000"/>
                <w:sz w:val="12"/>
              </w:rPr>
              <w:t>(1)</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 excluding stock-based compensation expense</w:t>
            </w:r>
            <w:r>
              <w:rPr>
                <w:rFonts w:ascii="Times New Roman;serif" w:hAnsi="Times New Roman;serif"/>
                <w:b w:val="false"/>
                <w:color w:val="000000"/>
                <w:sz w:val="12"/>
              </w:rPr>
              <w:t>(1)</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expense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(108,531)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(71,245)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disclosures: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segment income (expense), net</w:t>
            </w:r>
            <w:r>
              <w:rPr>
                <w:rFonts w:ascii="Times New Roman;serif" w:hAnsi="Times New Roman;serif"/>
                <w:b w:val="false"/>
                <w:color w:val="000000"/>
                <w:sz w:val="12"/>
              </w:rPr>
              <w:t>(3)</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(33,171)</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significant segment expenses reported within the Condensed Consolidated Statements of Operations are presented in this table excluding stock-based compensation expense. Stock-based compensation expense is presented separately as an additional significant segment expense and is regularly provided to the CODM. Refer to Note 11. </w:t>
      </w:r>
      <w:r>
        <w:rPr>
          <w:rFonts w:ascii="Times New Roman;serif" w:hAnsi="Times New Roman;serif"/>
          <w:b w:val="false"/>
          <w:i/>
          <w:color w:val="000000"/>
          <w:sz w:val="16"/>
        </w:rPr>
        <w:t>Stock-Based Compensation</w:t>
      </w:r>
      <w:r>
        <w:rPr>
          <w:color w:val="000000"/>
        </w:rPr>
        <w:t xml:space="preserve"> </w:t>
      </w:r>
      <w:r>
        <w:rPr>
          <w:rFonts w:ascii="Times New Roman;serif" w:hAnsi="Times New Roman;serif"/>
          <w:b w:val="false"/>
          <w:color w:val="000000"/>
          <w:sz w:val="16"/>
        </w:rPr>
        <w:t xml:space="preserve">for tabular disclosure of amounts included within other significant segment expenses, stock-based compensation expense, net of amounts capitalized to internal-use software, as described in Note 5. </w:t>
      </w:r>
      <w:r>
        <w:rPr>
          <w:rFonts w:ascii="Times New Roman;serif" w:hAnsi="Times New Roman;serif"/>
          <w:b w:val="false"/>
          <w:i/>
          <w:color w:val="000000"/>
          <w:sz w:val="16"/>
        </w:rPr>
        <w:t>Property and Equipment</w:t>
      </w:r>
      <w:r>
        <w:rPr>
          <w:rFonts w:ascii="Times New Roman;serif" w:hAnsi="Times New Roman;serif"/>
          <w:b w:val="false"/>
          <w:color w:val="000000"/>
          <w:sz w:val="16"/>
        </w:rPr>
        <w:t>.</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The significant segment expense reported within the Condensed Consolidated Statements of Operations is presented in this table excluding advertising expense. Advertising expense is presented separately as an additional significant segment expense and is regularly provided to the CODM. Advertising expense is included in Marketing expense as described in Note </w:t>
      </w:r>
      <w:r>
        <w:rPr>
          <w:rFonts w:ascii="Times New Roman;serif" w:hAnsi="Times New Roman;serif"/>
          <w:b w:val="false"/>
          <w:i/>
          <w:color w:val="000000"/>
          <w:sz w:val="16"/>
        </w:rPr>
        <w:t>2</w:t>
      </w:r>
      <w:r>
        <w:rPr>
          <w:rFonts w:ascii="Times New Roman;serif" w:hAnsi="Times New Roman;serif"/>
          <w:b w:val="false"/>
          <w:color w:val="000000"/>
          <w:sz w:val="16"/>
        </w:rPr>
        <w:t xml:space="preserve">. </w:t>
      </w:r>
      <w:r>
        <w:rPr>
          <w:rFonts w:ascii="Times New Roman;serif" w:hAnsi="Times New Roman;serif"/>
          <w:b w:val="false"/>
          <w:i/>
          <w:color w:val="000000"/>
          <w:sz w:val="16"/>
        </w:rPr>
        <w:t>Basis of Presentation and Summary of Significant Accounting Policies.</w:t>
      </w:r>
    </w:p>
    <w:p>
      <w:pPr>
        <w:pStyle w:val="TextBody"/>
        <w:bidi w:val="0"/>
        <w:spacing w:lineRule="auto" w:line="288" w:before="0" w:after="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Other segment income (expense) includes Other income (expense), net, which is described in Note </w:t>
      </w:r>
      <w:r>
        <w:rPr>
          <w:rFonts w:ascii="Times New Roman;serif" w:hAnsi="Times New Roman;serif"/>
          <w:b w:val="false"/>
          <w:i/>
          <w:color w:val="000000"/>
          <w:sz w:val="16"/>
        </w:rPr>
        <w:t>2</w:t>
      </w:r>
      <w:r>
        <w:rPr>
          <w:rFonts w:ascii="Times New Roman;serif" w:hAnsi="Times New Roman;serif"/>
          <w:b w:val="false"/>
          <w:color w:val="000000"/>
          <w:sz w:val="16"/>
        </w:rPr>
        <w:t xml:space="preserve">. </w:t>
      </w:r>
      <w:r>
        <w:rPr>
          <w:rFonts w:ascii="Times New Roman;serif" w:hAnsi="Times New Roman;serif"/>
          <w:b w:val="false"/>
          <w:i/>
          <w:color w:val="000000"/>
          <w:sz w:val="16"/>
        </w:rPr>
        <w:t xml:space="preserve">Basis of Presentation and Summary of Significant Accounting Policies </w:t>
      </w:r>
      <w:r>
        <w:rPr>
          <w:rFonts w:ascii="Times New Roman;serif" w:hAnsi="Times New Roman;serif"/>
          <w:b w:val="false"/>
          <w:color w:val="000000"/>
          <w:sz w:val="16"/>
        </w:rPr>
        <w:t>in the notes to the consolidated financial statements included in Part II, Item 8 in the Company’s Annual Report on Form 10-K for the year ended December 31, 2024.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unusual items or other significant noncash items for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1005"/>
                <wp:effectExtent l="0" t="0" r="0" b="0"/>
                <wp:wrapNone/>
                <wp:docPr id="21" name="Frame2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lineRule="auto" w:line="288" w:before="0" w:after="180"/>
        <w:jc w:val="left"/>
        <w:rPr/>
      </w:pPr>
      <w:r>
        <w:rPr>
          <w:rFonts w:ascii="Times New Roman;serif" w:hAnsi="Times New Roman;serif"/>
          <w:b w:val="false"/>
          <w:i/>
          <w:color w:val="000000"/>
          <w:sz w:val="18"/>
        </w:rPr>
        <w:t xml:space="preserve">You should read the following discussion and analysis of our financial condition and results of operations together with our unaudited condensed consolidated financial statements and the related notes appearing elsewhere in this Quarterly Report on Form 10-Q and our audited consolidated financial statements and the related notes and the discussion under the heading </w:t>
      </w:r>
      <w:r>
        <w:rPr>
          <w:color w:val="000000"/>
        </w:rPr>
        <w:t>“</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i/>
          <w:color w:val="000000"/>
          <w:sz w:val="18"/>
        </w:rPr>
        <w:t>included in the Annual Report on Form 10-K for the year ended December 31, 2024.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Remitly is a trusted provider of digital financial services that transcend borders. With a global footprint spanning more than 170 countries, Remitly’s digitally native, cross-border payments app delights customers with a fast, reliable, and transparent money movement experience. Building on its strong foundation, Remitly is expanding its suite of products to further its vision and transform lives around the world.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brand promise is to bring “peace of mind” into everything we do. We focus on bringing trust, reliability, and a fair and transparent price to cross-border financial services.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To deliver on our brand promise, we have a differentiated approach that aligns with the specific needs and interests of our customers who are sending money across borders and solves the problems they often face. There are four core elements to our differentiated approach:</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18"/>
        </w:rPr>
        <w:t>Mobile First.</w:t>
      </w:r>
      <w:r>
        <w:rPr>
          <w:color w:val="000000"/>
        </w:rPr>
        <w:t xml:space="preserve"> </w:t>
      </w:r>
      <w:r>
        <w:rPr>
          <w:rFonts w:ascii="Times New Roman;serif" w:hAnsi="Times New Roman;serif"/>
          <w:b w:val="false"/>
          <w:color w:val="000000"/>
          <w:sz w:val="18"/>
        </w:rPr>
        <w:t>Our mobile app for cross-border remittances provides an easy-to-use, end-to-end process with a simple and reliable user experience that delivers peace of mind. In just a few minutes, customers are able to set up and send money for the first time with Remitly, and repeat transactions are easier with just a few taps. Our users can also track the status of their transactions as they are processed, and we provide a reliability promise to customers which is underpinned by our sophisticated risk models, high-quality network, and empathetic customer service. This mobile-first experience enables us to engage beyond the initial transaction, generating strong repeat usage and high customer loyalty. Our services are highly non-discretionary for many of our customers which results in high revenue visibility throughout economic cycles. As of June 30, 2025, our Remitly app had a 4.9 iOS App Store rating with over 3.6 million reviewers and a 4.8 Android Google Play rating with over 1.1 million reviewers. App rating is based on all countries or regions and the rating may vary based on user location and device type.</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18"/>
        </w:rPr>
        <w:t>Global Presence and High-Quality Money Movement Network</w:t>
      </w:r>
      <w:r>
        <w:rPr>
          <w:rFonts w:ascii="Times New Roman;serif" w:hAnsi="Times New Roman;serif"/>
          <w:b w:val="false"/>
          <w:color w:val="000000"/>
          <w:sz w:val="18"/>
        </w:rPr>
        <w:t>. Our global network of funding and disbursement partnerships enables us to complete money transfers efficiently in over 5,200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As a result of the quality of our network and the foundational investments we have made, in general, every new send country we add results in a significant number of new corridors, as we are able to quickly connect send countries with receive countries, allowing us to continue to scale rapidly. Our significant global presence and direct integration strategy allows us to negotiate favorable terms with both funding and disbursement partners while providing a great end-to-end customer experience including rapid and reliable transfers.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provide broad and high-quality disbursement options to our customers allowing them to choose the method that is most convenient for their family and friends to receive funds. We have partner relationships with global banks, aggregators, and leading payment providers to give our customers an array of payment (or pay-in) options, including with a bank account, card-based payments, and alternative payment methods.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disbursement network enables us to send (or pay-out) funds to over 5.0 billion bank accounts and mobile wallets and approximately 460,000 cash pick-up options. We focus on creating financial inclusion by providing payout optionality and access for recipients who do not always have convenient access to traditional banking. We believe our focus on financial inclusion creates peace of mind for our customers and their families while attracting and retaining loyal customers.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18"/>
        </w:rPr>
        <w:t>Highly Attractive Unit Economics.</w:t>
      </w:r>
      <w:r>
        <w:rPr>
          <w:color w:val="000000"/>
        </w:rPr>
        <w:t xml:space="preserve"> </w:t>
      </w:r>
      <w:r>
        <w:rPr>
          <w:rFonts w:ascii="Times New Roman;serif" w:hAnsi="Times New Roman;serif"/>
          <w:b w:val="false"/>
          <w:color w:val="000000"/>
          <w:sz w:val="18"/>
        </w:rPr>
        <w:t xml:space="preserve">Our data-driven approach to optimizing customer lifetime value combined with a localized and scalable marketing solution allows us to acquire new customers at highly attractive unit economics. As we continue to improve customer lifetime value through product enhancements and improvements to variable operating costs, we can optimize marketing spend to drive both growth and efficiency with a focus on maintaining strong unit economics. We believe that our expertise in localizing our marketing, products, and customer support at scale is a key differentiator and enables us to provide customers with a personalized experience that drives peace of mind while also delivering high returns on marketing and product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1005"/>
                <wp:effectExtent l="0" t="0" r="0" b="0"/>
                <wp:wrapNone/>
                <wp:docPr id="22" name="Frame2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18"/>
        </w:rPr>
        <w:t>Superior Technology.</w:t>
      </w:r>
      <w:r>
        <w:rPr>
          <w:color w:val="000000"/>
        </w:rPr>
        <w:t xml:space="preserve"> </w:t>
      </w:r>
      <w:r>
        <w:rPr>
          <w:rFonts w:ascii="Times New Roman;serif" w:hAnsi="Times New Roman;serif"/>
          <w:b w:val="false"/>
          <w:color w:val="000000"/>
          <w:sz w:val="18"/>
        </w:rPr>
        <w:t>We believe that our differentiated approach to building our technology infrastructure enables a great customer experience and allows us to meet customer demands in a more flexible way. We have been able to reach more customers, more regions, and more use cases while continuing to get better at our reliability, speed, and performance due to our investments and approach to our technology. This enables not only our ability to scale, but also accelerates innovation on behalf of our customers - whether that is doing simple things well or about enabling new use cases like seafarers or micro businesses. Because our customers initiate transfers digitally, we capture a body of transaction-related data that provides insight into customer behavior and customer experience. This data and our analytics inform our marketing investments and product development prioritization. In addition, we use data and our proprietary models to improve our compliance systems and manage pricing, treasury, fraud risk, and customer support. Finally, our proactive investments in artificial intelligence and machine learning have continued to drive improvement in the areas of fraud and risk, pricing, customer support, and marketing.</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Our Revenue Model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our remittance business, which represents substantially all of our revenue today, we generate revenue from transaction fees charged to customers and foreign exchange spreads applied to the amount the customer is sending.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fees vary based on the corridor, the currency in which funds are delivered to the recipient, the funding method a customer chooses (e.g., ACH, credit card, debit card, etc.), the disbursement method a customer chooses (e.g., bank deposit, mobile wallet, cash pick-up, etc.), and the amount the customer is sending.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Foreign exchange spreads represent the difference between the foreign exchange rate offered to customers and the foreign exchange rate on our currency purchases. They are an output of proprietary and dynamic models that are designed to provide fair and competitive rates to our customers, while generating a spread based on our ability to buy foreign currency at generally advantageous rates.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Performance Metrics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regularly review the following key performance metrics to evaluate our performance, identify trends affecting our business, prepare financial projections, and make strategic decisions. We believe that these key performance metrics provide meaningful supplemental information for management and investors in assessing our historical and future operating performance. The calculation of these key performance metrics discussed below may differ from other similarly titled metrics used by other companies, analysts, or investors. The key performance metrics that we use to measure the performance of our business are defined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Active customers” is defined as the number of distinct customers that have successfully completed at least one transaction using Remitly during a given period. We identify customers through unique account numbers.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 xml:space="preserve">Send volume” is defined as the sum of the amount that customers send, measured in U.S. dollars, related to transactions completed during a given period. This amount is net of cancellations, does not include transaction fees from customers, and does not include any credits, offers, or bonuses applied to the transaction by us.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Active Customers</w:t>
      </w:r>
    </w:p>
    <w:tbl>
      <w:tblPr>
        <w:tblW w:w="4079" w:type="dxa"/>
        <w:jc w:val="left"/>
        <w:tblInd w:w="0" w:type="dxa"/>
        <w:tblLayout w:type="fixed"/>
        <w:tblCellMar>
          <w:top w:w="28" w:type="dxa"/>
          <w:left w:w="28" w:type="dxa"/>
          <w:bottom w:w="28" w:type="dxa"/>
          <w:right w:w="28" w:type="dxa"/>
        </w:tblCellMar>
      </w:tblPr>
      <w:tblGrid>
        <w:gridCol w:w="489"/>
        <w:gridCol w:w="430"/>
        <w:gridCol w:w="431"/>
        <w:gridCol w:w="386"/>
        <w:gridCol w:w="264"/>
        <w:gridCol w:w="264"/>
        <w:gridCol w:w="264"/>
        <w:gridCol w:w="264"/>
        <w:gridCol w:w="264"/>
        <w:gridCol w:w="386"/>
        <w:gridCol w:w="264"/>
        <w:gridCol w:w="373"/>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35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ind w:left="0" w:right="0" w:hanging="0"/>
              <w:jc w:val="left"/>
              <w:rPr>
                <w:sz w:val="4"/>
                <w:szCs w:val="4"/>
              </w:rPr>
            </w:pPr>
            <w:r>
              <w:rPr>
                <w:sz w:val="4"/>
                <w:szCs w:val="4"/>
              </w:rPr>
            </w:r>
          </w:p>
        </w:tc>
        <w:tc>
          <w:tcPr>
            <w:tcW w:w="1815"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Active customers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6,851 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believe that the number of our active customers is an important indicator of customer engagement, customer retention, and the overall growth of our business.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Active customers increased to approximately 8.5 million, or 24% growth, for the three months ended June 30, 2025, compared to the three months ended June 30, 2024. This increase was primarily due to an increase in the number of new customers, driven by investments in our mobile app and efficient marketing spend, our focus on customer experience and how we serve our customers, expansion of our global disbursement network, and the continued diversification across both send and receive countries. While we continue to see strong results in our largest existing receive countries (India, Mexico, and the Philippines), our successful diversification of our corridor portfolio across both send and receive countries has contributed to new customer growth.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1005"/>
                <wp:effectExtent l="0" t="0" r="0" b="0"/>
                <wp:wrapNone/>
                <wp:docPr id="23" name="Frame2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Send Volume </w:t>
      </w:r>
    </w:p>
    <w:tbl>
      <w:tblPr>
        <w:tblW w:w="6093" w:type="dxa"/>
        <w:jc w:val="left"/>
        <w:tblInd w:w="0" w:type="dxa"/>
        <w:tblLayout w:type="fixed"/>
        <w:tblCellMar>
          <w:top w:w="28" w:type="dxa"/>
          <w:left w:w="28" w:type="dxa"/>
          <w:bottom w:w="28" w:type="dxa"/>
          <w:right w:w="28" w:type="dxa"/>
        </w:tblCellMar>
      </w:tblPr>
      <w:tblGrid>
        <w:gridCol w:w="379"/>
        <w:gridCol w:w="333"/>
        <w:gridCol w:w="337"/>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88" w:before="0" w:after="283"/>
              <w:ind w:left="0" w:right="0" w:hanging="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Send volume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measure send volume to assess the scale of remittances sent using our service. Our customers mostly send from the United States, Canada, the United Kingdom, and other countries in Europe. Our customers and their recipients are located in over 170 countries and territories across the globe; the largest receive countries by send volume include India, Mexico, and the Philippines.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Send volume increased 40% to $18.5 billion for the three months ended June 30, 2025, compared to $13.2 billion for the three months ended June 30, 2024, driven by the increase in active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Send volume increased 40%, to $34.6 billion for the six months ended June 30, 2025, compared to $24.7 billion for the six months ended June 30, 2024, driven by the increase in active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Key Factors Affecting Our Performance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Customer Retention and High Customer Engagement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send volume is primarily driven by existing customers who regularly use our remittance product to send money to family and friends. We believe our mobile-first products and superior customer experience encourage high retention and repeat usage, which are significant though not the only drivers of our performance.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measure active customers to monitor the growth and performance of our customer base. The majority of our active customers send money for recurring, non-discretionary needs multiple times per month, providing a recurring revenue stream with high predictability and durability.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Attracting New Customers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continued ability to attract new customers is a key driver for our long-term growth. We continue to expand our customer base by launching new send and receive corridors, by continuing to innovate on existing and new products, and by providing the most trusted financial services for customers with cross-border financial needs. We plan to continue to acquire new customers through digital marketing channels and word-of-mouth referrals from existing customers, and by exploring new customer acquisition channels. Given the nature of our business, new customer acquisition marketing investments may negatively impact net income (loss) and Adjusted EBITDA in the quarter they are acquired, but are expected to favorably impact net income (loss) and Adjusted EBITDA in subsequent periods as many customers continue to send transactions in the periods after they are acquired.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Acquisition Costs</w:t>
      </w:r>
    </w:p>
    <w:p>
      <w:pPr>
        <w:pStyle w:val="TextBody"/>
        <w:bidi w:val="0"/>
        <w:spacing w:lineRule="auto" w:line="288" w:before="0" w:after="180"/>
        <w:jc w:val="left"/>
        <w:rPr/>
      </w:pPr>
      <w:r>
        <w:rPr>
          <w:rFonts w:ascii="Times New Roman;serif" w:hAnsi="Times New Roman;serif"/>
          <w:b w:val="false"/>
          <w:color w:val="000000"/>
          <w:sz w:val="18"/>
        </w:rPr>
        <w:t xml:space="preserve">Efficiently acquiring customers is critical to our growth and maintaining attractive customer economics, which are impacted by online marketing competition, our ability to effectively target the right demographic, and competitive environment. We have a history of successfully monitoring customer acquisition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which are deployed to acquire new customers or retain existing customers in certain circumstances, are a component of advertising expenses as defined in Note 2. </w:t>
      </w:r>
      <w:r>
        <w:rPr>
          <w:rFonts w:ascii="Times New Roman;serif" w:hAnsi="Times New Roman;serif"/>
          <w:b w:val="false"/>
          <w:i/>
          <w:color w:val="000000"/>
          <w:sz w:val="18"/>
        </w:rPr>
        <w:t xml:space="preserve">Basis of Presentation and Summary of Significant Accounting Policies </w:t>
      </w:r>
      <w:r>
        <w:rPr>
          <w:rFonts w:ascii="Times New Roman;serif" w:hAnsi="Times New Roman;serif"/>
          <w:b w:val="false"/>
          <w:color w:val="000000"/>
          <w:sz w:val="18"/>
        </w:rPr>
        <w:t>in the notes to the condensed consolidated financial statements included in Part I, Item 1 of this Quarterly Report on Form 10-Q.</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Corridor Mix</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1005"/>
                <wp:effectExtent l="0" t="0" r="0" b="0"/>
                <wp:wrapNone/>
                <wp:docPr id="24" name="Frame2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Seasonality</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favorable seasonality include Ramadan/Eid, Lunar New Year/Tết, and Mother’s Day, although the impact is generally lower than the seasonality we see in the fourth quarter and the timing of some of these holidays varies from year to year. Conversely, we typically observe lower customer acquisition and existing customer activity through most of the first quarter, especially in regions that experience favorable seasonality in the fourth quarter. Following the fourth quarter, typically the second quarter is seasonally the next strongest quarter from an existing customer activity perspective, however customer activity and the impact on financial results can vary across quarters based on the timing of holidays and other geographic drivers. Additionally, the number of business days in a quarter and the day of the week that the last day of the quarter falls on may also introduce variability in our results, working capital balances, or cash flows period over period.</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Our Technology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will continue to invest significant resources in our technology.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Management of Risk and Fraud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compliance risks across all aspects of our customer interactions. These models and processes allow us to achieve and maintain fraud loss rates within desired guardrails, as well as tune our risk models to target other illegitimate activity.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Macroeconomic and Geopolitical Changes </w:t>
      </w:r>
    </w:p>
    <w:p>
      <w:pPr>
        <w:pStyle w:val="TextBody"/>
        <w:bidi w:val="0"/>
        <w:spacing w:lineRule="auto" w:line="288" w:before="0" w:after="180"/>
        <w:jc w:val="left"/>
        <w:rPr/>
      </w:pPr>
      <w:r>
        <w:rPr>
          <w:rFonts w:ascii="Times New Roman;serif" w:hAnsi="Times New Roman;serif"/>
          <w:b w:val="false"/>
          <w:color w:val="000000"/>
          <w:sz w:val="18"/>
        </w:rPr>
        <w:t xml:space="preserve">Global macroeconomic and geopolitical factors, including inflation, currency fluctuations, immigration and immigration policy, regulatory changes, trade and regulatory policies, including imposition of trade restrictions, taxes and tariffs, and any related market or economic uncertainty or slowdown, regional and global conflicts, global crises and natural disasters, unemployment, potential recession,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immigration policy, or international trade, and changes to digital adoption trends may shift the timing and volume of transactions, or the number of customers using our service. In addition, foreign currency movements impact our business in numerous ways. For example, as the U.S. dollar strengthens, we see customers in certain geographies taking advantage of the ability to get more local currency to their families and friends. We also believe the strength of the U.S. dollar and the strength of other developed country currencies versus emerging country currencies make it easier to acquire new customers in certain geographies. Conversely, expansion of our international business can negatively impact our condensed consolidated results when these currencies weaken against the U.S. dollar. As we grow, we are becoming more diversified across geographies and currencies, which can help mitigate some localized geopolitical risks and macroeconomic trends. As foreign currency can have a significant impact on our business, we strive to maintain a diversified cash balance portfolio and frequently assess for foreign currency cash concentrations. Refer to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for a more comprehensive description of current business concentrations.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continue to assess the impact of developments in foreign trade policy, including taxes and tariffs, and global market conditions. While the imposition of tariffs have not had a significant impact on our business historically, we recognize there is a potential for indirect effects, particularly from foreign exchange volatility to which we are exposed due to the global nature of our cross-border payment operations. We maintain a balanced portfolio of currency and manage foreign exchange risk through various operational measures. While foreign exchange fluctuations may impact certain areas of our business, our proactive risk management is designed to help mitigate potential impacts. Refer to our discussion of foreign currency exchange rate risk included in Part I, Item 3 of this Quarterly Report on Form 10-Q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addition, evolving regulatory developments may influence customer behavior and transaction volumes. One such development is the U.S. budget reconciliation bill (H.R. 1), also known as the One Big Beautiful Bill Act (the “OBBBA”), that was signed into law on July 4, 2025. The OBBBA generally imposes a tax on outbound, non-digital remittances from the United States to recipients abroad. While regulatory developments, like the OBBBA, may impact certain areas of our business, our business has remained resilient through various macroeconomic, political, and regulatory cycles over the past decade. We will continue to evaluate the impact the new legislation will have on our condensed consolidated financial statements, but at this time, we do not expect that the remittance tax included in the OBBBA will have a material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1005"/>
                <wp:effectExtent l="0" t="0" r="0" b="0"/>
                <wp:wrapNone/>
                <wp:docPr id="25" name="Frame2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OBBBA also enacts U.S. corporate income tax reform, certain aspects of which apply to our business beginning in the current year. The Company is evaluating the impact that the new legislation will have on its condensed consolidated financial statements, but does not expect a significant impact, inclusive of the effect of the valuation allowance on U.S.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Components of Results of Operations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revenue is generated on transaction fees charged to customers and foreign exchange spreads between the foreign exchange rate offered to customers and the foreign exchange rate on our currency purchases. Revenue is recognized, in an amount that reflects the consideration we expect to be entitled to in exchange for services provided, when control of these services is transferred to our customers, which is the time the funds have been delivered to the intended recipient.</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Costs and Expenses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 xml:space="preserve">Transaction Expenses </w:t>
      </w:r>
    </w:p>
    <w:p>
      <w:pPr>
        <w:pStyle w:val="TextBody"/>
        <w:bidi w:val="0"/>
        <w:spacing w:lineRule="auto" w:line="288" w:before="0" w:after="180"/>
        <w:jc w:val="left"/>
        <w:rPr/>
      </w:pPr>
      <w:r>
        <w:rPr>
          <w:rFonts w:ascii="Times New Roman;serif" w:hAnsi="Times New Roman;serif"/>
          <w:b w:val="false"/>
          <w:color w:val="000000"/>
          <w:sz w:val="18"/>
        </w:rPr>
        <w:t>Transaction expenses include fees paid to disbursement partners for paying funds to the recipient, provisions for transaction losses, and fees paid to payment processors for funding transactions. Transaction expenses also include chargebacks, fraud prevention, fraud management tools, and compliance tools. We establish reserves for transaction losses based on historical trends and any specific risks identified in processing customer transactions. This reserve is included in ‘</w:t>
      </w:r>
      <w:r>
        <w:rPr>
          <w:rFonts w:ascii="Times New Roman;serif" w:hAnsi="Times New Roman;serif"/>
          <w:b w:val="false"/>
          <w:i/>
          <w:color w:val="000000"/>
          <w:sz w:val="18"/>
        </w:rPr>
        <w:t xml:space="preserve">Accrued expenses and other current liabilities’ </w:t>
      </w:r>
      <w:r>
        <w:rPr>
          <w:rFonts w:ascii="Times New Roman;serif" w:hAnsi="Times New Roman;serif"/>
          <w:b w:val="false"/>
          <w:color w:val="000000"/>
          <w:sz w:val="18"/>
        </w:rPr>
        <w:t>on the Condensed Consolidated Balance Sheets included in Part I, Item 1 of this Quarterly Report on Form 10-Q. Over the long term, we expect to continue to benefit from improvements in our proprietary fraud models, although we expect some variability in transaction expense from quarter to quarter.</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Support and Operations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 expenses consist primarily of personnel-related expenses associated with our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Marketing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consist primarily of advertising costs used to attract new customers, including branding-related expenses. Marketing expenses also include personnel-related expenses associated with marketing organization staff, including salaries, benefits, and stock-based compensation expense, promotions, costs for software subscription services dedicated for use by marketing functions, and outside services contracted for marketing purposes.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Technology and Development</w:t>
      </w:r>
    </w:p>
    <w:p>
      <w:pPr>
        <w:pStyle w:val="TextBody"/>
        <w:bidi w:val="0"/>
        <w:spacing w:lineRule="auto" w:line="288" w:before="0" w:after="180"/>
        <w:jc w:val="left"/>
        <w:rPr/>
      </w:pPr>
      <w:r>
        <w:rPr>
          <w:rFonts w:ascii="Times New Roman;serif" w:hAnsi="Times New Roman;serif"/>
          <w:b w:val="false"/>
          <w:color w:val="000000"/>
          <w:sz w:val="18"/>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dedicated for use by our technology and development teams, as well as other company-wide technology tools. Technology and development expenses also include product and engineering teams used to support the development of both internal infrastructure and internal-use software, to the extent such costs do not qualify for capitalization. Technology and development costs are generally expensed as incurred and do not include software development costs which qualify for capitalization as internal-use software. The amortization of internal-use software costs which were capitalized in accordance with ASC 350-40, </w:t>
      </w:r>
      <w:r>
        <w:rPr>
          <w:rFonts w:ascii="Times New Roman;serif" w:hAnsi="Times New Roman;serif"/>
          <w:b w:val="false"/>
          <w:i/>
          <w:color w:val="000000"/>
          <w:sz w:val="18"/>
        </w:rPr>
        <w:t>Intangibles - Goodwill and Other-Internal-Use Software</w:t>
      </w:r>
      <w:r>
        <w:rPr>
          <w:rFonts w:ascii="Times New Roman;serif" w:hAnsi="Times New Roman;serif"/>
          <w:b w:val="false"/>
          <w:color w:val="000000"/>
          <w:sz w:val="18"/>
        </w:rPr>
        <w:t>, are separately presented under the caption ‘</w:t>
      </w:r>
      <w:r>
        <w:rPr>
          <w:rFonts w:ascii="Times New Roman;serif" w:hAnsi="Times New Roman;serif"/>
          <w:b w:val="false"/>
          <w:i/>
          <w:color w:val="000000"/>
          <w:sz w:val="18"/>
        </w:rPr>
        <w:t>Depreciation and amortization</w:t>
      </w:r>
      <w:r>
        <w:rPr>
          <w:color w:val="000000"/>
        </w:rPr>
        <w:t xml:space="preserve">’ </w:t>
      </w:r>
      <w:r>
        <w:rPr>
          <w:rFonts w:ascii="Times New Roman;serif" w:hAnsi="Times New Roman;serif"/>
          <w:b w:val="false"/>
          <w:color w:val="000000"/>
          <w:sz w:val="18"/>
        </w:rPr>
        <w:t>within the Condensed Consolidated Statements of Operations included in Part I, Item 1 of this Quarterly Report on Form 10-Q.</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delivering new functionality and improving existing technology is critical to attract new customers and expand our relationship with existing customers. We expect to continue to make investments to expand our solutions in order to enhance our customers’ experience and satisfaction, and to attract new customers.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General and Administrative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consist primarily of personnel-related expenses for our finance, legal, compliance, human resources, facilities, administrative personnel, and other leadership functions, including salaries, benefits, and stock-based compensation expense. General and administrative expenses also include professional services fees, software subscriptions, facilities, indirect taxes, credit losses, and other corporate expenses, including acquisition and integration expenses. Such expenses primarily include external legal, accounting, valuation, and due diligence costs, advisory and other professional services fees necessary to integrate acquired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1005"/>
                <wp:effectExtent l="0" t="0" r="0" b="0"/>
                <wp:wrapNone/>
                <wp:docPr id="26" name="Frame2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Depreciation and Amortization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 includes depreciation on property and equipment and leasehold improvements, as well as the amortization of internal-use software costs and intangible assets.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Income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income consists primarily of interest income earned on our cash and cash equivalents.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Expense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expense consists primarily of the interest expense on our borrowings.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Other Income (Expense), Net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income (expense), net, primarily includes foreign currency exchange gains and losses due to remeasurement of certain foreign currency denominated monetary assets and liabilities.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Provision for Income Taxes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Provision for income taxes consists primarily of income taxes in certain foreign jurisdictions in which we conduct business and state income taxes in the United States. We maintain a full valuation allowance for U.S. deferred tax assets. We expect to maintain this full valuation allowance in the United States for the foreseeable future as it is more likely than not that the assets will not be realized based on our history of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0" w:after="180"/>
        <w:jc w:val="left"/>
        <w:rPr/>
      </w:pPr>
      <w:r>
        <w:rPr>
          <w:rFonts w:ascii="Times New Roman;serif" w:hAnsi="Times New Roman;serif"/>
          <w:b/>
          <w:i/>
          <w:color w:val="000000"/>
          <w:sz w:val="18"/>
        </w:rPr>
        <w:t>Comparison of the three and six months ended June 30,</w:t>
      </w:r>
      <w:r>
        <w:rPr>
          <w:color w:val="000000"/>
        </w:rPr>
        <w:t xml:space="preserve"> </w:t>
      </w:r>
      <w:r>
        <w:rPr>
          <w:rFonts w:ascii="Times New Roman;serif" w:hAnsi="Times New Roman;serif"/>
          <w:b/>
          <w:i/>
          <w:color w:val="000000"/>
          <w:sz w:val="18"/>
        </w:rPr>
        <w:t>2025 and 2024</w:t>
      </w:r>
    </w:p>
    <w:p>
      <w:pPr>
        <w:pStyle w:val="TextBody"/>
        <w:bidi w:val="0"/>
        <w:spacing w:lineRule="auto" w:line="288" w:before="0" w:after="180"/>
        <w:jc w:val="left"/>
        <w:rPr/>
      </w:pPr>
      <w:r>
        <w:rPr>
          <w:rFonts w:ascii="Times New Roman;serif" w:hAnsi="Times New Roman;serif"/>
          <w:b w:val="false"/>
          <w:color w:val="000000"/>
          <w:sz w:val="18"/>
        </w:rPr>
        <w:t>The following table sets forth our results of operations together with the dollar and percentage change for the</w:t>
      </w:r>
      <w:r>
        <w:rPr>
          <w:color w:val="000000"/>
        </w:rPr>
        <w:t xml:space="preserve"> </w:t>
      </w:r>
      <w:r>
        <w:rPr>
          <w:rFonts w:ascii="Times New Roman;serif" w:hAnsi="Times New Roman;serif"/>
          <w:b w:val="false"/>
          <w:color w:val="000000"/>
          <w:sz w:val="18"/>
        </w:rPr>
        <w:t>three and six months ended</w:t>
      </w:r>
      <w:r>
        <w:rPr>
          <w:color w:val="000000"/>
        </w:rPr>
        <w:t xml:space="preserve"> </w:t>
      </w:r>
      <w:r>
        <w:rPr>
          <w:rFonts w:ascii="Times New Roman;serif" w:hAnsi="Times New Roman;serif"/>
          <w:b w:val="false"/>
          <w:color w:val="000000"/>
          <w:sz w:val="18"/>
        </w:rPr>
        <w:t>June 30,</w:t>
      </w:r>
      <w:r>
        <w:rPr>
          <w:color w:val="000000"/>
        </w:rPr>
        <w:t xml:space="preserve"> </w:t>
      </w:r>
      <w:r>
        <w:rPr>
          <w:rFonts w:ascii="Times New Roman;serif" w:hAnsi="Times New Roman;serif"/>
          <w:b w:val="false"/>
          <w:color w:val="000000"/>
          <w:sz w:val="18"/>
        </w:rPr>
        <w:t>2025</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2024:</w:t>
      </w:r>
    </w:p>
    <w:tbl>
      <w:tblPr>
        <w:tblW w:w="10853" w:type="dxa"/>
        <w:jc w:val="left"/>
        <w:tblInd w:w="0" w:type="dxa"/>
        <w:tblLayout w:type="fixed"/>
        <w:tblCellMar>
          <w:top w:w="28" w:type="dxa"/>
          <w:left w:w="28" w:type="dxa"/>
          <w:bottom w:w="28" w:type="dxa"/>
          <w:right w:w="28" w:type="dxa"/>
        </w:tblCellMar>
      </w:tblPr>
      <w:tblGrid>
        <w:gridCol w:w="434"/>
        <w:gridCol w:w="263"/>
        <w:gridCol w:w="264"/>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0"/>
        <w:gridCol w:w="181"/>
        <w:gridCol w:w="327"/>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67"/>
        <w:gridCol w:w="167"/>
        <w:gridCol w:w="327"/>
        <w:gridCol w:w="109"/>
        <w:gridCol w:w="109"/>
        <w:gridCol w:w="109"/>
        <w:gridCol w:w="491"/>
      </w:tblGrid>
      <w:tr>
        <w:trPr/>
        <w:tc>
          <w:tcPr>
            <w:tcW w:w="4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2"/>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Revenue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306,423 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575,541 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Costs and expenses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Transaction expenses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107,780 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Customer support and operations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Marketing</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145,070 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Technology and development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General and administrative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costs and expenses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322,185 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746,600 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135,344 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from operations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Other (expense) income,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Income (loss) before provision for income taxes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income taxes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(12,091)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(33,171)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discussion and analysis is for the three and six months ended June 30, 2025, compared to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1005"/>
                <wp:effectExtent l="0" t="0" r="0" b="0"/>
                <wp:wrapNone/>
                <wp:docPr id="27" name="Frame2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Revenue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Revenue increased 34%, or $105.4 million, and 34%, or $197.9 million, for the three and six months ended June 30, 2025, respectively, compared to the three and six months ended June 30, 2024. The increase was primarily driven by a 24% increase in active customers period over period, continued strength in the retention of existing customers, favorable customer behavior based on foreign currency movement, and a continued mix shift trending towards digital disbursements. Revenue derived from each transaction varies based on a number of attributes, including the funding method chosen by the customer, the size of the transaction, the currency to be ultimately disbursed, the rate at which the currency was purchased, the disbursement method chosen by the customer, and the country to which the funds were transferred.</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reflection of this growth, send volume increased 40% to $18.5 billion and $34.6 billion for the three and six months ended June 30, 2025, as compared to $13.2 billion and $24.7 billion for the three and six months ended June 30, 2024, respectively.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Transaction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expenses increased $36.0 million, or 33%, to $143.8 million for the three months ended June 30, 2025, compared to $107.8 million for the three months ended June 30, 2024. The increase was primarily due to a $22.3 million, or 26%, increase in direct costs associated with processing a higher volume of our customers’ remittance transactions and the disbursement of our customers’ funds to their recipients, and an $11.3 million increase in our provision for transaction and other losses.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Transaction expenses increased $67.5 million, or 34%, to $265.1 million for the six months ended June 30, 2025, compared to $197.7 million for the six months ended June 30, 2024. The increase was primarily due to a $46.5 million, or 29%, increase in direct costs associated with processing a higher volume of our customers’ remittance transactions and the disbursement of our customers’ funds to their recipients, and a $17.6 million increase in our provision for transaction and other losses.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transaction expenses remained flat at 35% and 34% for the three and six months ended June 30, 2025, as compared to 35% and 34% for the three and six months ended June 30, 2024, respectively.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Customer Support and Operations Expenses</w:t>
      </w:r>
    </w:p>
    <w:p>
      <w:pPr>
        <w:pStyle w:val="TextBody"/>
        <w:bidi w:val="0"/>
        <w:spacing w:lineRule="auto" w:line="288" w:before="0" w:after="180"/>
        <w:jc w:val="left"/>
        <w:rPr/>
      </w:pPr>
      <w:r>
        <w:rPr>
          <w:rFonts w:ascii="Times New Roman;serif" w:hAnsi="Times New Roman;serif"/>
          <w:b w:val="false"/>
          <w:color w:val="000000"/>
          <w:sz w:val="18"/>
        </w:rPr>
        <w:t>Customer support and operations expenses increased $5.1 million, or 25%, f</w:t>
      </w:r>
      <w:r>
        <w:rPr>
          <w:rFonts w:ascii="Times New Roman;serif" w:hAnsi="Times New Roman;serif"/>
          <w:b w:val="false"/>
          <w:color w:val="000000"/>
          <w:sz w:val="18"/>
          <w:shd w:fill="FFFFFF" w:val="clear"/>
        </w:rPr>
        <w:t xml:space="preserve">or the three months ended June 30, 2025, compared to the three months ended </w:t>
      </w:r>
      <w:r>
        <w:rPr>
          <w:rFonts w:ascii="Times New Roman;serif" w:hAnsi="Times New Roman;serif"/>
          <w:b w:val="false"/>
          <w:color w:val="000000"/>
          <w:sz w:val="18"/>
        </w:rPr>
        <w:t>June 30, 2024. The increase was primarily driven by a $3.2 million increase in personnel-related costs compared to the three months ended June 30, 2024.</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Customer support and operations expenses increased $7.5 million, or 19%, for the six months ended June 30, 2025, compared to the six months ended June 30, 2024. The increase was primarily driven by a $5.4 million increase in personnel-related costs compared to the six months ended June 30, 2024.</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customer support and operations expenses decreased to 6% for both the three and six months ended June 30, 2025, from 7% for both the three and six months ended June 30, 2024. The decrease was primarily due to process improvements and automation across customer support headcount at internal and third-party customer support sites.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Marketing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increased $7.9 million, or 10%, for the three months ended June 30, 2025, compared to the three months ended June 30, 2024, primarily due to an increase of $5.6 million in advertising expense and other targeted marketing expense, including online and offline marketing spend and promotion costs to acquire new customers. In addition, the increase was driven by a $1.7 million increase in personnel-related costs compared to the three months ended June 30, 2024.</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Marketing expenses increased $13.3 million, or 9%, for the six months ended June 30, 2025, compared to the six months ended June 30, 2024, primarily due to an increase of $7.3 million in advertising expense and other targeted marketing expense, including online and offline marketing spend and promotion costs to acquire new customers. In addition, the increase was driven by a $3.6 million increase in personnel-related costs compared to the six months ended June 30, 2024.</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marketing expenses decreased to 21% and 20% for the three and six months ended June 30, 2025, respectively, from 25% for the three and six months ended June 30, 2024, as we benefited from efficiencies in digital and brand marketing.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1005"/>
                <wp:effectExtent l="0" t="0" r="0" b="0"/>
                <wp:wrapNone/>
                <wp:docPr id="28" name="Frame28"/>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Technology and Development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Technology and development expenses increased $9.9 million, or 15%, for the three months ended June 30, 2025, compared to the three months ended June 30, 2024. The increase was driven by $6.8 million in personnel-related expenses, net of amounts capitalized as internal-use software. The increase in technology and development expense was also driven by a $1.3 million increase in software costs for cloud services to support incremental transaction volume.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Technology and development expenses increased $20.6 million, or 16%, for the six months ended June 30, 2025, compared to the six months ended June 30, 2024. The increase was driven by $14.8 million in personnel-related expenses, net of amounts capitalized as internal-use software. The increase in technology and development expense was also driven by a $2.8 million increase in software costs for cloud services to support incremental transaction volume.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technology and development expenses decreased to 19% and 20% for the three and six months ended June 30, 2025, respectively, from 22% and 23% for the three and six months ended June 30, 2024, as we benefited from increasing efficiencies.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General and Administrative Expenses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 increased $13.7 million, or 30%, for the three months ended June 30, 2025, compared to the three months ended June 30, 2024, primarily due to a $6.1 million increase in provisions related to collectability of amounts due from certain processing partners. The increase in general and administrative expenses was also driven by a $1.2 million increase in personnel-related expenses and $0.9 million related to our charitable contributions for our quarterly Pledge 1% donation.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increased $22.3 million, or 25%, for the six months ended June 30, 2025, compared to the six months ended June 30, 2024, primarily due to a $7.9 million increase in provisions related to collectability of amounts due from certain processing partners. The increase in general and administrative expenses was also driven by a $4.2 million increase in personnel-related expenses and $1.9 million related to our charitable contributions for our quarterly Pledge 1% donation.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a percentage of revenue, general and administrative expenses decreased to 14% and 15% for the three and six months ended June 30, 2025, respectively, from 15% and 16% for the three and six months ended June 30, 2024, respectively, as we continue to leverage scale in our general and administrative functions.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Depreciation and Amortization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increased $2.4 million and $4.1 million, or 62% and 55%, respectively, for the three and six months ended June 30, 2025, compared to the three and six months ended June 30, 2024. The increase is primarily driven by an increase in amortization of intangibles and internal-use software.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Income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Interest income increased $0.1 million and decreased $0.3 million for the three and six months ended June 30, 2025, respectively, as compared to the three and six months ended June 30, 2024. This is primarily driven by increases and decreases on average invested balances throughout the periods.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Interest Expense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Interest expense increased $0.9 million and $1.4 million for the three and six months ended June 30, 2025, respectively, as compared to the three and six months ended June 30, 2024, primarily due to draws on the 2021 Revolving Credit Facility and the 2025 Revolving Credit Facility.</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Other Income (Expense), Net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Other income (expense), net is primarily driven by unrealized losses and gains on foreign exchange remeasurements of certain foreign currency denominated monetary assets and liabilities.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Provision for Income Taxes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The provision for income taxes decreased $1.7 million and increased $0.9 million for the three and six months ended June 30, 2025, respectively, as compared to the three and six months ended June 30, 2024. The decrease for the three months ended June 30, 2025 is primarily due to lower taxable income in the U.S. and certain foreign jurisdiction. The increase for the six months ended June 30, 2025 is primarily due to higher taxable income in the U.S. and certain foreign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Non-GAAP Financial Measures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1005"/>
                <wp:effectExtent l="0" t="0" r="0" b="0"/>
                <wp:wrapNone/>
                <wp:docPr id="29" name="Frame29"/>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use Adjusted EBITDA, a non-GAAP financial measure to supplement net income (loss). Adjusted EBITDA is calculated as net income (loss) adjusted by (i) interest (income) expense, net; (ii)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integration, restructuring, and other costs.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Adjusted EBITDA is a key output measure used by our management to evaluate our operating performance, inform future operating plans, and make strategic long-term decisions, including those relating to operating expenses and the allocation of internal resources.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the effect of income taxes that may represent a reduction in cash available to us;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does not reflect the changes in other income (expense), net, primarily driven by the effect of gains and losses from the remeasurement of foreign currency assets and liabilities into their functional currency;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excludes noncash charges associated with the donation of our common stock in connection with our Pledge 1% commitment, which is recorded in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Adjusted EBITDA excludes stock-based compensation expense, net and payroll taxes related to stock-based compensation expense, net. These charges have recently been, and will continue to be for the foreseeable future, significant recurring expenses for our business as they are an important part of our compensation strategy; however, they are not directly linked to the current period’s operational performance. Additionally, payroll taxes related to stock-based compensation expense, net are outside of our direct control;</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18"/>
        </w:rPr>
        <w:t xml:space="preserve">Adjusted EBITDA excludes certain transaction costs related to integration, restructuring, and other costs. The integration costs are primarily related to the Rewire acquisition and primarily include external legal, accounting, valuation, and due diligence costs, advisory and other professional services fees necessary to integrate acquired businesses, and the change in the fair value of the holdback liability as part of the acquisition of Rewire. The restructuring costs are primarily related to severance and other associated costs;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other companies, including companies in our industry, may calculate Adjusted EBITDA differently from how we calculate this measure or not at all, which reduces its usefulness as a comparative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sets forth a reconciliation of net income (loss) to Adjusted EBITDA, the most directly comparable financial measure prepared in accordance with GAAP, for each of the periods indicated:</w:t>
      </w:r>
    </w:p>
    <w:tbl>
      <w:tblPr>
        <w:tblW w:w="9751" w:type="dxa"/>
        <w:jc w:val="left"/>
        <w:tblInd w:w="0" w:type="dxa"/>
        <w:tblLayout w:type="fixed"/>
        <w:tblCellMar>
          <w:top w:w="28" w:type="dxa"/>
          <w:left w:w="28" w:type="dxa"/>
          <w:bottom w:w="28" w:type="dxa"/>
          <w:right w:w="28" w:type="dxa"/>
        </w:tblCellMar>
      </w:tblPr>
      <w:tblGrid>
        <w:gridCol w:w="1645"/>
        <w:gridCol w:w="1446"/>
        <w:gridCol w:w="1453"/>
        <w:gridCol w:w="208"/>
        <w:gridCol w:w="685"/>
        <w:gridCol w:w="115"/>
        <w:gridCol w:w="115"/>
        <w:gridCol w:w="115"/>
        <w:gridCol w:w="115"/>
        <w:gridCol w:w="208"/>
        <w:gridCol w:w="765"/>
        <w:gridCol w:w="115"/>
        <w:gridCol w:w="109"/>
        <w:gridCol w:w="109"/>
        <w:gridCol w:w="109"/>
        <w:gridCol w:w="196"/>
        <w:gridCol w:w="736"/>
        <w:gridCol w:w="109"/>
        <w:gridCol w:w="109"/>
        <w:gridCol w:w="109"/>
        <w:gridCol w:w="109"/>
        <w:gridCol w:w="196"/>
        <w:gridCol w:w="721"/>
        <w:gridCol w:w="154"/>
      </w:tblGrid>
      <w:tr>
        <w:trPr/>
        <w:tc>
          <w:tcPr>
            <w:tcW w:w="1645"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2024</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2024</w:t>
            </w:r>
            <w:r>
              <w:rPr>
                <w:rFonts w:ascii="Times New Roman;serif" w:hAnsi="Times New Roman;serif"/>
                <w:b/>
                <w:color w:val="000000"/>
                <w:sz w:val="12"/>
              </w:rPr>
              <w:t>(3)</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Add:</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Donation of common stock</w:t>
            </w:r>
            <w:r>
              <w:rPr>
                <w:rFonts w:ascii="Times New Roman;serif" w:hAnsi="Times New Roman;serif"/>
                <w:b w:val="false"/>
                <w:color w:val="000000"/>
                <w:sz w:val="12"/>
              </w:rPr>
              <w:t>(1)</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Payroll taxes related to stock-based compensation expense, net</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Integration, restructuring, and other costs</w:t>
            </w:r>
            <w:r>
              <w:rPr>
                <w:rFonts w:ascii="Times New Roman;serif" w:hAnsi="Times New Roman;serif"/>
                <w:b w:val="false"/>
                <w:color w:val="000000"/>
                <w:sz w:val="12"/>
              </w:rPr>
              <w:t>(2)</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63,997 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26,248 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122,425 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Refer to Note 10. </w:t>
      </w:r>
      <w:r>
        <w:rPr>
          <w:rFonts w:ascii="Times New Roman;serif" w:hAnsi="Times New Roman;serif"/>
          <w:b w:val="false"/>
          <w:i/>
          <w:color w:val="000000"/>
          <w:sz w:val="16"/>
        </w:rPr>
        <w:t>Common Stock</w:t>
      </w:r>
      <w:r>
        <w:rPr>
          <w:color w:val="000000"/>
        </w:rPr>
        <w:t xml:space="preserve"> </w:t>
      </w:r>
      <w:r>
        <w:rPr>
          <w:rFonts w:ascii="Times New Roman;serif" w:hAnsi="Times New Roman;serif"/>
          <w:b w:val="false"/>
          <w:color w:val="000000"/>
          <w:sz w:val="16"/>
        </w:rPr>
        <w:t>within the notes to the condensed consolidated financial statements for further detail on the donation of common stock.</w:t>
      </w:r>
    </w:p>
    <w:p>
      <w:pPr>
        <w:pStyle w:val="TextBody"/>
        <w:bidi w:val="0"/>
        <w:spacing w:lineRule="auto" w:line="288" w:before="0" w:after="6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Integration, restructuring, and other costs for the three and six months ended June 30, 2025 consisted primarily of non-recurring termination benefits. Integration, restructuring, and other costs for the six months ended June 30, 2024 consisted primarily of $0.8 million in restructuring charges incurred, $0.5 million of non-recurring legal charges, and $0.2 million related to the change in the fair value of the holdback liability associated with the acquisition of Rewire (O.S.G.) Research and Development Ltd. (“Rewire”). </w:t>
      </w:r>
    </w:p>
    <w:p>
      <w:pPr>
        <w:pStyle w:val="TextBody"/>
        <w:bidi w:val="0"/>
        <w:spacing w:lineRule="auto" w:line="288" w:before="0" w:after="6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As previously announced on February 19, 2025, our presentation of Adjusted EBITDA now excludes the impact of payroll taxes related to stock-based compensation expense, net. Prior period Adjusted EBITDA has been recast to reflect this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1005"/>
                <wp:effectExtent l="0" t="0" r="0" b="0"/>
                <wp:wrapNone/>
                <wp:docPr id="30" name="Frame30"/>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Sources of Liquidity and Material Future Cash Requirements</w:t>
      </w:r>
    </w:p>
    <w:p>
      <w:pPr>
        <w:pStyle w:val="TextBody"/>
        <w:bidi w:val="0"/>
        <w:spacing w:lineRule="auto" w:line="288" w:before="0" w:after="180"/>
        <w:jc w:val="left"/>
        <w:rPr/>
      </w:pPr>
      <w:r>
        <w:rPr>
          <w:rFonts w:ascii="Times New Roman;serif" w:hAnsi="Times New Roman;serif"/>
          <w:b w:val="false"/>
          <w:color w:val="000000"/>
          <w:sz w:val="18"/>
        </w:rPr>
        <w:t>As of June 30, 2025 and December 31, 2024, our principal sources of liquidity were cash and cash equivalents of $515.9 million and $368.1 million, respectively, as well as funds available under the 2021 Revolving Credit Facility and the 2025 Revolving Credit Facility, which we entered into in September 2021 and June 2025, respectively. The 2021 Revolving Credit Facility was amended i</w:t>
      </w:r>
      <w:r>
        <w:rPr>
          <w:rFonts w:ascii="Times New Roman;serif" w:hAnsi="Times New Roman;serif"/>
          <w:b w:val="false"/>
          <w:color w:val="000000"/>
          <w:sz w:val="18"/>
          <w:shd w:fill="FFFFFF" w:val="clear"/>
        </w:rPr>
        <w:t xml:space="preserve">n December 2023 to increase the revolving commitments from </w:t>
      </w:r>
      <w:r>
        <w:rPr>
          <w:rFonts w:ascii="Times New Roman;serif" w:hAnsi="Times New Roman;serif"/>
          <w:b w:val="false"/>
          <w:color w:val="000000"/>
          <w:sz w:val="18"/>
        </w:rPr>
        <w:t>$250.0 million</w:t>
      </w:r>
      <w:r>
        <w:rPr>
          <w:color w:val="000000"/>
          <w:shd w:fill="FFFFFF" w:val="clear"/>
        </w:rPr>
        <w:t xml:space="preserve"> </w:t>
      </w:r>
      <w:r>
        <w:rPr>
          <w:rFonts w:ascii="Times New Roman;serif" w:hAnsi="Times New Roman;serif"/>
          <w:b w:val="false"/>
          <w:color w:val="000000"/>
          <w:sz w:val="18"/>
          <w:shd w:fill="FFFFFF" w:val="clear"/>
        </w:rPr>
        <w:t xml:space="preserve">(including a </w:t>
      </w:r>
      <w:r>
        <w:rPr>
          <w:rFonts w:ascii="Times New Roman;serif" w:hAnsi="Times New Roman;serif"/>
          <w:b w:val="false"/>
          <w:color w:val="000000"/>
          <w:sz w:val="18"/>
        </w:rPr>
        <w:t>$60.0 million</w:t>
      </w:r>
      <w:r>
        <w:rPr>
          <w:color w:val="000000"/>
          <w:shd w:fill="FFFFFF" w:val="clear"/>
        </w:rPr>
        <w:t xml:space="preserve"> </w:t>
      </w:r>
      <w:r>
        <w:rPr>
          <w:rFonts w:ascii="Times New Roman;serif" w:hAnsi="Times New Roman;serif"/>
          <w:b w:val="false"/>
          <w:color w:val="000000"/>
          <w:sz w:val="18"/>
          <w:shd w:fill="FFFFFF" w:val="clear"/>
        </w:rPr>
        <w:t xml:space="preserve">letter of credit sub-facility) to </w:t>
      </w:r>
      <w:r>
        <w:rPr>
          <w:rFonts w:ascii="Times New Roman;serif" w:hAnsi="Times New Roman;serif"/>
          <w:b w:val="false"/>
          <w:color w:val="000000"/>
          <w:sz w:val="18"/>
        </w:rPr>
        <w:t>$325.0 million</w:t>
      </w:r>
      <w:r>
        <w:rPr>
          <w:rFonts w:ascii="Times New Roman;serif" w:hAnsi="Times New Roman;serif"/>
          <w:b w:val="false"/>
          <w:color w:val="000000"/>
          <w:sz w:val="18"/>
          <w:shd w:fill="FFFFFF" w:val="clear"/>
        </w:rPr>
        <w:t xml:space="preserve">. The 2021 Revolving Credit Facility was replaced in June 2025 with the 2025 Revolving Credit Facility, which increased the revolving commitments from $325.0 million (including a $60 million letter of credit sub-facility) to </w:t>
      </w:r>
      <w:r>
        <w:rPr>
          <w:rFonts w:ascii="Times New Roman;serif" w:hAnsi="Times New Roman;serif"/>
          <w:b w:val="false"/>
          <w:color w:val="000000"/>
          <w:sz w:val="18"/>
        </w:rPr>
        <w:t>$550.0 million</w:t>
      </w:r>
      <w:r>
        <w:rPr>
          <w:color w:val="000000"/>
          <w:shd w:fill="FFFFFF" w:val="clear"/>
        </w:rPr>
        <w:t xml:space="preserve"> </w:t>
      </w:r>
      <w:r>
        <w:rPr>
          <w:rFonts w:ascii="Times New Roman;serif" w:hAnsi="Times New Roman;serif"/>
          <w:b w:val="false"/>
          <w:color w:val="000000"/>
          <w:sz w:val="18"/>
          <w:shd w:fill="FFFFFF" w:val="clear"/>
        </w:rPr>
        <w:t xml:space="preserve">(including a </w:t>
      </w:r>
      <w:r>
        <w:rPr>
          <w:rFonts w:ascii="Times New Roman;serif" w:hAnsi="Times New Roman;serif"/>
          <w:b w:val="false"/>
          <w:color w:val="000000"/>
          <w:sz w:val="18"/>
        </w:rPr>
        <w:t>$200.0 million</w:t>
      </w:r>
      <w:r>
        <w:rPr>
          <w:color w:val="000000"/>
          <w:shd w:fill="FFFFFF" w:val="clear"/>
        </w:rPr>
        <w:t xml:space="preserve"> </w:t>
      </w:r>
      <w:r>
        <w:rPr>
          <w:rFonts w:ascii="Times New Roman;serif" w:hAnsi="Times New Roman;serif"/>
          <w:b w:val="false"/>
          <w:color w:val="000000"/>
          <w:sz w:val="18"/>
          <w:shd w:fill="FFFFFF" w:val="clear"/>
        </w:rPr>
        <w:t xml:space="preserve">letter of credit sub-facility). </w:t>
      </w:r>
      <w:r>
        <w:rPr>
          <w:rFonts w:ascii="Times New Roman;serif" w:hAnsi="Times New Roman;serif"/>
          <w:b w:val="false"/>
          <w:color w:val="000000"/>
          <w:sz w:val="18"/>
        </w:rPr>
        <w:t>We have historically financed our operations and capital expenditures primarily through cash generated from operations including transaction fees and foreign exchange spreads. In recent periods, we have supplemented those cash flows with borrowings on our 2021 Revolving Credit Facility and 2025 Revolving Credit Facility, primarily to support customer transaction volumes during peak periods and weekends, which we expect to continue to do in the future. During the six months ended June 30, 2025 and 2024, the average term of outstanding borrowings under our 2021 Revolving Credit Facility and 2025 Revolving Credit Facility was approximately four days. Operations continue to be substantially funded by the existing cash we have on hand and ongoing utilization of the 2021 Revolving Credit Facility and 2025 Revolving Credit Facility (including the letter of credit sub-facility). During the six months ended June 30, 2025, we cumulatively borrowed and repaid $2,493.0 million against these credit facilities. As of June 30, 2025, we had no outstanding borrowings under the 2025 Revolving Credit Facility. As of June 30, 2025, we have unused borrowing capacity of $497.2 million.</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We believe that our cash, cash equivalents, and funds available under the 2025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and other strategic investments. Furthermore, certain jurisdictions where we operate require us to hold eligible liquid assets, based on regulatory or legal requirements, equal to the aggregate amount of all customer balances that have not yet been disbursed.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We also routinely enter into marketing and advertising contracts, software subscriptions and other service arrangements, including cloud infrastructure arrangements, which are generally entered into in the ordinary course of business, and that can include minimum purchase quantities, requiring us to utilize cash on hand to fulfill these amounts. Refer to “Contractual Obligations and Commitments” discussed further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following table shows a summary of our Condensed Consolidated Statements of Cash Flows for the periods presented:</w:t>
      </w:r>
    </w:p>
    <w:tbl>
      <w:tblPr>
        <w:tblW w:w="8664" w:type="dxa"/>
        <w:jc w:val="left"/>
        <w:tblInd w:w="0" w:type="dxa"/>
        <w:tblLayout w:type="fixed"/>
        <w:tblCellMar>
          <w:top w:w="28" w:type="dxa"/>
          <w:left w:w="28" w:type="dxa"/>
          <w:bottom w:w="28" w:type="dxa"/>
          <w:right w:w="28" w:type="dxa"/>
        </w:tblCellMar>
      </w:tblPr>
      <w:tblGrid>
        <w:gridCol w:w="2222"/>
        <w:gridCol w:w="1954"/>
        <w:gridCol w:w="1959"/>
        <w:gridCol w:w="196"/>
        <w:gridCol w:w="736"/>
        <w:gridCol w:w="109"/>
        <w:gridCol w:w="109"/>
        <w:gridCol w:w="109"/>
        <w:gridCol w:w="109"/>
        <w:gridCol w:w="196"/>
        <w:gridCol w:w="811"/>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Effect of foreign exchange rate changes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(136,339)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Cash Flows</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Operating Activities</w:t>
      </w:r>
    </w:p>
    <w:p>
      <w:pPr>
        <w:pStyle w:val="TextBody"/>
        <w:bidi w:val="0"/>
        <w:spacing w:lineRule="auto" w:line="288" w:before="0" w:after="180"/>
        <w:jc w:val="left"/>
        <w:rPr/>
      </w:pPr>
      <w:r>
        <w:rPr>
          <w:rFonts w:ascii="Times New Roman;serif" w:hAnsi="Times New Roman;serif"/>
          <w:b w:val="false"/>
          <w:color w:val="000000"/>
          <w:sz w:val="18"/>
          <w:shd w:fill="FFFFFF" w:val="clear"/>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transaction-related balances period over period and can reduce our cash position at a particular point in time. These balances within our Condensed Consolidated Statements of Cash Flows include disbursement prefunding, customer funds receivable, customer liabilities, and trade settlement liabilities, which are included within the line item ‘</w:t>
      </w:r>
      <w:r>
        <w:rPr>
          <w:rFonts w:ascii="Times New Roman;serif" w:hAnsi="Times New Roman;serif"/>
          <w:b w:val="false"/>
          <w:i/>
          <w:color w:val="000000"/>
          <w:sz w:val="18"/>
          <w:shd w:fill="FFFFFF" w:val="clear"/>
        </w:rPr>
        <w:t>Accrued expenses and other liabilities.</w:t>
      </w:r>
      <w:r>
        <w:rPr>
          <w:color w:val="00000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1005"/>
                <wp:effectExtent l="0" t="0" r="0" b="0"/>
                <wp:wrapNone/>
                <wp:docPr id="31" name="Frame31"/>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For the six months ended June 30, 2025, net cash provided by operating activities was $174.1 million, which was primarily driven by timing impacts of current growth in our global network. Specifically, as a result of both growth and timing, we saw an increase in cash flow due to customer funds working capital changes of $54.0 million related to combined customer funds receivable, customer liabilities, disbursement prefunding, and trade settlement liability. In addition to these and other changes in working capital, the cash generated from operations reflects the $17.9 million net income for the period exclusive of the $87.9 million of noncash charges.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For the six months ended June 30, 2024, net cash used in operating activities was $7.9 million, which was primarily driven by timing impacts of current growth in our global network. Specifically, as a result of both growth and timing, we saw an increase in customer funds receivable of $82.1 million and a decrease in customer liabilities of $10.7 million, offset by a decrease in disbursement prefunding of $45.1 million, which were the key drivers for the changes in our operating assets and liabilities which decreased operating cash flows by $53.8 million. This change in our operating assets and liabilities was also partially offset by cash generated from our operations, when excluding the $79.0 million of noncash charges included within the $33.2 million net loss for the period.</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Investing Activities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consists primarily of purchases of property and equipment and capitalization of internal-use software.</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was $32.6 million for the six months ended June 30, 2025, an increase of $24.0 million, compared to net cash used in investing activities of $8.6 million for the six months ended June 30, 2024. This increase was primarily driven by an increase in purchases of property and equipment, and other of $24.5 million primarily related to leasehold improvements for our corporate headquarters for the six months ended June 30, 2025, as compared to the six months ended June 30, 2024.</w:t>
      </w: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Financing Activities</w:t>
      </w:r>
    </w:p>
    <w:p>
      <w:pPr>
        <w:pStyle w:val="TextBody"/>
        <w:bidi w:val="0"/>
        <w:spacing w:lineRule="auto" w:line="288" w:before="0" w:after="180"/>
        <w:jc w:val="left"/>
        <w:rPr/>
      </w:pPr>
      <w:r>
        <w:rPr>
          <w:rFonts w:ascii="Times New Roman;serif" w:hAnsi="Times New Roman;serif"/>
          <w:b w:val="false"/>
          <w:color w:val="000000"/>
          <w:sz w:val="18"/>
        </w:rPr>
        <w:t xml:space="preserve">Cash used in financing activities consists primarily of borrowings on our 2021 Revolving Credit Facility and 2025 Revolving Credit Facility, proceeds from the exercise of stock options, and proceeds from the issuance of common stock in connection with the ESPP, offset by repayments of our 2021 Revolving Credit Facility and </w:t>
      </w:r>
      <w:r>
        <w:rPr>
          <w:rFonts w:ascii="Times New Roman;serif" w:hAnsi="Times New Roman;serif"/>
          <w:b w:val="false"/>
          <w:color w:val="000000"/>
          <w:sz w:val="18"/>
          <w:shd w:fill="FFFFFF" w:val="clear"/>
        </w:rPr>
        <w:t>2025 Revolving Credit Facility</w:t>
      </w:r>
      <w:r>
        <w:rPr>
          <w:color w:val="000000"/>
        </w:rPr>
        <w:t xml:space="preserve"> </w:t>
      </w:r>
      <w:r>
        <w:rPr>
          <w:rFonts w:ascii="Times New Roman;serif" w:hAnsi="Times New Roman;serif"/>
          <w:b w:val="false"/>
          <w:color w:val="000000"/>
          <w:sz w:val="18"/>
        </w:rPr>
        <w:t>borrowings.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financing activities for the six months ended June 30, 2025 was $3.9 million, a decrease of $114.7 million, compared to net cash used in financing activities for the six months ended June 30, 2024 of $118.6 million. The decrease was primarily driven by the reduction in net repayments on both our 2021 Revolving Credit Facility and our 2025 Revolving Credit Facility of $115.0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Contractual Obligations and Commitments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Our principal commitments consist of standby letters of credit, long-term leases, and other purchase commitments entered into in the normal course of business. In addition, we routinely enter into marketing and advertising contracts, software subscriptions or other service arrangements, including cloud infrastructure arrangements, and compliance-application related arrangements that contractually obligate us to purchase services, including minimum service quantities, unless we give notice of cancellation based on the applicable terms of the agreements. Most contracts are typically cancellable within a period of less than one year, although some of our larger software or cloud service subscriptions require multi-year commitments.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bidi w:val="0"/>
        <w:spacing w:lineRule="auto" w:line="288" w:before="0" w:after="180"/>
        <w:jc w:val="left"/>
        <w:rPr/>
      </w:pPr>
      <w:r>
        <w:rPr>
          <w:rFonts w:ascii="Times New Roman;serif" w:hAnsi="Times New Roman;serif"/>
          <w:b w:val="false"/>
          <w:color w:val="000000"/>
          <w:sz w:val="18"/>
        </w:rPr>
        <w:t xml:space="preserve">During the six months ended June 30, 2025, other than software, cloud infrastructure (as described below), marketing, compliance-tool related contracts, and leases (as described below) entered into in the normal course of business, there were no other material changes to the contractual obligations and contingencies as disclosed in Note 16.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 xml:space="preserve">and Note 18. </w:t>
      </w:r>
      <w:r>
        <w:rPr>
          <w:rFonts w:ascii="Times New Roman;serif" w:hAnsi="Times New Roman;serif"/>
          <w:b w:val="false"/>
          <w:i/>
          <w:color w:val="000000"/>
          <w:sz w:val="18"/>
        </w:rPr>
        <w:t>Leases</w:t>
      </w:r>
      <w:r>
        <w:rPr>
          <w:color w:val="000000"/>
        </w:rPr>
        <w:t xml:space="preserve"> </w:t>
      </w:r>
      <w:r>
        <w:rPr>
          <w:rFonts w:ascii="Times New Roman;serif" w:hAnsi="Times New Roman;serif"/>
          <w:b w:val="false"/>
          <w:color w:val="000000"/>
          <w:sz w:val="18"/>
        </w:rPr>
        <w:t xml:space="preserve">in the notes to the consolidated financial statements included in Part II, Item 8 in our Annual Report on Form 10-K for the year ended December 31, 2024. For further discussion of commitments and contingencies, also refer to Note 14.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w:t>
      </w:r>
      <w:r>
        <w:rPr>
          <w:rFonts w:ascii="Times New Roman;serif" w:hAnsi="Times New Roman;serif"/>
          <w:b w:val="false"/>
          <w:i/>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Purchase Commitments</w:t>
      </w:r>
    </w:p>
    <w:p>
      <w:pPr>
        <w:pStyle w:val="TextBody"/>
        <w:bidi w:val="0"/>
        <w:spacing w:lineRule="auto" w:line="288" w:before="0" w:after="180"/>
        <w:jc w:val="left"/>
        <w:rPr/>
      </w:pPr>
      <w:r>
        <w:rPr>
          <w:rFonts w:ascii="Times New Roman;serif" w:hAnsi="Times New Roman;serif"/>
          <w:b w:val="false"/>
          <w:color w:val="000000"/>
          <w:sz w:val="18"/>
        </w:rPr>
        <w:t xml:space="preserve">In July 2025, we entered into a five-year cloud infrastructure arrangement. For further details on this arrangement, refer to Note 14.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18"/>
        </w:rPr>
      </w:pPr>
      <w:r>
        <w:rPr>
          <w:rFonts w:ascii="Times New Roman;serif" w:hAnsi="Times New Roman;serif"/>
          <w:b w:val="false"/>
          <w:i/>
          <w:color w:val="000000"/>
          <w:sz w:val="18"/>
        </w:rPr>
        <w:t>Leases Commenced in Current Period</w:t>
      </w:r>
    </w:p>
    <w:p>
      <w:pPr>
        <w:pStyle w:val="TextBody"/>
        <w:bidi w:val="0"/>
        <w:spacing w:lineRule="auto" w:line="288" w:before="0" w:after="180"/>
        <w:jc w:val="left"/>
        <w:rPr/>
      </w:pPr>
      <w:r>
        <w:rPr>
          <w:rFonts w:ascii="Times New Roman;serif" w:hAnsi="Times New Roman;serif"/>
          <w:b w:val="false"/>
          <w:color w:val="000000"/>
          <w:sz w:val="18"/>
        </w:rPr>
        <w:t xml:space="preserve">During the three months ended June 30, 2025, we entered into lease agreements for our corporate facilities. For further details on these lease agreements, refer to Note 14. </w:t>
      </w:r>
      <w:r>
        <w:rPr>
          <w:rFonts w:ascii="Times New Roman;serif" w:hAnsi="Times New Roman;serif"/>
          <w:b w:val="false"/>
          <w:i/>
          <w:color w:val="000000"/>
          <w:sz w:val="18"/>
        </w:rPr>
        <w:t xml:space="preserve">Commitments and Contingencies </w:t>
      </w:r>
      <w:r>
        <w:rPr>
          <w:rFonts w:ascii="Times New Roman;serif" w:hAnsi="Times New Roman;serif"/>
          <w:b w:val="false"/>
          <w:color w:val="000000"/>
          <w:sz w:val="18"/>
        </w:rPr>
        <w:t>in the notes to the condensed consolidated financial statements included in Part I, Item 1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1005"/>
                <wp:effectExtent l="0" t="0" r="0" b="0"/>
                <wp:wrapNone/>
                <wp:docPr id="32" name="Frame32"/>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June 30, 2025, we had no material off-balance sheet arrangements that have, or are reasonably likely to have, a current or future material effect on our condensed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in our Annual Report on Form 10-K, we elected not to record leases on our Condensed Consolidated Balance Sheets if the lease term is 12 months or less. For further information on our lease arrangements, refer to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Critical Accounting Policies and Estimates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equity, revenue, expenses, and related disclosures. Our estimates are based on historical experience and on various other factors that we believe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288" w:before="0" w:after="180"/>
        <w:jc w:val="left"/>
        <w:rPr/>
      </w:pPr>
      <w:r>
        <w:rPr>
          <w:rFonts w:ascii="Times New Roman;serif" w:hAnsi="Times New Roman;serif"/>
          <w:b w:val="false"/>
          <w:color w:val="000000"/>
          <w:sz w:val="18"/>
        </w:rPr>
        <w:t xml:space="preserve">There have been no material changes, other than as described in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to the critical accounting policies and estimates as compared to those described in “Management’s Discussion and Analysis of Financial Condition and Results of Operations” set forth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Recently Issued Accounting Pronouncements</w:t>
      </w:r>
    </w:p>
    <w:p>
      <w:pPr>
        <w:pStyle w:val="TextBody"/>
        <w:bidi w:val="0"/>
        <w:spacing w:lineRule="auto" w:line="288" w:before="0" w:after="180"/>
        <w:jc w:val="left"/>
        <w:rPr/>
      </w:pPr>
      <w:r>
        <w:rPr>
          <w:rFonts w:ascii="Times New Roman;serif" w:hAnsi="Times New Roman;serif"/>
          <w:b w:val="false"/>
          <w:color w:val="000000"/>
          <w:sz w:val="18"/>
        </w:rPr>
        <w:t xml:space="preserve">See Note 2. </w:t>
      </w:r>
      <w:r>
        <w:rPr>
          <w:rFonts w:ascii="Times New Roman;serif" w:hAnsi="Times New Roman;serif"/>
          <w:b w:val="false"/>
          <w:i/>
          <w:color w:val="000000"/>
          <w:sz w:val="18"/>
        </w:rPr>
        <w:t>Basis of Presentation and Summary of Significant Accounting Policies</w:t>
      </w:r>
      <w:r>
        <w:rPr>
          <w:color w:val="000000"/>
        </w:rPr>
        <w:t xml:space="preserve"> </w:t>
      </w:r>
      <w:r>
        <w:rPr>
          <w:rFonts w:ascii="Times New Roman;serif" w:hAnsi="Times New Roman;serif"/>
          <w:b w:val="false"/>
          <w:color w:val="000000"/>
          <w:sz w:val="18"/>
        </w:rPr>
        <w:t>in the notes to the condensed consolidated financial statements included in Part I, Item 1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Market risk is the potential for economic losses to be incurred on market risk-sensitive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Credit Risk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We partner with pay-in payment providers and therefore we are exposed to credit risk relating to those pay-in payment providers if, in the course of a transaction, we were to disburse funds to the recipient but the pay-in payment provider did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our banking partners where we hold assets, and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Foreign Currency Exchange Rate Risk</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Given the nature of our business, we are exposed to foreign exchange rate risk in a number of ways. Our principal exposure to foreign exchange rate risk includes: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partially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1005"/>
                <wp:effectExtent l="0" t="0" r="0" b="0"/>
                <wp:wrapNone/>
                <wp:docPr id="33" name="Frame33"/>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ind w:left="0" w:right="0" w:hanging="360"/>
        <w:jc w:val="left"/>
        <w:rPr/>
      </w:pPr>
      <w:r>
        <w:rPr>
          <w:color w:val="000000"/>
          <w:shd w:fill="FFFFFF" w:val="clear"/>
        </w:rPr>
        <w:t>•</w:t>
      </w:r>
      <w:r>
        <w:rPr>
          <w:rFonts w:ascii="Times New Roman;serif" w:hAnsi="Times New Roman;serif"/>
          <w:b w:val="false"/>
          <w:color w:val="000000"/>
          <w:sz w:val="18"/>
        </w:rPr>
        <w:t>While the majority of our revenue and expenses are denominated in the U.S. dollar, certain of our international operations are conducted in foreign currencies, a significant portion of which occur in Canada. Changes in the relative value of the U.S. dollar to other currencies may affect revenue and other operating results as expressed in U.S. dollars. In addition, certain of our international subsidiary financial statements are denominated in and operated in currencies outside of the U.S. dollar. As such, the condensed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U.S. dollars.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As of June 30, 2025 and December 31, 2024, a hypothetical uniform 10% strengthening or weakening in the value of the U.S. dollar relative to other currencies in which our net income (loss) was generated would have resulted in a decrease or increase to the fair value of our customer transaction-related assets and liabilities denominated in currencies other than the subsidiaries’ functional currencies of approximately $15.6 million and $17.4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remittance transactions. For example, an increase in the value of a send currency against a receive currency may accelerate the timing or amount of remittances.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however, we may do so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 xml:space="preserve">Item 4. Controls and Procedures </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Evaluation of Disclosure Controls and Procedures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Based on their evaluation as of June 30, 2025, our management, including our Chief Executive Officer and Chief Financial Officer, have concluded that our disclosure controls and procedures (as defined in Rules 13a-15(e) and 15d-15(e) under the Securities Exchange Act of 1934, as amended) were effective at a reasonable assurance level.</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Changes in Internal Control over Financial Reporting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as defined in the Exchange Act Rule 13a-15(f) that occurred during the quarter ended June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1005"/>
                <wp:effectExtent l="0" t="0" r="0" b="0"/>
                <wp:wrapNone/>
                <wp:docPr id="34" name="Frame34"/>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 Legal Proceedings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In the normal course of business, the Company occasionally becomes involved in various legal proceedings. In the opinion of management, any liability from such proceedings would not have a material adverse effect on the business or financial condition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 addition to the other information set forth in this Quarterly Report on Form 10-Q, you should carefully consider the factors discussed in Part I, Item 1A, “Risk Factors,” in our Annual Report on Form 10-K for the year ended December 31, 2024, which could materially affect our business, financial condition, operating results, reputation, future prospects, or the trading price of the Company’s stock. These are not the only risks facing the Company. Additional risks and uncertainties that we are unaware of or that we deem immaterial may also become important factors that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Recent Sales of Unregistered Equity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Issuer Purchase of Equity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3. Defaults Upon Senior Securities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0" w:after="180"/>
        <w:jc w:val="left"/>
        <w:rPr>
          <w:rFonts w:ascii="Times New Roman;serif" w:hAnsi="Times New Roman;serif"/>
          <w:b/>
          <w:i/>
          <w:color w:val="000000"/>
          <w:sz w:val="18"/>
        </w:rPr>
      </w:pPr>
      <w:r>
        <w:rPr>
          <w:rFonts w:ascii="Times New Roman;serif" w:hAnsi="Times New Roman;serif"/>
          <w:b/>
          <w:i/>
          <w:color w:val="000000"/>
          <w:sz w:val="18"/>
        </w:rPr>
        <w:t>Rule 10b5-1 and Non-Rule 10b5-1 Trading Arrangements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During the three months ended June 30, 2025, none of our officers or directors adopted, modified, or terminated any “Rule 10b5-1 trading arrangement” or “non-Rule 10b5-1 trading arrangement,” as each term is defined in Item 408(a) of Regulation S-K.</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1005"/>
                <wp:effectExtent l="0" t="0" r="0" b="0"/>
                <wp:wrapNone/>
                <wp:docPr id="35" name="Frame35"/>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1782"/>
        <w:gridCol w:w="1655"/>
        <w:gridCol w:w="1673"/>
        <w:gridCol w:w="310"/>
        <w:gridCol w:w="310"/>
        <w:gridCol w:w="311"/>
        <w:gridCol w:w="191"/>
        <w:gridCol w:w="191"/>
        <w:gridCol w:w="157"/>
        <w:gridCol w:w="248"/>
        <w:gridCol w:w="239"/>
        <w:gridCol w:w="163"/>
        <w:gridCol w:w="225"/>
        <w:gridCol w:w="225"/>
        <w:gridCol w:w="226"/>
        <w:gridCol w:w="340"/>
        <w:gridCol w:w="340"/>
        <w:gridCol w:w="426"/>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12"/>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Filed Herewith</w:t>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Times New Roman;serif" w:hAnsi="Times New Roman;serif"/>
                  <w:b w:val="false"/>
                  <w:color w:val="0000FF"/>
                  <w:sz w:val="18"/>
                  <w:u w:val="single"/>
                </w:rPr>
                <w:t>Amended and Restated Certificate of Incorporation</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12, 2021</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Amended and Restated Bylaws</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March 20, 2024</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Certificate of Change of Registered Agent</w:t>
              </w:r>
            </w:hyperlink>
          </w:p>
        </w:tc>
        <w:tc>
          <w:tcPr>
            <w:tcW w:w="93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May 7, 2025</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0"/>
              <w:jc w:val="center"/>
              <w:rPr/>
            </w:pPr>
            <w:hyperlink r:id="rId5">
              <w:r>
                <w:rPr>
                  <w:rStyle w:val="InternetLink"/>
                  <w:rFonts w:ascii="Times New Roman;serif" w:hAnsi="Times New Roman;serif"/>
                  <w:b w:val="false"/>
                  <w:color w:val="000080"/>
                  <w:sz w:val="18"/>
                </w:rPr>
                <w:t>1</w:t>
              </w:r>
            </w:hyperlink>
            <w:hyperlink r:id="rId6">
              <w:r>
                <w:rPr>
                  <w:rStyle w:val="InternetLink"/>
                  <w:rFonts w:ascii="Times New Roman;serif" w:hAnsi="Times New Roman;serif"/>
                  <w:b w:val="false"/>
                  <w:color w:val="000080"/>
                  <w:sz w:val="18"/>
                </w:rPr>
                <w:t>0.1</w:t>
              </w:r>
            </w:hyperlink>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80"/>
                  <w:sz w:val="18"/>
                  <w:u w:val="single"/>
                </w:rPr>
                <w:t>C</w:t>
              </w:r>
            </w:hyperlink>
            <w:hyperlink r:id="rId8">
              <w:r>
                <w:rPr>
                  <w:rStyle w:val="InternetLink"/>
                  <w:rFonts w:ascii="Times New Roman;serif" w:hAnsi="Times New Roman;serif"/>
                  <w:b w:val="false"/>
                  <w:color w:val="000080"/>
                  <w:sz w:val="18"/>
                  <w:u w:val="single"/>
                </w:rPr>
                <w:t xml:space="preserve">redit Agreement dated as </w:t>
              </w:r>
            </w:hyperlink>
            <w:hyperlink r:id="rId9">
              <w:r>
                <w:rPr>
                  <w:rStyle w:val="InternetLink"/>
                  <w:rFonts w:ascii="Times New Roman;serif" w:hAnsi="Times New Roman;serif"/>
                  <w:b w:val="false"/>
                  <w:color w:val="000080"/>
                  <w:sz w:val="18"/>
                  <w:u w:val="single"/>
                </w:rPr>
                <w:t>of June 24, 2025, among R</w:t>
              </w:r>
            </w:hyperlink>
            <w:hyperlink r:id="rId10">
              <w:r>
                <w:rPr>
                  <w:rStyle w:val="InternetLink"/>
                  <w:rFonts w:ascii="Times New Roman;serif" w:hAnsi="Times New Roman;serif"/>
                  <w:b w:val="false"/>
                  <w:color w:val="000080"/>
                  <w:sz w:val="18"/>
                  <w:u w:val="single"/>
                </w:rPr>
                <w:t>emitly Global, Inc., Remitly, Inc., the financial institutions party thereto, and JPMorgan Chase Bank, N.A., as administrative agent.</w:t>
              </w:r>
            </w:hyperlink>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65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001-40822</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110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8"/>
              </w:rPr>
            </w:pPr>
            <w:r>
              <w:rPr>
                <w:rFonts w:ascii="Times New Roman;serif" w:hAnsi="Times New Roman;serif"/>
                <w:b w:val="false"/>
                <w:color w:val="000000"/>
                <w:sz w:val="18"/>
              </w:rPr>
              <w:t>June 27, 2025</w:t>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2q25-exhibit311.htm">
              <w:r>
                <w:rPr>
                  <w:rStyle w:val="InternetLink"/>
                  <w:rFonts w:ascii="Times New Roman;serif" w:hAnsi="Times New Roman;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2q25-exhibit312.htm">
              <w:r>
                <w:rPr>
                  <w:rStyle w:val="InternetLink"/>
                  <w:rFonts w:ascii="Times New Roman;serif" w:hAnsi="Times New Roman;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2q25-exhibit321.htm">
              <w:r>
                <w:rPr>
                  <w:rStyle w:val="InternetLink"/>
                  <w:rFonts w:ascii="Times New Roman;serif" w:hAnsi="Times New Roman;serif"/>
                  <w:b w:val="false"/>
                  <w:color w:val="0000FF"/>
                  <w:sz w:val="18"/>
                  <w:u w:val="single"/>
                </w:rPr>
                <w:t>Certification of Principal Executive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rely2q25-exhibit322.htm">
              <w:r>
                <w:rPr>
                  <w:rStyle w:val="InternetLink"/>
                  <w:rFonts w:ascii="Times New Roman;serif" w:hAnsi="Times New Roman;serif"/>
                  <w:b w:val="false"/>
                  <w:color w:val="0000FF"/>
                  <w:sz w:val="18"/>
                  <w:u w:val="single"/>
                </w:rPr>
                <w:t>Certification of Principal Financial Officer Pursuant to 18 U.S.C. Section 1350, as Adopted Pursuant to Section 906 of the Sarbanes-Oxley Act of 2002</w:t>
              </w:r>
            </w:hyperlink>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Certain identified information has been excluded from this exhibit because the registrant does not believe it is material and is the type that the registrant customarily treats as private and confidential. Redacted information is indicated by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1005"/>
                <wp:effectExtent l="0" t="0" r="0" b="0"/>
                <wp:wrapNone/>
                <wp:docPr id="36" name="Frame36"/>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180"/>
        <w:jc w:val="left"/>
        <w:rPr/>
      </w:pPr>
      <w:hyperlink w:anchor="ia61f5f549cc04155b1c59bb766cccfa1_7">
        <w:r>
          <w:rPr>
            <w:rStyle w:val="InternetLink"/>
            <w:rFonts w:ascii="Times New Roman;serif" w:hAnsi="Times New Roman;serif"/>
            <w:b w:val="false"/>
            <w:color w:val="000080"/>
            <w:sz w:val="18"/>
            <w:u w:val="single"/>
          </w:rPr>
          <w:t xml:space="preserve">Table of </w:t>
        </w:r>
      </w:hyperlink>
      <w:hyperlink w:anchor="ia61f5f549cc04155b1c59bb766cccfa1_7">
        <w:r>
          <w:rPr>
            <w:rStyle w:val="InternetLink"/>
            <w:rFonts w:ascii="Times New Roman;serif" w:hAnsi="Times New Roman;serif"/>
            <w:b w:val="false"/>
            <w:color w:val="000080"/>
            <w:sz w:val="18"/>
            <w:u w:val="single"/>
          </w:rPr>
          <w:t>Contents</w:t>
        </w:r>
      </w:hyperlink>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SIGNATURES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5092" w:type="dxa"/>
        <w:jc w:val="left"/>
        <w:tblInd w:w="0" w:type="dxa"/>
        <w:tblLayout w:type="fixed"/>
        <w:tblCellMar>
          <w:top w:w="28" w:type="dxa"/>
          <w:left w:w="28" w:type="dxa"/>
          <w:bottom w:w="28" w:type="dxa"/>
          <w:right w:w="28" w:type="dxa"/>
        </w:tblCellMar>
      </w:tblPr>
      <w:tblGrid>
        <w:gridCol w:w="195"/>
        <w:gridCol w:w="171"/>
        <w:gridCol w:w="173"/>
        <w:gridCol w:w="404"/>
        <w:gridCol w:w="404"/>
        <w:gridCol w:w="406"/>
        <w:gridCol w:w="120"/>
        <w:gridCol w:w="120"/>
        <w:gridCol w:w="120"/>
        <w:gridCol w:w="759"/>
        <w:gridCol w:w="759"/>
        <w:gridCol w:w="762"/>
        <w:gridCol w:w="109"/>
        <w:gridCol w:w="109"/>
        <w:gridCol w:w="109"/>
        <w:gridCol w:w="109"/>
        <w:gridCol w:w="109"/>
        <w:gridCol w:w="154"/>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Remitly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 </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 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Matthew Oppenheimer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Vikas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2025</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 Luke Tavis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Luke Tavis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1005"/>
                <wp:effectExtent l="0" t="0" r="0" b="0"/>
                <wp:wrapNone/>
                <wp:docPr id="37" name="Frame37"/>
                <a:graphic xmlns:a="http://schemas.openxmlformats.org/drawingml/2006/main">
                  <a:graphicData uri="http://schemas.microsoft.com/office/word/2010/wordprocessingShape">
                    <wps:wsp>
                      <wps:cNvSpPr txBox="1"/>
                      <wps:spPr>
                        <a:xfrm>
                          <a:off x="0" y="0"/>
                          <a:ext cx="6480175" cy="421005"/>
                        </a:xfrm>
                        <a:prstGeom prst="rect"/>
                        <a:solidFill>
                          <a:srgbClr val="FFFFFF"/>
                        </a:solidFill>
                      </wps:spPr>
                      <wps:txb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400"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Oppenheimer, certify that: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Remitly Global, Inc.;</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647"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SECURITIES EXCHANGE ACT OF 1934, AS ADOPTED PURSUANT TO SECTION 302 OF</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I, Vikas Mehta, certify that: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Remitly Global, Inc.;</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587"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4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Oppenheimer, Chief Executive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Quarterly Report on Form 10-Q of the Company for the fiscal quarter ended June 30, 2025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bl>
      <w:tblPr>
        <w:tblW w:w="4647"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725"/>
        <w:gridCol w:w="725"/>
        <w:gridCol w:w="10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Oppenheimer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120" w:after="240"/>
        <w:jc w:val="left"/>
        <w:rPr/>
      </w:pPr>
      <w:r>
        <w:rPr/>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400"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400"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40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400" w:before="0" w:after="24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I, Vikas Mehta, Chief Financial Officer of Remitly Global, Inc. (the “Company”), do hereby certify, pursuant to 18 U.S.C. Section 1350, as adopted pursuant to Section 906 of the Sarbanes-Oxley Act of 2002, that to the best of my knowledge:</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Quarterly Report on Form 10-Q of the Company for the fiscal quarter ended June 30, 2025 (the “Report”) fully complies with the requirements of Section 13(a) or 15(d) of the Securities Exchange Act of 1934, as amended; and</w:t>
      </w:r>
    </w:p>
    <w:p>
      <w:pPr>
        <w:pStyle w:val="TextBody"/>
        <w:bidi w:val="0"/>
        <w:spacing w:lineRule="auto" w:line="333" w:before="0" w:after="240"/>
        <w:ind w:left="0" w:right="0" w:hanging="36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for the periods presented therein.</w:t>
      </w:r>
    </w:p>
    <w:tbl>
      <w:tblPr>
        <w:tblW w:w="4587"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707"/>
        <w:gridCol w:w="707"/>
        <w:gridCol w:w="1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erif" w:hAnsi="Times New Roman;serif"/>
                <w:b w:val="false"/>
                <w:color w:val="000000"/>
                <w:sz w:val="20"/>
              </w:rPr>
            </w:pPr>
            <w:r>
              <w:rPr>
                <w:rFonts w:ascii="Times New Roman;serif" w:hAnsi="Times New Roman;serif"/>
                <w:b w:val="false"/>
                <w:color w:val="000000"/>
                <w:sz w:val="20"/>
              </w:rPr>
              <w:t>Vikas Mehta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2170/000178217021000011/exhibit33-remitlyglobalxpu.htm" TargetMode="External"/><Relationship Id="rId3" Type="http://schemas.openxmlformats.org/officeDocument/2006/relationships/hyperlink" Target="https://www.sec.gov/Archives/edgar/data/1782170/000178217024000074/ex31-restatedbylaws.htm" TargetMode="External"/><Relationship Id="rId4" Type="http://schemas.openxmlformats.org/officeDocument/2006/relationships/hyperlink" Target="https://www.sec.gov/Archives/edgar/data/1782170/000178217025000093/exhibit33-remitlyglobalinc.htm" TargetMode="External"/><Relationship Id="rId5" Type="http://schemas.openxmlformats.org/officeDocument/2006/relationships/hyperlink" Target="https://www.sec.gov/Archives/edgar/data/1782170/000095010325008001/dp230566_ex1001.htm" TargetMode="External"/><Relationship Id="rId6" Type="http://schemas.openxmlformats.org/officeDocument/2006/relationships/hyperlink" Target="https://www.sec.gov/Archives/edgar/data/1782170/000095010325008001/dp230566_ex1001.htm" TargetMode="External"/><Relationship Id="rId7" Type="http://schemas.openxmlformats.org/officeDocument/2006/relationships/hyperlink" Target="https://www.sec.gov/Archives/edgar/data/1782170/000095010325008001/dp230566_ex1001.htm" TargetMode="External"/><Relationship Id="rId8" Type="http://schemas.openxmlformats.org/officeDocument/2006/relationships/hyperlink" Target="https://www.sec.gov/Archives/edgar/data/1782170/000095010325008001/dp230566_ex1001.htm" TargetMode="External"/><Relationship Id="rId9" Type="http://schemas.openxmlformats.org/officeDocument/2006/relationships/hyperlink" Target="https://www.sec.gov/Archives/edgar/data/1782170/000095010325008001/dp230566_ex1001.htm" TargetMode="External"/><Relationship Id="rId10" Type="http://schemas.openxmlformats.org/officeDocument/2006/relationships/hyperlink" Target="https://www.sec.gov/Archives/edgar/data/1782170/000095010325008001/dp230566_ex10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21404</Words>
  <Characters>121738</Characters>
  <CharactersWithSpaces>141828</CharactersWithSpaces>
  <Paragraphs>2346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