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330576.xml.htm"/>
      <w:bookmarkStart w:id="1" w:name="kswkform4_178433057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Sharma Pankaj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REMITLY GLOBAL,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UNION STREET, 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Remitly Global, Inc.</w:t>
              </w:r>
            </w:hyperlink>
            <w:r>
              <w:rPr/>
              <w:t xml:space="preserve"> [ </w:t>
            </w:r>
            <w:r>
              <w:rPr>
                <w:rFonts w:ascii="Times;serif" w:hAnsi="Times;serif"/>
                <w:color w:val="0000FF"/>
                <w:sz w:val="24"/>
                <w:shd w:fill="FFFFFF" w:val="clear"/>
              </w:rPr>
              <w:t>RELY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Business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25.03</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752,810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automatically pursuant to a Rule 10b5-1 trading plan adopted by the reporting person on November 18,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Weighted average price. These shares were sold in multiple transactions at prices ranging from $25.00 to $25.11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 Mason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99488" TargetMode="External"/><Relationship Id="rId5" Type="http://schemas.openxmlformats.org/officeDocument/2006/relationships/hyperlink" Target="http://www.sec.gov/cgi-bin/browse-edgar?action=getcompany&amp;CIK=0001782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650</Words>
  <Characters>3539</Characters>
  <CharactersWithSpaces>4127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