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09383.xml.htm"/>
      <w:bookmarkStart w:id="1" w:name="kswkform4_17812093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 Moal Laurent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2,943</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61,595</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30,556</w:t>
            </w:r>
            <w:r>
              <w:rPr>
                <w:rFonts w:ascii="Times;serif" w:hAnsi="Times;serif"/>
                <w:color w:val="008000"/>
                <w:position w:val="7"/>
                <w:sz w:val="16"/>
                <w:sz w:val="20"/>
                <w:shd w:fill="FFFFFF" w:val="clear"/>
              </w:rPr>
              <w:t>(2)</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92,151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the Issuer's Common Stock upon settlement. The RSUs will vest in four equal installments on each August 25, November 25, February 25, and May 25 following the grant date and, if not fully vested, shall vest in full on the earlier of (i) the date of the next annual meeting of the Issuer's stockholders and (ii) June 10, 2027, in each case, subject to the reporting person's provision of applicable service to the Issuer through the applicable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RSUs. Each RSU represents a contingent right to receive one share of the Issuer's Common Stock upon settlement. The RSUs will vest in three equal annual installments beginning on the earlier of (i) the date of the next annual meeting of the Issuer's stockholders and (ii) June 10, 2027, in each case, subject to the reporting person's provision of service to the Issuer through the applicable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832"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743</Words>
  <Characters>3922</Characters>
  <CharactersWithSpaces>4598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