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120015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130810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26, 2026</w:t>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Remitly Global,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2199640</wp:posOffset>
            </wp:positionH>
            <wp:positionV relativeFrom="paragraph">
              <wp:posOffset>64770</wp:posOffset>
            </wp:positionV>
            <wp:extent cx="27774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03" w:lineRule="exact"/>
        <w:rPr>
          <w:sz w:val="24"/>
          <w:szCs w:val="24"/>
          <w:color w:val="auto"/>
        </w:rPr>
      </w:pPr>
    </w:p>
    <w:tbl>
      <w:tblPr>
        <w:tblLayout w:type="fixed"/>
        <w:tblInd w:w="1120" w:type="dxa"/>
        <w:tblCellMar>
          <w:top w:w="0" w:type="dxa"/>
          <w:left w:w="0" w:type="dxa"/>
          <w:bottom w:w="0" w:type="dxa"/>
          <w:right w:w="0" w:type="dxa"/>
        </w:tblCellMar>
      </w:tblPr>
      <w:tr>
        <w:trPr>
          <w:trHeight w:val="229"/>
        </w:trPr>
        <w:tc>
          <w:tcPr>
            <w:tcW w:w="2340" w:type="dxa"/>
            <w:vAlign w:val="bottom"/>
          </w:tcPr>
          <w:p>
            <w:pPr>
              <w:jc w:val="center"/>
              <w:ind w:right="7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001-40822</w:t>
            </w:r>
          </w:p>
        </w:tc>
        <w:tc>
          <w:tcPr>
            <w:tcW w:w="2060" w:type="dxa"/>
            <w:vAlign w:val="bottom"/>
          </w:tcPr>
          <w:p>
            <w:pPr>
              <w:jc w:val="center"/>
              <w:ind w:left="922"/>
              <w:spacing w:after="0"/>
              <w:rPr>
                <w:sz w:val="20"/>
                <w:szCs w:val="20"/>
                <w:color w:val="auto"/>
              </w:rPr>
            </w:pPr>
            <w:r>
              <w:rPr>
                <w:rFonts w:ascii="Times New Roman" w:cs="Times New Roman" w:eastAsia="Times New Roman" w:hAnsi="Times New Roman"/>
                <w:sz w:val="18"/>
                <w:szCs w:val="18"/>
                <w:b w:val="1"/>
                <w:bCs w:val="1"/>
                <w:color w:val="auto"/>
                <w:w w:val="98"/>
              </w:rPr>
              <w:t>83-2301143</w:t>
            </w:r>
          </w:p>
        </w:tc>
      </w:tr>
      <w:tr>
        <w:trPr>
          <w:trHeight w:val="144"/>
        </w:trPr>
        <w:tc>
          <w:tcPr>
            <w:tcW w:w="2340" w:type="dxa"/>
            <w:vAlign w:val="bottom"/>
          </w:tcPr>
          <w:p>
            <w:pPr>
              <w:jc w:val="center"/>
              <w:ind w:right="762"/>
              <w:spacing w:after="0" w:line="145"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3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(Commission File Number)</w:t>
            </w:r>
          </w:p>
        </w:tc>
        <w:tc>
          <w:tcPr>
            <w:tcW w:w="2060" w:type="dxa"/>
            <w:vAlign w:val="bottom"/>
          </w:tcPr>
          <w:p>
            <w:pPr>
              <w:jc w:val="center"/>
              <w:ind w:left="922"/>
              <w:spacing w:after="0" w:line="145"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40" w:type="dxa"/>
            <w:vAlign w:val="bottom"/>
          </w:tcPr>
          <w:p>
            <w:pPr>
              <w:jc w:val="center"/>
              <w:ind w:right="762"/>
              <w:spacing w:after="0"/>
              <w:rPr>
                <w:sz w:val="20"/>
                <w:szCs w:val="20"/>
                <w:color w:val="auto"/>
              </w:rPr>
            </w:pPr>
            <w:r>
              <w:rPr>
                <w:rFonts w:ascii="Times New Roman" w:cs="Times New Roman" w:eastAsia="Times New Roman" w:hAnsi="Times New Roman"/>
                <w:sz w:val="14"/>
                <w:szCs w:val="14"/>
                <w:color w:val="auto"/>
              </w:rPr>
              <w:t>of incorporation)</w:t>
            </w:r>
          </w:p>
        </w:tc>
        <w:tc>
          <w:tcPr>
            <w:tcW w:w="4360" w:type="dxa"/>
            <w:vAlign w:val="bottom"/>
          </w:tcPr>
          <w:p>
            <w:pPr>
              <w:spacing w:after="0"/>
              <w:rPr>
                <w:sz w:val="16"/>
                <w:szCs w:val="16"/>
                <w:color w:val="auto"/>
              </w:rPr>
            </w:pPr>
          </w:p>
        </w:tc>
        <w:tc>
          <w:tcPr>
            <w:tcW w:w="2060" w:type="dxa"/>
            <w:vAlign w:val="bottom"/>
          </w:tcPr>
          <w:p>
            <w:pPr>
              <w:jc w:val="center"/>
              <w:ind w:left="902"/>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23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401 Union Street, Suite 1000</w:t>
            </w:r>
          </w:p>
        </w:tc>
        <w:tc>
          <w:tcPr>
            <w:tcW w:w="2060" w:type="dxa"/>
            <w:vAlign w:val="bottom"/>
          </w:tcPr>
          <w:p>
            <w:pPr>
              <w:spacing w:after="0"/>
              <w:rPr>
                <w:sz w:val="24"/>
                <w:szCs w:val="24"/>
                <w:color w:val="auto"/>
              </w:rPr>
            </w:pPr>
          </w:p>
        </w:tc>
      </w:tr>
      <w:tr>
        <w:trPr>
          <w:trHeight w:val="216"/>
        </w:trPr>
        <w:tc>
          <w:tcPr>
            <w:tcW w:w="2340" w:type="dxa"/>
            <w:vAlign w:val="bottom"/>
          </w:tcPr>
          <w:p>
            <w:pPr>
              <w:spacing w:after="0"/>
              <w:rPr>
                <w:sz w:val="18"/>
                <w:szCs w:val="18"/>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Seattle, WA 98101</w:t>
            </w:r>
          </w:p>
        </w:tc>
        <w:tc>
          <w:tcPr>
            <w:tcW w:w="2060" w:type="dxa"/>
            <w:vAlign w:val="bottom"/>
          </w:tcPr>
          <w:p>
            <w:pPr>
              <w:spacing w:after="0"/>
              <w:rPr>
                <w:sz w:val="18"/>
                <w:szCs w:val="18"/>
                <w:color w:val="auto"/>
              </w:rPr>
            </w:pPr>
          </w:p>
        </w:tc>
      </w:tr>
      <w:tr>
        <w:trPr>
          <w:trHeight w:val="188"/>
        </w:trPr>
        <w:tc>
          <w:tcPr>
            <w:tcW w:w="234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c>
          <w:tcPr>
            <w:tcW w:w="2060" w:type="dxa"/>
            <w:vAlign w:val="bottom"/>
          </w:tcPr>
          <w:p>
            <w:pPr>
              <w:spacing w:after="0"/>
              <w:rPr>
                <w:sz w:val="16"/>
                <w:szCs w:val="16"/>
                <w:color w:val="auto"/>
              </w:rPr>
            </w:pPr>
          </w:p>
        </w:tc>
      </w:tr>
      <w:tr>
        <w:trPr>
          <w:trHeight w:val="365"/>
        </w:trPr>
        <w:tc>
          <w:tcPr>
            <w:tcW w:w="23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(888) 736-4859</w:t>
            </w:r>
          </w:p>
        </w:tc>
        <w:tc>
          <w:tcPr>
            <w:tcW w:w="2060" w:type="dxa"/>
            <w:vAlign w:val="bottom"/>
          </w:tcPr>
          <w:p>
            <w:pPr>
              <w:spacing w:after="0"/>
              <w:rPr>
                <w:sz w:val="24"/>
                <w:szCs w:val="24"/>
                <w:color w:val="auto"/>
              </w:rPr>
            </w:pPr>
          </w:p>
        </w:tc>
      </w:tr>
      <w:tr>
        <w:trPr>
          <w:trHeight w:val="188"/>
        </w:trPr>
        <w:tc>
          <w:tcPr>
            <w:tcW w:w="234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060" w:type="dxa"/>
            <w:vAlign w:val="bottom"/>
          </w:tcPr>
          <w:p>
            <w:pPr>
              <w:spacing w:after="0"/>
              <w:rPr>
                <w:sz w:val="16"/>
                <w:szCs w:val="16"/>
                <w:color w:val="auto"/>
              </w:rPr>
            </w:pPr>
          </w:p>
        </w:tc>
      </w:tr>
      <w:tr>
        <w:trPr>
          <w:trHeight w:val="365"/>
        </w:trPr>
        <w:tc>
          <w:tcPr>
            <w:tcW w:w="2340" w:type="dxa"/>
            <w:vAlign w:val="bottom"/>
          </w:tcPr>
          <w:p>
            <w:pPr>
              <w:spacing w:after="0"/>
              <w:rPr>
                <w:sz w:val="24"/>
                <w:szCs w:val="24"/>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060" w:type="dxa"/>
            <w:vAlign w:val="bottom"/>
          </w:tcPr>
          <w:p>
            <w:pPr>
              <w:spacing w:after="0"/>
              <w:rPr>
                <w:sz w:val="24"/>
                <w:szCs w:val="24"/>
                <w:color w:val="auto"/>
              </w:rPr>
            </w:pPr>
          </w:p>
        </w:tc>
      </w:tr>
      <w:tr>
        <w:trPr>
          <w:trHeight w:val="188"/>
        </w:trPr>
        <w:tc>
          <w:tcPr>
            <w:tcW w:w="2340" w:type="dxa"/>
            <w:vAlign w:val="bottom"/>
          </w:tcPr>
          <w:p>
            <w:pPr>
              <w:spacing w:after="0"/>
              <w:rPr>
                <w:sz w:val="16"/>
                <w:szCs w:val="16"/>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c>
          <w:tcPr>
            <w:tcW w:w="2060" w:type="dxa"/>
            <w:vAlign w:val="bottom"/>
          </w:tcPr>
          <w:p>
            <w:pPr>
              <w:spacing w:after="0"/>
              <w:rPr>
                <w:sz w:val="16"/>
                <w:szCs w:val="16"/>
                <w:color w:val="auto"/>
              </w:rPr>
            </w:pPr>
          </w:p>
        </w:tc>
      </w:tr>
      <w:tr>
        <w:trPr>
          <w:trHeight w:val="199"/>
        </w:trPr>
        <w:tc>
          <w:tcPr>
            <w:tcW w:w="2340" w:type="dxa"/>
            <w:vAlign w:val="bottom"/>
          </w:tcPr>
          <w:p>
            <w:pPr>
              <w:spacing w:after="0"/>
              <w:rPr>
                <w:sz w:val="17"/>
                <w:szCs w:val="17"/>
                <w:color w:val="auto"/>
              </w:rPr>
            </w:pPr>
          </w:p>
        </w:tc>
        <w:tc>
          <w:tcPr>
            <w:tcW w:w="4360" w:type="dxa"/>
            <w:vAlign w:val="bottom"/>
            <w:tcBorders>
              <w:bottom w:val="single" w:sz="8" w:color="auto"/>
            </w:tcBorders>
          </w:tcPr>
          <w:p>
            <w:pPr>
              <w:spacing w:after="0"/>
              <w:rPr>
                <w:sz w:val="17"/>
                <w:szCs w:val="17"/>
                <w:color w:val="auto"/>
              </w:rPr>
            </w:pPr>
          </w:p>
        </w:tc>
        <w:tc>
          <w:tcPr>
            <w:tcW w:w="2060" w:type="dxa"/>
            <w:vAlign w:val="bottom"/>
          </w:tcPr>
          <w:p>
            <w:pPr>
              <w:spacing w:after="0"/>
              <w:rPr>
                <w:sz w:val="17"/>
                <w:szCs w:val="17"/>
                <w:color w:val="auto"/>
              </w:rPr>
            </w:pPr>
          </w:p>
        </w:tc>
      </w:tr>
    </w:tbl>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Instructions A.2. below):</w:t>
      </w:r>
    </w:p>
    <w:p>
      <w:pPr>
        <w:spacing w:after="0" w:line="105"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4" w:lineRule="exact"/>
        <w:rPr>
          <w:rFonts w:ascii="MS PGothic" w:cs="MS PGothic" w:eastAsia="MS PGothic" w:hAnsi="MS PGothic"/>
          <w:sz w:val="16"/>
          <w:szCs w:val="16"/>
          <w:color w:val="auto"/>
        </w:rPr>
      </w:pPr>
    </w:p>
    <w:p>
      <w:pPr>
        <w:ind w:left="36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00" w:type="dxa"/>
            <w:vAlign w:val="bottom"/>
          </w:tcPr>
          <w:p>
            <w:pPr>
              <w:spacing w:after="0"/>
              <w:rPr>
                <w:sz w:val="17"/>
                <w:szCs w:val="17"/>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RELY</w:t>
            </w:r>
          </w:p>
        </w:tc>
        <w:tc>
          <w:tcPr>
            <w:tcW w:w="100" w:type="dxa"/>
            <w:vAlign w:val="bottom"/>
          </w:tcPr>
          <w:p>
            <w:pPr>
              <w:spacing w:after="0"/>
              <w:rPr>
                <w:sz w:val="17"/>
                <w:szCs w:val="17"/>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81" w:lineRule="exact"/>
        <w:rPr>
          <w:sz w:val="24"/>
          <w:szCs w:val="24"/>
          <w:color w:val="auto"/>
        </w:rPr>
      </w:pPr>
    </w:p>
    <w:p>
      <w:pPr>
        <w:ind w:right="6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22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 w:name="page2"/>
    <w:bookmarkEnd w:id="1"/>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1.01</w:t>
        <w:tab/>
        <w:t>Entry Into a Material Definitive Agreement.</w:t>
      </w:r>
    </w:p>
    <w:p>
      <w:pPr>
        <w:spacing w:after="0" w:line="22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On October 26, 2026, Remitly Global, Inc. (“Remitly Global”) entered into Amendment No. 2 (the “Amendment”) to the Credit Agreement (the “Credit Agreement”), among Remitly Global, Remitly, Inc. (“Remitly, Inc.” and, together with Remitly Global, collectively referred to as “Remitly”), the financial institutions party thereto (the “Lenders”), and JPMorgan Chase Bank, N.A., as issuing bank, administrative agent, and collateral agent (the “Agent”). The Amendment amended the Credit Agreement to increase the aggregate amount of the secured revolving credit facility from $550,000,000 to $1,000,000,000 (the “Facility”) and to increase the letter of credit sub-facility from $200,000,000 to $400,000,000.</w:t>
      </w:r>
    </w:p>
    <w:p>
      <w:pPr>
        <w:spacing w:after="0" w:line="72"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Remitly anticipates using the proceeds from the Facility primarily to support prefunding of customer flows within Remitly’s global remittance business and also for general corporate purposes.</w:t>
      </w:r>
    </w:p>
    <w:p>
      <w:pPr>
        <w:spacing w:after="0" w:line="43"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6"/>
          <w:szCs w:val="16"/>
          <w:color w:val="auto"/>
        </w:rPr>
        <w:t>The description of the Amendment above is a summary and is qualified in its entirety by the Amendment, which is filed as Exhibit 10.1 to this report and is incorporated herein by reference.</w:t>
      </w:r>
    </w:p>
    <w:p>
      <w:pPr>
        <w:spacing w:after="0" w:line="2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2.03</w:t>
        <w:tab/>
        <w:t>Creation of a Direct Financial Obligation or an Obligation under an Off-Balance Sheet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see Item 1.01 above, which information is incorporated by reference into this Item 2.03.</w:t>
      </w:r>
    </w:p>
    <w:p>
      <w:pPr>
        <w:spacing w:after="0" w:line="2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5440" w:type="dxa"/>
            <w:vAlign w:val="bottom"/>
          </w:tcPr>
          <w:p>
            <w:pPr>
              <w:spacing w:after="0"/>
              <w:rPr>
                <w:sz w:val="18"/>
                <w:szCs w:val="18"/>
                <w:color w:val="auto"/>
              </w:rPr>
            </w:pPr>
          </w:p>
        </w:tc>
        <w:tc>
          <w:tcPr>
            <w:tcW w:w="4160" w:type="dxa"/>
            <w:vAlign w:val="bottom"/>
          </w:tcPr>
          <w:p>
            <w:pPr>
              <w:spacing w:after="0"/>
              <w:rPr>
                <w:sz w:val="18"/>
                <w:szCs w:val="18"/>
                <w:color w:val="auto"/>
              </w:rPr>
            </w:pPr>
          </w:p>
        </w:tc>
      </w:tr>
      <w:tr>
        <w:trPr>
          <w:trHeight w:val="324"/>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9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95"/>
        </w:trPr>
        <w:tc>
          <w:tcPr>
            <w:tcW w:w="13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10.1</w:t>
            </w:r>
          </w:p>
        </w:tc>
        <w:tc>
          <w:tcPr>
            <w:tcW w:w="9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Amendment No. 2, dated October 26, 2026, to Credit Agreement dated as of June 24, 2025, among Remitly Global, Inc., Remitly, Inc., the financial</w:t>
            </w:r>
          </w:p>
        </w:tc>
      </w:tr>
      <w:tr>
        <w:trPr>
          <w:trHeight w:val="183"/>
        </w:trPr>
        <w:tc>
          <w:tcPr>
            <w:tcW w:w="1320" w:type="dxa"/>
            <w:vAlign w:val="bottom"/>
          </w:tcPr>
          <w:p>
            <w:pPr>
              <w:spacing w:after="0"/>
              <w:rPr>
                <w:sz w:val="15"/>
                <w:szCs w:val="15"/>
                <w:color w:val="auto"/>
              </w:rPr>
            </w:pPr>
          </w:p>
        </w:tc>
        <w:tc>
          <w:tcPr>
            <w:tcW w:w="5440" w:type="dxa"/>
            <w:vAlign w:val="bottom"/>
            <w:tcBorders>
              <w:bottom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rPr>
              <w:t>institutions party thereto, and JPMorgan Chase Bank, N.A., as administrative agent.</w:t>
            </w:r>
          </w:p>
        </w:tc>
        <w:tc>
          <w:tcPr>
            <w:tcW w:w="4160" w:type="dxa"/>
            <w:vAlign w:val="bottom"/>
          </w:tcPr>
          <w:p>
            <w:pPr>
              <w:spacing w:after="0"/>
              <w:rPr>
                <w:sz w:val="15"/>
                <w:szCs w:val="15"/>
                <w:color w:val="auto"/>
              </w:rPr>
            </w:pPr>
          </w:p>
        </w:tc>
      </w:tr>
    </w:tbl>
    <w:p>
      <w:pPr>
        <w:spacing w:after="0" w:line="40" w:lineRule="exact"/>
        <w:rPr>
          <w:sz w:val="20"/>
          <w:szCs w:val="20"/>
          <w:color w:val="auto"/>
        </w:rPr>
      </w:pPr>
    </w:p>
    <w:p>
      <w:pPr>
        <w:ind w:left="1320" w:hanging="786"/>
        <w:spacing w:after="0"/>
        <w:tabs>
          <w:tab w:leader="none" w:pos="13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3" w:right="4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980" w:type="dxa"/>
            <w:vAlign w:val="bottom"/>
            <w:gridSpan w:val="2"/>
          </w:tcPr>
          <w:p>
            <w:pPr>
              <w:ind w:left="1020"/>
              <w:spacing w:after="0"/>
              <w:rPr>
                <w:sz w:val="20"/>
                <w:szCs w:val="20"/>
                <w:color w:val="auto"/>
              </w:rPr>
            </w:pPr>
            <w:r>
              <w:rPr>
                <w:rFonts w:ascii="Times New Roman" w:cs="Times New Roman" w:eastAsia="Times New Roman" w:hAnsi="Times New Roman"/>
                <w:sz w:val="16"/>
                <w:szCs w:val="16"/>
                <w:color w:val="auto"/>
              </w:rPr>
              <w:t>Remitly Global, Inc.</w:t>
            </w:r>
          </w:p>
        </w:tc>
      </w:tr>
      <w:tr>
        <w:trPr>
          <w:trHeight w:val="489"/>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30, 2026</w:t>
            </w:r>
          </w:p>
        </w:tc>
        <w:tc>
          <w:tcPr>
            <w:tcW w:w="1660" w:type="dxa"/>
            <w:vAlign w:val="bottom"/>
          </w:tcPr>
          <w:p>
            <w:pPr>
              <w:ind w:left="1020"/>
              <w:spacing w:after="0"/>
              <w:rPr>
                <w:sz w:val="20"/>
                <w:szCs w:val="20"/>
                <w:color w:val="auto"/>
              </w:rPr>
            </w:pPr>
            <w:r>
              <w:rPr>
                <w:rFonts w:ascii="Times New Roman" w:cs="Times New Roman" w:eastAsia="Times New Roman" w:hAnsi="Times New Roman"/>
                <w:sz w:val="16"/>
                <w:szCs w:val="16"/>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Vikas Mehta</w:t>
            </w:r>
          </w:p>
        </w:tc>
      </w:tr>
      <w:tr>
        <w:trPr>
          <w:trHeight w:val="207"/>
        </w:trPr>
        <w:tc>
          <w:tcPr>
            <w:tcW w:w="25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Vikas Mehta</w:t>
            </w:r>
          </w:p>
        </w:tc>
      </w:tr>
      <w:tr>
        <w:trPr>
          <w:trHeight w:val="216"/>
        </w:trPr>
        <w:tc>
          <w:tcPr>
            <w:tcW w:w="25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89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AMENDMENT NO. 2 TO CREDIT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AMENDMENT NO. 2 TO CREDIT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October 26, 2026, is entered into among Remitly Global,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Remitly, Inc., a Delaware corporation (“</w:t>
      </w:r>
      <w:r>
        <w:rPr>
          <w:rFonts w:ascii="Times New Roman" w:cs="Times New Roman" w:eastAsia="Times New Roman" w:hAnsi="Times New Roman"/>
          <w:sz w:val="20"/>
          <w:szCs w:val="20"/>
          <w:u w:val="single" w:color="auto"/>
          <w:color w:val="auto"/>
        </w:rPr>
        <w:t>Remitly</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as borrowers, each other Loan Party, the Incremental Lenders (as defined below) party hereto (which constitute Required Lenders under the Credit Agreement), the Issuing Banks, the Swingline Lender and JPMorgan Chase Bank, N.A., as administrative agent (in such capacity,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RECITALS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WHEREAS, the Borrowers, the lenders from time to time party thereto, and JPMorgan Chase Bank, N.A., as Administrative Agent and Collateral Agent, are party to that certain Credit Agreement, dated as of June 24, 2025 (as amended by that Amendment No. 1, dated as of June 15, 2026, and as further amended, modified, extended, restated, replaced, or supplemented from time to time prior to the date hereof,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the Credit Agreement as amended by this Agreement,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Borrowers and each Incremental Lender desire to increase in the aggregate amount of the Revolving Commitments to $1,000,000,000, on the terms set forth herein with the consent of the Required Lenders; and</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in connection with the foregoing, each Incremental Lender is willing to provide Incremental Revolving Commitments (as defined below) on the terms and subject to the conditions set forth herein with the consent of the Required Lenders.</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46" w:lineRule="exact"/>
        <w:rPr>
          <w:sz w:val="20"/>
          <w:szCs w:val="20"/>
          <w:color w:val="auto"/>
        </w:rPr>
      </w:pPr>
    </w:p>
    <w:p>
      <w:pPr>
        <w:ind w:firstLine="656"/>
        <w:spacing w:after="0" w:line="283" w:lineRule="auto"/>
        <w:tabs>
          <w:tab w:leader="none" w:pos="1071"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used herein but not otherwise defined herein shall have the meanings provided to such terms in the Amended Credit Agreement.</w:t>
      </w:r>
    </w:p>
    <w:p>
      <w:pPr>
        <w:spacing w:after="0" w:line="146"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Revolving Commitments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300" w:hanging="644"/>
        <w:spacing w:after="0" w:line="250" w:lineRule="auto"/>
        <w:tabs>
          <w:tab w:leader="none" w:pos="111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identified on the signature pages hereto as an “Incremental Lender” (collectively, the “</w:t>
      </w: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u w:val="single" w:color="auto"/>
          <w:color w:val="auto"/>
        </w:rPr>
        <w:t>Incremental Lender</w:t>
      </w:r>
      <w:r>
        <w:rPr>
          <w:rFonts w:ascii="Times New Roman" w:cs="Times New Roman" w:eastAsia="Times New Roman" w:hAnsi="Times New Roman"/>
          <w:sz w:val="20"/>
          <w:szCs w:val="20"/>
          <w:color w:val="auto"/>
        </w:rPr>
        <w:t>”) hereby agrees, subject to the satisfaction of the conditions set forth in Section 5 hereof, to provide an incremental Revolving Commitment in the amount set forth opposite such Incremental Lender’s name in Schedule 1 attached hereto (each, an “</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The aggregate amount of the Incremental Revolving Commitments provided pursuant to this Agreement is $450,000,000. For the avoidance of doubt, the Incremental Revolving Commitments shall constitute an increase to, and part of the same Class as, the existing Revolving Commitments. On and after the Amendment No. 2 Effective Date, (i) each Incremental Lender shall be a “Revolving Lender” and a “Lender” for all purposes under the Credit Agreement and the other Loan Documents and (ii) each Incremental Revolving Commitment shall be a “Revolving Commitment” and a “Commitment” for all purposes under the Credit Agreement and the other Loan Documents.</w:t>
      </w:r>
    </w:p>
    <w:p>
      <w:pPr>
        <w:sectPr>
          <w:pgSz w:w="11900" w:h="16838" w:orient="portrait"/>
          <w:cols w:equalWidth="0" w:num="1">
            <w:col w:w="11240"/>
          </w:cols>
          <w:pgMar w:left="320" w:top="114" w:right="339" w:bottom="1440" w:gutter="0" w:footer="0" w:header="0"/>
        </w:sectPr>
      </w:pPr>
    </w:p>
    <w:bookmarkStart w:id="4" w:name="page5"/>
    <w:bookmarkEnd w:id="4"/>
    <w:p>
      <w:pPr>
        <w:spacing w:after="0" w:line="200" w:lineRule="exact"/>
        <w:rPr>
          <w:sz w:val="20"/>
          <w:szCs w:val="20"/>
          <w:color w:val="auto"/>
        </w:rPr>
      </w:pPr>
    </w:p>
    <w:p>
      <w:pPr>
        <w:spacing w:after="0" w:line="232" w:lineRule="exact"/>
        <w:rPr>
          <w:sz w:val="20"/>
          <w:szCs w:val="20"/>
          <w:color w:val="auto"/>
        </w:rPr>
      </w:pPr>
    </w:p>
    <w:p>
      <w:pPr>
        <w:jc w:val="right"/>
        <w:ind w:left="1300" w:hanging="644"/>
        <w:spacing w:after="0" w:line="263" w:lineRule="auto"/>
        <w:tabs>
          <w:tab w:leader="none" w:pos="1083"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Each Revolving Lender (as defined immediately prior to giving effect to this Agreement, the “</w:t>
      </w:r>
      <w:r>
        <w:rPr>
          <w:rFonts w:ascii="Times New Roman" w:cs="Times New Roman" w:eastAsia="Times New Roman" w:hAnsi="Times New Roman"/>
          <w:sz w:val="19"/>
          <w:szCs w:val="19"/>
          <w:u w:val="single" w:color="auto"/>
          <w:color w:val="auto"/>
        </w:rPr>
        <w:t>Existing Revolving Lenders</w:t>
      </w:r>
      <w:r>
        <w:rPr>
          <w:rFonts w:ascii="Times New Roman" w:cs="Times New Roman" w:eastAsia="Times New Roman" w:hAnsi="Times New Roman"/>
          <w:sz w:val="19"/>
          <w:szCs w:val="19"/>
          <w:color w:val="auto"/>
        </w:rPr>
        <w:t xml:space="preserve">”), concurrently with the effectiveness of the </w:t>
      </w:r>
      <w:r>
        <w:rPr>
          <w:rFonts w:ascii="Times New Roman" w:cs="Times New Roman" w:eastAsia="Times New Roman" w:hAnsi="Times New Roman"/>
          <w:sz w:val="19"/>
          <w:szCs w:val="19"/>
          <w:u w:val="single" w:color="auto"/>
          <w:color w:val="auto"/>
        </w:rPr>
        <w:t>Incremental Revolving Commitments</w:t>
      </w:r>
      <w:r>
        <w:rPr>
          <w:rFonts w:ascii="Times New Roman" w:cs="Times New Roman" w:eastAsia="Times New Roman" w:hAnsi="Times New Roman"/>
          <w:sz w:val="19"/>
          <w:szCs w:val="19"/>
          <w:color w:val="auto"/>
        </w:rPr>
        <w:t>, will automatically and without further act be deemed to have assigned to each Incremental Lender hereunder, and each Incremental Lender hereunder will automatically and without further act be deemed to have assumed a portion of such Existing Revolving Lender’s participations under the Credit Agreement in outstanding Letters of Credit and Swingline Loans such that, after giving effect to each deemed assignment and assumption of participations, all of the Revolving Lenders’ (including each Incremental Lender hereunder) (A) participations under the Amended Credit Agreement in Letters of Credit and (B) participations under the Amended Credit Agreement in Swingline Loans shall be held on a pro rata basis on the basis of their respective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Revolving Commitments (after giving effect to the Incremental Revolving Commitments pursuant to this Agreement) and</w:t>
      </w:r>
    </w:p>
    <w:p>
      <w:pPr>
        <w:spacing w:after="0" w:line="6" w:lineRule="exact"/>
        <w:rPr>
          <w:sz w:val="20"/>
          <w:szCs w:val="20"/>
          <w:color w:val="auto"/>
        </w:rPr>
      </w:pPr>
    </w:p>
    <w:p>
      <w:pPr>
        <w:jc w:val="both"/>
        <w:ind w:left="1300" w:firstLine="4"/>
        <w:spacing w:after="0" w:line="250" w:lineRule="auto"/>
        <w:tabs>
          <w:tab w:leader="none" w:pos="1614"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any Revolving Loans are outstanding immediately prior to giving effect to this Agreement, the Existing Revolving Lenders shall assign Revolving Loans to certain other Revolving Lenders of such Class (including the Incremental Lenders), and such other Revolving Lenders (including the Incremental Lenders) shall purchase such Revolving Loans, in each case to the extent necessary so that all of the Revolving Lenders (including the Incremental Lenders) participate in each outstanding borrowing of Revolving Loans pro rata on the basis of their respective Revolving Commitments (after giving effect to the Incremental Revolving Commitments pursuant to this Agreement); it being understood and agreed that the minimum borrowing, pro rata borrowing and pro rata payment requirements contained in the Credit Agreement shall not apply to the transactions effected pursuant to this clause (b).</w:t>
      </w:r>
    </w:p>
    <w:p>
      <w:pPr>
        <w:spacing w:after="0" w:line="181" w:lineRule="exact"/>
        <w:rPr>
          <w:rFonts w:ascii="Times New Roman" w:cs="Times New Roman" w:eastAsia="Times New Roman" w:hAnsi="Times New Roman"/>
          <w:sz w:val="20"/>
          <w:szCs w:val="20"/>
          <w:color w:val="auto"/>
        </w:rPr>
      </w:pPr>
    </w:p>
    <w:p>
      <w:pPr>
        <w:ind w:left="1300" w:hanging="644"/>
        <w:spacing w:after="0" w:line="283"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Incremental Revolving Commitments pursuant to this Agreement are being established with the consent of the Required Lenders and shall not constitute usage of the Incremental Cap.</w:t>
      </w:r>
    </w:p>
    <w:p>
      <w:pPr>
        <w:spacing w:after="0" w:line="146"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u w:val="single" w:color="auto"/>
          <w:color w:val="auto"/>
        </w:rPr>
        <w:t>Amendments</w:t>
      </w:r>
      <w:r>
        <w:rPr>
          <w:rFonts w:ascii="Times New Roman" w:cs="Times New Roman" w:eastAsia="Times New Roman" w:hAnsi="Times New Roman"/>
          <w:sz w:val="19"/>
          <w:szCs w:val="19"/>
          <w:color w:val="auto"/>
        </w:rPr>
        <w:t>. Subject to the satisfaction of the conditions set forth in Section 5 hereof:</w:t>
      </w:r>
    </w:p>
    <w:p>
      <w:pPr>
        <w:spacing w:after="0" w:line="229" w:lineRule="exact"/>
        <w:rPr>
          <w:sz w:val="20"/>
          <w:szCs w:val="20"/>
          <w:color w:val="auto"/>
        </w:rPr>
      </w:pPr>
    </w:p>
    <w:p>
      <w:pPr>
        <w:ind w:left="1300" w:hanging="644"/>
        <w:spacing w:after="0" w:line="261" w:lineRule="auto"/>
        <w:tabs>
          <w:tab w:leader="none" w:pos="113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hereby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70C0"/>
        </w:rPr>
        <w:t>double-underlined text</w:t>
      </w:r>
      <w:r>
        <w:rPr>
          <w:rFonts w:ascii="Times New Roman" w:cs="Times New Roman" w:eastAsia="Times New Roman" w:hAnsi="Times New Roman"/>
          <w:sz w:val="20"/>
          <w:szCs w:val="20"/>
          <w:color w:val="auto"/>
        </w:rPr>
        <w:t>) as set forth in the pages attached as Exhibit A hereto; and</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1.1A to the Credit Agreement is hereby amended and restated in its entirety as set forth in Exhibit B attached hereto.</w:t>
      </w:r>
    </w:p>
    <w:p>
      <w:pPr>
        <w:spacing w:after="0" w:line="216" w:lineRule="exact"/>
        <w:rPr>
          <w:sz w:val="20"/>
          <w:szCs w:val="20"/>
          <w:color w:val="auto"/>
        </w:rPr>
      </w:pPr>
    </w:p>
    <w:p>
      <w:pPr>
        <w:jc w:val="both"/>
        <w:ind w:firstLine="656"/>
        <w:spacing w:after="0" w:line="261" w:lineRule="auto"/>
        <w:tabs>
          <w:tab w:leader="none" w:pos="115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Expenses</w:t>
      </w:r>
      <w:r>
        <w:rPr>
          <w:rFonts w:ascii="Times New Roman" w:cs="Times New Roman" w:eastAsia="Times New Roman" w:hAnsi="Times New Roman"/>
          <w:sz w:val="20"/>
          <w:szCs w:val="20"/>
          <w:color w:val="auto"/>
        </w:rPr>
        <w:t>. The Borrowers agree to reimburse the Administrative Agent for all reasonable fees, charges and disbursements of the Administrative Agent in connection with the preparation, execution and delivery of this Agreement, including all reasonable fees, charges and disbursements of Simpson Thacher &amp; Bartlett LLP, counsel to the Administrative Agent.</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021"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Precedent</w:t>
      </w:r>
      <w:r>
        <w:rPr>
          <w:rFonts w:ascii="Times New Roman" w:cs="Times New Roman" w:eastAsia="Times New Roman" w:hAnsi="Times New Roman"/>
          <w:sz w:val="20"/>
          <w:szCs w:val="20"/>
          <w:color w:val="auto"/>
        </w:rPr>
        <w:t>. The effectiveness of this Agreement is subject to the satisfaction of the following conditions (the date of the satisfaction of such conditions, the “</w:t>
      </w:r>
      <w:r>
        <w:rPr>
          <w:rFonts w:ascii="Times New Roman" w:cs="Times New Roman" w:eastAsia="Times New Roman" w:hAnsi="Times New Roman"/>
          <w:sz w:val="20"/>
          <w:szCs w:val="20"/>
          <w:u w:val="single" w:color="auto"/>
          <w:color w:val="auto"/>
        </w:rPr>
        <w:t>Amendment No. 2 Effective Date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jc w:val="both"/>
        <w:ind w:firstLine="1304"/>
        <w:spacing w:after="0" w:line="253" w:lineRule="auto"/>
        <w:tabs>
          <w:tab w:leader="none" w:pos="173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its counsel) shall have received from each of the Borrowers, each other Loan Party, each Incremental Lender (which constitute the Required Lenders), the Issuing Banks and the Swingline Lender either (x) a counterpart of this Agreement signed on behalf of such party or (y) written evidence reasonably satisfactory to the Administrative Agent (which may include delivery of a signed signature page of this Agreement by facsimile or other means of electronic transmission (e.g., “pdf.”)) that such party has signed a counterpart of this Agreement.</w:t>
      </w:r>
    </w:p>
    <w:p>
      <w:pPr>
        <w:spacing w:after="0" w:line="218" w:lineRule="exact"/>
        <w:rPr>
          <w:rFonts w:ascii="Times New Roman" w:cs="Times New Roman" w:eastAsia="Times New Roman" w:hAnsi="Times New Roman"/>
          <w:sz w:val="20"/>
          <w:szCs w:val="20"/>
          <w:color w:val="auto"/>
        </w:rPr>
      </w:pPr>
    </w:p>
    <w:p>
      <w:pPr>
        <w:jc w:val="both"/>
        <w:ind w:firstLine="1304"/>
        <w:spacing w:after="0" w:line="251" w:lineRule="auto"/>
        <w:tabs>
          <w:tab w:leader="none" w:pos="182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of each Loan Party, dated as of the Amendment No. 2 Effective Date, executed by a secretary, assistant secretary or other senior officer (as the case may be) thereof, which shall (I) certify that attached thereto is a true and complete copy of the resolutions or written consents of its shareholders, board of directors, board of managers, members or other governing body authorizing the entry into the Loan Documents to which it is a party and, in the case of the Borrower, the borrowings, and that such resolutions or written consents have not been modified, rescinded or amended and are in full force and effect, (II) identify by name and title and bear the signatures of the officers, managers, directors or authorized signatories of such Loan Party authorized to sign the Loan Documents to which it is a party on the Amendment No. 2 Effective Date, (III) certify (x) that attached thereto is a true and complete copy of the certificate or articles of incorporation or organization (or memorandum of association or other equivalent thereof) of such Loan Party (or articles of association or other equivalent thereof) and a true and correct copy of its by-laws or operating, management, partnership or similar agreement and (y) that such documents or agreements have not been amended (except as otherwise attached to such certificate and certified therein as being the only amendments thereto as of such date) and (IV) attach a recent good standing certificate (or the equivalent in the jurisdiction of organization of such Loan Party) with respect to such Loan Party.</w:t>
      </w:r>
    </w:p>
    <w:p>
      <w:pPr>
        <w:spacing w:after="0" w:line="205" w:lineRule="exact"/>
        <w:rPr>
          <w:rFonts w:ascii="Times New Roman" w:cs="Times New Roman" w:eastAsia="Times New Roman" w:hAnsi="Times New Roman"/>
          <w:sz w:val="20"/>
          <w:szCs w:val="20"/>
          <w:color w:val="auto"/>
        </w:rPr>
      </w:pPr>
    </w:p>
    <w:p>
      <w:pPr>
        <w:ind w:firstLine="1304"/>
        <w:spacing w:after="0" w:line="283" w:lineRule="auto"/>
        <w:tabs>
          <w:tab w:leader="none" w:pos="1837"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the executed legal opinion, in a form reasonably acceptable to the Administrative Agent, of Ashurst Perkins Coie US LLP, counsel to the Loan Parties.</w:t>
      </w:r>
    </w:p>
    <w:p>
      <w:pPr>
        <w:spacing w:after="0" w:line="173" w:lineRule="exact"/>
        <w:rPr>
          <w:rFonts w:ascii="Times New Roman" w:cs="Times New Roman" w:eastAsia="Times New Roman" w:hAnsi="Times New Roman"/>
          <w:sz w:val="20"/>
          <w:szCs w:val="20"/>
          <w:color w:val="auto"/>
        </w:rPr>
      </w:pPr>
    </w:p>
    <w:p>
      <w:pPr>
        <w:ind w:firstLine="1304"/>
        <w:spacing w:after="0" w:line="283" w:lineRule="auto"/>
        <w:tabs>
          <w:tab w:leader="none" w:pos="188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of a Responsible Officer of the Company certifying satisfaction of the conditions set forth in Sections 5(f) and (g).</w:t>
      </w:r>
    </w:p>
    <w:p>
      <w:pPr>
        <w:spacing w:after="0" w:line="173"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and other amounts due and payable as of the Amendment No. 2 Effective Date to the Administrative Agent, the Incremental Lenders and the Lenders under the Loan Documents and pursuant to any fee or similar letters executed by the Company in connection with this Agreement shall be paid, including reimbursement or payment of all out-of-pocket expenses required thereunder to be reimbursed or paid by the Company and its subsidiaries, with respect to such out-of-pocket expenses solely to the extent invoiced in writing to the Company in reasonable detail at least three business days prior to the Amendment No. 2 Effective Date.</w:t>
      </w:r>
    </w:p>
    <w:p>
      <w:pPr>
        <w:spacing w:after="0" w:line="219" w:lineRule="exact"/>
        <w:rPr>
          <w:rFonts w:ascii="Times New Roman" w:cs="Times New Roman" w:eastAsia="Times New Roman" w:hAnsi="Times New Roman"/>
          <w:sz w:val="20"/>
          <w:szCs w:val="20"/>
          <w:color w:val="auto"/>
        </w:rPr>
      </w:pPr>
    </w:p>
    <w:p>
      <w:pPr>
        <w:ind w:firstLine="1304"/>
        <w:spacing w:after="0" w:line="283" w:lineRule="auto"/>
        <w:tabs>
          <w:tab w:leader="none" w:pos="171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prior to or after giving effect to the effectiveness of the Incremental Revolving Commitments provided pursuant to this Agreement.</w:t>
      </w:r>
    </w:p>
    <w:p>
      <w:pPr>
        <w:spacing w:after="0" w:line="173" w:lineRule="exact"/>
        <w:rPr>
          <w:rFonts w:ascii="Times New Roman" w:cs="Times New Roman" w:eastAsia="Times New Roman" w:hAnsi="Times New Roman"/>
          <w:sz w:val="20"/>
          <w:szCs w:val="20"/>
          <w:color w:val="auto"/>
        </w:rPr>
      </w:pPr>
    </w:p>
    <w:p>
      <w:pPr>
        <w:jc w:val="both"/>
        <w:ind w:firstLine="1304"/>
        <w:spacing w:after="0" w:line="257" w:lineRule="auto"/>
        <w:tabs>
          <w:tab w:leader="none" w:pos="17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made by any Loan Party in or pursuant to the Loan Documents shall be true and correct in all material respects (and in all respects if any such representation and warranty is qualified by materiality) on and as of the Amendment No. 2 Effective Date (except to the extent any such representation and warranty expressly relates to an earlier date, in which case it was true and correct in all material respects (and in all respects if any such representation and warranty is qualified by materiality)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6" w:name="page7"/>
    <w:bookmarkEnd w:id="6"/>
    <w:p>
      <w:pPr>
        <w:spacing w:after="0" w:line="216" w:lineRule="exact"/>
        <w:rPr>
          <w:sz w:val="20"/>
          <w:szCs w:val="20"/>
          <w:color w:val="auto"/>
        </w:rPr>
      </w:pPr>
    </w:p>
    <w:p>
      <w:pPr>
        <w:jc w:val="both"/>
        <w:ind w:firstLine="1304"/>
        <w:spacing w:after="0" w:line="281" w:lineRule="auto"/>
        <w:tabs>
          <w:tab w:leader="none" w:pos="1723"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have received a solvency certificate dated as of the Amendment No. 2 Effective Date in substantially the form of Exhibit E of the Credit Agreement from a Responsible Officer of the Company (or, at the option of the Borrower, a third party opinion as to the solvency of the Borrowers and their subsidiaries on a consolidated basis issued by a nationally recognized firm).</w:t>
      </w:r>
    </w:p>
    <w:p>
      <w:pPr>
        <w:spacing w:after="0" w:line="191" w:lineRule="exact"/>
        <w:rPr>
          <w:rFonts w:ascii="Times New Roman" w:cs="Times New Roman" w:eastAsia="Times New Roman" w:hAnsi="Times New Roman"/>
          <w:sz w:val="19"/>
          <w:szCs w:val="19"/>
          <w:color w:val="auto"/>
        </w:rPr>
      </w:pPr>
    </w:p>
    <w:p>
      <w:pPr>
        <w:jc w:val="both"/>
        <w:ind w:firstLine="1304"/>
        <w:spacing w:after="0" w:line="250" w:lineRule="auto"/>
        <w:tabs>
          <w:tab w:leader="none" w:pos="1690"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The Administrative Agent shall have received, at least three Business Days prior to the Amendment No. 2 Effective Date, all documentation and other information as has been reasonably requested in writing at least ten Business Days prior to the Amendment No. 2 Effective Date by the Administrative Agent or the Incremental Lenders that they reasonably determine is required by regulatory authorities under applicable “know your customer” and anti-money laundering rules and regulations, including the Patriot Act and the Beneficial Ownership Regulation and (B) to the extent any Borrower qualifies as a “legal entity customer” under the Beneficial Ownership Regulation, at least three Business Days prior to the Amendment No. 2 Effective Date, any Incremental Lender that has requested, in a written notice to the Borrowers at least ten Business Days prior to the Amendment No. 2 Effective Date, a Beneficial Ownership Certification in relation to any Borrower shall have received such Beneficial Ownership Certification (provided that, upon the execution and delivery by such Incremental Lender of its signature page to this Agreement, the condition set forth in this clause (B) shall be deemed to be satisfied).</w:t>
      </w:r>
    </w:p>
    <w:p>
      <w:pPr>
        <w:spacing w:after="0" w:line="223" w:lineRule="exact"/>
        <w:rPr>
          <w:rFonts w:ascii="Times New Roman" w:cs="Times New Roman" w:eastAsia="Times New Roman" w:hAnsi="Times New Roman"/>
          <w:sz w:val="20"/>
          <w:szCs w:val="20"/>
          <w:color w:val="auto"/>
        </w:rPr>
      </w:pPr>
    </w:p>
    <w:p>
      <w:pPr>
        <w:ind w:firstLine="656"/>
        <w:spacing w:after="0" w:line="269" w:lineRule="auto"/>
        <w:tabs>
          <w:tab w:leader="none" w:pos="994"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Loan Party represents and warrants to the Administrative Agent and the Lenders that, as of the date hereof:</w:t>
      </w:r>
    </w:p>
    <w:p>
      <w:pPr>
        <w:spacing w:after="0" w:line="172"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75"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authorized, executed and delivered by such Loan Party and constitutes the legal, valid and binding obligation of such Loan Party enforceable against each such Loan Party in accordance with its terms, subject to (i) applicable bankruptcy, insolvency, reorganization, moratorium or other laws affecting creditors’ rights generally, (ii) general principles of equity, regardless of whether considered in a proceeding in equity or at law and (iii) implied covenants of good faith and fair dealing; and</w:t>
      </w:r>
    </w:p>
    <w:p>
      <w:pPr>
        <w:spacing w:after="0" w:line="172" w:lineRule="exact"/>
        <w:rPr>
          <w:rFonts w:ascii="Times New Roman" w:cs="Times New Roman" w:eastAsia="Times New Roman" w:hAnsi="Times New Roman"/>
          <w:sz w:val="20"/>
          <w:szCs w:val="20"/>
          <w:color w:val="auto"/>
        </w:rPr>
      </w:pPr>
    </w:p>
    <w:p>
      <w:pPr>
        <w:jc w:val="both"/>
        <w:ind w:firstLine="1304"/>
        <w:spacing w:after="0" w:line="267" w:lineRule="auto"/>
        <w:tabs>
          <w:tab w:leader="none" w:pos="1832"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execution, delivery and performance by each Loan Party of this Agreement (i) do not require any consent or authorization of, filing with, notice to or other act by or in respect of, any Governmental Authority, except (A) such as have been obtained or made and are in full force and effect and (B) those approvals, consents, registrations, filings or other actions, the failure of which to obtain or make has not had and could not reasonably be expected to have a Material Adverse Effect, (ii) except as has not had and could not reasonably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 expected to have a Material Adverse Effect, will not violate any applicable law or regulation or any order of any Governmental Authority,</w:t>
      </w:r>
    </w:p>
    <w:p>
      <w:pPr>
        <w:spacing w:after="0" w:line="18" w:lineRule="exact"/>
        <w:rPr>
          <w:sz w:val="20"/>
          <w:szCs w:val="20"/>
          <w:color w:val="auto"/>
        </w:rPr>
      </w:pPr>
    </w:p>
    <w:p>
      <w:pPr>
        <w:jc w:val="both"/>
        <w:ind w:firstLine="8"/>
        <w:spacing w:after="0" w:line="251" w:lineRule="auto"/>
        <w:tabs>
          <w:tab w:leader="none" w:pos="35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not violate any charter, by-laws or other organizational document of the Company or any of its Subsidiaries, (iv) except as has not had and could not reasonably be expected to have a Material Adverse Effect, will not violate or result in a default under any Contractual Obligation binding upon the Company or any of its Subsidiaries or its assets and (v) except as has not had and could not reasonably be expected to have a Material Adverse Effect, will not result in the creation or imposition of any Lien on any asset of the Company or any of its Subsidiaries (other than the Liens created pursuant to the Security Documents); and</w:t>
      </w:r>
    </w:p>
    <w:p>
      <w:pPr>
        <w:spacing w:after="0" w:line="206" w:lineRule="exact"/>
        <w:rPr>
          <w:rFonts w:ascii="Times New Roman" w:cs="Times New Roman" w:eastAsia="Times New Roman" w:hAnsi="Times New Roman"/>
          <w:sz w:val="20"/>
          <w:szCs w:val="20"/>
          <w:color w:val="auto"/>
        </w:rPr>
      </w:pPr>
    </w:p>
    <w:p>
      <w:pPr>
        <w:ind w:firstLine="1304"/>
        <w:spacing w:after="0" w:line="283" w:lineRule="auto"/>
        <w:tabs>
          <w:tab w:leader="none" w:pos="1727" w:val="left"/>
        </w:tabs>
        <w:numPr>
          <w:ilvl w:val="2"/>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exists or will exist immediately prior to or after giving effect to this Agreement and the transactions contemplated hereby.</w:t>
      </w:r>
    </w:p>
    <w:p>
      <w:pPr>
        <w:spacing w:after="0" w:line="173"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Reaffirmation; Reference to and Effect on the Loan Documents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216" w:lineRule="exact"/>
        <w:rPr>
          <w:sz w:val="20"/>
          <w:szCs w:val="20"/>
          <w:color w:val="auto"/>
        </w:rPr>
      </w:pPr>
    </w:p>
    <w:p>
      <w:pPr>
        <w:jc w:val="both"/>
        <w:ind w:firstLine="1304"/>
        <w:spacing w:after="0" w:line="258" w:lineRule="auto"/>
        <w:tabs>
          <w:tab w:leader="none" w:pos="1729"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From and after the Amendment No. 2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Amended Credit Agreement. This Agreement is a Loan Document.</w:t>
      </w:r>
    </w:p>
    <w:p>
      <w:pPr>
        <w:spacing w:after="0" w:line="172" w:lineRule="exact"/>
        <w:rPr>
          <w:rFonts w:ascii="Times New Roman" w:cs="Times New Roman" w:eastAsia="Times New Roman" w:hAnsi="Times New Roman"/>
          <w:sz w:val="20"/>
          <w:szCs w:val="20"/>
          <w:color w:val="auto"/>
        </w:rPr>
      </w:pPr>
    </w:p>
    <w:p>
      <w:pPr>
        <w:ind w:right="20" w:firstLine="1304"/>
        <w:spacing w:after="0" w:line="283" w:lineRule="auto"/>
        <w:tabs>
          <w:tab w:leader="none" w:pos="1743"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and the obligations of the Borrowers and the Guarantors under the Loan Documents, are hereby ratified and confirmed and shall remain in full force and effect according to their terms.</w:t>
      </w:r>
    </w:p>
    <w:p>
      <w:pPr>
        <w:spacing w:after="0" w:line="159" w:lineRule="exact"/>
        <w:rPr>
          <w:rFonts w:ascii="Times New Roman" w:cs="Times New Roman" w:eastAsia="Times New Roman" w:hAnsi="Times New Roman"/>
          <w:sz w:val="20"/>
          <w:szCs w:val="20"/>
          <w:color w:val="auto"/>
        </w:rPr>
      </w:pPr>
    </w:p>
    <w:p>
      <w:pPr>
        <w:jc w:val="both"/>
        <w:ind w:firstLine="1304"/>
        <w:spacing w:after="0" w:line="251" w:lineRule="auto"/>
        <w:tabs>
          <w:tab w:leader="none" w:pos="1736"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 acknowledges and consents to all of the terms and conditions of this Agreement, (ii) affirms all of its obligations under the Loan Documents, (iii) agrees that this Agreement and all documents executed in connection herewith do not operate to reduce or discharge its obligations under the Loan Documents, (iv) agrees that the Guaranty and the Security Documents continue to be in full force and effect and are not impaired or adversely affected in any manner whatsoever, (v) confirms its grant of security interests pursuant to the Security Documents to which it is a party as Collateral for the Obligations, (vi) acknowledges that all Liens granted (or purported to be granted) pursuant to the Security Documents remain and continue in full force and effect in respect of, and to secure, the Obligations and (vii) reaffirms its obligations under the Guaranty, and agrees that its obligation to guarantee the Obligations is in full force and effect as of the date hereof.</w:t>
      </w:r>
    </w:p>
    <w:p>
      <w:pPr>
        <w:spacing w:after="0" w:line="18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73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effectiveness of this Agreement shall not, except as expressly provided herein, operate as a waiver of any right, power or remedy of any Lender or the Administrative Agent under any of the Loan Documents, nor constitute a waiver of any provision of any of the Loan Documents. This Agreement shall not extinguish the obligations for the payment of money outstanding under the Credit Agreement or any other Loan Document or discharge or release the Lien or priority of any Security Document or any other security therefor. Nothing herein contained shall be construed as a substitution or novation of the obligations outstanding under the Credit Agreement, the Security Documents or the other Loan Documents or a novation of the Credit Agreement or any other Loan Document. The obligations outstanding under or of the Credit Agreement and instruments securing the same shall remain in full force and effect, except to any extent expressly modified hereby. Nothing implied in this Agreement or in any other document contemplated hereby shall be construed as a release or other discharge of any of the Loan Parties under any Loan Document from any of its obligations and liabilities as a borrower, guarantor, grantor or pledgor under any of the Loan Documents.</w:t>
      </w:r>
    </w:p>
    <w:p>
      <w:pPr>
        <w:spacing w:after="0" w:line="177"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Jurisdiction; Consent to Service of Process; Waiver of Jury Trial, Etc</w:t>
      </w:r>
      <w:r>
        <w:rPr>
          <w:rFonts w:ascii="Times New Roman" w:cs="Times New Roman" w:eastAsia="Times New Roman" w:hAnsi="Times New Roman"/>
          <w:sz w:val="20"/>
          <w:szCs w:val="20"/>
          <w:color w:val="auto"/>
        </w:rPr>
        <w:t>.</w:t>
      </w:r>
    </w:p>
    <w:p>
      <w:pPr>
        <w:spacing w:after="0" w:line="25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771"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RIGHTS AND OBLIGATIONS OF THE PARTIES UNDER THIS AGREEMENT AND ANY CLAIM, CONTROVERSY OR DISPUTE ARISING UNDER OR RELATED TO THIS AGREEMENT WHETHER IN TORT, CONTRACT (AT LAW OR IN EQUITY) OR OTHERWISE, SHALL BE GOVERNED BY, AND CONSTRUED AND INTERPRETED IN ACCORDANCE WITH, THE LAWS OF THE STATE OF NEW YORK.</w:t>
      </w:r>
    </w:p>
    <w:p>
      <w:pPr>
        <w:spacing w:after="0" w:line="195" w:lineRule="exact"/>
        <w:rPr>
          <w:rFonts w:ascii="Times New Roman" w:cs="Times New Roman" w:eastAsia="Times New Roman" w:hAnsi="Times New Roman"/>
          <w:sz w:val="20"/>
          <w:szCs w:val="20"/>
          <w:color w:val="auto"/>
        </w:rPr>
      </w:pPr>
    </w:p>
    <w:p>
      <w:pPr>
        <w:ind w:right="20" w:firstLine="1304"/>
        <w:spacing w:after="0" w:line="287" w:lineRule="auto"/>
        <w:tabs>
          <w:tab w:leader="none" w:pos="1835"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EACH PARTY HERETO HEREBY AGREES AS SET FORTH IN SECTIONS 10.11, 10.12 AND 10.15 OF THE AMENDED CREDIT AGREEMENT AS IF SUCH SECTIONS WERE SET FORTH IN FULL HEREIN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both"/>
        <w:ind w:firstLine="656"/>
        <w:spacing w:after="0" w:line="253" w:lineRule="auto"/>
        <w:tabs>
          <w:tab w:leader="none" w:pos="1021"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 Severability</w:t>
      </w:r>
      <w:r>
        <w:rPr>
          <w:rFonts w:ascii="Times New Roman" w:cs="Times New Roman" w:eastAsia="Times New Roman" w:hAnsi="Times New Roman"/>
          <w:sz w:val="20"/>
          <w:szCs w:val="20"/>
          <w:color w:val="auto"/>
        </w:rPr>
        <w:t>. Section headings used herein are for convenience of reference only, are not part of this Agreement and shall not affect the construction of, or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206" w:lineRule="exact"/>
        <w:rPr>
          <w:rFonts w:ascii="Times New Roman" w:cs="Times New Roman" w:eastAsia="Times New Roman" w:hAnsi="Times New Roman"/>
          <w:sz w:val="20"/>
          <w:szCs w:val="20"/>
          <w:color w:val="auto"/>
        </w:rPr>
      </w:pPr>
    </w:p>
    <w:p>
      <w:pPr>
        <w:jc w:val="both"/>
        <w:ind w:firstLine="656"/>
        <w:spacing w:after="0" w:line="250" w:lineRule="auto"/>
        <w:tabs>
          <w:tab w:leader="none" w:pos="119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Execution in Counterparts; Electronic Signatures</w:t>
      </w:r>
      <w:r>
        <w:rPr>
          <w:rFonts w:ascii="Times New Roman" w:cs="Times New Roman" w:eastAsia="Times New Roman" w:hAnsi="Times New Roman"/>
          <w:sz w:val="20"/>
          <w:szCs w:val="20"/>
          <w:color w:val="auto"/>
        </w:rPr>
        <w:t xml:space="preserve">. This Agreement may be executed in counterparts (and by different parties hereto on different counterparts), each of which shall constitute an original, but all of which when taken together shall constitute a single contract. Delivery of an executed counterpart of a signature page of this Agreement that is an Electronic Signature transmitted by telecopy, emailed pdf. or any other electronic means shall be effective as delivery of a manually executed counterpart of this Agreement. The words “execution,” “signed,” “signature,” “delivery,” and words of like import in or relating to this Agreement shall be deemed to include Electronic Signatures, deliveries or the keeping of records in any electronic form (including deliveries by telecopy, emailed pdf. or any other electronic means),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require the Administrative Agent to accept Electronic Signatures in any form or format without its prior written consent and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w:t>
      </w:r>
    </w:p>
    <w:p>
      <w:pPr>
        <w:spacing w:after="0" w:line="21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hereunder shall be given in accordance with the provisions of Section 10.2 of the Amended Credit</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20"/>
          <w:szCs w:val="20"/>
          <w:color w:val="auto"/>
        </w:rPr>
        <w:t>Each of the parties hereto has caused a counterpart of this Agreement to be duly executed and delivered as of the date first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REMITLY GLOBAL, INC.</w:t>
      </w:r>
    </w:p>
    <w:p>
      <w:pPr>
        <w:spacing w:after="0" w:line="200" w:lineRule="exact"/>
        <w:rPr>
          <w:sz w:val="20"/>
          <w:szCs w:val="20"/>
          <w:color w:val="auto"/>
        </w:rPr>
      </w:pPr>
    </w:p>
    <w:p>
      <w:pPr>
        <w:spacing w:after="0" w:line="286"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Vikas Mehta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22860</wp:posOffset>
            </wp:positionV>
            <wp:extent cx="19456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4" w:lineRule="exact"/>
        <w:rPr>
          <w:sz w:val="20"/>
          <w:szCs w:val="20"/>
          <w:color w:val="auto"/>
        </w:rPr>
      </w:pPr>
    </w:p>
    <w:p>
      <w:pPr>
        <w:ind w:left="4420"/>
        <w:spacing w:after="0"/>
        <w:tabs>
          <w:tab w:leader="none" w:pos="5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Vikas Mehta</w:t>
      </w:r>
    </w:p>
    <w:p>
      <w:pPr>
        <w:spacing w:after="0" w:line="67" w:lineRule="exact"/>
        <w:rPr>
          <w:sz w:val="20"/>
          <w:szCs w:val="20"/>
          <w:color w:val="auto"/>
        </w:rPr>
      </w:pPr>
    </w:p>
    <w:p>
      <w:pPr>
        <w:ind w:left="4420"/>
        <w:spacing w:after="0"/>
        <w:tabs>
          <w:tab w:leader="none" w:pos="5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REMITLY, INC.</w:t>
      </w:r>
    </w:p>
    <w:p>
      <w:pPr>
        <w:spacing w:after="0" w:line="28"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Cameron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1945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8" w:lineRule="exact"/>
        <w:rPr>
          <w:sz w:val="20"/>
          <w:szCs w:val="20"/>
          <w:color w:val="auto"/>
        </w:rPr>
      </w:pPr>
    </w:p>
    <w:p>
      <w:pPr>
        <w:ind w:left="4420"/>
        <w:spacing w:after="0"/>
        <w:tabs>
          <w:tab w:leader="none" w:pos="5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Cameron Cohen</w:t>
      </w:r>
    </w:p>
    <w:p>
      <w:pPr>
        <w:spacing w:after="0" w:line="28" w:lineRule="exact"/>
        <w:rPr>
          <w:sz w:val="20"/>
          <w:szCs w:val="20"/>
          <w:color w:val="auto"/>
        </w:rPr>
      </w:pPr>
    </w:p>
    <w:p>
      <w:pPr>
        <w:ind w:left="4420"/>
        <w:spacing w:after="0"/>
        <w:tabs>
          <w:tab w:leader="none" w:pos="5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REMITLY ADV, INC.</w:t>
      </w:r>
    </w:p>
    <w:p>
      <w:pPr>
        <w:spacing w:after="0" w:line="200" w:lineRule="exact"/>
        <w:rPr>
          <w:sz w:val="20"/>
          <w:szCs w:val="20"/>
          <w:color w:val="auto"/>
        </w:rPr>
      </w:pPr>
    </w:p>
    <w:p>
      <w:pPr>
        <w:spacing w:after="0" w:line="286"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Staysha Sigler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22860</wp:posOffset>
            </wp:positionV>
            <wp:extent cx="1945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 w:lineRule="exact"/>
        <w:rPr>
          <w:sz w:val="20"/>
          <w:szCs w:val="20"/>
          <w:color w:val="auto"/>
        </w:rPr>
      </w:pPr>
    </w:p>
    <w:p>
      <w:pPr>
        <w:ind w:left="4420"/>
        <w:spacing w:after="0"/>
        <w:tabs>
          <w:tab w:leader="none" w:pos="5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Staysha Sigler</w:t>
      </w:r>
    </w:p>
    <w:p>
      <w:pPr>
        <w:spacing w:after="0" w:line="28" w:lineRule="exact"/>
        <w:rPr>
          <w:sz w:val="20"/>
          <w:szCs w:val="20"/>
          <w:color w:val="auto"/>
        </w:rPr>
      </w:pPr>
    </w:p>
    <w:p>
      <w:pPr>
        <w:ind w:left="4420"/>
        <w:spacing w:after="0"/>
        <w:tabs>
          <w:tab w:leader="none" w:pos="50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color w:val="auto"/>
        </w:rPr>
        <w:t>REMITLY LS, INC.</w:t>
      </w:r>
    </w:p>
    <w:p>
      <w:pPr>
        <w:spacing w:after="0" w:line="28" w:lineRule="exact"/>
        <w:rPr>
          <w:sz w:val="20"/>
          <w:szCs w:val="20"/>
          <w:color w:val="auto"/>
        </w:rPr>
      </w:pPr>
    </w:p>
    <w:p>
      <w:pPr>
        <w:ind w:left="3920"/>
        <w:spacing w:after="0"/>
        <w:tabs>
          <w:tab w:leader="none" w:pos="4400" w:val="left"/>
        </w:tabs>
        <w:rPr>
          <w:sz w:val="20"/>
          <w:szCs w:val="20"/>
          <w:color w:val="auto"/>
        </w:rPr>
      </w:pPr>
      <w:r>
        <w:rPr>
          <w:rFonts w:ascii="Times New Roman" w:cs="Times New Roman" w:eastAsia="Times New Roman" w:hAnsi="Times New Roman"/>
          <w:sz w:val="20"/>
          <w:szCs w:val="20"/>
          <w:color w:val="auto"/>
        </w:rPr>
        <w:t>By:</w:t>
        <w:tab/>
        <w:t>/s/ Staysha Sigler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1945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8" w:lineRule="exact"/>
        <w:rPr>
          <w:sz w:val="20"/>
          <w:szCs w:val="20"/>
          <w:color w:val="auto"/>
        </w:rPr>
      </w:pPr>
    </w:p>
    <w:p>
      <w:pPr>
        <w:ind w:left="4420"/>
        <w:spacing w:after="0"/>
        <w:tabs>
          <w:tab w:leader="none" w:pos="512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Staysha Sigler</w:t>
      </w:r>
    </w:p>
    <w:p>
      <w:pPr>
        <w:spacing w:after="0" w:line="28" w:lineRule="exact"/>
        <w:rPr>
          <w:sz w:val="20"/>
          <w:szCs w:val="20"/>
          <w:color w:val="auto"/>
        </w:rPr>
      </w:pPr>
    </w:p>
    <w:p>
      <w:pPr>
        <w:ind w:left="4420"/>
        <w:spacing w:after="0"/>
        <w:tabs>
          <w:tab w:leader="none" w:pos="50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11240"/>
          </w:cols>
          <w:pgMar w:left="320" w:top="1413" w:right="339" w:bottom="1440" w:gutter="0" w:footer="0" w:header="0"/>
        </w:sectPr>
      </w:pPr>
    </w:p>
    <w:bookmarkStart w:id="10" w:name="page11"/>
    <w:bookmarkEnd w:id="10"/>
    <w:p>
      <w:pPr>
        <w:spacing w:after="0" w:line="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JPMORGAN CHASE BANK, N.A., as</w:t>
      </w:r>
    </w:p>
    <w:p>
      <w:pPr>
        <w:ind w:left="2800"/>
        <w:spacing w:after="0" w:line="207" w:lineRule="auto"/>
        <w:rPr>
          <w:sz w:val="20"/>
          <w:szCs w:val="20"/>
          <w:color w:val="auto"/>
        </w:rPr>
      </w:pPr>
      <w:r>
        <w:rPr>
          <w:rFonts w:ascii="Times New Roman" w:cs="Times New Roman" w:eastAsia="Times New Roman" w:hAnsi="Times New Roman"/>
          <w:sz w:val="19"/>
          <w:szCs w:val="19"/>
          <w:color w:val="auto"/>
        </w:rPr>
        <w:t>Administrative Agent, as an Incremental</w:t>
      </w:r>
    </w:p>
    <w:p>
      <w:pPr>
        <w:ind w:left="2800"/>
        <w:spacing w:after="0" w:line="211" w:lineRule="auto"/>
        <w:rPr>
          <w:sz w:val="20"/>
          <w:szCs w:val="20"/>
          <w:color w:val="auto"/>
        </w:rPr>
      </w:pPr>
      <w:r>
        <w:rPr>
          <w:rFonts w:ascii="Times New Roman" w:cs="Times New Roman" w:eastAsia="Times New Roman" w:hAnsi="Times New Roman"/>
          <w:sz w:val="20"/>
          <w:szCs w:val="20"/>
          <w:color w:val="auto"/>
        </w:rPr>
        <w:t>Lender, as an Issuing Bank and as</w:t>
      </w:r>
    </w:p>
    <w:p>
      <w:pPr>
        <w:spacing w:after="0" w:line="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Swingline Lender</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Lucas Menendez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21590</wp:posOffset>
            </wp:positionV>
            <wp:extent cx="1945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2"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Lucas Menendez</w:t>
      </w:r>
    </w:p>
    <w:p>
      <w:pPr>
        <w:spacing w:after="0" w:line="67" w:lineRule="exact"/>
        <w:rPr>
          <w:sz w:val="20"/>
          <w:szCs w:val="20"/>
          <w:color w:val="auto"/>
        </w:rPr>
      </w:pPr>
    </w:p>
    <w:p>
      <w:pPr>
        <w:ind w:left="3300"/>
        <w:spacing w:after="0"/>
        <w:tabs>
          <w:tab w:leader="none" w:pos="3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1" w:name="page12"/>
    <w:bookmarkEnd w:id="11"/>
    <w:p>
      <w:pPr>
        <w:spacing w:after="0" w:line="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Bank of America, N.A., as an Incremental</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Lender and as an Issuing Bank</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Thomas M. Paulk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13335</wp:posOffset>
            </wp:positionV>
            <wp:extent cx="1945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5"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Thomas M. Paulk</w:t>
      </w:r>
    </w:p>
    <w:p>
      <w:pPr>
        <w:spacing w:after="0" w:line="28" w:lineRule="exact"/>
        <w:rPr>
          <w:sz w:val="20"/>
          <w:szCs w:val="20"/>
          <w:color w:val="auto"/>
        </w:rPr>
      </w:pPr>
    </w:p>
    <w:p>
      <w:pPr>
        <w:ind w:left="3300"/>
        <w:spacing w:after="0"/>
        <w:tabs>
          <w:tab w:leader="none" w:pos="3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2" w:name="page13"/>
    <w:bookmarkEnd w:id="12"/>
    <w:p>
      <w:pPr>
        <w:spacing w:after="0" w:line="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Wells Fargo Bank, National Association as</w:t>
      </w:r>
    </w:p>
    <w:p>
      <w:pPr>
        <w:ind w:left="2800"/>
        <w:spacing w:after="0" w:line="203" w:lineRule="auto"/>
        <w:rPr>
          <w:sz w:val="20"/>
          <w:szCs w:val="20"/>
          <w:color w:val="auto"/>
        </w:rPr>
      </w:pPr>
      <w:r>
        <w:rPr>
          <w:rFonts w:ascii="Times New Roman" w:cs="Times New Roman" w:eastAsia="Times New Roman" w:hAnsi="Times New Roman"/>
          <w:sz w:val="20"/>
          <w:szCs w:val="20"/>
          <w:color w:val="auto"/>
        </w:rPr>
        <w:t>an Incremental Lender and as an Issuing</w:t>
      </w:r>
    </w:p>
    <w:p>
      <w:pPr>
        <w:spacing w:after="0" w:line="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Bank</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Benjamin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21590</wp:posOffset>
            </wp:positionV>
            <wp:extent cx="194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8"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Benjamin Schwartz</w:t>
      </w:r>
    </w:p>
    <w:p>
      <w:pPr>
        <w:spacing w:after="0" w:line="28" w:lineRule="exact"/>
        <w:rPr>
          <w:sz w:val="20"/>
          <w:szCs w:val="20"/>
          <w:color w:val="auto"/>
        </w:rPr>
      </w:pPr>
    </w:p>
    <w:p>
      <w:pPr>
        <w:ind w:left="3300"/>
        <w:spacing w:after="0"/>
        <w:tabs>
          <w:tab w:leader="none" w:pos="3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3" w:name="page14"/>
    <w:bookmarkEnd w:id="13"/>
    <w:p>
      <w:pPr>
        <w:spacing w:after="0" w:line="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BMO Bank N.A., as an Incremental Lender</w:t>
      </w:r>
    </w:p>
    <w:p>
      <w:pPr>
        <w:spacing w:after="0" w:line="40"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Dan Higgenbotham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21590</wp:posOffset>
            </wp:positionV>
            <wp:extent cx="19456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8"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Dan Higgenbotham</w:t>
      </w:r>
    </w:p>
    <w:p>
      <w:pPr>
        <w:spacing w:after="0" w:line="28" w:lineRule="exact"/>
        <w:rPr>
          <w:sz w:val="20"/>
          <w:szCs w:val="20"/>
          <w:color w:val="auto"/>
        </w:rPr>
      </w:pPr>
    </w:p>
    <w:p>
      <w:pPr>
        <w:ind w:left="3300"/>
        <w:spacing w:after="0"/>
        <w:tabs>
          <w:tab w:leader="none" w:pos="3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4" w:name="page15"/>
    <w:bookmarkEnd w:id="14"/>
    <w:p>
      <w:pPr>
        <w:spacing w:after="0" w:line="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Capital One, National Association, as an</w:t>
      </w:r>
    </w:p>
    <w:p>
      <w:pPr>
        <w:ind w:left="2800"/>
        <w:spacing w:after="0"/>
        <w:rPr>
          <w:sz w:val="20"/>
          <w:szCs w:val="20"/>
          <w:color w:val="auto"/>
        </w:rPr>
      </w:pPr>
      <w:r>
        <w:rPr>
          <w:rFonts w:ascii="Times New Roman" w:cs="Times New Roman" w:eastAsia="Times New Roman" w:hAnsi="Times New Roman"/>
          <w:sz w:val="20"/>
          <w:szCs w:val="20"/>
          <w:color w:val="auto"/>
        </w:rPr>
        <w:t>Incremental Lender</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Andrew DiLeo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13335</wp:posOffset>
            </wp:positionV>
            <wp:extent cx="19456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 w:lineRule="exact"/>
        <w:rPr>
          <w:sz w:val="20"/>
          <w:szCs w:val="20"/>
          <w:color w:val="auto"/>
        </w:rPr>
      </w:pPr>
    </w:p>
    <w:p>
      <w:pPr>
        <w:ind w:left="3300"/>
        <w:spacing w:after="0"/>
        <w:tabs>
          <w:tab w:leader="none" w:pos="39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Andrew DiLeo</w:t>
      </w:r>
    </w:p>
    <w:p>
      <w:pPr>
        <w:spacing w:after="0" w:line="28" w:lineRule="exact"/>
        <w:rPr>
          <w:sz w:val="20"/>
          <w:szCs w:val="20"/>
          <w:color w:val="auto"/>
        </w:rPr>
      </w:pPr>
    </w:p>
    <w:p>
      <w:pPr>
        <w:jc w:val="right"/>
        <w:ind w:right="2959"/>
        <w:spacing w:after="0"/>
        <w:tabs>
          <w:tab w:leader="none" w:pos="21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5" w:name="page16"/>
    <w:bookmarkEnd w:id="15"/>
    <w:p>
      <w:pPr>
        <w:spacing w:after="0" w:line="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U.S. Bank National Association, as an</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Incremental Lender</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Rich Jorge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13335</wp:posOffset>
            </wp:positionV>
            <wp:extent cx="19456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Rich Jorge</w:t>
      </w:r>
    </w:p>
    <w:p>
      <w:pPr>
        <w:spacing w:after="0" w:line="28" w:lineRule="exact"/>
        <w:rPr>
          <w:sz w:val="20"/>
          <w:szCs w:val="20"/>
          <w:color w:val="auto"/>
        </w:rPr>
      </w:pPr>
    </w:p>
    <w:p>
      <w:pPr>
        <w:ind w:left="3300"/>
        <w:spacing w:after="0"/>
        <w:tabs>
          <w:tab w:leader="none" w:pos="3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CITIZENS BANK, N.A., as an Incremental</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Lender</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Robert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13335</wp:posOffset>
            </wp:positionV>
            <wp:extent cx="19456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Robert Maddox</w:t>
      </w:r>
    </w:p>
    <w:p>
      <w:pPr>
        <w:spacing w:after="0" w:line="28" w:lineRule="exact"/>
        <w:rPr>
          <w:sz w:val="20"/>
          <w:szCs w:val="20"/>
          <w:color w:val="auto"/>
        </w:rPr>
      </w:pPr>
    </w:p>
    <w:p>
      <w:pPr>
        <w:ind w:left="3300"/>
        <w:spacing w:after="0"/>
        <w:tabs>
          <w:tab w:leader="none" w:pos="3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7" w:name="page18"/>
    <w:bookmarkEnd w:id="17"/>
    <w:p>
      <w:pPr>
        <w:spacing w:after="0" w:line="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MUFG BANK, LTD., as an Incremental</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Lender</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Thuy Bui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13335</wp:posOffset>
            </wp:positionV>
            <wp:extent cx="19456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Thuy Bui</w:t>
      </w:r>
    </w:p>
    <w:p>
      <w:pPr>
        <w:spacing w:after="0" w:line="28" w:lineRule="exact"/>
        <w:rPr>
          <w:sz w:val="20"/>
          <w:szCs w:val="20"/>
          <w:color w:val="auto"/>
        </w:rPr>
      </w:pPr>
    </w:p>
    <w:p>
      <w:pPr>
        <w:ind w:left="3300"/>
        <w:spacing w:after="0"/>
        <w:tabs>
          <w:tab w:leader="none" w:pos="39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8" w:name="page19"/>
    <w:bookmarkEnd w:id="18"/>
    <w:p>
      <w:pPr>
        <w:spacing w:after="0" w:line="1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9"/>
          <w:szCs w:val="19"/>
          <w:color w:val="auto"/>
        </w:rPr>
        <w:t>First Citizens Bank &amp; Trust Company, as an</w:t>
      </w:r>
    </w:p>
    <w:p>
      <w:pPr>
        <w:spacing w:after="0" w:line="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Incremental Lender</w:t>
      </w:r>
    </w:p>
    <w:p>
      <w:pPr>
        <w:spacing w:after="0" w:line="6" w:lineRule="exact"/>
        <w:rPr>
          <w:sz w:val="20"/>
          <w:szCs w:val="20"/>
          <w:color w:val="auto"/>
        </w:rPr>
      </w:pPr>
    </w:p>
    <w:p>
      <w:pPr>
        <w:ind w:left="280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 Jake Yennaco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13335</wp:posOffset>
            </wp:positionV>
            <wp:extent cx="1945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5" w:lineRule="exact"/>
        <w:rPr>
          <w:sz w:val="20"/>
          <w:szCs w:val="20"/>
          <w:color w:val="auto"/>
        </w:rPr>
      </w:pPr>
    </w:p>
    <w:p>
      <w:pPr>
        <w:ind w:left="3300"/>
        <w:spacing w:after="0"/>
        <w:tabs>
          <w:tab w:leader="none" w:pos="40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Jake Yennaco</w:t>
      </w:r>
    </w:p>
    <w:p>
      <w:pPr>
        <w:spacing w:after="0" w:line="28" w:lineRule="exact"/>
        <w:rPr>
          <w:sz w:val="20"/>
          <w:szCs w:val="20"/>
          <w:color w:val="auto"/>
        </w:rPr>
      </w:pPr>
    </w:p>
    <w:p>
      <w:pPr>
        <w:ind w:left="3300"/>
        <w:spacing w:after="0"/>
        <w:tabs>
          <w:tab w:leader="none" w:pos="38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Amendment No. 2]</w:t>
      </w:r>
    </w:p>
    <w:p>
      <w:pPr>
        <w:sectPr>
          <w:pgSz w:w="11900" w:h="16838" w:orient="portrait"/>
          <w:cols w:equalWidth="0" w:num="1">
            <w:col w:w="9019"/>
          </w:cols>
          <w:pgMar w:left="1440" w:top="1440" w:right="1440" w:bottom="1440" w:gutter="0" w:footer="0" w:header="0"/>
        </w:sectPr>
      </w:pPr>
    </w:p>
    <w:bookmarkStart w:id="19" w:name="page20"/>
    <w:bookmarkEnd w:id="19"/>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u w:val="single" w:color="auto"/>
          <w:color w:val="auto"/>
        </w:rPr>
        <w:t>Amended Credit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See Attached</w:t>
      </w:r>
      <w:r>
        <w:rPr>
          <w:rFonts w:ascii="Times New Roman" w:cs="Times New Roman" w:eastAsia="Times New Roman" w:hAnsi="Times New Roman"/>
          <w:sz w:val="20"/>
          <w:szCs w:val="20"/>
          <w:color w:val="auto"/>
        </w:rPr>
        <w:t>]</w:t>
      </w:r>
    </w:p>
    <w:p>
      <w:pPr>
        <w:sectPr>
          <w:pgSz w:w="11900" w:h="16838" w:orient="portrait"/>
          <w:cols w:equalWidth="0" w:num="1">
            <w:col w:w="9019"/>
          </w:cols>
          <w:pgMar w:left="1440" w:top="1440" w:right="1440"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REMITLY GLOBAL, INC.</w:t>
      </w:r>
    </w:p>
    <w:p>
      <w:pPr>
        <w:spacing w:after="0" w:line="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0"/>
          <w:szCs w:val="20"/>
          <w:color w:val="auto"/>
        </w:rPr>
        <w:t>REMITLY, INC.,</w:t>
      </w:r>
    </w:p>
    <w:p>
      <w:pPr>
        <w:spacing w:after="0" w:line="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0"/>
          <w:szCs w:val="20"/>
          <w:color w:val="auto"/>
        </w:rPr>
        <w:t>as Borrowers</w:t>
      </w:r>
    </w:p>
    <w:p>
      <w:pPr>
        <w:spacing w:after="0" w:line="21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0"/>
          <w:szCs w:val="20"/>
          <w:color w:val="auto"/>
        </w:rPr>
        <w:t>The Several Lenders</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from Time to Time Parties Hereto,</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as Administrative Agent</w:t>
      </w:r>
    </w:p>
    <w:p>
      <w:pPr>
        <w:spacing w:after="0" w:line="21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Dated as of June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202565</wp:posOffset>
            </wp:positionV>
            <wp:extent cx="29489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3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color w:val="auto"/>
        </w:rPr>
        <w:t>BANK OF AMERICA, N.A. and WELLS FARGO SECURITIES, LLC,</w:t>
      </w:r>
    </w:p>
    <w:p>
      <w:pPr>
        <w:spacing w:after="0" w:line="23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as Joint Lead Arrangers and Bookrunners</w:t>
      </w:r>
    </w:p>
    <w:p>
      <w:pPr>
        <w:sectPr>
          <w:pgSz w:w="11900" w:h="16838" w:orient="portrait"/>
          <w:cols w:equalWidth="0" w:num="1">
            <w:col w:w="10120"/>
          </w:cols>
          <w:pgMar w:left="1440" w:top="11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213995</wp:posOffset>
            </wp:positionV>
            <wp:extent cx="19373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u w:val="single" w:color="auto"/>
          <w:color w:val="auto"/>
        </w:rPr>
        <w:t>Page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010000"/>
              </w:rPr>
              <w:t>SECTION 1.</w:t>
            </w: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DEFINITIONS</w:t>
            </w:r>
          </w:p>
        </w:tc>
        <w:tc>
          <w:tcPr>
            <w:tcW w:w="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473"/>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1.1.</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Defined Terms  1</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1.2.</w:t>
            </w:r>
          </w:p>
        </w:tc>
        <w:tc>
          <w:tcPr>
            <w:tcW w:w="260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Other Definitional Provisions</w:t>
            </w:r>
          </w:p>
        </w:tc>
        <w:tc>
          <w:tcPr>
            <w:tcW w:w="4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89"/>
              </w:rPr>
              <w:t>47</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1.3.</w:t>
            </w:r>
          </w:p>
        </w:tc>
        <w:tc>
          <w:tcPr>
            <w:tcW w:w="5640" w:type="dxa"/>
            <w:vAlign w:val="bottom"/>
            <w:gridSpan w:val="10"/>
          </w:tcPr>
          <w:p>
            <w:pPr>
              <w:ind w:left="80"/>
              <w:spacing w:after="0"/>
              <w:rPr>
                <w:sz w:val="20"/>
                <w:szCs w:val="20"/>
                <w:color w:val="auto"/>
              </w:rPr>
            </w:pPr>
            <w:r>
              <w:rPr>
                <w:rFonts w:ascii="Times New Roman" w:cs="Times New Roman" w:eastAsia="Times New Roman" w:hAnsi="Times New Roman"/>
                <w:sz w:val="20"/>
                <w:szCs w:val="20"/>
                <w:color w:val="auto"/>
              </w:rPr>
              <w:t>Currency Conversion; Currency Equivalents; Exchange Rates  49</w:t>
            </w: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1.4.</w:t>
            </w:r>
          </w:p>
        </w:tc>
        <w:tc>
          <w:tcPr>
            <w:tcW w:w="34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w w:val="98"/>
              </w:rPr>
              <w:t>Terms Generally; Pro Forma Calculations</w:t>
            </w:r>
          </w:p>
        </w:tc>
        <w:tc>
          <w:tcPr>
            <w:tcW w:w="104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49</w:t>
            </w:r>
          </w:p>
        </w:tc>
        <w:tc>
          <w:tcPr>
            <w:tcW w:w="120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1.5.</w:t>
            </w:r>
          </w:p>
        </w:tc>
        <w:tc>
          <w:tcPr>
            <w:tcW w:w="34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104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w w:val="99"/>
              </w:rPr>
              <w:t>52</w:t>
            </w: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1.6.</w:t>
            </w:r>
          </w:p>
        </w:tc>
        <w:tc>
          <w:tcPr>
            <w:tcW w:w="444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Interest Rates; Benchmark Notification  53</w:t>
            </w:r>
          </w:p>
        </w:tc>
        <w:tc>
          <w:tcPr>
            <w:tcW w:w="120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1.7.</w:t>
            </w:r>
          </w:p>
        </w:tc>
        <w:tc>
          <w:tcPr>
            <w:tcW w:w="22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Letter of Credit Amounts.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86"/>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010000"/>
              </w:rPr>
              <w:t>SECTION 2.</w:t>
            </w:r>
          </w:p>
        </w:tc>
        <w:tc>
          <w:tcPr>
            <w:tcW w:w="564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rPr>
              <w:t>AMOUNT AND TERMS OF LOANS AND COMMITMENTS  53</w:t>
            </w:r>
          </w:p>
        </w:tc>
      </w:tr>
      <w:tr>
        <w:trPr>
          <w:trHeight w:val="473"/>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53</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53</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2.3.</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53</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2.4.</w:t>
            </w:r>
          </w:p>
        </w:tc>
        <w:tc>
          <w:tcPr>
            <w:tcW w:w="208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8"/>
              </w:rPr>
              <w:t>Revolving Commitments</w:t>
            </w:r>
          </w:p>
        </w:tc>
        <w:tc>
          <w:tcPr>
            <w:tcW w:w="180" w:type="dxa"/>
            <w:vAlign w:val="bottom"/>
          </w:tcPr>
          <w:p>
            <w:pPr>
              <w:spacing w:after="0"/>
              <w:rPr>
                <w:sz w:val="23"/>
                <w:szCs w:val="23"/>
                <w:color w:val="auto"/>
              </w:rPr>
            </w:pP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53</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2.5.</w:t>
            </w:r>
          </w:p>
        </w:tc>
        <w:tc>
          <w:tcPr>
            <w:tcW w:w="34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w w:val="98"/>
              </w:rPr>
              <w:t>Procedure for Revolving Loan Borrowing</w:t>
            </w:r>
          </w:p>
        </w:tc>
        <w:tc>
          <w:tcPr>
            <w:tcW w:w="104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54</w:t>
            </w: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2.6.</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9"/>
              </w:rPr>
              <w:t>Commitment Fees</w:t>
            </w:r>
          </w:p>
        </w:tc>
        <w:tc>
          <w:tcPr>
            <w:tcW w:w="5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2.7.</w:t>
            </w:r>
          </w:p>
        </w:tc>
        <w:tc>
          <w:tcPr>
            <w:tcW w:w="444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w w:val="99"/>
              </w:rPr>
              <w:t>Termination or Reduction of Revolving Commitments</w:t>
            </w:r>
          </w:p>
        </w:tc>
        <w:tc>
          <w:tcPr>
            <w:tcW w:w="120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rPr>
              <w:t>55</w:t>
            </w: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2.8.</w:t>
            </w:r>
          </w:p>
        </w:tc>
        <w:tc>
          <w:tcPr>
            <w:tcW w:w="82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5"/>
              </w:rPr>
              <w:t>Fees, etc.</w:t>
            </w:r>
          </w:p>
        </w:tc>
        <w:tc>
          <w:tcPr>
            <w:tcW w:w="74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55</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2.9.</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Swingline Loans</w:t>
            </w:r>
          </w:p>
        </w:tc>
        <w:tc>
          <w:tcPr>
            <w:tcW w:w="5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55</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2.10.</w:t>
            </w:r>
          </w:p>
        </w:tc>
        <w:tc>
          <w:tcPr>
            <w:tcW w:w="20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Optional Prepayments</w:t>
            </w:r>
          </w:p>
        </w:tc>
        <w:tc>
          <w:tcPr>
            <w:tcW w:w="52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56</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2.11.</w:t>
            </w:r>
          </w:p>
        </w:tc>
        <w:tc>
          <w:tcPr>
            <w:tcW w:w="22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Mandatory Prepayments</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57</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2.12.</w:t>
            </w:r>
          </w:p>
        </w:tc>
        <w:tc>
          <w:tcPr>
            <w:tcW w:w="20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Continuation Options</w:t>
            </w:r>
          </w:p>
        </w:tc>
        <w:tc>
          <w:tcPr>
            <w:tcW w:w="52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w w:val="89"/>
              </w:rPr>
              <w:t>57</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2.13.</w:t>
            </w:r>
          </w:p>
        </w:tc>
        <w:tc>
          <w:tcPr>
            <w:tcW w:w="15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Letters of Credit</w:t>
            </w:r>
          </w:p>
        </w:tc>
        <w:tc>
          <w:tcPr>
            <w:tcW w:w="5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58</w:t>
            </w: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2.14.</w:t>
            </w:r>
          </w:p>
        </w:tc>
        <w:tc>
          <w:tcPr>
            <w:tcW w:w="30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Interest Rates and Payment Dates</w:t>
            </w:r>
          </w:p>
        </w:tc>
        <w:tc>
          <w:tcPr>
            <w:tcW w:w="4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63</w:t>
            </w: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2.15.</w:t>
            </w:r>
          </w:p>
        </w:tc>
        <w:tc>
          <w:tcPr>
            <w:tcW w:w="4440" w:type="dxa"/>
            <w:vAlign w:val="bottom"/>
            <w:gridSpan w:val="9"/>
          </w:tcPr>
          <w:p>
            <w:pPr>
              <w:ind w:left="180"/>
              <w:spacing w:after="0"/>
              <w:rPr>
                <w:sz w:val="20"/>
                <w:szCs w:val="20"/>
                <w:color w:val="auto"/>
              </w:rPr>
            </w:pPr>
            <w:r>
              <w:rPr>
                <w:rFonts w:ascii="Times New Roman" w:cs="Times New Roman" w:eastAsia="Times New Roman" w:hAnsi="Times New Roman"/>
                <w:sz w:val="20"/>
                <w:szCs w:val="20"/>
                <w:color w:val="auto"/>
              </w:rPr>
              <w:t>Computation of Interest and Fees; Interest Elections</w:t>
            </w:r>
          </w:p>
        </w:tc>
        <w:tc>
          <w:tcPr>
            <w:tcW w:w="120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rPr>
              <w:t>63</w:t>
            </w: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2.16.</w:t>
            </w:r>
          </w:p>
        </w:tc>
        <w:tc>
          <w:tcPr>
            <w:tcW w:w="30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w w:val="98"/>
              </w:rPr>
              <w:t>Inability to Determine Interest Rate</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2.17.</w:t>
            </w:r>
          </w:p>
        </w:tc>
        <w:tc>
          <w:tcPr>
            <w:tcW w:w="300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Pro Rata Treatment and Payments</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66</w:t>
            </w: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2.18.</w:t>
            </w:r>
          </w:p>
        </w:tc>
        <w:tc>
          <w:tcPr>
            <w:tcW w:w="20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Requirements of Law</w:t>
            </w:r>
          </w:p>
        </w:tc>
        <w:tc>
          <w:tcPr>
            <w:tcW w:w="52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w w:val="89"/>
              </w:rPr>
              <w:t>67</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2.19.</w:t>
            </w:r>
          </w:p>
        </w:tc>
        <w:tc>
          <w:tcPr>
            <w:tcW w:w="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69</w:t>
            </w:r>
          </w:p>
        </w:tc>
        <w:tc>
          <w:tcPr>
            <w:tcW w:w="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2.20.</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Indemnity</w:t>
            </w:r>
          </w:p>
        </w:tc>
        <w:tc>
          <w:tcPr>
            <w:tcW w:w="4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72</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2.21.</w:t>
            </w: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7"/>
              </w:rPr>
              <w:t>Change of Lending Office</w:t>
            </w: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73</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2.22.</w:t>
            </w: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Replacement of Lenders</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73</w:t>
            </w: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2.23.</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9"/>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2.24.</w:t>
            </w: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w w:val="98"/>
              </w:rPr>
              <w:t>Extension of the Facilities</w:t>
            </w:r>
          </w:p>
        </w:tc>
        <w:tc>
          <w:tcPr>
            <w:tcW w:w="74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rPr>
              <w:t>74</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2.25.</w:t>
            </w:r>
          </w:p>
        </w:tc>
        <w:tc>
          <w:tcPr>
            <w:tcW w:w="2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Incremental Loan Extensions</w:t>
            </w:r>
          </w:p>
        </w:tc>
        <w:tc>
          <w:tcPr>
            <w:tcW w:w="4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76</w:t>
            </w: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2.26.</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[Reserved]</w:t>
            </w: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80</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2.27.</w:t>
            </w:r>
          </w:p>
        </w:tc>
        <w:tc>
          <w:tcPr>
            <w:tcW w:w="260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w w:val="98"/>
              </w:rPr>
              <w:t>Defaulting Revolving Lenders</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2.28.</w:t>
            </w:r>
          </w:p>
        </w:tc>
        <w:tc>
          <w:tcPr>
            <w:tcW w:w="20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Refinancing Facilities</w:t>
            </w:r>
          </w:p>
        </w:tc>
        <w:tc>
          <w:tcPr>
            <w:tcW w:w="52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w w:val="99"/>
              </w:rPr>
              <w:t>83</w:t>
            </w: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409" w:right="339" w:bottom="1440" w:gutter="0" w:footer="0" w:header="0"/>
          <w:type w:val="continuous"/>
        </w:sectPr>
      </w:pPr>
    </w:p>
    <w:bookmarkStart w:id="22" w:name="page23"/>
    <w:bookmarkEnd w:id="22"/>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010000"/>
              </w:rPr>
              <w:t>SECTION 3.</w:t>
            </w: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[RESERVED]</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84</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86"/>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010000"/>
              </w:rPr>
              <w:t>SECTION 4.</w:t>
            </w:r>
          </w:p>
        </w:tc>
        <w:tc>
          <w:tcPr>
            <w:tcW w:w="3880" w:type="dxa"/>
            <w:vAlign w:val="bottom"/>
            <w:gridSpan w:val="10"/>
          </w:tcPr>
          <w:p>
            <w:pPr>
              <w:ind w:left="160"/>
              <w:spacing w:after="0"/>
              <w:rPr>
                <w:sz w:val="20"/>
                <w:szCs w:val="20"/>
                <w:color w:val="auto"/>
              </w:rPr>
            </w:pPr>
            <w:r>
              <w:rPr>
                <w:rFonts w:ascii="Times New Roman" w:cs="Times New Roman" w:eastAsia="Times New Roman" w:hAnsi="Times New Roman"/>
                <w:sz w:val="20"/>
                <w:szCs w:val="20"/>
                <w:color w:val="auto"/>
                <w:w w:val="99"/>
              </w:rPr>
              <w:t>REPRESENTATIONS AND WARRANTIES</w:t>
            </w:r>
          </w:p>
        </w:tc>
        <w:tc>
          <w:tcPr>
            <w:tcW w:w="106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84</w:t>
            </w:r>
          </w:p>
        </w:tc>
      </w:tr>
      <w:tr>
        <w:trPr>
          <w:trHeight w:val="473"/>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w:t>
            </w:r>
          </w:p>
        </w:tc>
        <w:tc>
          <w:tcPr>
            <w:tcW w:w="21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Financial Condition  84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No Change</w:t>
            </w:r>
          </w:p>
        </w:tc>
        <w:tc>
          <w:tcPr>
            <w:tcW w:w="12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84</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4.3.</w:t>
            </w: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w w:val="98"/>
              </w:rPr>
              <w:t>Existence; Compliance with Law</w:t>
            </w:r>
          </w:p>
        </w:tc>
        <w:tc>
          <w:tcPr>
            <w:tcW w:w="62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84</w:t>
            </w: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4.4.</w:t>
            </w:r>
          </w:p>
        </w:tc>
        <w:tc>
          <w:tcPr>
            <w:tcW w:w="3880" w:type="dxa"/>
            <w:vAlign w:val="bottom"/>
            <w:gridSpan w:val="10"/>
          </w:tcPr>
          <w:p>
            <w:pPr>
              <w:ind w:left="80"/>
              <w:spacing w:after="0"/>
              <w:rPr>
                <w:sz w:val="20"/>
                <w:szCs w:val="20"/>
                <w:color w:val="auto"/>
              </w:rPr>
            </w:pPr>
            <w:r>
              <w:rPr>
                <w:rFonts w:ascii="Times New Roman" w:cs="Times New Roman" w:eastAsia="Times New Roman" w:hAnsi="Times New Roman"/>
                <w:sz w:val="20"/>
                <w:szCs w:val="20"/>
                <w:color w:val="auto"/>
                <w:w w:val="99"/>
              </w:rPr>
              <w:t>Power; Authorization; Enforceable Obligations</w:t>
            </w:r>
          </w:p>
        </w:tc>
        <w:tc>
          <w:tcPr>
            <w:tcW w:w="106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84</w:t>
            </w: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4.5.</w:t>
            </w: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7"/>
              </w:rPr>
              <w:t>No Legal Bar</w:t>
            </w:r>
          </w:p>
        </w:tc>
        <w:tc>
          <w:tcPr>
            <w:tcW w:w="7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85</w:t>
            </w: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4.6.</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Litigation</w:t>
            </w:r>
          </w:p>
        </w:tc>
        <w:tc>
          <w:tcPr>
            <w:tcW w:w="46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w w:val="89"/>
              </w:rPr>
              <w:t>85</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4.7.</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No Default</w:t>
            </w:r>
          </w:p>
        </w:tc>
        <w:tc>
          <w:tcPr>
            <w:tcW w:w="120" w:type="dxa"/>
            <w:vAlign w:val="bottom"/>
          </w:tcPr>
          <w:p>
            <w:pPr>
              <w:spacing w:after="0"/>
              <w:rPr>
                <w:sz w:val="23"/>
                <w:szCs w:val="23"/>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85</w:t>
            </w: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4.8.</w:t>
            </w: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7"/>
              </w:rPr>
              <w:t>Ownership of Property</w:t>
            </w:r>
          </w:p>
        </w:tc>
        <w:tc>
          <w:tcPr>
            <w:tcW w:w="840" w:type="dxa"/>
            <w:vAlign w:val="bottom"/>
            <w:gridSpan w:val="2"/>
          </w:tcPr>
          <w:p>
            <w:pPr>
              <w:jc w:val="right"/>
              <w:ind w:right="341"/>
              <w:spacing w:after="0"/>
              <w:rPr>
                <w:sz w:val="20"/>
                <w:szCs w:val="20"/>
                <w:color w:val="auto"/>
              </w:rPr>
            </w:pPr>
            <w:r>
              <w:rPr>
                <w:rFonts w:ascii="Times New Roman" w:cs="Times New Roman" w:eastAsia="Times New Roman" w:hAnsi="Times New Roman"/>
                <w:sz w:val="20"/>
                <w:szCs w:val="20"/>
                <w:color w:val="auto"/>
              </w:rPr>
              <w:t>85</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4.9.</w:t>
            </w: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Intellectual Property</w:t>
            </w: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85</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4.10.</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Taxes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4.11.</w:t>
            </w:r>
          </w:p>
        </w:tc>
        <w:tc>
          <w:tcPr>
            <w:tcW w:w="188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Federal Regulations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4.12.</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Labor Matters</w:t>
            </w:r>
          </w:p>
        </w:tc>
        <w:tc>
          <w:tcPr>
            <w:tcW w:w="3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89"/>
              </w:rPr>
              <w:t>86</w:t>
            </w: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4.13.</w:t>
            </w:r>
          </w:p>
        </w:tc>
        <w:tc>
          <w:tcPr>
            <w:tcW w:w="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ERISA</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4.14.</w:t>
            </w:r>
          </w:p>
        </w:tc>
        <w:tc>
          <w:tcPr>
            <w:tcW w:w="3880" w:type="dxa"/>
            <w:vAlign w:val="bottom"/>
            <w:gridSpan w:val="10"/>
          </w:tcPr>
          <w:p>
            <w:pPr>
              <w:ind w:left="180"/>
              <w:spacing w:after="0"/>
              <w:rPr>
                <w:sz w:val="20"/>
                <w:szCs w:val="20"/>
                <w:color w:val="auto"/>
              </w:rPr>
            </w:pPr>
            <w:r>
              <w:rPr>
                <w:rFonts w:ascii="Times New Roman" w:cs="Times New Roman" w:eastAsia="Times New Roman" w:hAnsi="Times New Roman"/>
                <w:sz w:val="20"/>
                <w:szCs w:val="20"/>
                <w:color w:val="auto"/>
              </w:rPr>
              <w:t>Investment Company Act; Other Regulations</w:t>
            </w:r>
          </w:p>
        </w:tc>
        <w:tc>
          <w:tcPr>
            <w:tcW w:w="106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86</w:t>
            </w: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4.15.</w:t>
            </w:r>
          </w:p>
        </w:tc>
        <w:tc>
          <w:tcPr>
            <w:tcW w:w="116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8"/>
              </w:rPr>
              <w:t>Subsidiaries</w:t>
            </w:r>
          </w:p>
        </w:tc>
        <w:tc>
          <w:tcPr>
            <w:tcW w:w="7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86</w:t>
            </w: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4.16.</w:t>
            </w:r>
          </w:p>
        </w:tc>
        <w:tc>
          <w:tcPr>
            <w:tcW w:w="150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Use of Proceeds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4.17.</w:t>
            </w:r>
          </w:p>
        </w:tc>
        <w:tc>
          <w:tcPr>
            <w:tcW w:w="2180" w:type="dxa"/>
            <w:vAlign w:val="bottom"/>
            <w:gridSpan w:val="6"/>
          </w:tcPr>
          <w:p>
            <w:pPr>
              <w:ind w:left="180"/>
              <w:spacing w:after="0"/>
              <w:rPr>
                <w:sz w:val="20"/>
                <w:szCs w:val="20"/>
                <w:color w:val="auto"/>
              </w:rPr>
            </w:pPr>
            <w:r>
              <w:rPr>
                <w:rFonts w:ascii="Times New Roman" w:cs="Times New Roman" w:eastAsia="Times New Roman" w:hAnsi="Times New Roman"/>
                <w:sz w:val="20"/>
                <w:szCs w:val="20"/>
                <w:color w:val="auto"/>
              </w:rPr>
              <w:t>Environmental Matters</w:t>
            </w:r>
          </w:p>
        </w:tc>
        <w:tc>
          <w:tcPr>
            <w:tcW w:w="5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9"/>
              </w:rPr>
              <w:t>86</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4.18.</w:t>
            </w:r>
          </w:p>
        </w:tc>
        <w:tc>
          <w:tcPr>
            <w:tcW w:w="272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Accuracy of Information, etc.</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87</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4.19.</w:t>
            </w:r>
          </w:p>
        </w:tc>
        <w:tc>
          <w:tcPr>
            <w:tcW w:w="18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Security Documents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4.20.</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Solvency</w:t>
            </w:r>
          </w:p>
        </w:tc>
        <w:tc>
          <w:tcPr>
            <w:tcW w:w="46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88</w:t>
            </w: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4.21.</w:t>
            </w:r>
          </w:p>
        </w:tc>
        <w:tc>
          <w:tcPr>
            <w:tcW w:w="4940" w:type="dxa"/>
            <w:vAlign w:val="bottom"/>
            <w:gridSpan w:val="11"/>
          </w:tcPr>
          <w:p>
            <w:pPr>
              <w:ind w:left="180"/>
              <w:spacing w:after="0"/>
              <w:rPr>
                <w:sz w:val="20"/>
                <w:szCs w:val="20"/>
                <w:color w:val="auto"/>
              </w:rPr>
            </w:pPr>
            <w:r>
              <w:rPr>
                <w:rFonts w:ascii="Times New Roman" w:cs="Times New Roman" w:eastAsia="Times New Roman" w:hAnsi="Times New Roman"/>
                <w:sz w:val="20"/>
                <w:szCs w:val="20"/>
                <w:color w:val="auto"/>
              </w:rPr>
              <w:t>Anti-Corruption Laws; Sanctions and Patriot Act  88</w:t>
            </w: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4.22.</w:t>
            </w:r>
          </w:p>
        </w:tc>
        <w:tc>
          <w:tcPr>
            <w:tcW w:w="2720" w:type="dxa"/>
            <w:vAlign w:val="bottom"/>
            <w:gridSpan w:val="7"/>
          </w:tcPr>
          <w:p>
            <w:pPr>
              <w:ind w:left="18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73"/>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010000"/>
              </w:rPr>
              <w:t>SECTION 5.</w:t>
            </w:r>
          </w:p>
        </w:tc>
        <w:tc>
          <w:tcPr>
            <w:tcW w:w="27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rPr>
              <w:t>CONDITIONS PRECEDENT</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4"/>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5.1.</w:t>
            </w: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120" w:type="dxa"/>
            <w:vAlign w:val="bottom"/>
          </w:tcPr>
          <w:p>
            <w:pPr>
              <w:spacing w:after="0"/>
              <w:rPr>
                <w:sz w:val="24"/>
                <w:szCs w:val="24"/>
                <w:color w:val="auto"/>
              </w:rPr>
            </w:pP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89</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5.2.</w:t>
            </w: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Conditions to the Closing Date</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89</w:t>
            </w: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5.3.</w:t>
            </w:r>
          </w:p>
        </w:tc>
        <w:tc>
          <w:tcPr>
            <w:tcW w:w="30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Conditions to Extensions of Credit</w:t>
            </w:r>
          </w:p>
        </w:tc>
        <w:tc>
          <w:tcPr>
            <w:tcW w:w="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90</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86"/>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010000"/>
              </w:rPr>
              <w:t>SECTION 6.</w:t>
            </w:r>
          </w:p>
        </w:tc>
        <w:tc>
          <w:tcPr>
            <w:tcW w:w="2720" w:type="dxa"/>
            <w:vAlign w:val="bottom"/>
            <w:gridSpan w:val="7"/>
          </w:tcPr>
          <w:p>
            <w:pPr>
              <w:ind w:left="160"/>
              <w:spacing w:after="0"/>
              <w:rPr>
                <w:sz w:val="20"/>
                <w:szCs w:val="20"/>
                <w:color w:val="auto"/>
              </w:rPr>
            </w:pPr>
            <w:r>
              <w:rPr>
                <w:rFonts w:ascii="Times New Roman" w:cs="Times New Roman" w:eastAsia="Times New Roman" w:hAnsi="Times New Roman"/>
                <w:sz w:val="20"/>
                <w:szCs w:val="20"/>
                <w:color w:val="auto"/>
                <w:w w:val="97"/>
              </w:rPr>
              <w:t>AFFIRMATIVE COVENANTS</w:t>
            </w:r>
          </w:p>
        </w:tc>
        <w:tc>
          <w:tcPr>
            <w:tcW w:w="6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91</w:t>
            </w: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73"/>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w:t>
            </w: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Financial Statements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6.2.</w:t>
            </w:r>
          </w:p>
        </w:tc>
        <w:tc>
          <w:tcPr>
            <w:tcW w:w="272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Certificates; Other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92</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6.3.</w:t>
            </w:r>
          </w:p>
        </w:tc>
        <w:tc>
          <w:tcPr>
            <w:tcW w:w="15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6"/>
              </w:rPr>
              <w:t>Payment of Taxes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6.4.</w:t>
            </w:r>
          </w:p>
        </w:tc>
        <w:tc>
          <w:tcPr>
            <w:tcW w:w="334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Maintenance of Existence; Compliance</w:t>
            </w:r>
          </w:p>
        </w:tc>
        <w:tc>
          <w:tcPr>
            <w:tcW w:w="5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92</w:t>
            </w:r>
          </w:p>
        </w:tc>
        <w:tc>
          <w:tcPr>
            <w:tcW w:w="106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6.5.</w:t>
            </w:r>
          </w:p>
        </w:tc>
        <w:tc>
          <w:tcPr>
            <w:tcW w:w="300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Maintenance of Property; Insurance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6.6.</w:t>
            </w:r>
          </w:p>
        </w:tc>
        <w:tc>
          <w:tcPr>
            <w:tcW w:w="494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Inspection of Property; Books and Records; Discussions  93</w:t>
            </w: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6.7.</w:t>
            </w:r>
          </w:p>
        </w:tc>
        <w:tc>
          <w:tcPr>
            <w:tcW w:w="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Notices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6.8.</w:t>
            </w: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Environmental Laws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6.9.</w:t>
            </w:r>
          </w:p>
        </w:tc>
        <w:tc>
          <w:tcPr>
            <w:tcW w:w="218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Additional Collateral, etc.</w:t>
            </w:r>
          </w:p>
        </w:tc>
        <w:tc>
          <w:tcPr>
            <w:tcW w:w="54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94</w:t>
            </w: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6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6.10.</w:t>
            </w:r>
          </w:p>
        </w:tc>
        <w:tc>
          <w:tcPr>
            <w:tcW w:w="300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Designation of Subsidiaries  96</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8"/>
        </w:trPr>
        <w:tc>
          <w:tcPr>
            <w:tcW w:w="11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6.11.</w:t>
            </w:r>
          </w:p>
        </w:tc>
        <w:tc>
          <w:tcPr>
            <w:tcW w:w="3340" w:type="dxa"/>
            <w:vAlign w:val="bottom"/>
            <w:gridSpan w:val="9"/>
          </w:tcPr>
          <w:p>
            <w:pPr>
              <w:ind w:left="160"/>
              <w:spacing w:after="0"/>
              <w:rPr>
                <w:sz w:val="20"/>
                <w:szCs w:val="20"/>
                <w:color w:val="auto"/>
              </w:rPr>
            </w:pPr>
            <w:r>
              <w:rPr>
                <w:rFonts w:ascii="Times New Roman" w:cs="Times New Roman" w:eastAsia="Times New Roman" w:hAnsi="Times New Roman"/>
                <w:sz w:val="20"/>
                <w:szCs w:val="20"/>
                <w:color w:val="auto"/>
              </w:rPr>
              <w:t>Post-Closing Real Estate Deliverables</w:t>
            </w:r>
          </w:p>
        </w:tc>
        <w:tc>
          <w:tcPr>
            <w:tcW w:w="5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96</w:t>
            </w:r>
          </w:p>
        </w:tc>
        <w:tc>
          <w:tcPr>
            <w:tcW w:w="10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0139"/>
          </w:cols>
          <w:pgMar w:left="320" w:top="1440" w:right="1440" w:bottom="144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6.12.</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Post-Closing Obligations</w:t>
            </w:r>
          </w:p>
        </w:tc>
        <w:tc>
          <w:tcPr>
            <w:tcW w:w="46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w w:val="99"/>
              </w:rPr>
              <w:t>98</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6.13.</w:t>
            </w:r>
          </w:p>
        </w:tc>
        <w:tc>
          <w:tcPr>
            <w:tcW w:w="2900" w:type="dxa"/>
            <w:vAlign w:val="bottom"/>
            <w:gridSpan w:val="9"/>
          </w:tcPr>
          <w:p>
            <w:pPr>
              <w:ind w:left="140"/>
              <w:spacing w:after="0"/>
              <w:rPr>
                <w:sz w:val="20"/>
                <w:szCs w:val="20"/>
                <w:color w:val="auto"/>
              </w:rPr>
            </w:pPr>
            <w:r>
              <w:rPr>
                <w:rFonts w:ascii="Times New Roman" w:cs="Times New Roman" w:eastAsia="Times New Roman" w:hAnsi="Times New Roman"/>
                <w:sz w:val="20"/>
                <w:szCs w:val="20"/>
                <w:color w:val="auto"/>
                <w:w w:val="99"/>
              </w:rPr>
              <w:t>Holding Company Reorganization</w:t>
            </w:r>
          </w:p>
        </w:tc>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98</w:t>
            </w:r>
          </w:p>
        </w:tc>
        <w:tc>
          <w:tcPr>
            <w:tcW w:w="2380" w:type="dxa"/>
            <w:vAlign w:val="bottom"/>
          </w:tcPr>
          <w:p>
            <w:pPr>
              <w:spacing w:after="0"/>
              <w:rPr>
                <w:sz w:val="23"/>
                <w:szCs w:val="23"/>
                <w:color w:val="auto"/>
              </w:rPr>
            </w:pPr>
          </w:p>
        </w:tc>
      </w:tr>
      <w:tr>
        <w:trPr>
          <w:trHeight w:val="473"/>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010000"/>
              </w:rPr>
              <w:t>SECTION 7.</w:t>
            </w:r>
          </w:p>
        </w:tc>
        <w:tc>
          <w:tcPr>
            <w:tcW w:w="238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NEGATIVE COVENANTS</w:t>
            </w:r>
          </w:p>
        </w:tc>
        <w:tc>
          <w:tcPr>
            <w:tcW w:w="38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98</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84"/>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w:t>
            </w: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Financial Covenant</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7.2.</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Indebtedness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7.3.</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Liens  102</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7.4.</w:t>
            </w: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Fundamental Changes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106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7.5.</w:t>
            </w: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Disposition of Property</w:t>
            </w:r>
          </w:p>
        </w:tc>
        <w:tc>
          <w:tcPr>
            <w:tcW w:w="760" w:type="dxa"/>
            <w:vAlign w:val="bottom"/>
            <w:gridSpan w:val="3"/>
          </w:tcPr>
          <w:p>
            <w:pPr>
              <w:jc w:val="right"/>
              <w:ind w:right="281"/>
              <w:spacing w:after="0"/>
              <w:rPr>
                <w:sz w:val="20"/>
                <w:szCs w:val="20"/>
                <w:color w:val="auto"/>
              </w:rPr>
            </w:pPr>
            <w:r>
              <w:rPr>
                <w:rFonts w:ascii="Times New Roman" w:cs="Times New Roman" w:eastAsia="Times New Roman" w:hAnsi="Times New Roman"/>
                <w:sz w:val="20"/>
                <w:szCs w:val="20"/>
                <w:color w:val="auto"/>
              </w:rPr>
              <w:t>107</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7.6.</w:t>
            </w: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Restricted Payments</w:t>
            </w:r>
          </w:p>
        </w:tc>
        <w:tc>
          <w:tcPr>
            <w:tcW w:w="60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110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7.7.</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Investments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6"/>
              </w:rPr>
              <w:t>111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7.8.</w:t>
            </w: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7.9.</w:t>
            </w:r>
          </w:p>
        </w:tc>
        <w:tc>
          <w:tcPr>
            <w:tcW w:w="2300" w:type="dxa"/>
            <w:vAlign w:val="bottom"/>
            <w:gridSpan w:val="6"/>
          </w:tcPr>
          <w:p>
            <w:pPr>
              <w:ind w:left="40"/>
              <w:spacing w:after="0"/>
              <w:rPr>
                <w:sz w:val="20"/>
                <w:szCs w:val="20"/>
                <w:color w:val="auto"/>
              </w:rPr>
            </w:pPr>
            <w:r>
              <w:rPr>
                <w:rFonts w:ascii="Times New Roman" w:cs="Times New Roman" w:eastAsia="Times New Roman" w:hAnsi="Times New Roman"/>
                <w:sz w:val="20"/>
                <w:szCs w:val="20"/>
                <w:color w:val="auto"/>
              </w:rPr>
              <w:t>Sales and Leasebacks  117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7.10.</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Changes in Fiscal Periods</w:t>
            </w:r>
          </w:p>
        </w:tc>
        <w:tc>
          <w:tcPr>
            <w:tcW w:w="80" w:type="dxa"/>
            <w:vAlign w:val="bottom"/>
          </w:tcPr>
          <w:p>
            <w:pPr>
              <w:spacing w:after="0"/>
              <w:rPr>
                <w:sz w:val="22"/>
                <w:szCs w:val="22"/>
                <w:color w:val="auto"/>
              </w:rPr>
            </w:pP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6"/>
              </w:rPr>
              <w:t>117</w:t>
            </w: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7.11.</w:t>
            </w:r>
          </w:p>
        </w:tc>
        <w:tc>
          <w:tcPr>
            <w:tcW w:w="23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Negative Pledge Clauses</w:t>
            </w:r>
          </w:p>
        </w:tc>
        <w:tc>
          <w:tcPr>
            <w:tcW w:w="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117</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7.12.</w:t>
            </w:r>
          </w:p>
        </w:tc>
        <w:tc>
          <w:tcPr>
            <w:tcW w:w="170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rPr>
              <w:t>Lines of Business</w:t>
            </w:r>
          </w:p>
        </w:tc>
        <w:tc>
          <w:tcPr>
            <w:tcW w:w="60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w w:val="99"/>
              </w:rPr>
              <w:t>119</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7.13.</w:t>
            </w:r>
          </w:p>
        </w:tc>
        <w:tc>
          <w:tcPr>
            <w:tcW w:w="6020" w:type="dxa"/>
            <w:vAlign w:val="bottom"/>
            <w:gridSpan w:val="11"/>
          </w:tcPr>
          <w:p>
            <w:pPr>
              <w:ind w:left="140"/>
              <w:spacing w:after="0"/>
              <w:rPr>
                <w:sz w:val="20"/>
                <w:szCs w:val="20"/>
                <w:color w:val="auto"/>
              </w:rPr>
            </w:pPr>
            <w:r>
              <w:rPr>
                <w:rFonts w:ascii="Times New Roman" w:cs="Times New Roman" w:eastAsia="Times New Roman" w:hAnsi="Times New Roman"/>
                <w:sz w:val="20"/>
                <w:szCs w:val="20"/>
                <w:color w:val="auto"/>
                <w:w w:val="99"/>
              </w:rPr>
              <w:t>Optional Payments and Modifications of Subordinated Indebtedness  119</w:t>
            </w: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7.14.</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Use of Proceeds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472"/>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010000"/>
              </w:rPr>
              <w:t>SECTION 8.</w:t>
            </w:r>
          </w:p>
        </w:tc>
        <w:tc>
          <w:tcPr>
            <w:tcW w:w="230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EVENTS OF DEFAULT</w:t>
            </w:r>
          </w:p>
        </w:tc>
        <w:tc>
          <w:tcPr>
            <w:tcW w:w="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120</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010000"/>
              </w:rPr>
              <w:t>SECTION 9.</w:t>
            </w: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THE AGENTS</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123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73"/>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Appointment</w:t>
            </w: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123</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9.2.</w:t>
            </w: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w w:val="98"/>
              </w:rPr>
              <w:t>Delegation of Duties</w:t>
            </w: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123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9.3.</w:t>
            </w: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Exculpatory Provisions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9.4.</w:t>
            </w:r>
          </w:p>
        </w:tc>
        <w:tc>
          <w:tcPr>
            <w:tcW w:w="276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w w:val="98"/>
              </w:rPr>
              <w:t>Reliance by Administrative Agent</w:t>
            </w:r>
          </w:p>
        </w:tc>
        <w:tc>
          <w:tcPr>
            <w:tcW w:w="140" w:type="dxa"/>
            <w:vAlign w:val="bottom"/>
          </w:tcPr>
          <w:p>
            <w:pPr>
              <w:spacing w:after="0"/>
              <w:rPr>
                <w:sz w:val="23"/>
                <w:szCs w:val="23"/>
                <w:color w:val="auto"/>
              </w:rPr>
            </w:pPr>
          </w:p>
        </w:tc>
        <w:tc>
          <w:tcPr>
            <w:tcW w:w="74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124</w:t>
            </w:r>
          </w:p>
        </w:tc>
        <w:tc>
          <w:tcPr>
            <w:tcW w:w="2380" w:type="dxa"/>
            <w:vAlign w:val="bottom"/>
          </w:tcPr>
          <w:p>
            <w:pPr>
              <w:spacing w:after="0"/>
              <w:rPr>
                <w:sz w:val="23"/>
                <w:szCs w:val="23"/>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9.5.</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Notice of Default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9.6.</w:t>
            </w:r>
          </w:p>
        </w:tc>
        <w:tc>
          <w:tcPr>
            <w:tcW w:w="3640" w:type="dxa"/>
            <w:vAlign w:val="bottom"/>
            <w:gridSpan w:val="10"/>
          </w:tcPr>
          <w:p>
            <w:pPr>
              <w:ind w:left="40"/>
              <w:spacing w:after="0"/>
              <w:rPr>
                <w:sz w:val="20"/>
                <w:szCs w:val="20"/>
                <w:color w:val="auto"/>
              </w:rPr>
            </w:pPr>
            <w:r>
              <w:rPr>
                <w:rFonts w:ascii="Times New Roman" w:cs="Times New Roman" w:eastAsia="Times New Roman" w:hAnsi="Times New Roman"/>
                <w:sz w:val="20"/>
                <w:szCs w:val="20"/>
                <w:color w:val="auto"/>
              </w:rPr>
              <w:t>Non-Reliance on Agents and Other Lenders</w:t>
            </w:r>
          </w:p>
        </w:tc>
        <w:tc>
          <w:tcPr>
            <w:tcW w:w="2380" w:type="dxa"/>
            <w:vAlign w:val="bottom"/>
          </w:tcPr>
          <w:p>
            <w:pPr>
              <w:jc w:val="right"/>
              <w:ind w:right="1921"/>
              <w:spacing w:after="0"/>
              <w:rPr>
                <w:sz w:val="20"/>
                <w:szCs w:val="20"/>
                <w:color w:val="auto"/>
              </w:rPr>
            </w:pPr>
            <w:r>
              <w:rPr>
                <w:rFonts w:ascii="Times New Roman" w:cs="Times New Roman" w:eastAsia="Times New Roman" w:hAnsi="Times New Roman"/>
                <w:sz w:val="20"/>
                <w:szCs w:val="20"/>
                <w:color w:val="auto"/>
              </w:rPr>
              <w:t>124</w:t>
            </w: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9.7.</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Indemnification</w:t>
            </w: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99"/>
              </w:rPr>
              <w:t>125</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9.8.</w:t>
            </w:r>
          </w:p>
        </w:tc>
        <w:tc>
          <w:tcPr>
            <w:tcW w:w="276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Agent in Its Individual Capacity</w:t>
            </w:r>
          </w:p>
        </w:tc>
        <w:tc>
          <w:tcPr>
            <w:tcW w:w="880" w:type="dxa"/>
            <w:vAlign w:val="bottom"/>
            <w:gridSpan w:val="2"/>
          </w:tcPr>
          <w:p>
            <w:pPr>
              <w:jc w:val="right"/>
              <w:ind w:right="461"/>
              <w:spacing w:after="0"/>
              <w:rPr>
                <w:sz w:val="20"/>
                <w:szCs w:val="20"/>
                <w:color w:val="auto"/>
              </w:rPr>
            </w:pPr>
            <w:r>
              <w:rPr>
                <w:rFonts w:ascii="Times New Roman" w:cs="Times New Roman" w:eastAsia="Times New Roman" w:hAnsi="Times New Roman"/>
                <w:sz w:val="20"/>
                <w:szCs w:val="20"/>
                <w:color w:val="auto"/>
                <w:w w:val="99"/>
              </w:rPr>
              <w:t>125</w:t>
            </w: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9.9.</w:t>
            </w:r>
          </w:p>
        </w:tc>
        <w:tc>
          <w:tcPr>
            <w:tcW w:w="2760" w:type="dxa"/>
            <w:vAlign w:val="bottom"/>
            <w:gridSpan w:val="8"/>
          </w:tcPr>
          <w:p>
            <w:pPr>
              <w:ind w:left="40"/>
              <w:spacing w:after="0"/>
              <w:rPr>
                <w:sz w:val="20"/>
                <w:szCs w:val="20"/>
                <w:color w:val="auto"/>
              </w:rPr>
            </w:pPr>
            <w:r>
              <w:rPr>
                <w:rFonts w:ascii="Times New Roman" w:cs="Times New Roman" w:eastAsia="Times New Roman" w:hAnsi="Times New Roman"/>
                <w:sz w:val="20"/>
                <w:szCs w:val="20"/>
                <w:color w:val="auto"/>
              </w:rPr>
              <w:t>Successor Administrative Agent</w:t>
            </w:r>
          </w:p>
        </w:tc>
        <w:tc>
          <w:tcPr>
            <w:tcW w:w="880" w:type="dxa"/>
            <w:vAlign w:val="bottom"/>
            <w:gridSpan w:val="2"/>
          </w:tcPr>
          <w:p>
            <w:pPr>
              <w:jc w:val="right"/>
              <w:ind w:right="461"/>
              <w:spacing w:after="0"/>
              <w:rPr>
                <w:sz w:val="20"/>
                <w:szCs w:val="20"/>
                <w:color w:val="auto"/>
              </w:rPr>
            </w:pPr>
            <w:r>
              <w:rPr>
                <w:rFonts w:ascii="Times New Roman" w:cs="Times New Roman" w:eastAsia="Times New Roman" w:hAnsi="Times New Roman"/>
                <w:sz w:val="20"/>
                <w:szCs w:val="20"/>
                <w:color w:val="auto"/>
                <w:w w:val="99"/>
              </w:rPr>
              <w:t>125</w:t>
            </w:r>
          </w:p>
        </w:tc>
        <w:tc>
          <w:tcPr>
            <w:tcW w:w="2380" w:type="dxa"/>
            <w:vAlign w:val="bottom"/>
          </w:tcPr>
          <w:p>
            <w:pPr>
              <w:spacing w:after="0"/>
              <w:rPr>
                <w:sz w:val="23"/>
                <w:szCs w:val="23"/>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9.10.</w:t>
            </w: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w w:val="97"/>
              </w:rPr>
              <w:t>Certain ERISA Matters</w:t>
            </w:r>
          </w:p>
        </w:tc>
        <w:tc>
          <w:tcPr>
            <w:tcW w:w="760" w:type="dxa"/>
            <w:vAlign w:val="bottom"/>
            <w:gridSpan w:val="3"/>
          </w:tcPr>
          <w:p>
            <w:pPr>
              <w:jc w:val="right"/>
              <w:ind w:right="181"/>
              <w:spacing w:after="0"/>
              <w:rPr>
                <w:sz w:val="20"/>
                <w:szCs w:val="20"/>
                <w:color w:val="auto"/>
              </w:rPr>
            </w:pPr>
            <w:r>
              <w:rPr>
                <w:rFonts w:ascii="Times New Roman" w:cs="Times New Roman" w:eastAsia="Times New Roman" w:hAnsi="Times New Roman"/>
                <w:sz w:val="20"/>
                <w:szCs w:val="20"/>
                <w:color w:val="auto"/>
              </w:rPr>
              <w:t>126</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9.11.</w:t>
            </w:r>
          </w:p>
        </w:tc>
        <w:tc>
          <w:tcPr>
            <w:tcW w:w="8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Agents</w:t>
            </w: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6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9.12.</w:t>
            </w: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Credit Bidding</w:t>
            </w:r>
          </w:p>
        </w:tc>
        <w:tc>
          <w:tcPr>
            <w:tcW w:w="52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w w:val="99"/>
              </w:rPr>
              <w:t>127</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9.13.</w:t>
            </w:r>
          </w:p>
        </w:tc>
        <w:tc>
          <w:tcPr>
            <w:tcW w:w="2000" w:type="dxa"/>
            <w:vAlign w:val="bottom"/>
            <w:gridSpan w:val="5"/>
          </w:tcPr>
          <w:p>
            <w:pPr>
              <w:ind w:left="140"/>
              <w:spacing w:after="0"/>
              <w:rPr>
                <w:sz w:val="20"/>
                <w:szCs w:val="20"/>
                <w:color w:val="auto"/>
              </w:rPr>
            </w:pPr>
            <w:r>
              <w:rPr>
                <w:rFonts w:ascii="Times New Roman" w:cs="Times New Roman" w:eastAsia="Times New Roman" w:hAnsi="Times New Roman"/>
                <w:sz w:val="20"/>
                <w:szCs w:val="20"/>
                <w:color w:val="auto"/>
              </w:rPr>
              <w:t>Erroneous Payments.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3"/>
              </w:rPr>
              <w:t>128</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9.14.</w:t>
            </w:r>
          </w:p>
        </w:tc>
        <w:tc>
          <w:tcPr>
            <w:tcW w:w="2380" w:type="dxa"/>
            <w:vAlign w:val="bottom"/>
            <w:gridSpan w:val="7"/>
          </w:tcPr>
          <w:p>
            <w:pPr>
              <w:ind w:left="140"/>
              <w:spacing w:after="0"/>
              <w:rPr>
                <w:sz w:val="20"/>
                <w:szCs w:val="20"/>
                <w:color w:val="auto"/>
              </w:rPr>
            </w:pPr>
            <w:r>
              <w:rPr>
                <w:rFonts w:ascii="Times New Roman" w:cs="Times New Roman" w:eastAsia="Times New Roman" w:hAnsi="Times New Roman"/>
                <w:sz w:val="20"/>
                <w:szCs w:val="20"/>
                <w:color w:val="auto"/>
                <w:w w:val="99"/>
              </w:rPr>
              <w:t>Posting of Communications</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129</w:t>
            </w: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9.15.</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w w:val="97"/>
              </w:rPr>
              <w:t>Borrower Communications</w:t>
            </w:r>
          </w:p>
        </w:tc>
        <w:tc>
          <w:tcPr>
            <w:tcW w:w="80" w:type="dxa"/>
            <w:vAlign w:val="bottom"/>
          </w:tcPr>
          <w:p>
            <w:pPr>
              <w:spacing w:after="0"/>
              <w:rPr>
                <w:sz w:val="23"/>
                <w:szCs w:val="23"/>
                <w:color w:val="auto"/>
              </w:rPr>
            </w:pPr>
          </w:p>
        </w:tc>
        <w:tc>
          <w:tcPr>
            <w:tcW w:w="52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130</w:t>
            </w:r>
          </w:p>
        </w:tc>
        <w:tc>
          <w:tcPr>
            <w:tcW w:w="740" w:type="dxa"/>
            <w:vAlign w:val="bottom"/>
          </w:tcPr>
          <w:p>
            <w:pPr>
              <w:spacing w:after="0"/>
              <w:rPr>
                <w:sz w:val="23"/>
                <w:szCs w:val="23"/>
                <w:color w:val="auto"/>
              </w:rPr>
            </w:pPr>
          </w:p>
        </w:tc>
        <w:tc>
          <w:tcPr>
            <w:tcW w:w="2380" w:type="dxa"/>
            <w:vAlign w:val="bottom"/>
          </w:tcPr>
          <w:p>
            <w:pPr>
              <w:spacing w:after="0"/>
              <w:rPr>
                <w:sz w:val="23"/>
                <w:szCs w:val="23"/>
                <w:color w:val="auto"/>
              </w:rPr>
            </w:pPr>
          </w:p>
        </w:tc>
      </w:tr>
      <w:tr>
        <w:trPr>
          <w:trHeight w:val="472"/>
        </w:trPr>
        <w:tc>
          <w:tcPr>
            <w:tcW w:w="1160" w:type="dxa"/>
            <w:vAlign w:val="bottom"/>
          </w:tcPr>
          <w:p>
            <w:pPr>
              <w:spacing w:after="0"/>
              <w:rPr>
                <w:sz w:val="20"/>
                <w:szCs w:val="20"/>
                <w:color w:val="auto"/>
              </w:rPr>
            </w:pPr>
            <w:r>
              <w:rPr>
                <w:rFonts w:ascii="Times New Roman" w:cs="Times New Roman" w:eastAsia="Times New Roman" w:hAnsi="Times New Roman"/>
                <w:sz w:val="20"/>
                <w:szCs w:val="20"/>
                <w:color w:val="010000"/>
                <w:w w:val="99"/>
              </w:rPr>
              <w:t>SECTION 10.</w:t>
            </w:r>
          </w:p>
        </w:tc>
        <w:tc>
          <w:tcPr>
            <w:tcW w:w="2000" w:type="dxa"/>
            <w:vAlign w:val="bottom"/>
            <w:gridSpan w:val="5"/>
          </w:tcPr>
          <w:p>
            <w:pPr>
              <w:jc w:val="center"/>
              <w:spacing w:after="0"/>
              <w:rPr>
                <w:sz w:val="20"/>
                <w:szCs w:val="20"/>
                <w:color w:val="auto"/>
              </w:rPr>
            </w:pPr>
            <w:r>
              <w:rPr>
                <w:rFonts w:ascii="Times New Roman" w:cs="Times New Roman" w:eastAsia="Times New Roman" w:hAnsi="Times New Roman"/>
                <w:sz w:val="20"/>
                <w:szCs w:val="20"/>
                <w:color w:val="auto"/>
                <w:w w:val="98"/>
              </w:rPr>
              <w:t>MISCELLANEOUS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484"/>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10.1.</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20"/>
                <w:szCs w:val="20"/>
                <w:color w:val="auto"/>
              </w:rPr>
              <w:t>Amendments and Waivers</w:t>
            </w:r>
          </w:p>
        </w:tc>
        <w:tc>
          <w:tcPr>
            <w:tcW w:w="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131</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58"/>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10.2.</w:t>
            </w:r>
          </w:p>
        </w:tc>
        <w:tc>
          <w:tcPr>
            <w:tcW w:w="8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Notices</w:t>
            </w:r>
          </w:p>
        </w:tc>
        <w:tc>
          <w:tcPr>
            <w:tcW w:w="68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133</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380" w:type="dxa"/>
            <w:vAlign w:val="bottom"/>
          </w:tcPr>
          <w:p>
            <w:pPr>
              <w:spacing w:after="0"/>
              <w:rPr>
                <w:sz w:val="22"/>
                <w:szCs w:val="22"/>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10.3.</w:t>
            </w:r>
          </w:p>
        </w:tc>
        <w:tc>
          <w:tcPr>
            <w:tcW w:w="2900" w:type="dxa"/>
            <w:vAlign w:val="bottom"/>
            <w:gridSpan w:val="9"/>
          </w:tcPr>
          <w:p>
            <w:pPr>
              <w:ind w:left="140"/>
              <w:spacing w:after="0"/>
              <w:rPr>
                <w:sz w:val="20"/>
                <w:szCs w:val="20"/>
                <w:color w:val="auto"/>
              </w:rPr>
            </w:pPr>
            <w:r>
              <w:rPr>
                <w:rFonts w:ascii="Times New Roman" w:cs="Times New Roman" w:eastAsia="Times New Roman" w:hAnsi="Times New Roman"/>
                <w:sz w:val="20"/>
                <w:szCs w:val="20"/>
                <w:color w:val="auto"/>
                <w:w w:val="99"/>
              </w:rPr>
              <w:t>No Waiver; Cumulative Remedies</w:t>
            </w:r>
          </w:p>
        </w:tc>
        <w:tc>
          <w:tcPr>
            <w:tcW w:w="7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135</w:t>
            </w:r>
          </w:p>
        </w:tc>
        <w:tc>
          <w:tcPr>
            <w:tcW w:w="2380" w:type="dxa"/>
            <w:vAlign w:val="bottom"/>
          </w:tcPr>
          <w:p>
            <w:pPr>
              <w:spacing w:after="0"/>
              <w:rPr>
                <w:sz w:val="23"/>
                <w:szCs w:val="23"/>
                <w:color w:val="auto"/>
              </w:rPr>
            </w:pPr>
          </w:p>
        </w:tc>
      </w:tr>
      <w:tr>
        <w:trPr>
          <w:trHeight w:val="270"/>
        </w:trPr>
        <w:tc>
          <w:tcPr>
            <w:tcW w:w="11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10.4.</w:t>
            </w:r>
          </w:p>
        </w:tc>
        <w:tc>
          <w:tcPr>
            <w:tcW w:w="3640" w:type="dxa"/>
            <w:vAlign w:val="bottom"/>
            <w:gridSpan w:val="10"/>
          </w:tcPr>
          <w:p>
            <w:pPr>
              <w:ind w:left="140"/>
              <w:spacing w:after="0"/>
              <w:rPr>
                <w:sz w:val="20"/>
                <w:szCs w:val="20"/>
                <w:color w:val="auto"/>
              </w:rPr>
            </w:pPr>
            <w:r>
              <w:rPr>
                <w:rFonts w:ascii="Times New Roman" w:cs="Times New Roman" w:eastAsia="Times New Roman" w:hAnsi="Times New Roman"/>
                <w:sz w:val="20"/>
                <w:szCs w:val="20"/>
                <w:color w:val="auto"/>
                <w:w w:val="99"/>
              </w:rPr>
              <w:t>Survival of Representations and Warranties</w:t>
            </w:r>
          </w:p>
        </w:tc>
        <w:tc>
          <w:tcPr>
            <w:tcW w:w="2380" w:type="dxa"/>
            <w:vAlign w:val="bottom"/>
          </w:tcPr>
          <w:p>
            <w:pPr>
              <w:jc w:val="right"/>
              <w:ind w:right="1861"/>
              <w:spacing w:after="0"/>
              <w:rPr>
                <w:sz w:val="20"/>
                <w:szCs w:val="20"/>
                <w:color w:val="auto"/>
              </w:rPr>
            </w:pPr>
            <w:r>
              <w:rPr>
                <w:rFonts w:ascii="Times New Roman" w:cs="Times New Roman" w:eastAsia="Times New Roman" w:hAnsi="Times New Roman"/>
                <w:sz w:val="20"/>
                <w:szCs w:val="20"/>
                <w:color w:val="auto"/>
              </w:rPr>
              <w:t>135</w:t>
            </w: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9"/>
          <w:szCs w:val="19"/>
          <w:color w:val="auto"/>
        </w:rPr>
        <w:t>iii</w:t>
      </w:r>
    </w:p>
    <w:p>
      <w:pPr>
        <w:sectPr>
          <w:pgSz w:w="11900" w:h="16838" w:orient="portrait"/>
          <w:cols w:equalWidth="0" w:num="1">
            <w:col w:w="10139"/>
          </w:cols>
          <w:pgMar w:left="320" w:top="1440" w:right="1440"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10.5.</w:t>
            </w:r>
          </w:p>
        </w:tc>
        <w:tc>
          <w:tcPr>
            <w:tcW w:w="416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Expenses; Limitation of Liability; Indemnity, Etc.</w:t>
            </w:r>
          </w:p>
        </w:tc>
        <w:tc>
          <w:tcPr>
            <w:tcW w:w="5600" w:type="dxa"/>
            <w:vAlign w:val="bottom"/>
          </w:tcPr>
          <w:p>
            <w:pPr>
              <w:jc w:val="right"/>
              <w:ind w:right="5201"/>
              <w:spacing w:after="0"/>
              <w:rPr>
                <w:sz w:val="20"/>
                <w:szCs w:val="20"/>
                <w:color w:val="auto"/>
              </w:rPr>
            </w:pPr>
            <w:r>
              <w:rPr>
                <w:rFonts w:ascii="Times New Roman" w:cs="Times New Roman" w:eastAsia="Times New Roman" w:hAnsi="Times New Roman"/>
                <w:sz w:val="20"/>
                <w:szCs w:val="20"/>
                <w:color w:val="auto"/>
                <w:w w:val="93"/>
              </w:rPr>
              <w:t>135</w:t>
            </w:r>
          </w:p>
        </w:tc>
      </w:tr>
      <w:tr>
        <w:trPr>
          <w:trHeight w:val="268"/>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10.6.</w:t>
            </w:r>
          </w:p>
        </w:tc>
        <w:tc>
          <w:tcPr>
            <w:tcW w:w="9760" w:type="dxa"/>
            <w:vAlign w:val="bottom"/>
            <w:gridSpan w:val="7"/>
          </w:tcPr>
          <w:p>
            <w:pPr>
              <w:ind w:left="20"/>
              <w:spacing w:after="0"/>
              <w:rPr>
                <w:sz w:val="20"/>
                <w:szCs w:val="20"/>
                <w:color w:val="auto"/>
              </w:rPr>
            </w:pPr>
            <w:r>
              <w:rPr>
                <w:rFonts w:ascii="Times New Roman" w:cs="Times New Roman" w:eastAsia="Times New Roman" w:hAnsi="Times New Roman"/>
                <w:sz w:val="20"/>
                <w:szCs w:val="20"/>
                <w:color w:val="auto"/>
              </w:rPr>
              <w:t>Successors and Assigns; Participations and Assignments  137</w:t>
            </w:r>
          </w:p>
        </w:tc>
      </w:t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10.7.</w:t>
            </w: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Adjustments; Set-off</w:t>
            </w:r>
          </w:p>
        </w:tc>
        <w:tc>
          <w:tcPr>
            <w:tcW w:w="1120" w:type="dxa"/>
            <w:vAlign w:val="bottom"/>
            <w:gridSpan w:val="2"/>
          </w:tcPr>
          <w:p>
            <w:pPr>
              <w:jc w:val="right"/>
              <w:ind w:right="701"/>
              <w:spacing w:after="0"/>
              <w:rPr>
                <w:sz w:val="20"/>
                <w:szCs w:val="20"/>
                <w:color w:val="auto"/>
              </w:rPr>
            </w:pPr>
            <w:r>
              <w:rPr>
                <w:rFonts w:ascii="Times New Roman" w:cs="Times New Roman" w:eastAsia="Times New Roman" w:hAnsi="Times New Roman"/>
                <w:sz w:val="20"/>
                <w:szCs w:val="20"/>
                <w:color w:val="auto"/>
                <w:w w:val="99"/>
              </w:rPr>
              <w:t>141</w:t>
            </w:r>
          </w:p>
        </w:tc>
        <w:tc>
          <w:tcPr>
            <w:tcW w:w="120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268"/>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10.8.</w:t>
            </w: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Counterparts</w:t>
            </w:r>
          </w:p>
        </w:tc>
        <w:tc>
          <w:tcPr>
            <w:tcW w:w="68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142</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10.9.</w:t>
            </w:r>
          </w:p>
        </w:tc>
        <w:tc>
          <w:tcPr>
            <w:tcW w:w="1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Severability</w:t>
            </w:r>
          </w:p>
        </w:tc>
        <w:tc>
          <w:tcPr>
            <w:tcW w:w="68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w w:val="93"/>
              </w:rPr>
              <w:t>143</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10.10.</w:t>
            </w:r>
          </w:p>
        </w:tc>
        <w:tc>
          <w:tcPr>
            <w:tcW w:w="1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Integration</w:t>
            </w:r>
          </w:p>
        </w:tc>
        <w:tc>
          <w:tcPr>
            <w:tcW w:w="680" w:type="dxa"/>
            <w:vAlign w:val="bottom"/>
            <w:gridSpan w:val="2"/>
          </w:tcPr>
          <w:p>
            <w:pPr>
              <w:jc w:val="right"/>
              <w:ind w:right="261"/>
              <w:spacing w:after="0"/>
              <w:rPr>
                <w:sz w:val="20"/>
                <w:szCs w:val="20"/>
                <w:color w:val="auto"/>
              </w:rPr>
            </w:pPr>
            <w:r>
              <w:rPr>
                <w:rFonts w:ascii="Times New Roman" w:cs="Times New Roman" w:eastAsia="Times New Roman" w:hAnsi="Times New Roman"/>
                <w:sz w:val="20"/>
                <w:szCs w:val="20"/>
                <w:color w:val="auto"/>
                <w:w w:val="99"/>
              </w:rPr>
              <w:t>143</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68"/>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10.11.</w:t>
            </w:r>
          </w:p>
        </w:tc>
        <w:tc>
          <w:tcPr>
            <w:tcW w:w="184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1120" w:type="dxa"/>
            <w:vAlign w:val="bottom"/>
            <w:gridSpan w:val="2"/>
          </w:tcPr>
          <w:p>
            <w:pPr>
              <w:jc w:val="right"/>
              <w:ind w:right="601"/>
              <w:spacing w:after="0"/>
              <w:rPr>
                <w:sz w:val="20"/>
                <w:szCs w:val="20"/>
                <w:color w:val="auto"/>
              </w:rPr>
            </w:pPr>
            <w:r>
              <w:rPr>
                <w:rFonts w:ascii="Times New Roman" w:cs="Times New Roman" w:eastAsia="Times New Roman" w:hAnsi="Times New Roman"/>
                <w:sz w:val="20"/>
                <w:szCs w:val="20"/>
                <w:color w:val="auto"/>
              </w:rPr>
              <w:t>143</w:t>
            </w:r>
          </w:p>
        </w:tc>
        <w:tc>
          <w:tcPr>
            <w:tcW w:w="1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10.12.</w:t>
            </w:r>
          </w:p>
        </w:tc>
        <w:tc>
          <w:tcPr>
            <w:tcW w:w="416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Submission To Jurisdiction; Waivers  143</w:t>
            </w:r>
          </w:p>
        </w:tc>
        <w:tc>
          <w:tcPr>
            <w:tcW w:w="5600" w:type="dxa"/>
            <w:vAlign w:val="bottom"/>
          </w:tcPr>
          <w:p>
            <w:pPr>
              <w:spacing w:after="0"/>
              <w:rPr>
                <w:sz w:val="22"/>
                <w:szCs w:val="22"/>
                <w:color w:val="auto"/>
              </w:rPr>
            </w:pPr>
          </w:p>
        </w:tc>
      </w:tr>
      <w:tr>
        <w:trPr>
          <w:trHeight w:val="268"/>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10.13.</w:t>
            </w: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Releases of Guarantees and Liens</w:t>
            </w:r>
          </w:p>
        </w:tc>
        <w:tc>
          <w:tcPr>
            <w:tcW w:w="1200" w:type="dxa"/>
            <w:vAlign w:val="bottom"/>
          </w:tcPr>
          <w:p>
            <w:pPr>
              <w:jc w:val="right"/>
              <w:ind w:right="781"/>
              <w:spacing w:after="0"/>
              <w:rPr>
                <w:sz w:val="20"/>
                <w:szCs w:val="20"/>
                <w:color w:val="auto"/>
              </w:rPr>
            </w:pPr>
            <w:r>
              <w:rPr>
                <w:rFonts w:ascii="Times New Roman" w:cs="Times New Roman" w:eastAsia="Times New Roman" w:hAnsi="Times New Roman"/>
                <w:sz w:val="20"/>
                <w:szCs w:val="20"/>
                <w:color w:val="auto"/>
                <w:w w:val="99"/>
              </w:rPr>
              <w:t>144</w:t>
            </w:r>
          </w:p>
        </w:tc>
        <w:tc>
          <w:tcPr>
            <w:tcW w:w="5600" w:type="dxa"/>
            <w:vAlign w:val="bottom"/>
          </w:tcPr>
          <w:p>
            <w:pPr>
              <w:spacing w:after="0"/>
              <w:rPr>
                <w:sz w:val="23"/>
                <w:szCs w:val="23"/>
                <w:color w:val="auto"/>
              </w:rPr>
            </w:pPr>
          </w:p>
        </w:tc>
      </w:t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10.14.</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Confidentiality</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10.15.</w:t>
            </w: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WAIVERS OF JURY TRIAL  146</w:t>
            </w:r>
          </w:p>
        </w:tc>
        <w:tc>
          <w:tcPr>
            <w:tcW w:w="1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68"/>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10.16.</w:t>
            </w:r>
          </w:p>
        </w:tc>
        <w:tc>
          <w:tcPr>
            <w:tcW w:w="29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Patriot Act; Beneficial Ownership</w:t>
            </w:r>
          </w:p>
        </w:tc>
        <w:tc>
          <w:tcPr>
            <w:tcW w:w="120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146</w:t>
            </w:r>
          </w:p>
        </w:tc>
        <w:tc>
          <w:tcPr>
            <w:tcW w:w="5600" w:type="dxa"/>
            <w:vAlign w:val="bottom"/>
          </w:tcPr>
          <w:p>
            <w:pPr>
              <w:spacing w:after="0"/>
              <w:rPr>
                <w:sz w:val="23"/>
                <w:szCs w:val="23"/>
                <w:color w:val="auto"/>
              </w:rPr>
            </w:pPr>
          </w:p>
        </w:tc>
      </w:t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10.17.</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No Fiduciary Duty, Etc</w:t>
            </w:r>
          </w:p>
        </w:tc>
        <w:tc>
          <w:tcPr>
            <w:tcW w:w="8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w w:val="93"/>
              </w:rPr>
              <w:t>147</w:t>
            </w:r>
          </w:p>
        </w:tc>
        <w:tc>
          <w:tcPr>
            <w:tcW w:w="120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268"/>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10.18.</w:t>
            </w:r>
          </w:p>
        </w:tc>
        <w:tc>
          <w:tcPr>
            <w:tcW w:w="1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Usury  147</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10.19.</w:t>
            </w:r>
          </w:p>
        </w:tc>
        <w:tc>
          <w:tcPr>
            <w:tcW w:w="976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Acknowledgement and Consent to Bail-In of Affected Financial Institutions  147</w:t>
            </w: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10.20.</w:t>
            </w:r>
          </w:p>
        </w:tc>
        <w:tc>
          <w:tcPr>
            <w:tcW w:w="21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7"/>
              </w:rPr>
              <w:t>Conversion of Currencies</w:t>
            </w:r>
          </w:p>
        </w:tc>
        <w:tc>
          <w:tcPr>
            <w:tcW w:w="82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148</w:t>
            </w:r>
          </w:p>
        </w:tc>
        <w:tc>
          <w:tcPr>
            <w:tcW w:w="1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68"/>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10.21.</w:t>
            </w:r>
          </w:p>
        </w:tc>
        <w:tc>
          <w:tcPr>
            <w:tcW w:w="18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Several Obligations</w:t>
            </w:r>
          </w:p>
        </w:tc>
        <w:tc>
          <w:tcPr>
            <w:tcW w:w="1120" w:type="dxa"/>
            <w:vAlign w:val="bottom"/>
            <w:gridSpan w:val="2"/>
          </w:tcPr>
          <w:p>
            <w:pPr>
              <w:jc w:val="right"/>
              <w:ind w:right="681"/>
              <w:spacing w:after="0"/>
              <w:rPr>
                <w:sz w:val="20"/>
                <w:szCs w:val="20"/>
                <w:color w:val="auto"/>
              </w:rPr>
            </w:pPr>
            <w:r>
              <w:rPr>
                <w:rFonts w:ascii="Times New Roman" w:cs="Times New Roman" w:eastAsia="Times New Roman" w:hAnsi="Times New Roman"/>
                <w:sz w:val="20"/>
                <w:szCs w:val="20"/>
                <w:color w:val="auto"/>
              </w:rPr>
              <w:t>148</w:t>
            </w:r>
          </w:p>
        </w:tc>
        <w:tc>
          <w:tcPr>
            <w:tcW w:w="1200" w:type="dxa"/>
            <w:vAlign w:val="bottom"/>
          </w:tcPr>
          <w:p>
            <w:pPr>
              <w:spacing w:after="0"/>
              <w:rPr>
                <w:sz w:val="23"/>
                <w:szCs w:val="23"/>
                <w:color w:val="auto"/>
              </w:rPr>
            </w:pPr>
          </w:p>
        </w:tc>
        <w:tc>
          <w:tcPr>
            <w:tcW w:w="5600" w:type="dxa"/>
            <w:vAlign w:val="bottom"/>
          </w:tcPr>
          <w:p>
            <w:pPr>
              <w:spacing w:after="0"/>
              <w:rPr>
                <w:sz w:val="23"/>
                <w:szCs w:val="23"/>
                <w:color w:val="auto"/>
              </w:rPr>
            </w:pPr>
          </w:p>
        </w:tc>
      </w:tr>
      <w:tr>
        <w:trPr>
          <w:trHeight w:val="258"/>
        </w:trPr>
        <w:tc>
          <w:tcPr>
            <w:tcW w:w="5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10.22.</w:t>
            </w: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MIRE Events</w:t>
            </w:r>
          </w:p>
        </w:tc>
        <w:tc>
          <w:tcPr>
            <w:tcW w:w="4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3"/>
              </w:rPr>
              <w:t>148</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270"/>
        </w:trPr>
        <w:tc>
          <w:tcPr>
            <w:tcW w:w="50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10.23.</w:t>
            </w:r>
          </w:p>
        </w:tc>
        <w:tc>
          <w:tcPr>
            <w:tcW w:w="416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8"/>
              </w:rPr>
              <w:t>Acknowledgment Regarding Any Supported QFCs</w:t>
            </w:r>
          </w:p>
        </w:tc>
        <w:tc>
          <w:tcPr>
            <w:tcW w:w="5600" w:type="dxa"/>
            <w:vAlign w:val="bottom"/>
          </w:tcPr>
          <w:p>
            <w:pPr>
              <w:jc w:val="right"/>
              <w:ind w:right="5001"/>
              <w:spacing w:after="0"/>
              <w:rPr>
                <w:sz w:val="20"/>
                <w:szCs w:val="20"/>
                <w:color w:val="auto"/>
              </w:rPr>
            </w:pPr>
            <w:r>
              <w:rPr>
                <w:rFonts w:ascii="Times New Roman" w:cs="Times New Roman" w:eastAsia="Times New Roman" w:hAnsi="Times New Roman"/>
                <w:sz w:val="20"/>
                <w:szCs w:val="20"/>
                <w:color w:val="auto"/>
              </w:rPr>
              <w:t>148</w:t>
            </w:r>
          </w:p>
        </w:tc>
      </w:tr>
      <w:tr>
        <w:trPr>
          <w:trHeight w:val="473"/>
        </w:trPr>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w w:val="98"/>
              </w:rPr>
              <w:t>SCHEDULES: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457"/>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1.1A</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Commitments</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1.1B</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Mortgaged Property</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1.1C</w:t>
            </w: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Loan Parties</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2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1.1D</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Excluded Subsidiary</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43"/>
        </w:trPr>
        <w:tc>
          <w:tcPr>
            <w:tcW w:w="26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1.1E  Existing Letters of Credit</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30"/>
        </w:trPr>
        <w:tc>
          <w:tcPr>
            <w:tcW w:w="42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4.4  Consents, Authorizations, Filings and Notices</w:t>
            </w:r>
          </w:p>
        </w:tc>
        <w:tc>
          <w:tcPr>
            <w:tcW w:w="1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4.15</w:t>
            </w:r>
          </w:p>
        </w:tc>
        <w:tc>
          <w:tcPr>
            <w:tcW w:w="19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Subsidiaries</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43"/>
        </w:trPr>
        <w:tc>
          <w:tcPr>
            <w:tcW w:w="42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4.19(a)  Financing Statements/Filing Offices</w:t>
            </w: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29"/>
        </w:trPr>
        <w:tc>
          <w:tcPr>
            <w:tcW w:w="26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6.12  Post-Closing Obligations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7.2(c)</w:t>
            </w: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w w:val="98"/>
              </w:rPr>
              <w:t>Existing Indebtedness</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7.3(f)</w:t>
            </w:r>
          </w:p>
        </w:tc>
        <w:tc>
          <w:tcPr>
            <w:tcW w:w="194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Existing Liens</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43"/>
        </w:trPr>
        <w:tc>
          <w:tcPr>
            <w:tcW w:w="24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7.5  Dispositions</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w w:val="99"/>
              </w:rPr>
              <w:t>7.7(h)</w:t>
            </w: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Existing Investments</w:t>
            </w: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29"/>
        </w:trPr>
        <w:tc>
          <w:tcPr>
            <w:tcW w:w="26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7.8  Transactions with Affiliates</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7.11</w:t>
            </w: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Negative Pledge</w:t>
            </w: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00" w:type="dxa"/>
            <w:vAlign w:val="bottom"/>
          </w:tcPr>
          <w:p>
            <w:pPr>
              <w:spacing w:after="0"/>
              <w:rPr>
                <w:sz w:val="22"/>
                <w:szCs w:val="22"/>
                <w:color w:val="auto"/>
              </w:rPr>
            </w:pPr>
          </w:p>
        </w:tc>
      </w:tr>
      <w:tr>
        <w:trPr>
          <w:trHeight w:val="457"/>
        </w:trPr>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43"/>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A-1  Form of Guarantee Agreement</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43"/>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A-2  Form of Collateral Agreement</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29"/>
        </w:trPr>
        <w:tc>
          <w:tcPr>
            <w:tcW w:w="312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B  Form of Compliance Certificate</w:t>
            </w: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0" w:type="dxa"/>
            <w:vAlign w:val="bottom"/>
          </w:tcPr>
          <w:p>
            <w:pPr>
              <w:spacing w:after="0"/>
              <w:rPr>
                <w:sz w:val="19"/>
                <w:szCs w:val="19"/>
                <w:color w:val="auto"/>
              </w:rPr>
            </w:pPr>
          </w:p>
        </w:tc>
      </w:tr>
      <w:tr>
        <w:trPr>
          <w:trHeight w:val="243"/>
        </w:trPr>
        <w:tc>
          <w:tcPr>
            <w:tcW w:w="34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C  Form of Assignment and Assumption</w:t>
            </w: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00" w:type="dxa"/>
            <w:vAlign w:val="bottom"/>
          </w:tcPr>
          <w:p>
            <w:pPr>
              <w:spacing w:after="0"/>
              <w:rPr>
                <w:sz w:val="21"/>
                <w:szCs w:val="21"/>
                <w:color w:val="auto"/>
              </w:rPr>
            </w:pP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D-1</w:t>
            </w:r>
          </w:p>
        </w:tc>
        <w:tc>
          <w:tcPr>
            <w:tcW w:w="1054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w w:val="99"/>
              </w:rPr>
              <w:t>Form of U.S. Tax Compliance Certificate (For Foreign Lenders That Are Not Partnerships   For U.S. Federal Income Tax Purposes)</w:t>
            </w:r>
          </w:p>
        </w:tc>
      </w:tr>
      <w:tr>
        <w:trPr>
          <w:trHeight w:val="258"/>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D-2</w:t>
            </w:r>
          </w:p>
        </w:tc>
        <w:tc>
          <w:tcPr>
            <w:tcW w:w="10540" w:type="dxa"/>
            <w:vAlign w:val="bottom"/>
            <w:gridSpan w:val="8"/>
          </w:tcPr>
          <w:p>
            <w:pPr>
              <w:ind w:left="20"/>
              <w:spacing w:after="0"/>
              <w:rPr>
                <w:sz w:val="20"/>
                <w:szCs w:val="20"/>
                <w:color w:val="auto"/>
              </w:rPr>
            </w:pPr>
            <w:r>
              <w:rPr>
                <w:rFonts w:ascii="Times New Roman" w:cs="Times New Roman" w:eastAsia="Times New Roman" w:hAnsi="Times New Roman"/>
                <w:sz w:val="20"/>
                <w:szCs w:val="20"/>
                <w:color w:val="auto"/>
              </w:rPr>
              <w:t>Form of U.S. Tax Compliance Certificate (For Foreign Participants That Are Not   Partnerships For U.S. Federal Income Tax</w:t>
            </w:r>
          </w:p>
        </w:tc>
      </w:tr>
    </w:tbl>
    <w:p>
      <w:pPr>
        <w:spacing w:after="0"/>
        <w:rPr>
          <w:sz w:val="20"/>
          <w:szCs w:val="20"/>
          <w:color w:val="auto"/>
        </w:rPr>
      </w:pPr>
      <w:r>
        <w:rPr>
          <w:rFonts w:ascii="Times New Roman" w:cs="Times New Roman" w:eastAsia="Times New Roman" w:hAnsi="Times New Roman"/>
          <w:sz w:val="20"/>
          <w:szCs w:val="20"/>
          <w:color w:val="auto"/>
        </w:rPr>
        <w:t>Purposes)</w:t>
      </w:r>
    </w:p>
    <w:p>
      <w:pPr>
        <w:sectPr>
          <w:pgSz w:w="11900" w:h="16838" w:orient="portrait"/>
          <w:cols w:equalWidth="0" w:num="1">
            <w:col w:w="11040"/>
          </w:cols>
          <w:pgMar w:left="320" w:top="1440"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040"/>
          </w:cols>
          <w:pgMar w:left="320" w:top="1440" w:right="5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D-3</w:t>
            </w:r>
          </w:p>
        </w:tc>
        <w:tc>
          <w:tcPr>
            <w:tcW w:w="1058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Form of U.S. Tax Compliance Certificate (For Foreign Participants That Are Partnerships For   U.S. Federal Income Tax Purposes)</w:t>
            </w:r>
          </w:p>
        </w:tc>
      </w:tr>
      <w:tr>
        <w:trPr>
          <w:trHeight w:val="252"/>
        </w:trPr>
        <w:tc>
          <w:tcPr>
            <w:tcW w:w="420" w:type="dxa"/>
            <w:vAlign w:val="bottom"/>
          </w:tcPr>
          <w:p>
            <w:pPr>
              <w:spacing w:after="0"/>
              <w:rPr>
                <w:sz w:val="20"/>
                <w:szCs w:val="20"/>
                <w:color w:val="auto"/>
              </w:rPr>
            </w:pPr>
            <w:r>
              <w:rPr>
                <w:rFonts w:ascii="Times New Roman" w:cs="Times New Roman" w:eastAsia="Times New Roman" w:hAnsi="Times New Roman"/>
                <w:sz w:val="20"/>
                <w:szCs w:val="20"/>
                <w:color w:val="auto"/>
              </w:rPr>
              <w:t>D-4</w:t>
            </w:r>
          </w:p>
        </w:tc>
        <w:tc>
          <w:tcPr>
            <w:tcW w:w="105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of U.S. Tax Compliance Certificate (For Foreign Lenders That Are Partnerships For   U.S. Federal Income Tax Purposes)</w:t>
            </w:r>
          </w:p>
        </w:tc>
      </w:tr>
    </w:tbl>
    <w:p>
      <w:pPr>
        <w:spacing w:after="0"/>
        <w:tabs>
          <w:tab w:leader="none" w:pos="30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Form of Solvency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1000"/>
          </w:cols>
          <w:pgMar w:left="320" w:top="1413" w:right="579" w:bottom="1440" w:gutter="0" w:footer="0" w:header="0"/>
        </w:sectPr>
      </w:pPr>
    </w:p>
    <w:bookmarkStart w:id="26" w:name="page27"/>
    <w:bookmarkEnd w:id="26"/>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CREDIT AGREEMENT, dated as of June 24, 2025, among Remitly Global,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Remitly, Inc., a Delaware corporation (“</w:t>
      </w:r>
      <w:r>
        <w:rPr>
          <w:rFonts w:ascii="Times New Roman" w:cs="Times New Roman" w:eastAsia="Times New Roman" w:hAnsi="Times New Roman"/>
          <w:sz w:val="20"/>
          <w:szCs w:val="20"/>
          <w:b w:val="1"/>
          <w:bCs w:val="1"/>
          <w:color w:val="auto"/>
        </w:rPr>
        <w:t>Remitly</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b w:val="1"/>
          <w:bCs w:val="1"/>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as borrowers, the several banks and other financial institutions or entities from time to time parties to this Agreement (the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and JPMORGAN CHASE BANK, N.A., as administrative agent.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WHEREAS, the Borrowers have requested that the Lenders extend credit to the Borrowers in the form of a senior secured revolving credit facility in an aggregate amount of $</w:t>
      </w:r>
      <w:r>
        <w:rPr>
          <w:rFonts w:ascii="Times New Roman" w:cs="Times New Roman" w:eastAsia="Times New Roman" w:hAnsi="Times New Roman"/>
          <w:sz w:val="20"/>
          <w:szCs w:val="20"/>
          <w:color w:val="FF0000"/>
          <w:strike w:val="1"/>
        </w:rPr>
        <w:t>550,000,000</w:t>
      </w:r>
      <w:r>
        <w:rPr>
          <w:rFonts w:ascii="Times New Roman" w:cs="Times New Roman" w:eastAsia="Times New Roman" w:hAnsi="Times New Roman"/>
          <w:sz w:val="20"/>
          <w:szCs w:val="20"/>
          <w:u w:val="single" w:color="auto"/>
          <w:color w:val="0070C0"/>
        </w:rPr>
        <w:t>1,000,000,000</w:t>
      </w:r>
      <w:r>
        <w:rPr>
          <w:rFonts w:ascii="Times New Roman" w:cs="Times New Roman" w:eastAsia="Times New Roman" w:hAnsi="Times New Roman"/>
          <w:sz w:val="20"/>
          <w:szCs w:val="20"/>
          <w:color w:val="auto"/>
        </w:rPr>
        <w:t xml:space="preserve"> the proceeds of which will be used, among other things, for working capital, capital expenditures and other general corporate purposes.</w:t>
      </w:r>
    </w:p>
    <w:p>
      <w:pPr>
        <w:spacing w:after="0" w:line="181"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WHEREAS, the Borrowers have requested that each Revolving Lender provide to the Borrowers the Revolving Facility on the terms and subject to the conditions set forth herein; and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WHEREAS, the Lenders are willing to extend such credit to the Borrowers on the terms and subject to the conditions set forth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the parties hereto hereby agree as follows:</w:t>
      </w:r>
    </w:p>
    <w:p>
      <w:pPr>
        <w:spacing w:after="0" w:line="22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1.</w:t>
      </w:r>
      <w:r>
        <w:rPr>
          <w:sz w:val="20"/>
          <w:szCs w:val="20"/>
          <w:color w:val="auto"/>
        </w:rPr>
        <w:tab/>
      </w:r>
      <w:r>
        <w:rPr>
          <w:rFonts w:ascii="Times New Roman" w:cs="Times New Roman" w:eastAsia="Times New Roman" w:hAnsi="Times New Roman"/>
          <w:sz w:val="19"/>
          <w:szCs w:val="19"/>
          <w:color w:val="auto"/>
        </w:rPr>
        <w:t>DEFINITIONS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As used in this Agreement, the terms listed in this Section 1.1 shall have the respective meanings set forth in this Section 1.1.</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ABR</w:t>
      </w:r>
      <w:r>
        <w:rPr>
          <w:rFonts w:ascii="Times New Roman" w:cs="Times New Roman" w:eastAsia="Times New Roman" w:hAnsi="Times New Roman"/>
          <w:sz w:val="20"/>
          <w:szCs w:val="20"/>
          <w:color w:val="auto"/>
        </w:rPr>
        <w:t>”: when used in reference to any Loan or Borrowing, whether such Loan, or the Loans comprising such Borrowing, bears interest at a rate determined by reference to the Alternate Base Rate.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as defined in Section 2.25(b).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Refinancing Lender</w:t>
      </w:r>
      <w:r>
        <w:rPr>
          <w:rFonts w:ascii="Times New Roman" w:cs="Times New Roman" w:eastAsia="Times New Roman" w:hAnsi="Times New Roman"/>
          <w:sz w:val="20"/>
          <w:szCs w:val="20"/>
          <w:color w:val="auto"/>
        </w:rPr>
        <w:t>”: as defined in Section 2.28(a).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Term Loan Commitment</w:t>
      </w:r>
      <w:r>
        <w:rPr>
          <w:rFonts w:ascii="Times New Roman" w:cs="Times New Roman" w:eastAsia="Times New Roman" w:hAnsi="Times New Roman"/>
          <w:sz w:val="20"/>
          <w:szCs w:val="20"/>
          <w:color w:val="auto"/>
        </w:rPr>
        <w:t>”: any term loan commitment added hereunder pursuant to Sections 2.25 or 2.28.</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Term Loans</w:t>
      </w:r>
      <w:r>
        <w:rPr>
          <w:rFonts w:ascii="Times New Roman" w:cs="Times New Roman" w:eastAsia="Times New Roman" w:hAnsi="Times New Roman"/>
          <w:sz w:val="20"/>
          <w:szCs w:val="20"/>
          <w:color w:val="auto"/>
        </w:rPr>
        <w:t>”: any term loan added hereunder pursuant to Sections 2.25 or 2.28.</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JPMCB, together with its affiliates, as the arranger of the Commitments and as the administrative agent for the Lenders under this Agreement and the other Loan Documents, together with any of its successors.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an Administrative Questionnaire in a form supplied from time to time by the Administrative Agent to the Borrowers or any Lender, as the context requires.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as to any Person, any other Person that, at any time, directly or indirectly, is in control of, is controlled by, or is under common control with, such Person. For purposes of this definition,</w:t>
      </w:r>
    </w:p>
    <w:p>
      <w:pPr>
        <w:sectPr>
          <w:pgSz w:w="11900" w:h="16838" w:orient="portrait"/>
          <w:cols w:equalWidth="0" w:num="1">
            <w:col w:w="11240"/>
          </w:cols>
          <w:pgMar w:left="320" w:top="1409" w:right="339" w:bottom="1440" w:gutter="0" w:footer="0" w:header="0"/>
        </w:sectPr>
      </w:pPr>
    </w:p>
    <w:bookmarkStart w:id="27" w:name="page28"/>
    <w:bookmarkEnd w:id="27"/>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of a Person means the power, directly or indirectly, to direct or cause the direction of the management and policies of such Person, whether by contract or otherwise.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Affiliated Lender</w:t>
      </w:r>
      <w:r>
        <w:rPr>
          <w:rFonts w:ascii="Times New Roman" w:cs="Times New Roman" w:eastAsia="Times New Roman" w:hAnsi="Times New Roman"/>
          <w:sz w:val="20"/>
          <w:szCs w:val="20"/>
          <w:color w:val="auto"/>
        </w:rPr>
        <w:t>”: as defined in Section 10.6(k).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Agents</w:t>
      </w:r>
      <w:r>
        <w:rPr>
          <w:rFonts w:ascii="Times New Roman" w:cs="Times New Roman" w:eastAsia="Times New Roman" w:hAnsi="Times New Roman"/>
          <w:sz w:val="20"/>
          <w:szCs w:val="20"/>
          <w:color w:val="auto"/>
        </w:rPr>
        <w:t>”: the collective reference to the Arrangers, the Joint Bookrunners and the Administrative Agent.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this Credit Agreement, as amended, supplemented or otherwise modified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 Currency</w:t>
      </w:r>
      <w:r>
        <w:rPr>
          <w:rFonts w:ascii="Times New Roman" w:cs="Times New Roman" w:eastAsia="Times New Roman" w:hAnsi="Times New Roman"/>
          <w:sz w:val="20"/>
          <w:szCs w:val="20"/>
          <w:color w:val="auto"/>
        </w:rPr>
        <w:t>”: as defined in Section 10.20(b).</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Aggregate Customer Outstandings”</w:t>
      </w:r>
      <w:r>
        <w:rPr>
          <w:rFonts w:ascii="Times New Roman" w:cs="Times New Roman" w:eastAsia="Times New Roman" w:hAnsi="Times New Roman"/>
          <w:sz w:val="20"/>
          <w:szCs w:val="20"/>
          <w:color w:val="auto"/>
        </w:rPr>
        <w:t xml:space="preserve"> means, on any date, the sum of outstanding Customer Advances and outstanding Customer Guarantees.</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Aggregate Exposure</w:t>
      </w:r>
      <w:r>
        <w:rPr>
          <w:rFonts w:ascii="Times New Roman" w:cs="Times New Roman" w:eastAsia="Times New Roman" w:hAnsi="Times New Roman"/>
          <w:sz w:val="20"/>
          <w:szCs w:val="20"/>
          <w:color w:val="FF0000"/>
          <w:strike w:val="1"/>
        </w:rPr>
        <w:t>”: with respect to any Lender at any time, an amount equal to the sum of (i) the aggregate then unpaid principal amount of such Lender’s Revolving Loans, (ii) the amount of such Lender’s unused Revolving Commitment, (iii) its LC Exposure and (iv) its Swingline Exposure, in each case at such time then in effect.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b w:val="1"/>
          <w:bCs w:val="1"/>
          <w:color w:val="FF0000"/>
          <w:strike w:val="1"/>
        </w:rPr>
        <w:t>Aggregate Exposure Percentage</w:t>
      </w:r>
      <w:r>
        <w:rPr>
          <w:rFonts w:ascii="Times New Roman" w:cs="Times New Roman" w:eastAsia="Times New Roman" w:hAnsi="Times New Roman"/>
          <w:sz w:val="20"/>
          <w:szCs w:val="20"/>
          <w:color w:val="FF0000"/>
          <w:strike w:val="1"/>
        </w:rPr>
        <w:t>”: with respect to any Lender at any time, the ratio (expressed as a percentage) of such Lender’s Aggregate Exposure at such time to the Aggregate Exposure of all Lenders at such time.</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All-in Yield</w:t>
      </w:r>
      <w:r>
        <w:rPr>
          <w:rFonts w:ascii="Times New Roman" w:cs="Times New Roman" w:eastAsia="Times New Roman" w:hAnsi="Times New Roman"/>
          <w:sz w:val="20"/>
          <w:szCs w:val="20"/>
          <w:color w:val="auto"/>
        </w:rPr>
        <w:t>”: with respect to any Indebtedness, the yield of such Indebtedness, whether in the form of interest rate, margin, commitment or ticking fees, original issue discount, upfront fees, index floors or otherwise, in each case, payable generally to the applicable lenders; provided that original issue discount and upfront fees shall be equated to interest rate assuming a four-year life to maturity; provided further that “All-in Yield” shall exclude structuring, advisory, success, underwriting, commitment, arrangement, ticking, amendment, consent and similar fees payable in connection therewith that are not shared with all lenders providing such facility and any other fees not paid by the Borrowers generally to all lenders providing such facility ratably or, if only one lender (or affiliated group of lenders) is providing such facility, are fees of the type not customarily shared with lenders generally).</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Alternate Base Rate</w:t>
      </w:r>
      <w:r>
        <w:rPr>
          <w:rFonts w:ascii="Times New Roman" w:cs="Times New Roman" w:eastAsia="Times New Roman" w:hAnsi="Times New Roman"/>
          <w:sz w:val="20"/>
          <w:szCs w:val="20"/>
          <w:color w:val="auto"/>
        </w:rPr>
        <w:t xml:space="preserve">”: for any day, a rate per annum equal to the greatest of (a) the Prime Rate in effect on such day, (b) the NYFRB Rate in effect on such day plus ½ of 1.00% and (c) the Term SOFR Rate for a one-month Interest Period as published two U.S. Government Securities Business Days prior to such day (or if such day is not a U.S. Government Securities Business Day, the immediately preceding U.S. Government Securities Business Day) plus 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this definition, the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Term SOFR Rate shall be effective from and including the effective date of such change in the Prime Rate, the NYFRB Rate or the Term SOFR Rate, respectively. If the Alternate Base Rate is being used as an alternate rate of interest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(for the avoidance of doubt, only until the applicable Benchmark Replacement has been determined pursuant to </w:t>
      </w:r>
      <w:r>
        <w:rPr>
          <w:rFonts w:ascii="Times New Roman" w:cs="Times New Roman" w:eastAsia="Times New Roman" w:hAnsi="Times New Roman"/>
          <w:sz w:val="20"/>
          <w:szCs w:val="20"/>
          <w:u w:val="single" w:color="auto"/>
          <w:color w:val="auto"/>
        </w:rPr>
        <w:t>Section 2.16(b)</w:t>
      </w:r>
      <w:r>
        <w:rPr>
          <w:rFonts w:ascii="Times New Roman" w:cs="Times New Roman" w:eastAsia="Times New Roman" w:hAnsi="Times New Roman"/>
          <w:sz w:val="20"/>
          <w:szCs w:val="20"/>
          <w:color w:val="auto"/>
        </w:rPr>
        <w:t>), then the Alternate Base Rate shall be the greater of clauses (a) and (b) above and shall be determined without reference to clause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28" w:name="page29"/>
    <w:bookmarkEnd w:id="28"/>
    <w:p>
      <w:pPr>
        <w:jc w:val="both"/>
        <w:spacing w:after="0" w:line="283" w:lineRule="auto"/>
        <w:rPr>
          <w:sz w:val="20"/>
          <w:szCs w:val="20"/>
          <w:color w:val="auto"/>
        </w:rPr>
      </w:pPr>
      <w:r>
        <w:rPr>
          <w:rFonts w:ascii="Times New Roman" w:cs="Times New Roman" w:eastAsia="Times New Roman" w:hAnsi="Times New Roman"/>
          <w:sz w:val="20"/>
          <w:szCs w:val="20"/>
          <w:color w:val="auto"/>
        </w:rPr>
        <w:t>above. For the avoidance of doubt, if the Alternate Base Rate as determined pursuant to the foregoing would be less than 1.00%, such rate shall be deemed to be 1.00% for purposes of this Agreement.</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Alternative Currency</w:t>
      </w:r>
      <w:r>
        <w:rPr>
          <w:rFonts w:ascii="Times New Roman" w:cs="Times New Roman" w:eastAsia="Times New Roman" w:hAnsi="Times New Roman"/>
          <w:sz w:val="20"/>
          <w:szCs w:val="20"/>
          <w:color w:val="auto"/>
        </w:rPr>
        <w:t>” means Euro, Sterling, Australian Dollars, Canadian Dollars, Singapore Dollars, United Arab Emirates Dirhams, New Israeli Shekel, Polish Złoty and any other currency (other than U.S. Dollars) that (i) is freely available, freely transferable and freely convertible into U.S. Dollars and (ii) unless otherwise consented to by each Lender, in which dealings in deposits are carried on in the international interbank market; provided that at the time of the issuance, amendment, increase or extension of any Letter of Credit denominated in a currency other than U.S. Dollars, Euro, Sterling, Australian Dollars, Canadian Dollars, Singapore Dollars, United Arab Emirates Dirhams, New Israeli Shekel or Polish Złoty, such other currency is reasonably acceptable to the Administrative Agent and the applicable Issuing Bank in respect of such Letter of Credit.</w:t>
      </w:r>
    </w:p>
    <w:p>
      <w:pPr>
        <w:spacing w:after="0" w:line="17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1</w:t>
      </w:r>
      <w:r>
        <w:rPr>
          <w:rFonts w:ascii="Times New Roman" w:cs="Times New Roman" w:eastAsia="Times New Roman" w:hAnsi="Times New Roman"/>
          <w:sz w:val="20"/>
          <w:szCs w:val="20"/>
          <w:color w:val="auto"/>
        </w:rPr>
        <w:t>”: means the Amendment No. 1 to Credit Agreement, dated as of June 15, 2026, by and among the Borrowers, the Issuing Banks, the Swingline Lender, the Administrative Agent and each of the Lenders party thereto.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Amendment No. 1 Effective Date</w:t>
      </w:r>
      <w:r>
        <w:rPr>
          <w:rFonts w:ascii="Times New Roman" w:cs="Times New Roman" w:eastAsia="Times New Roman" w:hAnsi="Times New Roman"/>
          <w:sz w:val="20"/>
          <w:szCs w:val="20"/>
          <w:color w:val="auto"/>
        </w:rPr>
        <w:t>”: has the meaning ascribed to such term in Amendment No. 1.</w:t>
      </w:r>
    </w:p>
    <w:p>
      <w:pPr>
        <w:spacing w:after="0" w:line="216" w:lineRule="exact"/>
        <w:rPr>
          <w:sz w:val="20"/>
          <w:szCs w:val="20"/>
          <w:color w:val="auto"/>
        </w:rPr>
      </w:pPr>
    </w:p>
    <w:p>
      <w:pPr>
        <w:ind w:right="240" w:firstLine="648"/>
        <w:spacing w:after="0" w:line="287"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Amendment No. 2</w:t>
      </w:r>
      <w:r>
        <w:rPr>
          <w:rFonts w:ascii="Times New Roman" w:cs="Times New Roman" w:eastAsia="Times New Roman" w:hAnsi="Times New Roman"/>
          <w:sz w:val="20"/>
          <w:szCs w:val="20"/>
          <w:u w:val="single" w:color="auto"/>
          <w:color w:val="0070C0"/>
        </w:rPr>
        <w:t>”: means the Amendment No. 2 to Credit Agreement, dated as of October 26, 2026, among the Borrowers, the Lenders party thereto and the Administrative Agent.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Amendment No. 2 Effective Date</w:t>
      </w:r>
      <w:r>
        <w:rPr>
          <w:rFonts w:ascii="Times New Roman" w:cs="Times New Roman" w:eastAsia="Times New Roman" w:hAnsi="Times New Roman"/>
          <w:sz w:val="20"/>
          <w:szCs w:val="20"/>
          <w:u w:val="single" w:color="auto"/>
          <w:color w:val="0070C0"/>
        </w:rPr>
        <w:t>”: has the meaning ascribed to such term in Amendment No. 2.</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all laws, rules and regulations of any jurisdiction applicable to the Company or its Subsidiaries from time to time concerning or relating to bribery or corruption.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Creditor</w:t>
      </w:r>
      <w:r>
        <w:rPr>
          <w:rFonts w:ascii="Times New Roman" w:cs="Times New Roman" w:eastAsia="Times New Roman" w:hAnsi="Times New Roman"/>
          <w:sz w:val="20"/>
          <w:szCs w:val="20"/>
          <w:color w:val="auto"/>
        </w:rPr>
        <w:t>”: as defined in Section 10.20(b).</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Intercreditor Agreement</w:t>
      </w:r>
      <w:r>
        <w:rPr>
          <w:rFonts w:ascii="Times New Roman" w:cs="Times New Roman" w:eastAsia="Times New Roman" w:hAnsi="Times New Roman"/>
          <w:sz w:val="20"/>
          <w:szCs w:val="20"/>
          <w:color w:val="auto"/>
        </w:rPr>
        <w:t>”: a First Lien Intercreditor Agreement or a Junior Lien Intercreditor Agreement, as applicable.</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for each Type of Revolving Loan, a rate per annum equal (i), 0.50% for ABR Loans and (ii) 1.50% for Term Benchmark Loans.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Notwithstanding the foregoing, (i) the Applicable Margin in respect of any Class of Incremental Term Loans or Incremental Revolving Loans shall be the applicable percentages per annum set forth in the relevant Incremental Facility Amendment, (ii) the Applicable Margin in respect of any Class of Refinancing Term Loans or Revolving Loans of a given Refinancing Series shall be the applicable percentages per annum set forth in the relevant Refinancing Amendment and (iii) the Applicable Margin in respect of any Class of Extended Term Loans or Revolving Loans of a given Extension Series shall be the applicable percentages per annum set forth in the relevant Extension Amendment.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Parties</w:t>
      </w:r>
      <w:r>
        <w:rPr>
          <w:rFonts w:ascii="Times New Roman" w:cs="Times New Roman" w:eastAsia="Times New Roman" w:hAnsi="Times New Roman"/>
          <w:sz w:val="20"/>
          <w:szCs w:val="20"/>
          <w:color w:val="auto"/>
        </w:rPr>
        <w:t>”: as defined in Section 9.14(c).</w:t>
      </w:r>
    </w:p>
    <w:p>
      <w:pPr>
        <w:spacing w:after="0" w:line="216" w:lineRule="exact"/>
        <w:rPr>
          <w:sz w:val="20"/>
          <w:szCs w:val="20"/>
          <w:color w:val="auto"/>
        </w:rPr>
      </w:pPr>
    </w:p>
    <w:p>
      <w:pPr>
        <w:ind w:right="440" w:firstLine="648"/>
        <w:spacing w:after="0" w:line="263" w:lineRule="auto"/>
        <w:rPr>
          <w:sz w:val="20"/>
          <w:szCs w:val="20"/>
          <w:color w:val="auto"/>
        </w:rPr>
      </w:pPr>
      <w:r>
        <w:rPr>
          <w:rFonts w:ascii="Times New Roman" w:cs="Times New Roman" w:eastAsia="Times New Roman" w:hAnsi="Times New Roman"/>
          <w:sz w:val="20"/>
          <w:szCs w:val="20"/>
          <w:u w:val="single" w:color="auto"/>
          <w:color w:val="0070C0"/>
        </w:rPr>
        <w:t>“</w:t>
      </w:r>
      <w:r>
        <w:rPr>
          <w:rFonts w:ascii="Times New Roman" w:cs="Times New Roman" w:eastAsia="Times New Roman" w:hAnsi="Times New Roman"/>
          <w:sz w:val="20"/>
          <w:szCs w:val="20"/>
          <w:b w:val="1"/>
          <w:bCs w:val="1"/>
          <w:u w:val="single" w:color="auto"/>
          <w:color w:val="0070C0"/>
        </w:rPr>
        <w:t>Applicable Percentage</w:t>
      </w:r>
      <w:r>
        <w:rPr>
          <w:rFonts w:ascii="Times New Roman" w:cs="Times New Roman" w:eastAsia="Times New Roman" w:hAnsi="Times New Roman"/>
          <w:sz w:val="20"/>
          <w:szCs w:val="20"/>
          <w:u w:val="single" w:color="auto"/>
          <w:color w:val="0070C0"/>
        </w:rPr>
        <w:t>”: with respect to any Lender, the percentage of the Total Revolving Commitments represented by such Lender’s Revolving Commitment. If the Revolving Commitments have terminated or expired, the Applicable Percentages shall be determined based upon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29" w:name="page30"/>
    <w:bookmarkEnd w:id="29"/>
    <w:p>
      <w:pPr>
        <w:ind w:right="580"/>
        <w:spacing w:after="0" w:line="310" w:lineRule="auto"/>
        <w:rPr>
          <w:sz w:val="20"/>
          <w:szCs w:val="20"/>
          <w:color w:val="auto"/>
        </w:rPr>
      </w:pPr>
      <w:r>
        <w:rPr>
          <w:rFonts w:ascii="Times New Roman" w:cs="Times New Roman" w:eastAsia="Times New Roman" w:hAnsi="Times New Roman"/>
          <w:sz w:val="19"/>
          <w:szCs w:val="19"/>
          <w:u w:val="single" w:color="auto"/>
          <w:color w:val="0070C0"/>
        </w:rPr>
        <w:t>Commitments most recently in effect, giving effect to any assignments; provided that in the case of Section 2.27 when a Defaulting Revolving Lender shall exist, any such Defaulting Revolving Lender’s Revolving Commitment shall be disregarded in the calculation.</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Borrower Portal</w:t>
      </w:r>
      <w:r>
        <w:rPr>
          <w:rFonts w:ascii="Times New Roman" w:cs="Times New Roman" w:eastAsia="Times New Roman" w:hAnsi="Times New Roman"/>
          <w:sz w:val="20"/>
          <w:szCs w:val="20"/>
          <w:color w:val="auto"/>
        </w:rPr>
        <w:t>”: as defined in Section 9.15(a).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Electronic Platform</w:t>
      </w:r>
      <w:r>
        <w:rPr>
          <w:rFonts w:ascii="Times New Roman" w:cs="Times New Roman" w:eastAsia="Times New Roman" w:hAnsi="Times New Roman"/>
          <w:sz w:val="20"/>
          <w:szCs w:val="20"/>
          <w:color w:val="auto"/>
        </w:rPr>
        <w:t>”: as defined in Section 9.14(a).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Arrangers</w:t>
      </w:r>
      <w:r>
        <w:rPr>
          <w:rFonts w:ascii="Times New Roman" w:cs="Times New Roman" w:eastAsia="Times New Roman" w:hAnsi="Times New Roman"/>
          <w:sz w:val="20"/>
          <w:szCs w:val="20"/>
          <w:color w:val="auto"/>
        </w:rPr>
        <w:t>”: JPMCB, Bank of America, N.A. and Wells Fargo Securities, LLC.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Assignee</w:t>
      </w:r>
      <w:r>
        <w:rPr>
          <w:rFonts w:ascii="Times New Roman" w:cs="Times New Roman" w:eastAsia="Times New Roman" w:hAnsi="Times New Roman"/>
          <w:sz w:val="20"/>
          <w:szCs w:val="20"/>
          <w:color w:val="auto"/>
        </w:rPr>
        <w:t>”: as defined in Section 10.6(c).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an Assignment and Assumption, substantially in the form of Exhibit 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Assignor</w:t>
      </w:r>
      <w:r>
        <w:rPr>
          <w:rFonts w:ascii="Times New Roman" w:cs="Times New Roman" w:eastAsia="Times New Roman" w:hAnsi="Times New Roman"/>
          <w:sz w:val="20"/>
          <w:szCs w:val="20"/>
          <w:color w:val="auto"/>
        </w:rPr>
        <w:t>”: as defined in Section 10.6(c).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Australian Dollar</w:t>
      </w:r>
      <w:r>
        <w:rPr>
          <w:rFonts w:ascii="Times New Roman" w:cs="Times New Roman" w:eastAsia="Times New Roman" w:hAnsi="Times New Roman"/>
          <w:sz w:val="20"/>
          <w:szCs w:val="20"/>
          <w:color w:val="auto"/>
        </w:rPr>
        <w:t>” means the lawful currency of Australia.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Amount</w:t>
      </w:r>
      <w:r>
        <w:rPr>
          <w:rFonts w:ascii="Times New Roman" w:cs="Times New Roman" w:eastAsia="Times New Roman" w:hAnsi="Times New Roman"/>
          <w:sz w:val="20"/>
          <w:szCs w:val="20"/>
          <w:color w:val="auto"/>
        </w:rPr>
        <w:t>”: at any time, an amount equal to, without duplication:</w:t>
      </w:r>
    </w:p>
    <w:p>
      <w:pPr>
        <w:spacing w:after="0" w:line="233"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w:t>
      </w:r>
    </w:p>
    <w:p>
      <w:pPr>
        <w:spacing w:after="0" w:line="229" w:lineRule="exact"/>
        <w:rPr>
          <w:rFonts w:ascii="Times New Roman" w:cs="Times New Roman" w:eastAsia="Times New Roman" w:hAnsi="Times New Roman"/>
          <w:sz w:val="20"/>
          <w:szCs w:val="20"/>
          <w:color w:val="auto"/>
        </w:rPr>
      </w:pPr>
    </w:p>
    <w:p>
      <w:pPr>
        <w:ind w:left="660" w:firstLine="644"/>
        <w:spacing w:after="0" w:line="269" w:lineRule="auto"/>
        <w:tabs>
          <w:tab w:leader="none" w:pos="171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greater of (x) $62,000,000 and (y) 35% of Consolidated EBITDA for the most recently ended Test Period calculated on a Pro Forma Basis; plus</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CNI Growth Amount; plus</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12"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capital contributions to or other proceeds of any issuance of Qualified Capital Stock (other than any amounts received from the Company or any Subsidiary) received by the Company or any of its Subsidiaries, plus the fair market value (as determined by the Company in good faith) of Cash Equivalents, marketable securities or other property received by the Company or any Subsidiary as a capital contribution or in return for any issuance of Qualified Capital Stock (other than any amounts received from the Company or any Subsidiary), in each case, during the period from and including the day immediately following the Closing Date through and including such time; plus</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794"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any Indebtedness or Disqualified Capital Stock, in each case, of the Company or any Subsidiary issued after the Closing Date (other than Indebtedness or such Disqualified Capital Stock issued to the Company or any Subsidiary), which has been converted into or exchanged for Capital Stock of the Company or any Subsidiary that does not constitute Disqualified Capital Stock, together with the fair market value of any cash or Cash Equivalents (as determined by the Company in good faith) and the fair market value (as determined by the Company in good faith) of any property or assets received by the Company or such Subsidiary upon such exchange or conversion, in each case, during the period from and including the day immediately following the Closing Date through and including such time; plus</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46"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net proceeds received by the Company or any Subsidiary during the period from and including the day immediately following the Closing Date through and including such time in connection with the Disposition to any Person (other than the Company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30" w:name="page31"/>
    <w:bookmarkEnd w:id="30"/>
    <w:p>
      <w:pPr>
        <w:ind w:left="660"/>
        <w:spacing w:after="0" w:line="283" w:lineRule="auto"/>
        <w:rPr>
          <w:sz w:val="20"/>
          <w:szCs w:val="20"/>
          <w:color w:val="auto"/>
        </w:rPr>
      </w:pPr>
      <w:r>
        <w:rPr>
          <w:rFonts w:ascii="Times New Roman" w:cs="Times New Roman" w:eastAsia="Times New Roman" w:hAnsi="Times New Roman"/>
          <w:sz w:val="20"/>
          <w:szCs w:val="20"/>
          <w:color w:val="auto"/>
        </w:rPr>
        <w:t>Subsidiary) of any Investment made pursuant to Section 7.7(l) in an amount, together with amounts added pursuant to clauses (vi) and (vii)(c), not to exceed the original Investment; plus</w:t>
      </w:r>
    </w:p>
    <w:p>
      <w:pPr>
        <w:spacing w:after="0" w:line="146" w:lineRule="exact"/>
        <w:rPr>
          <w:sz w:val="20"/>
          <w:szCs w:val="20"/>
          <w:color w:val="auto"/>
        </w:rPr>
      </w:pPr>
    </w:p>
    <w:p>
      <w:pPr>
        <w:jc w:val="both"/>
        <w:ind w:left="660" w:firstLine="644"/>
        <w:spacing w:after="0" w:line="265" w:lineRule="auto"/>
        <w:tabs>
          <w:tab w:leader="none" w:pos="1796"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not already reflected as a return of capital with respect to such Investment for purposes of determining the amount of such Investment, the proceeds received by the Company or any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 received in respect of any Investment made pursuant to Section 7.7(l) in an amount, together with amounts added pursuant to clauses</w:t>
      </w:r>
    </w:p>
    <w:p>
      <w:pPr>
        <w:spacing w:after="0" w:line="3" w:lineRule="exact"/>
        <w:rPr>
          <w:rFonts w:ascii="Times New Roman" w:cs="Times New Roman" w:eastAsia="Times New Roman" w:hAnsi="Times New Roman"/>
          <w:sz w:val="19"/>
          <w:szCs w:val="19"/>
          <w:color w:val="auto"/>
        </w:rPr>
      </w:pPr>
    </w:p>
    <w:p>
      <w:pPr>
        <w:ind w:left="940" w:hanging="284"/>
        <w:spacing w:after="0"/>
        <w:tabs>
          <w:tab w:leader="none" w:pos="9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(vii)(c), not to exceed the original Investment; plus</w:t>
      </w:r>
    </w:p>
    <w:p>
      <w:pPr>
        <w:spacing w:after="0" w:line="207"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930"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sum of (a) the amount of any Investments by the Company or any Subsidiary pursuant to Section 7.7(l) in any Unrestricted Subsidiary that has been redesignated as a Subsidiary, (b) the amount of any Investments by the Company or any Subsidiary pursuant to Section 7.7(l) in any Unrestricted Subsidiary or any Joint Venture that is not a Subsidiary that has been merged, consolidated or amalgamated with or into, or is liquidated, wound up or dissolved into, the Company or any Subsidiary and (c) the fair market value (as determined by the Company in good faith) of the property or assets of any Unrestricted Subsidiary or any Joint Venture that is not a Subsidiary that have been transferred, conveyed or otherwise distributed to the Company or any Subsidiary, in each case, during the period from and including the day immediately following the Closing Date through and including such time in an amount not to exceed, together with amounts added pursuant to clauses (v) and (vi), the Investments made in such Unrestricted Subsidiary or Joint Venture pursuant to Section 7.7(l); plus; minus</w:t>
      </w:r>
    </w:p>
    <w:p>
      <w:pPr>
        <w:spacing w:after="0" w:line="176" w:lineRule="exact"/>
        <w:rPr>
          <w:sz w:val="20"/>
          <w:szCs w:val="20"/>
          <w:color w:val="auto"/>
        </w:rPr>
      </w:pPr>
    </w:p>
    <w:p>
      <w:pPr>
        <w:jc w:val="both"/>
        <w:ind w:firstLine="656"/>
        <w:spacing w:after="0" w:line="261" w:lineRule="auto"/>
        <w:tabs>
          <w:tab w:leader="none" w:pos="1154"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the sum of (i) Restricted Payments made pursuant to Section 7.6(e), plus (ii) Restricted Debt Payments made pursuant to Section 7.13(e), plus (iii) Investments made pursuant to Section 7.7(l), in each case, during the period from and including the day immediately following the Closing Date through and including such time.</w:t>
      </w:r>
    </w:p>
    <w:p>
      <w:pPr>
        <w:spacing w:after="0" w:line="17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Revolving Commitment</w:t>
      </w:r>
      <w:r>
        <w:rPr>
          <w:rFonts w:ascii="Times New Roman" w:cs="Times New Roman" w:eastAsia="Times New Roman" w:hAnsi="Times New Roman"/>
          <w:sz w:val="20"/>
          <w:szCs w:val="20"/>
          <w:color w:val="auto"/>
        </w:rPr>
        <w:t xml:space="preserve">”: as to any Revolving Lender at any time, an amount equal to the excess, if any, of (a) such Lender’s Revolving Commitment then in effect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(b) such Lender’s Revolving Extensions of Credit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calculating any Lender’s Revolving Extensions of Credit for the purpose of determining such Lender’s Available Revolving Commitment pursuant to Section 2.6, the aggregate principal amount of Swingline Loans then outstanding shall be deemed to be zero.</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2.16.</w:t>
      </w:r>
    </w:p>
    <w:p>
      <w:pPr>
        <w:spacing w:after="0" w:line="16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31" w:name="page32"/>
    <w:bookmarkEnd w:id="31"/>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initially, with respect to any (i) RFR Loan, Daily Simple SOFR or (ii) Term Benchmark Loan, the Term SOFR Rate;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a Benchmark Transition Event, and the related Benchmark Replacement Date have occurred with respect to Daily Simple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SOFR or Term SOFR Rate, as applicable, or the then-current Benchmark, then “Benchmark” means the applicable Benchmark Replacement to the extent that such Benchmark Replacement has replaced such prior benchmark rate pursuant to clause (b) of Section 2.16.</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Benchmark Replacement</w:t>
      </w:r>
      <w:r>
        <w:rPr>
          <w:rFonts w:ascii="Times New Roman" w:cs="Times New Roman" w:eastAsia="Times New Roman" w:hAnsi="Times New Roman"/>
          <w:sz w:val="19"/>
          <w:szCs w:val="19"/>
          <w:color w:val="auto"/>
        </w:rPr>
        <w:t>”: for any Available Tenor, the first alternative set forth in the order below that can be determined by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for the applicable Benchmark Replacement Date:</w:t>
      </w:r>
    </w:p>
    <w:p>
      <w:pPr>
        <w:spacing w:after="0" w:line="200" w:lineRule="exact"/>
        <w:rPr>
          <w:sz w:val="20"/>
          <w:szCs w:val="20"/>
          <w:color w:val="auto"/>
        </w:rPr>
      </w:pPr>
    </w:p>
    <w:p>
      <w:pPr>
        <w:ind w:left="1740" w:hanging="436"/>
        <w:spacing w:after="0"/>
        <w:tabs>
          <w:tab w:leader="none" w:pos="1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Term SOFR Rate only, Daily Simple SOFR;</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84"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Borrowers as the replacement for the then-current Benchmark for the applicable Corresponding Tenor giving due consideration to (A) any selection or recommendation of a replacement benchmark rate or the mechanism for determining such a rate by the Relevant Governmental Body or (B) any evolving or then-prevailing market convention for determining a benchmark rate as a replacement for the then-current Benchmark for U.S.-Dollar-denominated syndicated credit facilities at such time in the United States and (ii) the related Benchmark Replacement Adjustment.</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(1) or (2) above would be less than the Floor, the Benchmark Replacement will be deemed to be the Floor for the purposes of this Agreement and the other Loan Documents.</w:t>
      </w:r>
    </w:p>
    <w:p>
      <w:pPr>
        <w:spacing w:after="0" w:line="14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Borrowers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U.S.-Dollar-denominated syndicated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32" w:name="page33"/>
    <w:bookmarkEnd w:id="32"/>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Conforming Changes</w:t>
      </w:r>
      <w:r>
        <w:rPr>
          <w:rFonts w:ascii="Times New Roman" w:cs="Times New Roman" w:eastAsia="Times New Roman" w:hAnsi="Times New Roman"/>
          <w:sz w:val="20"/>
          <w:szCs w:val="20"/>
          <w:color w:val="auto"/>
        </w:rPr>
        <w:t>”: with respect to any Benchmark Replacement and/or any Term Benchmark Loan,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following consultation with the Borrowers,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with respect to any Benchmark, the earliest to occur of the following events with respect to such then-current Benchmark:</w:t>
      </w:r>
    </w:p>
    <w:p>
      <w:pPr>
        <w:spacing w:after="0" w:line="169" w:lineRule="exact"/>
        <w:rPr>
          <w:sz w:val="20"/>
          <w:szCs w:val="20"/>
          <w:color w:val="auto"/>
        </w:rPr>
      </w:pPr>
    </w:p>
    <w:p>
      <w:pPr>
        <w:jc w:val="both"/>
        <w:ind w:left="660" w:firstLine="644"/>
        <w:spacing w:after="0" w:line="258" w:lineRule="auto"/>
        <w:tabs>
          <w:tab w:leader="none" w:pos="1759"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4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(3) of the definition of “Benchmark Transition Event,” the first date on which such Benchmark (or the published component used in the calculation thereof) has been or, if such Benchmark is a term rate, all Available Tenors of such Benchmark (or component thereof) have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(c) and even if such Benchmark (or component thereof) or, if such Benchmark is a term rate, any Available Tenor of such Benchmark (or such component thereof) continues to be provided on such date.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6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with respect to any Benchmark, the occurrence of one or more of the following events with respect to such then-current Benchmark:</w:t>
      </w:r>
    </w:p>
    <w:p>
      <w:pPr>
        <w:spacing w:after="0" w:line="142" w:lineRule="exact"/>
        <w:rPr>
          <w:sz w:val="20"/>
          <w:szCs w:val="20"/>
          <w:color w:val="auto"/>
        </w:rPr>
      </w:pPr>
    </w:p>
    <w:p>
      <w:pPr>
        <w:jc w:val="both"/>
        <w:ind w:left="660" w:firstLine="644"/>
        <w:spacing w:after="0" w:line="268" w:lineRule="auto"/>
        <w:tabs>
          <w:tab w:leader="none" w:pos="186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09" w:right="339" w:bottom="1440" w:gutter="0" w:footer="0" w:header="0"/>
        </w:sectPr>
      </w:pPr>
    </w:p>
    <w:bookmarkStart w:id="33" w:name="page34"/>
    <w:bookmarkEnd w:id="33"/>
    <w:p>
      <w:pPr>
        <w:ind w:left="660"/>
        <w:spacing w:after="0" w:line="283" w:lineRule="auto"/>
        <w:rPr>
          <w:sz w:val="20"/>
          <w:szCs w:val="20"/>
          <w:color w:val="auto"/>
        </w:rPr>
      </w:pPr>
      <w:r>
        <w:rPr>
          <w:rFonts w:ascii="Times New Roman" w:cs="Times New Roman" w:eastAsia="Times New Roman" w:hAnsi="Times New Roman"/>
          <w:sz w:val="20"/>
          <w:szCs w:val="20"/>
          <w:color w:val="auto"/>
        </w:rPr>
        <w:t>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46" w:lineRule="exact"/>
        <w:rPr>
          <w:sz w:val="20"/>
          <w:szCs w:val="20"/>
          <w:color w:val="auto"/>
        </w:rPr>
      </w:pPr>
    </w:p>
    <w:p>
      <w:pPr>
        <w:jc w:val="both"/>
        <w:ind w:left="660" w:firstLine="644"/>
        <w:spacing w:after="0" w:line="252" w:lineRule="auto"/>
        <w:tabs>
          <w:tab w:leader="none" w:pos="177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7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7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2.16 and (y) ending at the time that a Benchmark Replacement has replaced such then-current Benchmark for all purposes hereunder and under any Loan Document in accordance with Section 2.16.</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with respect to any Borrower, to the extent such Borrower is a “legal entity customer” as such term is defined in the Beneficial Ownership Regulation, a certification regarding beneficial ownership as required by the Beneficial Ownership Regulation.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31 C.F.R. § 1010.230.</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Benefitted Lender</w:t>
      </w:r>
      <w:r>
        <w:rPr>
          <w:rFonts w:ascii="Times New Roman" w:cs="Times New Roman" w:eastAsia="Times New Roman" w:hAnsi="Times New Roman"/>
          <w:sz w:val="20"/>
          <w:szCs w:val="20"/>
          <w:color w:val="auto"/>
        </w:rPr>
        <w:t>”: as defined in Section 10.7(a).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34" w:name="page35"/>
    <w:bookmarkEnd w:id="34"/>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BHC Act Affiliate</w:t>
      </w:r>
      <w:r>
        <w:rPr>
          <w:rFonts w:ascii="Times New Roman" w:cs="Times New Roman" w:eastAsia="Times New Roman" w:hAnsi="Times New Roman"/>
          <w:sz w:val="20"/>
          <w:szCs w:val="20"/>
          <w:color w:val="auto"/>
        </w:rPr>
        <w:t>”: in respect of a party, an “affiliate’ (as such term is defined under, and interpreted in accordance with, 12 U.S.C. 1841(k)) of such party.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Bona Fide Debt Fund</w:t>
      </w:r>
      <w:r>
        <w:rPr>
          <w:rFonts w:ascii="Times New Roman" w:cs="Times New Roman" w:eastAsia="Times New Roman" w:hAnsi="Times New Roman"/>
          <w:sz w:val="20"/>
          <w:szCs w:val="20"/>
          <w:color w:val="auto"/>
        </w:rPr>
        <w:t>” means any fund or investment vehicle that is engaged in the making, purchasing, holding or otherwise investing in commercial loans, bonds and other similar extensions of credit in the ordinary course.</w:t>
      </w:r>
    </w:p>
    <w:p>
      <w:pPr>
        <w:spacing w:after="0" w:line="16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has the meaning ascribed to such term in the preamble hereto and, as the context requires (to the extent not otherwise expressly stated), shall mean both Borrowers or the applicable Borrower in respect of a Loan or Letter of Credit.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Communications</w:t>
      </w:r>
      <w:r>
        <w:rPr>
          <w:rFonts w:ascii="Times New Roman" w:cs="Times New Roman" w:eastAsia="Times New Roman" w:hAnsi="Times New Roman"/>
          <w:sz w:val="20"/>
          <w:szCs w:val="20"/>
          <w:color w:val="auto"/>
        </w:rPr>
        <w:t>”: as defined in Section 9.15(d).</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any Loans of the same Class, Type and currency made, converted or continued on the same date and, in the case of Term Benchmark Loans, as to which a single Interest Period is in effect.</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Date</w:t>
      </w:r>
      <w:r>
        <w:rPr>
          <w:rFonts w:ascii="Times New Roman" w:cs="Times New Roman" w:eastAsia="Times New Roman" w:hAnsi="Times New Roman"/>
          <w:sz w:val="20"/>
          <w:szCs w:val="20"/>
          <w:color w:val="auto"/>
        </w:rPr>
        <w:t>”: any Business Day specified by the applicable Borrower as a date on which such Borrower requests the relevant Lenders to make Loans hereunder.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as defined in Section 4.17(b).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any day (other than a Saturday or a Sunday) on which banks are open for business in New York City; provided that, in addition to the foregoing, a Business Day shall be any such day that is only a U.S. Government Securities Business Day (a) in relation to RFR Loans and any interest rate settings, fundings, disbursements, settlements or payments of any such RFR Loan, or any other dealings of such RFR Loan and (b) in relation to Loans referencing the Term SOFR Rate and any interest rate settings, fundings, disbursements, settlements or payments of any such Loans referencing the Term SOFR Rate or any other dealings of such Loans referencing the Term SOFR Rate.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Canadian Dollar</w:t>
      </w:r>
      <w:r>
        <w:rPr>
          <w:rFonts w:ascii="Times New Roman" w:cs="Times New Roman" w:eastAsia="Times New Roman" w:hAnsi="Times New Roman"/>
          <w:sz w:val="20"/>
          <w:szCs w:val="20"/>
          <w:color w:val="auto"/>
        </w:rPr>
        <w:t>” means the lawful currency of Canada.</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Expenditures</w:t>
      </w:r>
      <w:r>
        <w:rPr>
          <w:rFonts w:ascii="Times New Roman" w:cs="Times New Roman" w:eastAsia="Times New Roman" w:hAnsi="Times New Roman"/>
          <w:sz w:val="20"/>
          <w:szCs w:val="20"/>
          <w:color w:val="auto"/>
        </w:rPr>
        <w:t>”: for any period, with respect to any Person, the aggregate of all expenditures by such Person and its Subsidiaries for the acquisition or leasing (pursuant to a capital lease) of fixed or capital assets or additions to equipment (including replacements, capitalized repairs and improvements during such period) that should be capitalized under GAAP on a consolidated balance sheet of such Person and its Subsidiaries.</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Lease Obligations</w:t>
      </w:r>
      <w:r>
        <w:rPr>
          <w:rFonts w:ascii="Times New Roman" w:cs="Times New Roman" w:eastAsia="Times New Roman" w:hAnsi="Times New Roman"/>
          <w:sz w:val="20"/>
          <w:szCs w:val="20"/>
          <w:color w:val="auto"/>
        </w:rPr>
        <w:t>”: as to any Person, the obligations of such Person to pay rent or other amounts under any Finance Lease, and for the purposes of this Agreement, the amount of such obligations at any time shall be the capitalized amount thereof at such time determined in accordance with GAAP.</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Stock</w:t>
      </w:r>
      <w:r>
        <w:rPr>
          <w:rFonts w:ascii="Times New Roman" w:cs="Times New Roman" w:eastAsia="Times New Roman" w:hAnsi="Times New Roman"/>
          <w:sz w:val="20"/>
          <w:szCs w:val="20"/>
          <w:color w:val="auto"/>
        </w:rPr>
        <w:t>”: any and all shares, interests, participations or other equivalents (however designated) of capital stock of a corporation, any and all equivalent ownership interests in a Person (other than a corporation) and any and all warrants, rights or options to purchase any of the foregoing; provided that Capital Stock shall not include any debt securities that are convertible into or exchangeable for any combination of Capital Stock and/or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09"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money, currency or a credit balance in any deposit account, in each case determined in accordance with GAAP.</w:t>
      </w:r>
    </w:p>
    <w:p>
      <w:pPr>
        <w:spacing w:after="0" w:line="22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Cash Equivalents</w:t>
      </w:r>
      <w:r>
        <w:rPr>
          <w:rFonts w:ascii="Times New Roman" w:cs="Times New Roman" w:eastAsia="Times New Roman" w:hAnsi="Times New Roman"/>
          <w:sz w:val="19"/>
          <w:szCs w:val="19"/>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one year or less from the date of acquisition issued by any Lender or by any commercial bank organized under the laws of the United States or any state thereof or any United States branch of a foreign bank, in each case having combined capital and surplus of not less than $500,000,000; (c) commercial paper of an issuer rated at least A-2 by Standard &amp; Poor’s Financial Services LLC (together with any successor thereto, “</w:t>
      </w:r>
      <w:r>
        <w:rPr>
          <w:rFonts w:ascii="Times New Roman" w:cs="Times New Roman" w:eastAsia="Times New Roman" w:hAnsi="Times New Roman"/>
          <w:sz w:val="19"/>
          <w:szCs w:val="19"/>
          <w:b w:val="1"/>
          <w:bCs w:val="1"/>
          <w:color w:val="auto"/>
        </w:rPr>
        <w:t>S&amp;P</w:t>
      </w:r>
      <w:r>
        <w:rPr>
          <w:rFonts w:ascii="Times New Roman" w:cs="Times New Roman" w:eastAsia="Times New Roman" w:hAnsi="Times New Roman"/>
          <w:sz w:val="19"/>
          <w:szCs w:val="19"/>
          <w:color w:val="auto"/>
        </w:rPr>
        <w:t>”), P-2 by Moody’s Investors Service, Inc. (together with any successor thereto, “</w:t>
      </w:r>
      <w:r>
        <w:rPr>
          <w:rFonts w:ascii="Times New Roman" w:cs="Times New Roman" w:eastAsia="Times New Roman" w:hAnsi="Times New Roman"/>
          <w:sz w:val="19"/>
          <w:szCs w:val="19"/>
          <w:b w:val="1"/>
          <w:bCs w:val="1"/>
          <w:color w:val="auto"/>
        </w:rPr>
        <w:t>Moody’s</w:t>
      </w:r>
      <w:r>
        <w:rPr>
          <w:rFonts w:ascii="Times New Roman" w:cs="Times New Roman" w:eastAsia="Times New Roman" w:hAnsi="Times New Roman"/>
          <w:sz w:val="19"/>
          <w:szCs w:val="19"/>
          <w:color w:val="auto"/>
        </w:rPr>
        <w:t>”) or F2 by Fitch, or carrying an equivalent rating by a nationally recognized rating agency, if all of the three named rating agencies cease publishing ratings of commercial paper issuers generally, and maturing within one year from the date of acquisition; (d) repurchase obligations of any Lender or of any commercial bank 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(i) in the case of any such state, commonwealth, territory, political subdivision or taxing authority, at least A by S&amp;P, A by Moody’s or A by Fitch or (ii) in the case of a foreign government, at least BBB- by S&amp;P, Baa3 by Moody’s or BBB- by Fitch; (f) securities with maturities of one year or less from the date of acquisition backed by standby letters of credit issued by any Lender or any commercial bank satisfying the requirements of clause (b) of this definition; (g) shares of money market mutual or similar funds which invest exclusively in assets satisfying the requirements of clauses (a) through (f) of this definition; (h) money market funds that (i) comply with the criteria set forth in SEC Rule 2a-7 under the Investment Company Act of 1940, as amended, (ii) are rated AAA or Aaa, as applicable, by any two of S&amp;P, Moody’s and Fitch and (iii) have portfolio assets of at least $5,000,000,000; (i) debt securities of an issuer rated at least A-1 by S&amp;P, P-1 by Moody’s or F1 by Fitch, or carrying an equivalent rating by a nationally recognized rating agency; or (j) solely in respect of the ordinary course cash management activities of the Foreign Subsidiaries, (i) equivalents of the investments described in clause (a) above to the extent guaranteed by any member state of the European Union or the country in which the Foreign Subsidiary operates, (ii) equivalents of the investments described in clause (b) above issued, accepted or offered by any commercial bank organized under the laws of a member state of the European Union or the jurisdiction of organization of the applicable Foreign Subsidiary having at the acquisition thereof combined capital and surplus of not less than $250,000,000 and (iii) without limiting the foregoing sub-clauses (i) and (ii) of this clause (j), investments equivalent to those referenced in clauses (a) through (f) above denominated in foreign currencies and used by the Company for cash management purposes in the ordinary course of business consistent with past practice to the extent guaranteed, issued, accepted or offered by (x) any country in which such Foreign Subsidiary operates or is organized or (y) any commercial bank organized under the laws of the jurisdiction in which such Foreign Subsidiary operates or is organized, as applicable, in each case without regard to any minimum rating or capital requirement specified in clauses (a) through (i) above.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Management Obligations</w:t>
      </w:r>
      <w:r>
        <w:rPr>
          <w:rFonts w:ascii="Times New Roman" w:cs="Times New Roman" w:eastAsia="Times New Roman" w:hAnsi="Times New Roman"/>
          <w:sz w:val="20"/>
          <w:szCs w:val="20"/>
          <w:color w:val="auto"/>
        </w:rPr>
        <w:t>”: any obligation of the Company or any of its Subsidiaries in respect of (i) cash netting, overdrafts and related liabilities that arise from treasury, depositary or cash pooling or management services including in connection with any automated clearing house transfers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09" w:right="339" w:bottom="1440" w:gutter="0" w:footer="0" w:header="0"/>
        </w:sectPr>
      </w:pPr>
    </w:p>
    <w:bookmarkStart w:id="36" w:name="page37"/>
    <w:bookmarkEnd w:id="36"/>
    <w:p>
      <w:pPr>
        <w:jc w:val="both"/>
        <w:spacing w:after="0" w:line="269" w:lineRule="auto"/>
        <w:rPr>
          <w:sz w:val="20"/>
          <w:szCs w:val="20"/>
          <w:color w:val="auto"/>
        </w:rPr>
      </w:pPr>
      <w:r>
        <w:rPr>
          <w:rFonts w:ascii="Times New Roman" w:cs="Times New Roman" w:eastAsia="Times New Roman" w:hAnsi="Times New Roman"/>
          <w:sz w:val="19"/>
          <w:szCs w:val="19"/>
          <w:color w:val="auto"/>
        </w:rPr>
        <w:t>funds or any similar transactions including in connection with deposit accounts and (ii) credit, debit, travel and expense, corporate purchasing and/or other purchasing cards issued to or for the benefit or account of the Company or any of its Subsidiaries or their respective employees. For the avoidance of doubt, the parties agree that any Cash Management Obligation that was permitted to be entered into or designated as a Cash Management Obligation under this Agreement at the time such obligation was entered into or so designated shall continue to be secured by the Collateral even though a limitation under this Agreement may be exceeded solely as a result of a change in the currency exchange rates from the currency exchange rates applicable at the time such Cash Management Obligation was entered into or designated.</w:t>
      </w:r>
    </w:p>
    <w:p>
      <w:pPr>
        <w:spacing w:after="0" w:line="17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CFC</w:t>
      </w:r>
      <w:r>
        <w:rPr>
          <w:rFonts w:ascii="Times New Roman" w:cs="Times New Roman" w:eastAsia="Times New Roman" w:hAnsi="Times New Roman"/>
          <w:sz w:val="20"/>
          <w:szCs w:val="20"/>
          <w:color w:val="auto"/>
        </w:rPr>
        <w:t>”: each Person that is a direct or indirect Subsidiary of a U.S. Person (to the extent such Subsidiary is treated as a corporation for U.S. federal income tax purposes) and a “controlled foreign corporation” as defined in Section 957(a) of the Code.</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CFC Holding Company</w:t>
      </w:r>
      <w:r>
        <w:rPr>
          <w:rFonts w:ascii="Times New Roman" w:cs="Times New Roman" w:eastAsia="Times New Roman" w:hAnsi="Times New Roman"/>
          <w:sz w:val="20"/>
          <w:szCs w:val="20"/>
          <w:color w:val="auto"/>
        </w:rPr>
        <w:t>”: a direct or indirect Domestic Subsidiary of the Company with no material assets other than Capital Stock or debt that is treated as equity for United States federal income tax purposes of (a) one or more CFCs or (b) one or more CFC Holding Companies.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earliest to occur of:</w:t>
      </w:r>
    </w:p>
    <w:p>
      <w:pPr>
        <w:spacing w:after="0" w:line="220" w:lineRule="exact"/>
        <w:rPr>
          <w:sz w:val="20"/>
          <w:szCs w:val="20"/>
          <w:color w:val="auto"/>
        </w:rPr>
      </w:pPr>
    </w:p>
    <w:p>
      <w:pPr>
        <w:jc w:val="both"/>
        <w:ind w:firstLine="656"/>
        <w:spacing w:after="0" w:line="253" w:lineRule="auto"/>
        <w:tabs>
          <w:tab w:leader="none" w:pos="1104"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any Person or group (within the meaning of Section 13(d)(3) or Section 14(d)(2) of the Exchange Act as in effect on the Closing Date), including any group acting for the purpose of acquiring, holding or disposing of Securities (within the meaning of Rule 13d-5(b)(1) under the Exchange Act as in effect on the Closing Date), but excluding (i) any Employee Benefit Plan and/or Person acting as the trustee, agent or other fiduciary or administrator therefor and (ii) one or more of the direct or indirect beneficial owners of a majority of the aggregate ordinary voting power of the Company (or, to the extent applicable, the Holding Company) on a fully diluted basis as of the Closing Date, of Capital Stock representing more than 35% of the total voting power of all of the outstanding voting Capital Stock of the Company (or, to the extent applicable, the Holding Company); and</w:t>
      </w:r>
    </w:p>
    <w:p>
      <w:pPr>
        <w:spacing w:after="0" w:line="17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Remitly ceasing to be a direct or indirect Wholly Owned Subsidiary of the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the foregoing, a Change of Control shall be deemed not to have occurred pursuant to clause (a) above at any time if the Persons who directly or indirectly beneficial own a majority of the aggregate ordinary voting power of the Company on a fully diluted basis as of the Closing Date have, at such time, directly or indirectly, the right or the ability, by voting power, contract or otherwise, to elect or designate for election at least a majority of the Board of Directors of the Company.</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Notwithstanding the preceding clauses or any provision of Section 13d-3 of the Exchange Act as in effect on the Closing Date, (i) a Person or group shall be deemed not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(ii) if any group includes one or more of the direct or indirect beneficial owners of a majority of the aggregate ordinary voting power of the Company on a fully diluted basis, the issued and outstanding Capital Stock of the Company owned, directly or indirectly, by any direct or indirect beneficial owners of a majority of the aggregate ordinary voting power of the Company on a fully diluted basis that are part of such group shall not be treated as being beneficially owned by such group or any other member of such group for purposes of determining whether a Change of Control has occurred so long as one or more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20"/>
          <w:szCs w:val="20"/>
          <w:color w:val="auto"/>
        </w:rPr>
        <w:t>the direct or indirect beneficial owners of a majority of the aggregate ordinary voting power of the Company on a fully diluted basis hold in excess of 50% of the issued and outstanding Capital Stock owned, directly or indirectly, by such group and (iii) a Person or group will not be deemed to beneficially own the Capital Stock of another Person as a result of its ownership of the Capital Stock or other securities of such other Person’s parent entity (or related contractual rights) unless (A) it owns 50% or more of the total voting power of the Capital Stock entitled to vote for the election of directors or board of managers of such parent entity and (B) such directors or managers elected by the Person or group have a majority of the aggregate votes on the board of directors (or similar body) of such parent entity.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foregoing, a Holding Company Reorganization shall not constitute a Change of Control.</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Charge</w:t>
      </w:r>
      <w:r>
        <w:rPr>
          <w:rFonts w:ascii="Times New Roman" w:cs="Times New Roman" w:eastAsia="Times New Roman" w:hAnsi="Times New Roman"/>
          <w:sz w:val="20"/>
          <w:szCs w:val="20"/>
          <w:color w:val="auto"/>
        </w:rPr>
        <w:t>”: any fee, loss, charge, expense, cost, accrual or reserve of any kind.</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(a) when used with respect to any Lender, refers to whether such Lender has a Loan or Commitment with respect to a particular Class of Loans or Commitments, (b) when used with respect to Commitments, refers to whether such Commitments are Revolving Commitments, Extended Revolving Commitments of a given Extension Series, Extended Term Loans of a given Extension Series, Incremental Commitments or Refinancing Term Commitments of a given Refinancing Series and (c) when used with respect to Loans or a borrowing, refers to whether such Loans, or the Loans comprising such borrowing, are Revolving Loans, Incremental Revolving Loans, Revolving Loans under Extended Revolving Commitments of a given Extension Series, Revolving Loans under Other Revolving Commitments, Incremental Term Loans, Refinancing Term Loans of a given Refinancing Series or Extended Term Loans of a given Extension Series. Revolving Commitments, Extended Revolving Commitments, Incremental Commitments, Other Revolving Commitments or Refinancing Term Commitments (and in each case, the Loans made pursuant to such Commitments) that have different terms and conditions shall be construed to be in different Classes. Commitments (and, in each case, the Loans made pursuant to such Commitments) that have the same terms and conditions shall be construed to be in the same Class.</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the date on which the conditions precedent set forth in Section 5.2 are satisfied or waived in accordance with Section 10.1.</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CME Term SOFR Administrator</w:t>
      </w:r>
      <w:r>
        <w:rPr>
          <w:rFonts w:ascii="Times New Roman" w:cs="Times New Roman" w:eastAsia="Times New Roman" w:hAnsi="Times New Roman"/>
          <w:sz w:val="20"/>
          <w:szCs w:val="20"/>
          <w:color w:val="auto"/>
        </w:rPr>
        <w:t>”: CME Group Benchmark Administration Limited as administrator of the forward-looking term Secured Overnight Financing Rate (SOFR) (or a successor administrator).</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CNI Growth Amount</w:t>
      </w:r>
      <w:r>
        <w:rPr>
          <w:rFonts w:ascii="Times New Roman" w:cs="Times New Roman" w:eastAsia="Times New Roman" w:hAnsi="Times New Roman"/>
          <w:sz w:val="20"/>
          <w:szCs w:val="20"/>
          <w:color w:val="auto"/>
        </w:rPr>
        <w:t>”: at any date of determination, an amount (which amount shall not be less than zero) equal to 50% of Consolidated Net Income for the cumulative period from the first day of the fiscal quarter of the Company during which the Closing Date occurs to and including the last day of the most recently ended fiscal quarter of the Company for which financial statements have been delivered pursuant to Section 6.1 (treated as one accounting period).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the Internal Revenue Code of 1986, as amended from time to time.</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all property of the Loan Parties, now owned or hereafter acquired, upon which a Lien is or is purported to be created by any Security Document.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Account</w:t>
      </w:r>
      <w:r>
        <w:rPr>
          <w:rFonts w:ascii="Times New Roman" w:cs="Times New Roman" w:eastAsia="Times New Roman" w:hAnsi="Times New Roman"/>
          <w:sz w:val="20"/>
          <w:szCs w:val="20"/>
          <w:color w:val="auto"/>
        </w:rPr>
        <w:t>”: has the meaning assigned to it in Section 2.13(j).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Agent</w:t>
      </w:r>
      <w:r>
        <w:rPr>
          <w:rFonts w:ascii="Times New Roman" w:cs="Times New Roman" w:eastAsia="Times New Roman" w:hAnsi="Times New Roman"/>
          <w:sz w:val="20"/>
          <w:szCs w:val="20"/>
          <w:color w:val="auto"/>
        </w:rPr>
        <w:t>”: JPMorgan Chase Bank, N.A.</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Agreement</w:t>
      </w:r>
      <w:r>
        <w:rPr>
          <w:rFonts w:ascii="Times New Roman" w:cs="Times New Roman" w:eastAsia="Times New Roman" w:hAnsi="Times New Roman"/>
          <w:sz w:val="20"/>
          <w:szCs w:val="20"/>
          <w:color w:val="auto"/>
        </w:rPr>
        <w:t>”: the Collateral Agreement dated as of the Closing Date executed and delivered by the Company, Remitly and each Subsidiary Guarantor pursuant to this Agreement, a copy of which is attached hereto as Exhibit A-2, as the same may be amended,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as to any Lender, the Revolving Commitment of such Lender.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 Fee Rate</w:t>
      </w:r>
      <w:r>
        <w:rPr>
          <w:rFonts w:ascii="Times New Roman" w:cs="Times New Roman" w:eastAsia="Times New Roman" w:hAnsi="Times New Roman"/>
          <w:sz w:val="20"/>
          <w:szCs w:val="20"/>
          <w:color w:val="auto"/>
        </w:rPr>
        <w:t>”: 0.25% per annum.</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Commonly Controlled Entity</w:t>
      </w:r>
      <w:r>
        <w:rPr>
          <w:rFonts w:ascii="Times New Roman" w:cs="Times New Roman" w:eastAsia="Times New Roman" w:hAnsi="Times New Roman"/>
          <w:sz w:val="20"/>
          <w:szCs w:val="20"/>
          <w:color w:val="auto"/>
        </w:rPr>
        <w:t>”: an entity, whether or not incorporated, that is under common control with the Company within the meaning of Section 4001 of ERISA or is part of a group that includes the Company and that is treated as a single employer under Section 414 of the Code.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w:t>
      </w:r>
      <w:r>
        <w:rPr>
          <w:rFonts w:ascii="Times New Roman" w:cs="Times New Roman" w:eastAsia="Times New Roman" w:hAnsi="Times New Roman"/>
          <w:sz w:val="20"/>
          <w:szCs w:val="20"/>
          <w:color w:val="auto"/>
        </w:rPr>
        <w:t>”: as defined in Section 9.14(d).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as defined in the preamble 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 Stock</w:t>
      </w:r>
      <w:r>
        <w:rPr>
          <w:rFonts w:ascii="Times New Roman" w:cs="Times New Roman" w:eastAsia="Times New Roman" w:hAnsi="Times New Roman"/>
          <w:sz w:val="20"/>
          <w:szCs w:val="20"/>
          <w:color w:val="auto"/>
        </w:rPr>
        <w:t>”: Capital Stock of the Company that constitutes “</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within the meaning of Regulation U.</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a certificate duly executed by a Responsible Officer substantially in the form of Exhibit B.</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EBITDA</w:t>
      </w:r>
      <w:r>
        <w:rPr>
          <w:rFonts w:ascii="Times New Roman" w:cs="Times New Roman" w:eastAsia="Times New Roman" w:hAnsi="Times New Roman"/>
          <w:sz w:val="20"/>
          <w:szCs w:val="20"/>
          <w:color w:val="auto"/>
        </w:rPr>
        <w:t>”: for any period, Consolidated Net Income for such period; plus, without duplication and, to the extent deducted (and not added back) (or, in the case of clauses (g), (l) and (n), to the extent not included) in calculating Consolidated Net Income for such period, the sum of:</w:t>
      </w:r>
    </w:p>
    <w:p>
      <w:pPr>
        <w:spacing w:after="0" w:line="179"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income tax expense and (y) payroll tax expense related to stock options and other equity-based compensation expenses,</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Interest Expense, amortization or writeoff of debt discount and debt issuance costs and commissions, discounts and other fees, charges and expenses associated with Indebtedness (including with respect to the Loans and Indebtedness incurred in connection with the transactions contemplated herein),</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depreciation and amortization expense and impairment charges,</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09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and interest rate hedge termination costs in connection with any purchase or redemption of any Indebtedness and expenses associated with the equity component of, and any mark-to-market losses with respect to convertible notes (which amounts set forth in this clause (d) shall include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non-cash charges (excluding any such charge that constitutes an accrual of or a reserve for cash charges for any future</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period),</w:t>
      </w:r>
    </w:p>
    <w:p>
      <w:pPr>
        <w:spacing w:after="0" w:line="213"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charges and 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09" w:right="339" w:bottom="1440" w:gutter="0" w:footer="0" w:header="0"/>
        </w:sectPr>
      </w:pPr>
    </w:p>
    <w:bookmarkStart w:id="39" w:name="page40"/>
    <w:bookmarkEnd w:id="39"/>
    <w:p>
      <w:pPr>
        <w:jc w:val="both"/>
        <w:ind w:firstLine="656"/>
        <w:spacing w:after="0" w:line="264" w:lineRule="auto"/>
        <w:tabs>
          <w:tab w:leader="none" w:pos="1095"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pro forma adjustments, “run rate” cost savings, operating expense reductions and cost synergies, in each case, related to any Specified Transaction consummated by the Company or any of its Subsidiaries and projected by the Company in good faith to result from actions taken or expected to be taken (in the good faith determination of the Company) within 18 months after the date any such Specified Transaction is consummated, and (ii) any pro forma adjustments, “run rate” cost savings, operating expense reductions and cost synergies projected by the Company in good faith to result from actions either taken or expected to be taken (including in connection with any restructuring initiative, cost savings initiative, new initiative, business optimization activities, cost rationalization programs and/or similar initiatives or programs) within 18 months after the date of determination to take such action (any such pro forma adjustments, “run rate” cost savings, operating expense reductions or synergies set forth in clauses (i) and (ii), “</w:t>
      </w:r>
      <w:r>
        <w:rPr>
          <w:rFonts w:ascii="Times New Roman" w:cs="Times New Roman" w:eastAsia="Times New Roman" w:hAnsi="Times New Roman"/>
          <w:sz w:val="19"/>
          <w:szCs w:val="19"/>
          <w:b w:val="1"/>
          <w:bCs w:val="1"/>
          <w:color w:val="auto"/>
        </w:rPr>
        <w:t>Expected Cost Savings</w:t>
      </w:r>
      <w:r>
        <w:rPr>
          <w:rFonts w:ascii="Times New Roman" w:cs="Times New Roman" w:eastAsia="Times New Roman" w:hAnsi="Times New Roman"/>
          <w:sz w:val="19"/>
          <w:szCs w:val="19"/>
          <w:color w:val="auto"/>
        </w:rPr>
        <w:t>”) (in each case, calculated on a Pro Forma Basis as though the full recurring benefit of such Expected Cost Savings had been realized in full on the first day of such period); provided that (A) such Expected Cost Savings are reasonably identifiable and factually supportable, (B) no Expected Cost Savings shall be added pursuant to this clause (g) to the extent of the amount of actual benefits realized from such actions and to the extent duplicative of any expenses or charges relating to such Expected Cost Savings that are included in clause (a) through (f) above or (h) through (s) below and (C) such Expected Cost Savings shall not exceed 25% of Consolidated EBITDA (before giving effect to such adjustment) for such period,</w:t>
      </w:r>
    </w:p>
    <w:p>
      <w:pPr>
        <w:spacing w:after="0" w:line="183"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expenses relating to customary earn outs and similar obligations to the extent constituting Indebtedness;</w:t>
      </w:r>
    </w:p>
    <w:p>
      <w:pPr>
        <w:spacing w:after="0" w:line="215" w:lineRule="exact"/>
        <w:rPr>
          <w:rFonts w:ascii="Times New Roman" w:cs="Times New Roman" w:eastAsia="Times New Roman" w:hAnsi="Times New Roman"/>
          <w:sz w:val="20"/>
          <w:szCs w:val="20"/>
          <w:color w:val="auto"/>
        </w:rPr>
      </w:pPr>
    </w:p>
    <w:p>
      <w:pPr>
        <w:ind w:right="20" w:firstLine="656"/>
        <w:spacing w:after="0" w:line="283" w:lineRule="auto"/>
        <w:tabs>
          <w:tab w:leader="none" w:pos="111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and the amount of loss or discount on the sale of Permitted Receivables Assets and related assets in connection with a Permitted Receivables Financing;</w:t>
      </w:r>
    </w:p>
    <w:p>
      <w:pPr>
        <w:spacing w:after="0" w:line="159" w:lineRule="exact"/>
        <w:rPr>
          <w:rFonts w:ascii="Times New Roman" w:cs="Times New Roman" w:eastAsia="Times New Roman" w:hAnsi="Times New Roman"/>
          <w:sz w:val="20"/>
          <w:szCs w:val="20"/>
          <w:color w:val="auto"/>
        </w:rPr>
      </w:pPr>
    </w:p>
    <w:p>
      <w:pPr>
        <w:jc w:val="both"/>
        <w:ind w:firstLine="656"/>
        <w:spacing w:after="0" w:line="250" w:lineRule="auto"/>
        <w:tabs>
          <w:tab w:leader="none" w:pos="1059"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to the extent such charge is covered by insurance, indemnification or otherwise reimbursable by a third party (whether or not then realized so long as the Company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spacing w:after="0" w:line="19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unrealized net losses in the fair market value of any arrangements under Hedge Agreements;</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cash from operations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EBITDA for any previous period and not added back;</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2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non-controlling interest or minority interest charge consisting of income attributable to minority equity interests of third parties in any non-Wholly Owned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40" w:name="page41"/>
    <w:bookmarkEnd w:id="40"/>
    <w:p>
      <w:pPr>
        <w:ind w:firstLine="656"/>
        <w:spacing w:after="0" w:line="283" w:lineRule="auto"/>
        <w:tabs>
          <w:tab w:leader="none" w:pos="112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adjustments, exclusions and add-backs reflected in the financial model delivered to the Arrangers on or about May 15, 2025 (the “</w:t>
      </w:r>
      <w:r>
        <w:rPr>
          <w:rFonts w:ascii="Times New Roman" w:cs="Times New Roman" w:eastAsia="Times New Roman" w:hAnsi="Times New Roman"/>
          <w:sz w:val="20"/>
          <w:szCs w:val="20"/>
          <w:b w:val="1"/>
          <w:bCs w:val="1"/>
          <w:color w:val="auto"/>
        </w:rPr>
        <w:t>Company Model</w:t>
      </w:r>
      <w:r>
        <w:rPr>
          <w:rFonts w:ascii="Times New Roman" w:cs="Times New Roman" w:eastAsia="Times New Roman" w:hAnsi="Times New Roman"/>
          <w:sz w:val="20"/>
          <w:szCs w:val="20"/>
          <w:color w:val="auto"/>
        </w:rPr>
        <w:t>”);</w:t>
      </w:r>
    </w:p>
    <w:p>
      <w:pPr>
        <w:spacing w:after="0" w:line="146" w:lineRule="exact"/>
        <w:rPr>
          <w:rFonts w:ascii="Times New Roman" w:cs="Times New Roman" w:eastAsia="Times New Roman" w:hAnsi="Times New Roman"/>
          <w:sz w:val="20"/>
          <w:szCs w:val="20"/>
          <w:color w:val="auto"/>
        </w:rPr>
      </w:pPr>
    </w:p>
    <w:p>
      <w:pPr>
        <w:jc w:val="both"/>
        <w:ind w:firstLine="656"/>
        <w:spacing w:after="0" w:line="257" w:lineRule="auto"/>
        <w:tabs>
          <w:tab w:leader="none" w:pos="108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charges, expenses and costs in anticipation of, or preparation for, standalone compliance with the requirements of the Sarbanes-Oxley Act of 2002 and the rules and regulations promulgated in connection therewith and charges, expenses and costs in anticipation of, or preparation for, compliance with the provisions of the Securities Act of 1933, as amended, and the Exchange Act, as applicable to companies with equity or debt securities held by the public and the rules of national securities exchange for companies with listed equity or debt securities, including listing fees;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7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costs (including any settlement costs), expenses, fees, fines, penalties, judgments, legal settlements and other amounts associated with any restructuring, litigation (including any pending or threatened litigation), claim, proceeding or investigation related to or undertaken by the Company or any of its Subsidiaries, together with any related provision for taxes;</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and expenses incurred in connection with the preparation, negotiation and delivery of the Loan Documents;</w:t>
      </w:r>
    </w:p>
    <w:p>
      <w:pPr>
        <w:spacing w:after="0" w:line="215" w:lineRule="exact"/>
        <w:rPr>
          <w:rFonts w:ascii="Times New Roman" w:cs="Times New Roman" w:eastAsia="Times New Roman" w:hAnsi="Times New Roman"/>
          <w:sz w:val="20"/>
          <w:szCs w:val="20"/>
          <w:color w:val="auto"/>
        </w:rPr>
      </w:pPr>
    </w:p>
    <w:p>
      <w:pPr>
        <w:jc w:val="both"/>
        <w:ind w:firstLine="656"/>
        <w:spacing w:after="0" w:line="257" w:lineRule="auto"/>
        <w:tabs>
          <w:tab w:leader="none" w:pos="113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charge with respect to (i) any disposed, abandoned, divested and/or discontinued asset, property or operation (other than, at the option of the Company, any asset, property or operation pending the disposal, abandonment, divestiture and/or termination thereof), (ii) any disposal, abandonment, divestiture and/or discontinuation of any asset, property or operation (other than, at the option of the Company, relating to assets or properties held for sale or pending the divestiture or discontinuation thereof) and/or (iii) any facility that has been closed during such period; and</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charges, non-cash expenses or non-cash losses incurred as a result of the Pledge 1% campaign described in the Form</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S-1.</w:t>
      </w:r>
    </w:p>
    <w:p>
      <w:pPr>
        <w:spacing w:after="0" w:line="20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minus, to the extent taken into account in calculating Consolidated Net Income for such period, the sum of (a) interest income, (b) any non-cash income and (c) unrealized net gains in the fair market value of any arrangement under Hedge Agreements, all as determined on a consolidated basis. Notwithstanding anything herein to the contrary, (i) increases in deferred revenue for such period shall be added back to Consolidated Net Income in calculating Consolidated EBITDA for such period and (ii) decreases in deferred revenue for such period shall be subtracted from Consolidated Net Income in calculating Consolidated Adjusted EBITDA for such period.</w:t>
      </w:r>
    </w:p>
    <w:p>
      <w:pPr>
        <w:spacing w:after="0" w:line="16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First Lien Debt</w:t>
      </w:r>
      <w:r>
        <w:rPr>
          <w:rFonts w:ascii="Times New Roman" w:cs="Times New Roman" w:eastAsia="Times New Roman" w:hAnsi="Times New Roman"/>
          <w:sz w:val="20"/>
          <w:szCs w:val="20"/>
          <w:color w:val="auto"/>
        </w:rPr>
        <w:t>”: as to any Person at any date of determination, the aggregate principal amount of Consolidated Total Debt outstanding on such date that is secured by a first priority Lien on the Collateral.</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Interest Expense</w:t>
      </w:r>
      <w:r>
        <w:rPr>
          <w:rFonts w:ascii="Times New Roman" w:cs="Times New Roman" w:eastAsia="Times New Roman" w:hAnsi="Times New Roman"/>
          <w:sz w:val="20"/>
          <w:szCs w:val="20"/>
          <w:color w:val="auto"/>
        </w:rPr>
        <w:t>”: for any period, total cash interest expense of the Company and its Subsidiaries for such period determined in accordance with GAAP (excluding, to the extent otherwise included in such interest expense, (i) all premiums and interest rate hedge termination costs in connection with any purchase or redemption of any Indebtedness, (ii) any fees, including upfront fees, and any other fees and expenses associated or paid in connection with this Agreement or the consummation of the Transaction, (iii) annual agency fee, paid to the Administrative Agent, (iv) fees and expenses associated with any Investment permitted pursuant to Section 7.7 or any issuance of Capital Stock or Indebtedness permitted hereunder (whether or not consummated), (v) any interest component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20"/>
          <w:szCs w:val="20"/>
          <w:color w:val="auto"/>
        </w:rPr>
        <w:t>relating to the accretion or accrual of discounted liabilities and (vi) any writeoff of unamortized debt issuance costs upon any prepayment of any Indebtedness), net of cash interest income. Notwithstanding the foregoing, in the event that Company or a Subsidiary has entered into an operating lease in connection with a Permitted Sale/Leaseback, then Consolidated Interest Expense for any period shall be deemed to be increased by the interest component of lease payments under such operating lease made during such period.</w:t>
      </w:r>
    </w:p>
    <w:p>
      <w:pPr>
        <w:spacing w:after="0" w:line="16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Net Income</w:t>
      </w:r>
      <w:r>
        <w:rPr>
          <w:rFonts w:ascii="Times New Roman" w:cs="Times New Roman" w:eastAsia="Times New Roman" w:hAnsi="Times New Roman"/>
          <w:sz w:val="20"/>
          <w:szCs w:val="20"/>
          <w:color w:val="auto"/>
        </w:rPr>
        <w:t>”: for any period, the consolidated net income (or loss) of the Company and its Subsidiaries, determined on a consolidated basis in accordance with GAAP; provided that there shall be excluded, without duplication:</w:t>
      </w:r>
    </w:p>
    <w:p>
      <w:pPr>
        <w:spacing w:after="0" w:line="156" w:lineRule="exact"/>
        <w:rPr>
          <w:sz w:val="20"/>
          <w:szCs w:val="20"/>
          <w:color w:val="auto"/>
        </w:rPr>
      </w:pPr>
    </w:p>
    <w:p>
      <w:pPr>
        <w:ind w:right="20" w:firstLine="656"/>
        <w:spacing w:after="0" w:line="269" w:lineRule="auto"/>
        <w:tabs>
          <w:tab w:leader="none" w:pos="112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(or deficit) of any Person accrued prior to the date it becomes a Subsidiary of the Company or is merged into or consolidated with the Company or any of its Subsidiaries;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income (or deficit) of any Person (other than a Subsidiary of the Company) in which the Company or any of its Subsidiaries has an ownership interest, except to the extent that any such income is actually received by the Company or such Subsidiary in the form of dividends or similar distributions;</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4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undistributed earnings of any Subsidiary of the Company (other than a Loan Party)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6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goodwill or other asset impairment charges, write-offs or write-downs or amortization of intangibles;</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09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gain or charge attributable to any asset Disposition (including asset retirement costs or sales or issuances of Capital Stock) or of returned or surplus assets outside the ordinary course of business (as determined in good faith by such Person);</w:t>
      </w:r>
    </w:p>
    <w:p>
      <w:pPr>
        <w:spacing w:after="0" w:line="146" w:lineRule="exact"/>
        <w:rPr>
          <w:rFonts w:ascii="Times New Roman" w:cs="Times New Roman" w:eastAsia="Times New Roman" w:hAnsi="Times New Roman"/>
          <w:sz w:val="20"/>
          <w:szCs w:val="20"/>
          <w:color w:val="auto"/>
        </w:rPr>
      </w:pPr>
    </w:p>
    <w:p>
      <w:pPr>
        <w:jc w:val="both"/>
        <w:ind w:firstLine="656"/>
        <w:spacing w:after="0" w:line="254" w:lineRule="auto"/>
        <w:tabs>
          <w:tab w:leader="none" w:pos="1085"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unrealized or realized net foreign currency transactional gains or charges impacting net income (including currency re-measurements of Indebtedness, any net gains or charges resulting from Hedge Agreements for currency exchange risk associated with the above or any other currency related risk, any transactional gains or charges relating to assets and liabilities denominated in a currency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 a functional currency and those resulting from intercompany Indebtedness), (ii) any realized or unrealized gain or charge in respect of</w:t>
      </w:r>
    </w:p>
    <w:p>
      <w:pPr>
        <w:spacing w:after="0" w:line="6" w:lineRule="exact"/>
        <w:rPr>
          <w:sz w:val="20"/>
          <w:szCs w:val="20"/>
          <w:color w:val="auto"/>
        </w:rPr>
      </w:pPr>
    </w:p>
    <w:p>
      <w:pPr>
        <w:jc w:val="both"/>
        <w:ind w:firstLine="8"/>
        <w:spacing w:after="0" w:line="256" w:lineRule="auto"/>
        <w:tabs>
          <w:tab w:leader="none" w:pos="285"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under any Hedge Agreement as determined in accordance with GAAP and/or (y) any other derivative instrument pursuant to, in the case of this clause (y), Financial Accounting Standards Board’s Accounting Standards Codification No. 815-Derivatives and Hedging and (iii) unrealized gains or losses in respect of any Hedge Agreement;</w:t>
      </w:r>
    </w:p>
    <w:p>
      <w:pPr>
        <w:spacing w:after="0" w:line="173" w:lineRule="exact"/>
        <w:rPr>
          <w:rFonts w:ascii="Times New Roman" w:cs="Times New Roman" w:eastAsia="Times New Roman" w:hAnsi="Times New Roman"/>
          <w:sz w:val="20"/>
          <w:szCs w:val="20"/>
          <w:color w:val="auto"/>
        </w:rPr>
      </w:pPr>
    </w:p>
    <w:p>
      <w:pPr>
        <w:ind w:firstLine="656"/>
        <w:spacing w:after="0" w:line="283" w:lineRule="auto"/>
        <w:tabs>
          <w:tab w:leader="none" w:pos="1207"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 income or charge (including all fees and expenses related thereto) attributable to (i) the early extinguishment or cancellation of Indebtedness or (ii) any derivative transaction under a Hedge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05"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expenses resulting from any employee benefit or management compensation plan or grant of stock and stock options or other equity and equity-based interests to employees of the Company or any Subsidiary pursuant to a written plan or agreement (including expenses arising from the grant of stock and stock options prior to the Closing Date) or the treatment of such options or other equity and equity-based interests under variable plan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42" w:name="page43"/>
    <w:bookmarkEnd w:id="42"/>
    <w:p>
      <w:pPr>
        <w:jc w:val="both"/>
        <w:ind w:firstLine="656"/>
        <w:spacing w:after="0" w:line="261" w:lineRule="auto"/>
        <w:tabs>
          <w:tab w:leader="none" w:pos="10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charge that is established, adjusted and/or incurred (i) within 12 months after the closing of any acquisition that is required to be established, adjusted or incurred, as applicable, as a result of such acquisition in accordance with GAAP or (ii) as a result of any change in, or the adoption or modification of, accounting principles or policies;</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5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write-off or amortization made in such period of deferred financing costs and premiums paid or other expenses incurred directly in connection with any early extinguishment of Indebtedness, (ii) amortization of intangible assets and (iii) other amortization (including amortization of goodwill, software, deferred or capitalized financing fees, debt issuance costs, commissions and expenses and other intangible assets);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6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costs and expenses incurred, or amortization thereof, in connection with, to the extent permitted hereunder, any Investment, any issuance of debt or equity, any Disposition, any casualty event or any amendments or waivers of the Loan Documents, and refinancing, refunding, renewals or extensions permitted hereunder in connection therewith, in each case, whether or not consummated;</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3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compensation charges and/or any other non-cash charges arising from the granting of any stock, stock option or similar arrangement (including any profits interest) or the granting of any restricted stock, stock appreciation right and/or similar arrangement (including any repricing, amendment, modification, substitution or change of any such stock option, restricted stock, stock appreciation right, profits interest or similar arrangement or the vesting of any warrant);</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adjustments (including the effects of such adjustments pushed down to the Company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deferred revenue, advanced billing and debt line items thereof), resulting from the application of recapitalization accounting or acquisition or purchase accounting, as the case may be, in relation to any consummated acquisition or similar Investment or the amortization or write-off of any amounts thereof; and</w:t>
      </w:r>
    </w:p>
    <w:p>
      <w:pPr>
        <w:spacing w:after="0" w:line="19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extraordinary, exceptional one-time or nonrecurring gains or losses.</w:t>
      </w:r>
    </w:p>
    <w:p>
      <w:pPr>
        <w:spacing w:after="0" w:line="21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Assets</w:t>
      </w:r>
      <w:r>
        <w:rPr>
          <w:rFonts w:ascii="Times New Roman" w:cs="Times New Roman" w:eastAsia="Times New Roman" w:hAnsi="Times New Roman"/>
          <w:sz w:val="20"/>
          <w:szCs w:val="20"/>
          <w:color w:val="auto"/>
        </w:rPr>
        <w:t>”: at any date, all amounts that would, in conformity with GAAP, be set forth opposite the caption “total assets” (or any like caption) on a consolidated balance sheet of the Company and its Subsidiaries at such date.</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Consolidated Total Debt</w:t>
      </w:r>
      <w:r>
        <w:rPr>
          <w:rFonts w:ascii="Times New Roman" w:cs="Times New Roman" w:eastAsia="Times New Roman" w:hAnsi="Times New Roman"/>
          <w:sz w:val="20"/>
          <w:szCs w:val="20"/>
          <w:color w:val="auto"/>
        </w:rPr>
        <w:t>”: at any date, the aggregate principal amount of debt of the Company and its Subsidiaries at such date in an amount that would be reflected on a balance sheet prepared as of such date on a consolidated basis in accordance with GAAP (but excluding the effects of any discounting of Indebtedness resulting from the application of purchase accounting in connection with any permitted Investment), consisting of Indebtedness for borrowed money, obligations evidenced by notes, bonds (excluding surety bonds), debentures or similar instruments (other than an operating lease, synthetic lease or similar arrangement), purchase money indebtedness and Capital Lease Obligations.</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Purchase Price Obligations</w:t>
      </w:r>
      <w:r>
        <w:rPr>
          <w:rFonts w:ascii="Times New Roman" w:cs="Times New Roman" w:eastAsia="Times New Roman" w:hAnsi="Times New Roman"/>
          <w:sz w:val="20"/>
          <w:szCs w:val="20"/>
          <w:color w:val="auto"/>
        </w:rPr>
        <w:t>”: any earnout obligations or similar deferred or contingent purchase price obligations of the Company or any of its Subsidiaries incurred or created in connection with any acquisition to the extent such obligations are a liability on the consolidated balance sheet of the Company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43" w:name="page44"/>
    <w:bookmarkEnd w:id="43"/>
    <w:p>
      <w:pPr>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Contractual Obligation</w:t>
      </w:r>
      <w:r>
        <w:rPr>
          <w:rFonts w:ascii="Times New Roman" w:cs="Times New Roman" w:eastAsia="Times New Roman" w:hAnsi="Times New Roman"/>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38" w:lineRule="exact"/>
        <w:rPr>
          <w:sz w:val="20"/>
          <w:szCs w:val="20"/>
          <w:color w:val="auto"/>
        </w:rPr>
      </w:pPr>
    </w:p>
    <w:p>
      <w:pPr>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Agreement</w:t>
      </w:r>
      <w:r>
        <w:rPr>
          <w:rFonts w:ascii="Times New Roman" w:cs="Times New Roman" w:eastAsia="Times New Roman" w:hAnsi="Times New Roman"/>
          <w:sz w:val="20"/>
          <w:szCs w:val="20"/>
          <w:color w:val="auto"/>
        </w:rPr>
        <w:t>”: as defined in Section 7.11(c).</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any of the following:</w:t>
      </w:r>
    </w:p>
    <w:p>
      <w:pPr>
        <w:spacing w:after="0" w:line="233" w:lineRule="exact"/>
        <w:rPr>
          <w:sz w:val="20"/>
          <w:szCs w:val="20"/>
          <w:color w:val="auto"/>
        </w:rPr>
      </w:pPr>
    </w:p>
    <w:p>
      <w:pPr>
        <w:ind w:left="1680" w:hanging="376"/>
        <w:spacing w:after="0"/>
        <w:tabs>
          <w:tab w:leader="none" w:pos="16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29" w:lineRule="exact"/>
        <w:rPr>
          <w:rFonts w:ascii="Times New Roman" w:cs="Times New Roman" w:eastAsia="Times New Roman" w:hAnsi="Times New Roman"/>
          <w:sz w:val="20"/>
          <w:szCs w:val="20"/>
          <w:color w:val="auto"/>
        </w:rPr>
      </w:pPr>
    </w:p>
    <w:p>
      <w:pPr>
        <w:ind w:left="660" w:right="1560" w:firstLine="644"/>
        <w:spacing w:after="0" w:line="469" w:lineRule="auto"/>
        <w:tabs>
          <w:tab w:leader="none" w:pos="1803"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as defined in Section 10.23.</w:t>
      </w:r>
    </w:p>
    <w:p>
      <w:pPr>
        <w:spacing w:after="0" w:line="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Agreement Refinancing Indebtedness</w:t>
      </w:r>
      <w:r>
        <w:rPr>
          <w:rFonts w:ascii="Times New Roman" w:cs="Times New Roman" w:eastAsia="Times New Roman" w:hAnsi="Times New Roman"/>
          <w:sz w:val="20"/>
          <w:szCs w:val="20"/>
          <w:color w:val="auto"/>
        </w:rPr>
        <w:t>”: Indebtedness constituting (a) Permitted First Priority Refinancing Debt, (b) Permitted Junior Lien Refinancing Debt or (c) Permitted Unsecured Refinancing Debt; provided that (i) such Indebtedness shall not have a greater principal amount than the principal amount (or accreted value, if applicable) of the Refinanced Debt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 (ii) the other terms and conditions of such Indebtedness shall not be materially more restrictive (taken as a whole) on the Company and its Subsidiaries (as determined by the Company in good faith) than those applicable to the Refinanced Debt being refinanced or replaced (except for covenants or other provisions (I) that reflect market terms and conditions (taken as a whole) at the time of incurrence (as determined by the Company in good faith), (II) that are reasonably satisfactory to the Administrative Agent, (III) that are applicable only to periods after the Latest Maturity Date at the time of incurrence of such Indebtedness, or (IV) that are also added for the benefit of each Facility remaining outstanding (provided that, in the case of each of clauses (I), (II) and (IV), if any financial maintenance covenant for the benefit of any Credit Agreement Refinancing Indebtedness is added or is more restrictive than the financial maintenance covenants then applicable to any then-existing Revolving Facility, such financial maintenance covenant shall be applied to any then-existing Revolving Facility) and (iii) such Refinanced Debt shall be repaid, repurchased, retired, defeased or satisfied and discharged, all accrued interest, fees, premiums (if any) and penalties in connection therewith shall be paid, and all commitments thereunder terminated, on the date such Credit Agreement Refinancing Indebtedness is issued, incurred or obtained.</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Party</w:t>
      </w:r>
      <w:r>
        <w:rPr>
          <w:rFonts w:ascii="Times New Roman" w:cs="Times New Roman" w:eastAsia="Times New Roman" w:hAnsi="Times New Roman"/>
          <w:sz w:val="20"/>
          <w:szCs w:val="20"/>
          <w:color w:val="auto"/>
        </w:rPr>
        <w:t>”: the Administrative Agent, any Issuing Bank, the Swingline Lender or any other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09" w:right="339" w:bottom="1440" w:gutter="0" w:footer="0" w:header="0"/>
        </w:sectPr>
      </w:pPr>
    </w:p>
    <w:bookmarkStart w:id="44" w:name="page45"/>
    <w:bookmarkEnd w:id="44"/>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 Advance</w:t>
      </w:r>
      <w:r>
        <w:rPr>
          <w:rFonts w:ascii="Times New Roman" w:cs="Times New Roman" w:eastAsia="Times New Roman" w:hAnsi="Times New Roman"/>
          <w:sz w:val="20"/>
          <w:szCs w:val="20"/>
          <w:color w:val="auto"/>
        </w:rPr>
        <w:t>”: any loan, advance or other funding to any customer of the Borrowers and their Subsidiaries in connection with any lending and/or non-recourse product offering of the Borrowers and their Subsidiaries.</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 Guarantee</w:t>
      </w:r>
      <w:r>
        <w:rPr>
          <w:rFonts w:ascii="Times New Roman" w:cs="Times New Roman" w:eastAsia="Times New Roman" w:hAnsi="Times New Roman"/>
          <w:sz w:val="20"/>
          <w:szCs w:val="20"/>
          <w:color w:val="auto"/>
        </w:rPr>
        <w:t>”: any Guarantee Obligation of the Borrowers and their Subsidiaries in respect of any loan, advance or other funding provided by third-party banking institutions to customers of the Borrowers and their Subsidiaries in connection with any lending and/or non-recourse product offering of the Borrowers and their Subsidiaries.</w:t>
      </w:r>
    </w:p>
    <w:p>
      <w:pPr>
        <w:spacing w:after="0" w:line="1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b w:val="1"/>
          <w:bCs w:val="1"/>
          <w:color w:val="auto"/>
        </w:rPr>
        <w:t>SOFR Rate Day</w:t>
      </w:r>
      <w:r>
        <w:rPr>
          <w:rFonts w:ascii="Times New Roman" w:cs="Times New Roman" w:eastAsia="Times New Roman" w:hAnsi="Times New Roman"/>
          <w:sz w:val="20"/>
          <w:szCs w:val="20"/>
          <w:color w:val="auto"/>
        </w:rPr>
        <w:t>”), a rate per annum equal to SOFR for the day (such day “</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Determination Date</w:t>
      </w:r>
      <w:r>
        <w:rPr>
          <w:rFonts w:ascii="Times New Roman" w:cs="Times New Roman" w:eastAsia="Times New Roman" w:hAnsi="Times New Roman"/>
          <w:sz w:val="20"/>
          <w:szCs w:val="20"/>
          <w:color w:val="auto"/>
        </w:rPr>
        <w:t>”) that is five (5) U.S. Government Securities Business Days prior to (i) if such SOFR Rate Day is a U.S. Government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provided that if Daily Simple SOFR as so determined would be less than the Floor, such rate shall be deemed to be equal to the Floor for purposes of this Agreement. Any change in Daily Simple SOFR due to a change in SOFR shall be effective from and including the effective date of such change in SOFR without notice to the Borrowers. If by 5:00 p.m. (New York City time) on the second (2nd) U.S. Government Securities Business Day immediately following any SOFR Determination Date, SOFR in respect of such SOFR Determination Date has not been published on the SOFR Administrator’s Website and a Benchmark Replacement Date with respect to the Daily Simple SOFR has not occurred, then SOFR for such SOFR Determination Date will be SOFR as published in respect of the first preceding U.S. Government Securities Business Day for which such SOFR was published on the SOFR Administrator’s Website.</w:t>
      </w:r>
    </w:p>
    <w:p>
      <w:pPr>
        <w:spacing w:after="0" w:line="17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any of the events specified in Section 8, whether or not any requirement for the giving of notice, the lapse of time, or both, has been satisfied.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Right</w:t>
      </w:r>
      <w:r>
        <w:rPr>
          <w:rFonts w:ascii="Times New Roman" w:cs="Times New Roman" w:eastAsia="Times New Roman" w:hAnsi="Times New Roman"/>
          <w:sz w:val="20"/>
          <w:szCs w:val="20"/>
          <w:color w:val="auto"/>
        </w:rPr>
        <w:t>”: as defined in, and shall be interpreted in accordance with, 12 C.F.R. §§ 252.81, 47.2 or 382.1, as applicable.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the Swingline Lender or any other Lender any other amount required to be paid by it hereunder (including in respect of its participation in Letters of Credit or Swingline Loans) within two Business Days of the date when due, (b) has notified the Company, the Administrative Agent, any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(provided that such Lender shall cease to be a Defaulting Lender pursuant to this clause (c) upon receipt of such written confirmation by the Administrative Agent and the Company), or (d) has, or has a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20"/>
          <w:szCs w:val="20"/>
          <w:color w:val="auto"/>
        </w:rPr>
        <w:t>company that has, (i) become the subject of any bankruptcy or insolvency proceeding,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(but excluding any receiver, custodian, conservator, trustee, administrator or similar Person appointed by a regulatory authority under or based on the applicable law in the country where such Person is subject to home jurisdiction supervision if applicable law requires that such appointment is not to be publicly disclosed); provided that a Lender shall not be a Defaulting Lender solely by virtue of the ownership or acquisition of any equity interest in that Lender or any direct or indirect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upon delivery of written notice of such determination to the Company, each Issuing Bank, the Swingline Lender and each Lender. For the avoidance of doubt, any Defaulting Revolving Lender shall be deemed a Defaulting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Revolving Lender</w:t>
      </w:r>
      <w:r>
        <w:rPr>
          <w:rFonts w:ascii="Times New Roman" w:cs="Times New Roman" w:eastAsia="Times New Roman" w:hAnsi="Times New Roman"/>
          <w:sz w:val="20"/>
          <w:szCs w:val="20"/>
          <w:color w:val="auto"/>
        </w:rPr>
        <w:t>”: as defined in Section 2.27.</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Designated Non-Cash Consideration</w:t>
      </w:r>
      <w:r>
        <w:rPr>
          <w:rFonts w:ascii="Times New Roman" w:cs="Times New Roman" w:eastAsia="Times New Roman" w:hAnsi="Times New Roman"/>
          <w:sz w:val="20"/>
          <w:szCs w:val="20"/>
          <w:color w:val="auto"/>
        </w:rPr>
        <w:t>”: the fair market value (as determined by the Company in good faith) of non-cash consideration received by the Company or any Subsidiary in connection with any Disposition pursuant to Section 7.5(h) that is designated as Designated Non-Cash Consideration by a Responsible Officer of the Company (which amount will be reduced by the amount of cash or Cash Equivalents received in connection with a subsequent sale or conversion of such Designated Non-Cash Consideration to cash or Cash Equivalents).</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with respect to any property or right, any sale, lease, license, sale and leaseback, assignment, conveyance, transfer or other disposition thereof (other than any transaction for purposes of collateral or security to the extent permitted hereunder). The terms “Dispose” and “Disposed of” shall have correlative meanings.</w:t>
      </w:r>
    </w:p>
    <w:p>
      <w:pPr>
        <w:spacing w:after="0" w:line="17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Capital Stock</w:t>
      </w:r>
      <w:r>
        <w:rPr>
          <w:rFonts w:ascii="Times New Roman" w:cs="Times New Roman" w:eastAsia="Times New Roman" w:hAnsi="Times New Roman"/>
          <w:sz w:val="20"/>
          <w:szCs w:val="20"/>
          <w:color w:val="auto"/>
        </w:rPr>
        <w:t>”: any Capital Stock of the Company which is not Qualified Capital Stock. 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Borrowers or any of their Subsidiaries, such Capital Stock shall not constitute Disqualified Capital Stock solely because it may be required to be repurchased by the issuer thereof in order to satisfy applicable statutory or regulatory obligations and (B) no Capital Stock held by any Permitted Payee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9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Lender</w:t>
      </w:r>
      <w:r>
        <w:rPr>
          <w:rFonts w:ascii="Times New Roman" w:cs="Times New Roman" w:eastAsia="Times New Roman" w:hAnsi="Times New Roman"/>
          <w:sz w:val="20"/>
          <w:szCs w:val="20"/>
          <w:color w:val="auto"/>
        </w:rPr>
        <w:t>”: (i) competitors of the Company and its Subsidiaries identified from time to time to the Administrative Agent, (ii) persons identified to the Arrangers prior to June 24, 2025 (the list of such Persons identified pursuant to clauses (i) and (ii), the “</w:t>
      </w:r>
      <w:r>
        <w:rPr>
          <w:rFonts w:ascii="Times New Roman" w:cs="Times New Roman" w:eastAsia="Times New Roman" w:hAnsi="Times New Roman"/>
          <w:sz w:val="20"/>
          <w:szCs w:val="20"/>
          <w:b w:val="1"/>
          <w:bCs w:val="1"/>
          <w:color w:val="auto"/>
        </w:rPr>
        <w:t>Disqualified Lenders List</w:t>
      </w:r>
      <w:r>
        <w:rPr>
          <w:rFonts w:ascii="Times New Roman" w:cs="Times New Roman" w:eastAsia="Times New Roman" w:hAnsi="Times New Roman"/>
          <w:sz w:val="20"/>
          <w:szCs w:val="20"/>
          <w:color w:val="auto"/>
        </w:rPr>
        <w:t>”) and (iii)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46" w:name="page47"/>
    <w:bookmarkEnd w:id="46"/>
    <w:p>
      <w:pPr>
        <w:jc w:val="both"/>
        <w:spacing w:after="0" w:line="269" w:lineRule="auto"/>
        <w:rPr>
          <w:sz w:val="20"/>
          <w:szCs w:val="20"/>
          <w:color w:val="auto"/>
        </w:rPr>
      </w:pPr>
      <w:r>
        <w:rPr>
          <w:rFonts w:ascii="Times New Roman" w:cs="Times New Roman" w:eastAsia="Times New Roman" w:hAnsi="Times New Roman"/>
          <w:sz w:val="19"/>
          <w:szCs w:val="19"/>
          <w:color w:val="auto"/>
        </w:rPr>
        <w:t>each case of clauses (i) and (ii), any of such person’s Affiliates (other than any Bona Fide Debt Fund that would not be a Disqualified Lender but for this clause (iii)) that are (x) clearly identifiable solely by similarity of name or (y) identified in writing by the Company from time to time to the Administrative Agent; provided that, notwithstanding anything herein to the contrary, (A) in no event shall a supplement apply retroactively to disqualify any parties that have previously acquired an assignment or participation interest in any Loans or Commitments under the Facilities that is otherwise permitted hereunder and (B) no supplements shall become effective until three Business Days after delivery by the Company to the Administrative Agent of such supplement by electronic mail to JPMDQ_Contact@jpmorgan.com.</w:t>
      </w:r>
    </w:p>
    <w:p>
      <w:pPr>
        <w:spacing w:after="0" w:line="17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Lenders List</w:t>
      </w:r>
      <w:r>
        <w:rPr>
          <w:rFonts w:ascii="Times New Roman" w:cs="Times New Roman" w:eastAsia="Times New Roman" w:hAnsi="Times New Roman"/>
          <w:sz w:val="20"/>
          <w:szCs w:val="20"/>
          <w:color w:val="auto"/>
        </w:rPr>
        <w:t>”: as defined in clause (ii) of the definition of “Disqualified Lender”, as the same may be supplemented from time to time pursuant to clauses (i) and (iii)(y) of the definition of “Disqualified Lender”.</w:t>
      </w:r>
    </w:p>
    <w:p>
      <w:pPr>
        <w:spacing w:after="0" w:line="1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Dollar Equivalent</w:t>
      </w:r>
      <w:r>
        <w:rPr>
          <w:rFonts w:ascii="Times New Roman" w:cs="Times New Roman" w:eastAsia="Times New Roman" w:hAnsi="Times New Roman"/>
          <w:sz w:val="19"/>
          <w:szCs w:val="19"/>
          <w:color w:val="auto"/>
        </w:rPr>
        <w:t>” means, for any amount, at the time of determination thereof, (a) if such amount is expressed in U.S. Dollars, such amount, (b) if such amount is expressed in an Alternative Currency, the equivalent of such amount in U.S. Dollars determined by using the rate of exchange for the purchase of U.S.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U.S. Dollars with the Alternative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U.S. Dollars as determined by the Administrative Agent using any method of determination it deems appropriate in its reasonable discretion) and (c) if such amount is denominated in any other currency, the equivalent of such amount in U.S. Dollars as determined by the Administrative Agent using any method of determination it deems appropriate in its reasonable discretion.</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Funding Office</w:t>
      </w:r>
      <w:r>
        <w:rPr>
          <w:rFonts w:ascii="Times New Roman" w:cs="Times New Roman" w:eastAsia="Times New Roman" w:hAnsi="Times New Roman"/>
          <w:sz w:val="20"/>
          <w:szCs w:val="20"/>
          <w:color w:val="auto"/>
        </w:rPr>
        <w:t>”: the Administrative Agent’s office as may be designated by the Administrative Agent by written notice to the Company and the Lenders.</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Subsidiary</w:t>
      </w:r>
      <w:r>
        <w:rPr>
          <w:rFonts w:ascii="Times New Roman" w:cs="Times New Roman" w:eastAsia="Times New Roman" w:hAnsi="Times New Roman"/>
          <w:sz w:val="20"/>
          <w:szCs w:val="20"/>
          <w:color w:val="auto"/>
        </w:rPr>
        <w:t>”: any Subsidiary of the Company organized under the laws of the United States or any state thereof or the District of Columbia.</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29"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47" w:name="page48"/>
    <w:bookmarkEnd w:id="47"/>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Electronic Signature</w:t>
      </w:r>
      <w:r>
        <w:rPr>
          <w:rFonts w:ascii="Times New Roman" w:cs="Times New Roman" w:eastAsia="Times New Roman" w:hAnsi="Times New Roman"/>
          <w:sz w:val="20"/>
          <w:szCs w:val="20"/>
          <w:color w:val="auto"/>
        </w:rPr>
        <w:t>”: an electronic sound, symbol, or process attached to, or associated with, a contract or other record and adopted by a Person with the intent to sign, authenticate or accept such contract or record.</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as to any Person, any and all Requirements of Law (including common law) regulating, relating to or imposing liability or standards of conduct concerning protection of human health (solely as it relates to exposure to Materials of Environmental Concern) or the environment, as now or may at any time hereafter be in effect.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the Employee Retirement Income Security Act of 1974, as amended from time to time.</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65" w:lineRule="exact"/>
        <w:rPr>
          <w:sz w:val="20"/>
          <w:szCs w:val="20"/>
          <w:color w:val="auto"/>
        </w:rPr>
      </w:pPr>
    </w:p>
    <w:p>
      <w:pPr>
        <w:ind w:right="70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Euro</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of the member states of the European Union that have adopted a single currency in accordance with applicable law or treaty.</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any of the events specified in Section 8; provided that any requirement for the giving of notice, the lapse of time, or both, has been satisfied.</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the Securities Exchange Act of 1934, as amended.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 as defined in the Collateral Agreement.</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Subsidiary</w:t>
      </w:r>
      <w:r>
        <w:rPr>
          <w:rFonts w:ascii="Times New Roman" w:cs="Times New Roman" w:eastAsia="Times New Roman" w:hAnsi="Times New Roman"/>
          <w:sz w:val="19"/>
          <w:szCs w:val="19"/>
          <w:color w:val="auto"/>
        </w:rPr>
        <w:t>”: (i) any Foreign Subsidiary or any CFC, (ii) any Subsidiary that is not a Wholly Owned Subsidiary, (iii) any Immaterial Subsidiary, (iv) any Finance Subsidiary or any Special Purpose Finance Subsidiary, (v) any CFC Holding Company, (vi) any Subsidiary of a CFC or a CFC Holding Company, (vii) any Unrestricted Subsidiary, (viii) any Subsidiary that is prohibited by applicable law existing on the Closing Date or by applicable law or contractual obligation existing on the Closing Date or at the time of the formation or acquisition by the Company (or any of its Subsidiaries) of such Subsidiary (including pursuant to Indebtedness permitted to be incurred hereunder as assumed Indebtedness if the terms of such Indebtedness prohibit such Subsidiary from guaranteeing the Obligations) (so long as such contractual obligation is not in favor of the Company or any subsidiary of the Company or entered into in contemplation of such formation or acquisition) from providing a guarantee under the Guarantee Agreement or from having a Lien on its Capital Stock to secure the Obligations, as the context may require, for so long as such prohibition exists, or if such guarantee or such Lien, as the context may require, would require governmental (including regulatory) consent, approval, license or authorization (unless such consent, approval, license or authorization has been obtained, it being understood that the Company shall have no obligation to obtain any such consent, approval, license or authorization), (ix) any Subsidiary that is a not-for-profit organization, broker dealer, captive insurance subsidiaries and other special purpose subsidiaries, (x) any Subsidiary whose provision of a guarantee would result in materially adverse tax consequences to the Company and its Subsidiaries as reasonably determined by the Company, (xi) any Subsidiary listed in Schedule 1.1D hereto on the Closing Date and</w:t>
      </w:r>
    </w:p>
    <w:p>
      <w:pPr>
        <w:spacing w:after="0" w:line="2" w:lineRule="exact"/>
        <w:rPr>
          <w:sz w:val="20"/>
          <w:szCs w:val="20"/>
          <w:color w:val="auto"/>
        </w:rPr>
      </w:pPr>
    </w:p>
    <w:p>
      <w:pPr>
        <w:jc w:val="both"/>
        <w:ind w:firstLine="8"/>
        <w:spacing w:after="0" w:line="248" w:lineRule="auto"/>
        <w:tabs>
          <w:tab w:leader="none" w:pos="40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other Subsidiary with respect to which, in the reasonable judgment of the Company, the burden or cost (including any adverse tax consequence) of providing a guarantee under the Guarantee Agreement or a Lien on its Capital Stock to secure the Obligations, as the context may require, will outweigh the benefits to be obtained by the Lenders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in no event shall any Borrower be an Excluded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9" w:right="339" w:bottom="1440" w:gutter="0" w:footer="0" w:header="0"/>
        </w:sectPr>
      </w:pPr>
    </w:p>
    <w:bookmarkStart w:id="48" w:name="page49"/>
    <w:bookmarkEnd w:id="48"/>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with respect to any Guarantor (a) any Swap Obligation if, and to the extent that, and only for so long as, all or a portion of the guarantee of such Guarantor of, or the grant by such Guarantor of a security interest to secure, as applicable, such Swap Obligation (or any guarantee thereof) is or becomes illegal under the Commodity Exchange Act or any rule, regulation or order of the Commodity Futures Trading Commission (or the application or official interpretation of any thereof) by virtue of such Guarantor’s failure to constitute an “eligible contract participant,” as defined in the Commodity Exchange Act and the regulations thereunder,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counterparty applicable to such Swap Obligations, and agreed by the Administrative Agent.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87"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means the Revolving Credit and Guaranty Agreement dated as of September 13, 2021 (as amended, restated, amended and restated, supplemented or otherwise modified prior to the date hereof), among the Borrowers and JPMorgan Chase Bank, N.A. as administrative agent and collateral agent.</w:t>
      </w:r>
    </w:p>
    <w:p>
      <w:pPr>
        <w:spacing w:after="0" w:line="175"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 Refinancing</w:t>
      </w:r>
      <w:r>
        <w:rPr>
          <w:rFonts w:ascii="Times New Roman" w:cs="Times New Roman" w:eastAsia="Times New Roman" w:hAnsi="Times New Roman"/>
          <w:sz w:val="20"/>
          <w:szCs w:val="20"/>
          <w:color w:val="auto"/>
        </w:rPr>
        <w:t>” means the payment in full of all principal, interest, fees and other amounts (other than contingent indemnification obligations and other obligations that survive the termination thereof pursuant to the express terms thereof) due or outstanding under the Existing Credit Agreement, the termination of all commitments thereunder and the discharge or release of all Guarantees and Liens provided thereunder.</w:t>
      </w:r>
    </w:p>
    <w:p>
      <w:pPr>
        <w:spacing w:after="0" w:line="164"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Letters of Credit</w:t>
      </w:r>
      <w:r>
        <w:rPr>
          <w:rFonts w:ascii="Times New Roman" w:cs="Times New Roman" w:eastAsia="Times New Roman" w:hAnsi="Times New Roman"/>
          <w:sz w:val="20"/>
          <w:szCs w:val="20"/>
          <w:color w:val="auto"/>
        </w:rPr>
        <w:t>” means each letter of credit set forth on Schedule 1.1E that was issued prior to the Amendment No. 1 Effective Date for the account of, or guaranteed by, either or both of the Borrowers or any of their Subsidiaries and that is outstanding on the Amendment No. 1 Effective Date.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Revolver Tranche</w:t>
      </w:r>
      <w:r>
        <w:rPr>
          <w:rFonts w:ascii="Times New Roman" w:cs="Times New Roman" w:eastAsia="Times New Roman" w:hAnsi="Times New Roman"/>
          <w:sz w:val="20"/>
          <w:szCs w:val="20"/>
          <w:color w:val="auto"/>
        </w:rPr>
        <w:t>”: as defined in Section 2.24(a)(II).</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Expected Cost Savings</w:t>
      </w:r>
      <w:r>
        <w:rPr>
          <w:rFonts w:ascii="Times New Roman" w:cs="Times New Roman" w:eastAsia="Times New Roman" w:hAnsi="Times New Roman"/>
          <w:sz w:val="20"/>
          <w:szCs w:val="20"/>
          <w:color w:val="auto"/>
        </w:rPr>
        <w:t>”: as defined in the definition of “Consolidated EBITDA”.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Revolving Commitments</w:t>
      </w:r>
      <w:r>
        <w:rPr>
          <w:rFonts w:ascii="Times New Roman" w:cs="Times New Roman" w:eastAsia="Times New Roman" w:hAnsi="Times New Roman"/>
          <w:sz w:val="20"/>
          <w:szCs w:val="20"/>
          <w:color w:val="auto"/>
        </w:rPr>
        <w:t>”: as defined in Section 2.24(a)(II).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Extended Term Loans</w:t>
      </w:r>
      <w:r>
        <w:rPr>
          <w:rFonts w:ascii="Times New Roman" w:cs="Times New Roman" w:eastAsia="Times New Roman" w:hAnsi="Times New Roman"/>
          <w:sz w:val="20"/>
          <w:szCs w:val="20"/>
          <w:color w:val="auto"/>
        </w:rPr>
        <w:t>”: as defined in Section 2.24(a).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Extending Revolving Lender</w:t>
      </w:r>
      <w:r>
        <w:rPr>
          <w:rFonts w:ascii="Times New Roman" w:cs="Times New Roman" w:eastAsia="Times New Roman" w:hAnsi="Times New Roman"/>
          <w:sz w:val="20"/>
          <w:szCs w:val="20"/>
          <w:color w:val="auto"/>
        </w:rPr>
        <w:t>”: as defined in Section 2.24(b).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as defined in Section 2.24(c).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Election</w:t>
      </w:r>
      <w:r>
        <w:rPr>
          <w:rFonts w:ascii="Times New Roman" w:cs="Times New Roman" w:eastAsia="Times New Roman" w:hAnsi="Times New Roman"/>
          <w:sz w:val="20"/>
          <w:szCs w:val="20"/>
          <w:color w:val="auto"/>
        </w:rPr>
        <w:t>”: as defined in Section 2.24(b).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Request</w:t>
      </w:r>
      <w:r>
        <w:rPr>
          <w:rFonts w:ascii="Times New Roman" w:cs="Times New Roman" w:eastAsia="Times New Roman" w:hAnsi="Times New Roman"/>
          <w:sz w:val="20"/>
          <w:szCs w:val="20"/>
          <w:color w:val="auto"/>
        </w:rPr>
        <w:t>”: as defined in Section 2.24(b).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Series</w:t>
      </w:r>
      <w:r>
        <w:rPr>
          <w:rFonts w:ascii="Times New Roman" w:cs="Times New Roman" w:eastAsia="Times New Roman" w:hAnsi="Times New Roman"/>
          <w:sz w:val="20"/>
          <w:szCs w:val="20"/>
          <w:color w:val="auto"/>
        </w:rPr>
        <w:t>”: as defined in Section 2.24(b).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09" w:right="339" w:bottom="1440" w:gutter="0" w:footer="0" w:header="0"/>
        </w:sectPr>
      </w:pPr>
    </w:p>
    <w:bookmarkStart w:id="49" w:name="page50"/>
    <w:bookmarkEnd w:id="49"/>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each of (a) the Revolving Commitments and the extensions of credit made thereunder (the “</w:t>
      </w:r>
      <w:r>
        <w:rPr>
          <w:rFonts w:ascii="Times New Roman" w:cs="Times New Roman" w:eastAsia="Times New Roman" w:hAnsi="Times New Roman"/>
          <w:sz w:val="20"/>
          <w:szCs w:val="20"/>
          <w:b w:val="1"/>
          <w:bCs w:val="1"/>
          <w:color w:val="auto"/>
        </w:rPr>
        <w:t>Revolving Facility</w:t>
      </w:r>
      <w:r>
        <w:rPr>
          <w:rFonts w:ascii="Times New Roman" w:cs="Times New Roman" w:eastAsia="Times New Roman" w:hAnsi="Times New Roman"/>
          <w:sz w:val="20"/>
          <w:szCs w:val="20"/>
          <w:color w:val="auto"/>
        </w:rPr>
        <w:t>”) and (b) each other credit facility that may be added to this Agreement after the date hereof.</w:t>
      </w:r>
    </w:p>
    <w:p>
      <w:pPr>
        <w:spacing w:after="0" w:line="13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FATCA</w:t>
      </w:r>
      <w:r>
        <w:rPr>
          <w:rFonts w:ascii="Times New Roman" w:cs="Times New Roman" w:eastAsia="Times New Roman" w:hAnsi="Times New Roman"/>
          <w:sz w:val="19"/>
          <w:szCs w:val="19"/>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any intergovernmental agreements entered into in connection with the implementation of the foregoing and any fiscal or regulatory legislation, rules or practices adopted pursuant to any of the foregoing, or any treaty or convention among Governmental Authorities entered into in connection with the implementation of the foregoing.</w:t>
      </w:r>
    </w:p>
    <w:p>
      <w:pPr>
        <w:spacing w:after="0" w:line="15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Effective Rate</w:t>
      </w:r>
      <w:r>
        <w:rPr>
          <w:rFonts w:ascii="Times New Roman" w:cs="Times New Roman" w:eastAsia="Times New Roman" w:hAnsi="Times New Roman"/>
          <w:sz w:val="20"/>
          <w:szCs w:val="20"/>
          <w:color w:val="auto"/>
        </w:rPr>
        <w:t>”: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shall be less than zero, such rate shall be deemed to be zero for purposes of this Agreement.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Reserve Board</w:t>
      </w:r>
      <w:r>
        <w:rPr>
          <w:rFonts w:ascii="Times New Roman" w:cs="Times New Roman" w:eastAsia="Times New Roman" w:hAnsi="Times New Roman"/>
          <w:sz w:val="20"/>
          <w:szCs w:val="20"/>
          <w:color w:val="auto"/>
        </w:rPr>
        <w:t>”: the Board of Governors of the Federal Reserve System of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the Fee Letter dated as of May 20, 2025 among the Administrative Agent and Remitly.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Finance Lease</w:t>
      </w:r>
      <w:r>
        <w:rPr>
          <w:rFonts w:ascii="Times New Roman" w:cs="Times New Roman" w:eastAsia="Times New Roman" w:hAnsi="Times New Roman"/>
          <w:sz w:val="20"/>
          <w:szCs w:val="20"/>
          <w:color w:val="auto"/>
        </w:rPr>
        <w:t xml:space="preserve">”: as applied to any Person, any lease of any property (whether real, personal or mixed) by such Person as lessee that, in conformity with GAAP (but subject to Section 1.2(h)), is or should be accounted for as a capital or finance lease on the balance sheet of that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amount of obligations attributable to any Finance Lease shall be the amount thereof accounted for as a liability on such balance sheet (excluding the footnotes thereto)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amount of obligations attributable to any Finance Lease shall exclude any capitalized operating lease liabilities resulting from the adoption of ASC 842, Leases.</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Finance Subsidiary</w:t>
      </w:r>
      <w:r>
        <w:rPr>
          <w:rFonts w:ascii="Times New Roman" w:cs="Times New Roman" w:eastAsia="Times New Roman" w:hAnsi="Times New Roman"/>
          <w:sz w:val="20"/>
          <w:szCs w:val="20"/>
          <w:color w:val="auto"/>
        </w:rPr>
        <w:t>”: any Subsidiary of the Company formed for the sole purpose of engaging in a Permitted Receivables Financing.</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Covenant</w:t>
      </w:r>
      <w:r>
        <w:rPr>
          <w:rFonts w:ascii="Times New Roman" w:cs="Times New Roman" w:eastAsia="Times New Roman" w:hAnsi="Times New Roman"/>
          <w:sz w:val="20"/>
          <w:szCs w:val="20"/>
          <w:color w:val="auto"/>
        </w:rPr>
        <w:t>”: the covenant set forth in Section 7.1.</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Intercreditor Agreement</w:t>
      </w:r>
      <w:r>
        <w:rPr>
          <w:rFonts w:ascii="Times New Roman" w:cs="Times New Roman" w:eastAsia="Times New Roman" w:hAnsi="Times New Roman"/>
          <w:sz w:val="20"/>
          <w:szCs w:val="20"/>
          <w:color w:val="auto"/>
        </w:rPr>
        <w:t>”: an intercreditor agreement in a form reasonably acceptable to the Administrative Agent and the Company among the Loan Parties from time to time party thereto, the Collateral Agent and the Other Debt Representative for the holders of Indebtedness that is permitted under Sections 7.2 and 7.3 to be, and is intended to be, secured by a Lien on the Collateral that is pari passu (but without regard to the control of remedies) with the Liens securing the Obligations.</w:t>
      </w:r>
    </w:p>
    <w:p>
      <w:pPr>
        <w:spacing w:after="0" w:line="16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Lien Net Leverage Ratio</w:t>
      </w:r>
      <w:r>
        <w:rPr>
          <w:rFonts w:ascii="Times New Roman" w:cs="Times New Roman" w:eastAsia="Times New Roman" w:hAnsi="Times New Roman"/>
          <w:sz w:val="20"/>
          <w:szCs w:val="20"/>
          <w:color w:val="auto"/>
        </w:rPr>
        <w:t>”: with respect to any date of determination, the ratio of (a) Consolidated First Lien Debt as of such date less Netted Cash as of such date to (b) Consolidated EBITDA of the Company and its Subsidiaries for the applicable Test Period.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Fitch</w:t>
      </w:r>
      <w:r>
        <w:rPr>
          <w:rFonts w:ascii="Times New Roman" w:cs="Times New Roman" w:eastAsia="Times New Roman" w:hAnsi="Times New Roman"/>
          <w:sz w:val="20"/>
          <w:szCs w:val="20"/>
          <w:color w:val="auto"/>
        </w:rPr>
        <w:t>”: Fitch Ratings Inc., together with any successor thereto.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Fixed Amount</w:t>
      </w:r>
      <w:r>
        <w:rPr>
          <w:rFonts w:ascii="Times New Roman" w:cs="Times New Roman" w:eastAsia="Times New Roman" w:hAnsi="Times New Roman"/>
          <w:sz w:val="20"/>
          <w:szCs w:val="20"/>
          <w:color w:val="auto"/>
        </w:rPr>
        <w:t>”: as defined in Section 1.4(e).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09" w:right="339" w:bottom="1440" w:gutter="0" w:footer="0" w:header="0"/>
        </w:sectPr>
      </w:pPr>
    </w:p>
    <w:bookmarkStart w:id="50" w:name="page51"/>
    <w:bookmarkEnd w:id="50"/>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Flood Laws</w:t>
      </w:r>
      <w:r>
        <w:rPr>
          <w:rFonts w:ascii="Times New Roman" w:cs="Times New Roman" w:eastAsia="Times New Roman" w:hAnsi="Times New Roman"/>
          <w:sz w:val="20"/>
          <w:szCs w:val="20"/>
          <w:color w:val="auto"/>
        </w:rPr>
        <w:t>”: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6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the benchmark rate floor, if any, provided in this Agreement initially (as of the execution of this Agreement, the modification, amendment or renewal of this Agreement or otherwise) with respect to the Term SOFR Rate or Daily Simple SOFR, as applicable. For the avoidance of doubt the initial Floor for each of the Term SOFR Rate and Daily Simple SOFR in respect of Revolving Loans shall be 0.00%.</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Subsidiary</w:t>
      </w:r>
      <w:r>
        <w:rPr>
          <w:rFonts w:ascii="Times New Roman" w:cs="Times New Roman" w:eastAsia="Times New Roman" w:hAnsi="Times New Roman"/>
          <w:sz w:val="20"/>
          <w:szCs w:val="20"/>
          <w:color w:val="auto"/>
        </w:rPr>
        <w:t>”: any Subsidiary of the Company that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Form S-1</w:t>
      </w:r>
      <w:r>
        <w:rPr>
          <w:rFonts w:ascii="Times New Roman" w:cs="Times New Roman" w:eastAsia="Times New Roman" w:hAnsi="Times New Roman"/>
          <w:sz w:val="20"/>
          <w:szCs w:val="20"/>
          <w:color w:val="auto"/>
        </w:rPr>
        <w:t>”: the Registration Statement under the Securities Act of 1933 on Form S-1 filed by the Company on August 30, 2021.</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Office</w:t>
      </w:r>
      <w:r>
        <w:rPr>
          <w:rFonts w:ascii="Times New Roman" w:cs="Times New Roman" w:eastAsia="Times New Roman" w:hAnsi="Times New Roman"/>
          <w:sz w:val="20"/>
          <w:szCs w:val="20"/>
          <w:color w:val="auto"/>
        </w:rPr>
        <w:t>”: the office of the Administrative Agent as may be specified from time to time by the Administrative Agent as its funding office by written notice to the Company and the Lenders.</w:t>
      </w:r>
    </w:p>
    <w:p>
      <w:pPr>
        <w:spacing w:after="0" w:line="13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generally accepted accounting principles in the United States as in effect from time to time, except that for purposes of the Financial Covenant, GAAP shall be determined on the basis of such principles in effect on the date hereof and consistent with those used in the preparation of the most recent audited financial statements delivered pursuant to Section 4.1; provided that, if the Company notifies the Administrative Agent following the effectiveness of any applicable Accounting Change (as defined below) that the Company requests an amendment to any provision hereof to eliminate the effect of such Accounting Change or in the application thereof on the operation of such provision (or if the Required Lenders notify the Company following the effectiveness of any such Accounting Change that the Required Lenders request an amendment to any provision hereof for such purpose), regardless of whether any such notice is given before or after such Accounting Change or in the application thereof, then such provision shall be interpreted on the basis of GAAP as in effect and applied immediately before such Accounting Change shall have become effective until such notice shall have been withdrawn or such provision amended in accordance herewith. “</w:t>
      </w:r>
      <w:r>
        <w:rPr>
          <w:rFonts w:ascii="Times New Roman" w:cs="Times New Roman" w:eastAsia="Times New Roman" w:hAnsi="Times New Roman"/>
          <w:sz w:val="20"/>
          <w:szCs w:val="20"/>
          <w:b w:val="1"/>
          <w:bCs w:val="1"/>
          <w:color w:val="auto"/>
        </w:rPr>
        <w:t>Accounting Change</w:t>
      </w:r>
      <w:r>
        <w:rPr>
          <w:rFonts w:ascii="Times New Roman" w:cs="Times New Roman" w:eastAsia="Times New Roman" w:hAnsi="Times New Roman"/>
          <w:sz w:val="20"/>
          <w:szCs w:val="20"/>
          <w:color w:val="auto"/>
        </w:rPr>
        <w:t>” refers to a change after the date hereof in accounting principles required by the promulgation of any rule, regulation, pronouncement or opinion by the Financial Accounting Standards Board of the American Institute of Certified Public Accountants or, if applicable, the SEC.</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any self-regulatory organization (including the National Association of Insurance Commissioners) and any applicable supranational bodies (such as the European Union or the European Central Bank).</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 Agreement</w:t>
      </w:r>
      <w:r>
        <w:rPr>
          <w:rFonts w:ascii="Times New Roman" w:cs="Times New Roman" w:eastAsia="Times New Roman" w:hAnsi="Times New Roman"/>
          <w:sz w:val="20"/>
          <w:szCs w:val="20"/>
          <w:color w:val="auto"/>
        </w:rPr>
        <w:t>”: the Guarantee Agreement dated as of the Closing Date executed and delivered by the Company and each Subsidiary Guarantor pursuant to this Agreement, a copy of which is attached hereto as Exhibit A-1, as the same may be amended,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409" w:right="339" w:bottom="1440" w:gutter="0" w:footer="0" w:header="0"/>
        </w:sectPr>
      </w:pPr>
    </w:p>
    <w:bookmarkStart w:id="51" w:name="page52"/>
    <w:bookmarkEnd w:id="51"/>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Guarantee Obligation</w:t>
      </w:r>
      <w:r>
        <w:rPr>
          <w:rFonts w:ascii="Times New Roman" w:cs="Times New Roman" w:eastAsia="Times New Roman" w:hAnsi="Times New Roman"/>
          <w:sz w:val="19"/>
          <w:szCs w:val="19"/>
          <w:color w:val="auto"/>
        </w:rPr>
        <w:t>”: as to any Person (the “</w:t>
      </w:r>
      <w:r>
        <w:rPr>
          <w:rFonts w:ascii="Times New Roman" w:cs="Times New Roman" w:eastAsia="Times New Roman" w:hAnsi="Times New Roman"/>
          <w:sz w:val="19"/>
          <w:szCs w:val="19"/>
          <w:b w:val="1"/>
          <w:bCs w:val="1"/>
          <w:color w:val="auto"/>
        </w:rPr>
        <w:t>guaranteeing person</w:t>
      </w:r>
      <w:r>
        <w:rPr>
          <w:rFonts w:ascii="Times New Roman" w:cs="Times New Roman" w:eastAsia="Times New Roman" w:hAnsi="Times New Roman"/>
          <w:sz w:val="19"/>
          <w:szCs w:val="19"/>
          <w:color w:val="auto"/>
        </w:rPr>
        <w:t>”), any obligation of (a) the guaranteeing person or (b) another Person (including any bank under any letter of credit) to induce the creation of which obligation the guaranteeing person has issued a reimbursement, counter indemnity or similar obligation, in either case guaranteeing or in effect guaranteeing any Indebtedness or other obligations (the “</w:t>
      </w:r>
      <w:r>
        <w:rPr>
          <w:rFonts w:ascii="Times New Roman" w:cs="Times New Roman" w:eastAsia="Times New Roman" w:hAnsi="Times New Roman"/>
          <w:sz w:val="19"/>
          <w:szCs w:val="19"/>
          <w:b w:val="1"/>
          <w:bCs w:val="1"/>
          <w:color w:val="auto"/>
        </w:rPr>
        <w:t>primary obligations</w:t>
      </w:r>
      <w:r>
        <w:rPr>
          <w:rFonts w:ascii="Times New Roman" w:cs="Times New Roman" w:eastAsia="Times New Roman" w:hAnsi="Times New Roman"/>
          <w:sz w:val="19"/>
          <w:szCs w:val="19"/>
          <w:color w:val="auto"/>
        </w:rPr>
        <w:t>”) of any other third Person (the “</w:t>
      </w:r>
      <w:r>
        <w:rPr>
          <w:rFonts w:ascii="Times New Roman" w:cs="Times New Roman" w:eastAsia="Times New Roman" w:hAnsi="Times New Roman"/>
          <w:sz w:val="19"/>
          <w:szCs w:val="19"/>
          <w:b w:val="1"/>
          <w:bCs w:val="1"/>
          <w:color w:val="auto"/>
        </w:rPr>
        <w:t>primary obligor</w:t>
      </w:r>
      <w:r>
        <w:rPr>
          <w:rFonts w:ascii="Times New Roman" w:cs="Times New Roman" w:eastAsia="Times New Roman" w:hAnsi="Times New Roman"/>
          <w:sz w:val="19"/>
          <w:szCs w:val="19"/>
          <w:color w:val="auto"/>
        </w:rPr>
        <w:t>”)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provided, however,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Guarantors</w:t>
      </w:r>
      <w:r>
        <w:rPr>
          <w:rFonts w:ascii="Times New Roman" w:cs="Times New Roman" w:eastAsia="Times New Roman" w:hAnsi="Times New Roman"/>
          <w:sz w:val="20"/>
          <w:szCs w:val="20"/>
          <w:color w:val="auto"/>
        </w:rPr>
        <w:t>”: the collective reference to the Company, the Subsidiary Guarantors and any other Person that guarantees payment of all or a portion of the Obligations, including, following any Holding Company Reorganization, the Holding Company.</w:t>
      </w:r>
    </w:p>
    <w:p>
      <w:pPr>
        <w:spacing w:after="0" w:line="16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Agreements</w:t>
      </w:r>
      <w:r>
        <w:rPr>
          <w:rFonts w:ascii="Times New Roman" w:cs="Times New Roman" w:eastAsia="Times New Roman" w:hAnsi="Times New Roman"/>
          <w:sz w:val="20"/>
          <w:szCs w:val="20"/>
          <w:color w:val="auto"/>
        </w:rPr>
        <w:t>”: all interest rate swaps, caps, collar, forward, future or option agreements or similar arrangements dealing with interest rates, currency exchange rates, the exchange of nominal interest obligations or commodities, in each case either generally or under specific contingencies, or any other arrangement constituting a Swap Agreement (including, for the avoidance of doubt, any Lender Hedge Agreements).</w:t>
      </w:r>
    </w:p>
    <w:p>
      <w:pPr>
        <w:spacing w:after="0" w:line="18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 Company</w:t>
      </w:r>
      <w:r>
        <w:rPr>
          <w:rFonts w:ascii="Times New Roman" w:cs="Times New Roman" w:eastAsia="Times New Roman" w:hAnsi="Times New Roman"/>
          <w:sz w:val="20"/>
          <w:szCs w:val="20"/>
          <w:color w:val="auto"/>
        </w:rPr>
        <w:t>”: a corporation or other legal entity organized under a state of the United States which becomes the direct owner of 100% of the Capital Stock of the Company pursuant to a Holding Company Reorganization.</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 Company Reorganization</w:t>
      </w:r>
      <w:r>
        <w:rPr>
          <w:rFonts w:ascii="Times New Roman" w:cs="Times New Roman" w:eastAsia="Times New Roman" w:hAnsi="Times New Roman"/>
          <w:sz w:val="20"/>
          <w:szCs w:val="20"/>
          <w:color w:val="auto"/>
        </w:rPr>
        <w:t>”: a transaction or series of transactions (a) pursuant to which the Company shall become a direct wholly-owned Subsidiary of the Holding Company and (b) that are in compliance with the requirements set forth in Section 6.13.</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Immaterial Subsidiaries</w:t>
      </w:r>
      <w:r>
        <w:rPr>
          <w:rFonts w:ascii="Times New Roman" w:cs="Times New Roman" w:eastAsia="Times New Roman" w:hAnsi="Times New Roman"/>
          <w:sz w:val="20"/>
          <w:szCs w:val="20"/>
          <w:color w:val="auto"/>
        </w:rPr>
        <w:t>”: at any time, Subsidiaries of the Company (i) having aggregate total assets (as determined in accordance with GAAP) in an amount of less than 5% of Consolidated Total Assets of the Company and its Subsidiaries as of the last day of the immediately preceding Test Period and (ii) contributing in the aggregate less than 5% to Consolidated EBITDA for the most recently ended Test Period. In the event that total assets of all Immaterial Subsidiaries exceed 20% of Consolidated Total Assets as of the last day of the immediately preceding Test Period or the total contribution to Consolidated EBITDA of all Immaterial Subsidiaries exceeds 20% of Consolidated EBITDA for the relevant period, as the case may be, the Company will designate Subsidiaries which would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0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color w:val="auto"/>
        </w:rPr>
        <w:t>constitute Immaterial Subsidiaries to be excluded as Immaterial Subsidiaries until such 20% thresholds are met.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Cap</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Shared Incremental Amount, plus</w:t>
      </w:r>
    </w:p>
    <w:p>
      <w:pPr>
        <w:spacing w:after="0" w:line="229" w:lineRule="exact"/>
        <w:rPr>
          <w:rFonts w:ascii="Times New Roman" w:cs="Times New Roman" w:eastAsia="Times New Roman" w:hAnsi="Times New Roman"/>
          <w:sz w:val="20"/>
          <w:szCs w:val="20"/>
          <w:color w:val="auto"/>
        </w:rPr>
      </w:pPr>
    </w:p>
    <w:p>
      <w:pPr>
        <w:jc w:val="both"/>
        <w:ind w:firstLine="656"/>
        <w:spacing w:after="0" w:line="249" w:lineRule="auto"/>
        <w:tabs>
          <w:tab w:leader="none" w:pos="116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amount of any optional prepayment of any Loan (including any Incremental Loan) in accordance with Section 2.10 and/or the amount of any permanent reduction of any undrawn Revolving Commitment, (ii) the amount of any optional prepayment, redemption, repurchase or retirement of Incremental Equivalent Debt that is secured by a Lien on the Collateral that is pari passu (but without regard to the control of remedies) with the Liens securing the Obligations, (iii) the amount of any optional prepayment, redemption, repurchase or retirement of any Refinancing Term Loans or Other Revolving Loans or any Credit Agreement Refinancing Indebtedness previously applied to the permanent prepayment of any Loan, Revolving Commitment or of any Incremental Equivalent Debt referred to in clauses (i) and (ii) above (with respect to any such Credit Agreement Refinancing Indebtedness, in an aggregate amount not to exceed the aggregate amount of Loans, Revolving Commitments or Incremental Equivalent Debt, as applicable, refinanced by such Credit Agreement Refinancing Indebtedness), and (iv) the aggregate amount of any Indebtedness referred to in clauses (i) through (iii) above that is (x) repaid or retired resulting from any assignment to or purchase by such Indebtedness (and/or assignment and/or purchase of such Indebtedness by) the Company and/or any Subsidiary or (y) terminated pursuant to Section 2.22, which shall be credited to the extent of the principal amount of the Indebtedness repaid, retired or terminated; provided that for each of clauses (i) through (iv), (x) the relevant prepayment, redemption, repurchase, retirement or assignment and/or purchase was not funded with the proceeds of any Long-Term Indebtedness and (y) in the case of any prepayment of Loans under any revolving facility, such prepayment shall be accompanied by a permanent reduction in the commitments in respect thereof, plus</w:t>
      </w:r>
    </w:p>
    <w:p>
      <w:pPr>
        <w:spacing w:after="0" w:line="200" w:lineRule="exact"/>
        <w:rPr>
          <w:rFonts w:ascii="Times New Roman" w:cs="Times New Roman" w:eastAsia="Times New Roman" w:hAnsi="Times New Roman"/>
          <w:sz w:val="20"/>
          <w:szCs w:val="20"/>
          <w:color w:val="auto"/>
        </w:rPr>
      </w:pPr>
    </w:p>
    <w:p>
      <w:pPr>
        <w:jc w:val="both"/>
        <w:ind w:firstLine="656"/>
        <w:spacing w:after="0" w:line="249" w:lineRule="auto"/>
        <w:tabs>
          <w:tab w:leader="none" w:pos="114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unlimited amount so long as, in the case of this clause (c), on the date of incurrence thereof on a Pro Forma Basis after giving effect to the incurrence of the Incremental Facility, the Incremental Equivalent Debt, the Ratio Debt or the Incurred Acquisition Debt, as applicable, and the application of the proceeds thereof (without netting the cash proceeds thereof) and to any relevant Specified Transaction (and, in the case of any Incremental Revolving Facility or delayed draw Incremental Term Facility, or any revolving facility or delayed draw term facility incurred as Incremental Equivalent Debt, Ratio Debt or Incurred Acquisition Debt, in each case then being established, assuming a full drawing thereunder), (1) if such Indebtedness is secured by a Lien on the Collateral that is pari passu (but without regard to the control of remedies) with the Liens securing the Obligations, the First Lien Net Leverage Ratio does not exceed (i) 3.00 to 1.00, or (ii) to the extent such Incremental Facility, Incremental Equivalent Debt, Ratio Debt or Incurred Acquisition Debt, as applicable, is incurred in connection with a permitted acquisition or other permitted Investment, the greater of (A) 3.00 to 1.00 and (B) the First Lien Net Leverage Ratio in effect immediately prior to such incurrence and such permitted acquisition or permitted Investment, (2) if such Indebtedness is secured by a Lien on the Collateral that is junior to the Liens securing the Obligations, the Senior Secured Net Leverage Ratio does not exceed (i) 3.50 to 1.00 or (ii) to the extent such Incremental Facility, Incremental Equivalent Debt, Ratio Debt or Incurred Acquisition Debt, as applicable, is incurred in connection with a permitted acquisition or other permitted Investment, the greater of (A) 3.50 to 1.00 and (B) the Senior Secured Net Leverage Ratio in effect immediately prior to such incurrence and such permitted acquisition or permitted Investment, and (3) if such Indebtedness is unsecured or secured solely by assets that do not constitute Collateral, either (I) the Total Net Leverage Ratio does not exceed (i) 4.50 to 1.00 or (ii) to the extent such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53" w:name="page54"/>
    <w:bookmarkEnd w:id="53"/>
    <w:p>
      <w:pPr>
        <w:jc w:val="both"/>
        <w:spacing w:after="0" w:line="254" w:lineRule="auto"/>
        <w:rPr>
          <w:sz w:val="20"/>
          <w:szCs w:val="20"/>
          <w:color w:val="auto"/>
        </w:rPr>
      </w:pPr>
      <w:r>
        <w:rPr>
          <w:rFonts w:ascii="Times New Roman" w:cs="Times New Roman" w:eastAsia="Times New Roman" w:hAnsi="Times New Roman"/>
          <w:sz w:val="20"/>
          <w:szCs w:val="20"/>
          <w:color w:val="auto"/>
        </w:rPr>
        <w:t>Facility, Incremental Equivalent Debt, Ratio Debt or Incurred Acquisition Debt, as applicable, is incurred in connection with a permitted acquisition or other permitted Investment, the greater of (A) 4.50 to 1.0 and (B) the Total Net Leverage Ratio in effect immediately prior to such incurrence and such permitted acquisition or permitted Investment or (II) the Interest Coverage Ratio is not less than (i) 2.00 to 1.00 or</w:t>
      </w:r>
    </w:p>
    <w:p>
      <w:pPr>
        <w:spacing w:after="0" w:line="1" w:lineRule="exact"/>
        <w:rPr>
          <w:sz w:val="20"/>
          <w:szCs w:val="20"/>
          <w:color w:val="auto"/>
        </w:rPr>
      </w:pPr>
    </w:p>
    <w:p>
      <w:pPr>
        <w:jc w:val="both"/>
        <w:ind w:firstLine="8"/>
        <w:spacing w:after="0" w:line="253" w:lineRule="auto"/>
        <w:tabs>
          <w:tab w:leader="none" w:pos="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such Incremental Facility, Incremental Equivalent Debt, Ratio Debt or Incurred Acquisition Debt, as applicable, is incurred in connection with a permitted acquisition or other permitted Investment, the lesser of (A) 2.00 to 1.00 and (B) the Interest Coverage Ratio in effect immediately prior to such incurrence and such permitted acquisition or permitted Investment (this clause (c), the “</w:t>
      </w:r>
      <w:r>
        <w:rPr>
          <w:rFonts w:ascii="Times New Roman" w:cs="Times New Roman" w:eastAsia="Times New Roman" w:hAnsi="Times New Roman"/>
          <w:sz w:val="20"/>
          <w:szCs w:val="20"/>
          <w:b w:val="1"/>
          <w:bCs w:val="1"/>
          <w:color w:val="auto"/>
        </w:rPr>
        <w:t>Ratio Based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provided that: (1) any Incremental Facility, Incremental Equivalent Debt, Ratio Debt or Incurred Acquisition Debt may be incurred under one or more of clauses (a) through (c) of this definition as selected by the Company in its sole discretion (provided that, in the case of clause (c), an Incremental Facility may be incurred only under clause (i) thereof), and (2) upon delivery of any financial statements pursuant to Section 6.1 following the initial incurrence or implementation of any Incremental Facility, Incremental Equivalent Debt, Ratio Debt or Incurred Acquisition Debt, to the extent such Incremental Facility, Incremental Equivalent Debt, Ratio Debt or Incurred Acquisition Debt or any portion thereof could, based on such financial statements, have been incurred or made in reliance on clause (c), unless otherwise elected by the Company, such Incremental Facility, Incremental Equivalent Debt, Ratio Debt or Incurred Acquisition Debt or portion thereof shall automatically be reclassified (subject to clause (1) of this proviso and to any other applicable provision of clause (c)) as having been incurred under clause (c).</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Commitment</w:t>
      </w:r>
      <w:r>
        <w:rPr>
          <w:rFonts w:ascii="Times New Roman" w:cs="Times New Roman" w:eastAsia="Times New Roman" w:hAnsi="Times New Roman"/>
          <w:sz w:val="20"/>
          <w:szCs w:val="20"/>
          <w:color w:val="auto"/>
        </w:rPr>
        <w:t>”: as defined in Section 2.25(a)(i).</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Equivalent Debt</w:t>
      </w:r>
      <w:r>
        <w:rPr>
          <w:rFonts w:ascii="Times New Roman" w:cs="Times New Roman" w:eastAsia="Times New Roman" w:hAnsi="Times New Roman"/>
          <w:sz w:val="20"/>
          <w:szCs w:val="20"/>
          <w:color w:val="auto"/>
        </w:rPr>
        <w:t>”: Indebtedness in an amount not to exceed the Incremental Cap incurred by any Loan Party consisting of the incurrence or issuance of one or more series of senior secured notes or loans, junior lien loans or notes, subordinated loans or notes or senior unsecured loans or notes (in each case in respect of the issuance of notes, whether issued in a public offering, Rule 144A or other private placement or purchase or otherwise) or any bridge financing in lieu of the foregoing, or secured or unsecured “mezzanine” debt, in each case, to the extent secured, subject to (x) with respect to Incremental Equivalent Debt secured by a Lien on the Collateral that is junior to the Lien securing the Obligations, a Junior Lien Intercreditor Agreement and (y) with respect to Incremental Equivalent Debt secured by a Lien on the Collateral that is pari passu (but without regard to the control of remedies) with the Liens securing the Obligations, a First Lien Intercreditor Agreement; provided that such Incremental Equivalent Debt shall be subject to the requirements set forth in Sections 2.25(a) mutatis mutandis, except that (a) the requirements set forth in Section 2.25(a)(viii)(A) shall not apply to such Indebtedness and (b) the requirements set forth in Section 2.25(a)(iv) shall not apply to a customary bridge facility which, subject to customary conditions, automatically convert into long-term debt satisfying the requirements of such clauses.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color w:val="auto"/>
        </w:rPr>
        <w:t>”: as defined in Section 2.25(a).</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Facility Amendment</w:t>
      </w:r>
      <w:r>
        <w:rPr>
          <w:rFonts w:ascii="Times New Roman" w:cs="Times New Roman" w:eastAsia="Times New Roman" w:hAnsi="Times New Roman"/>
          <w:sz w:val="20"/>
          <w:szCs w:val="20"/>
          <w:color w:val="auto"/>
        </w:rPr>
        <w:t>”: an amendment to this Agreement executed by each of (a) the Borrowers, (b) the Administrative Agent and (c) each Lender that agrees to provide all or any portion of the Incremental Facility being incurred pursuant thereto and in accordance with Section 2.25.</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Loans</w:t>
      </w:r>
      <w:r>
        <w:rPr>
          <w:rFonts w:ascii="Times New Roman" w:cs="Times New Roman" w:eastAsia="Times New Roman" w:hAnsi="Times New Roman"/>
          <w:sz w:val="20"/>
          <w:szCs w:val="20"/>
          <w:color w:val="auto"/>
        </w:rPr>
        <w:t>”: as defined in Section 2.25.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Commitments</w:t>
      </w:r>
      <w:r>
        <w:rPr>
          <w:rFonts w:ascii="Times New Roman" w:cs="Times New Roman" w:eastAsia="Times New Roman" w:hAnsi="Times New Roman"/>
          <w:sz w:val="20"/>
          <w:szCs w:val="20"/>
          <w:color w:val="auto"/>
        </w:rPr>
        <w:t>”: as defined in Section 2.25(b).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54" w:name="page55"/>
    <w:bookmarkEnd w:id="5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Facility</w:t>
      </w:r>
      <w:r>
        <w:rPr>
          <w:rFonts w:ascii="Times New Roman" w:cs="Times New Roman" w:eastAsia="Times New Roman" w:hAnsi="Times New Roman"/>
          <w:sz w:val="20"/>
          <w:szCs w:val="20"/>
          <w:color w:val="auto"/>
        </w:rPr>
        <w:t>”: as defined in Section 2.25(a).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Loans</w:t>
      </w:r>
      <w:r>
        <w:rPr>
          <w:rFonts w:ascii="Times New Roman" w:cs="Times New Roman" w:eastAsia="Times New Roman" w:hAnsi="Times New Roman"/>
          <w:sz w:val="20"/>
          <w:szCs w:val="20"/>
          <w:color w:val="auto"/>
        </w:rPr>
        <w:t>”: as defined in Section 2.25(a).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Facility</w:t>
      </w:r>
      <w:r>
        <w:rPr>
          <w:rFonts w:ascii="Times New Roman" w:cs="Times New Roman" w:eastAsia="Times New Roman" w:hAnsi="Times New Roman"/>
          <w:sz w:val="20"/>
          <w:szCs w:val="20"/>
          <w:color w:val="auto"/>
        </w:rPr>
        <w:t>”: as defined in Section 2.25(a).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Loans</w:t>
      </w:r>
      <w:r>
        <w:rPr>
          <w:rFonts w:ascii="Times New Roman" w:cs="Times New Roman" w:eastAsia="Times New Roman" w:hAnsi="Times New Roman"/>
          <w:sz w:val="20"/>
          <w:szCs w:val="20"/>
          <w:color w:val="auto"/>
        </w:rPr>
        <w:t>”: as defined in Section 2.25(a).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Incurred Acquisition Debt</w:t>
      </w:r>
      <w:r>
        <w:rPr>
          <w:rFonts w:ascii="Times New Roman" w:cs="Times New Roman" w:eastAsia="Times New Roman" w:hAnsi="Times New Roman"/>
          <w:sz w:val="20"/>
          <w:szCs w:val="20"/>
          <w:color w:val="auto"/>
        </w:rPr>
        <w:t>”: as defined in Section 7.2(m)(i).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Incurrence-Based Amount</w:t>
      </w:r>
      <w:r>
        <w:rPr>
          <w:rFonts w:ascii="Times New Roman" w:cs="Times New Roman" w:eastAsia="Times New Roman" w:hAnsi="Times New Roman"/>
          <w:sz w:val="20"/>
          <w:szCs w:val="20"/>
          <w:color w:val="auto"/>
        </w:rPr>
        <w:t>”: as defined in Section 1.4(e).</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of any Person at any date, without duplication, (a) all indebtedness of such Person for borrowed money, (b) all obligations of such Person for the deferred purchase price of property or services (other than any such obligations incurred in the ordinary course of such Person’s business maturing less than one year from the creation thereof), including Contingent Purchase Price Obligations solely to the extent satisfying the definition thereof, (c) all obligations of such Person evidenced by notes, bonds (excluding surety bonds), debentures or other similar instruments (other than an operating lease, synthetic lease or similar arrangement), (d) for the purposes of Sections 7.2 and 8(e) only, all indebtedness created or arising under any conditional sale or other title retention agreement (other than an operating lease) with respect to property acquired by such Person (even though the rights and remedies of the seller or lender under such agreement in the event of default are limited to repossession or sale of such property), (e) for the purposes of Sections 7.2 and 8(e) only, all Capital Lease Obligations of such Person; (f) for the purposes of Sections 7.2 and 8(e) only, all obligations of such Person, contingent or otherwise, as an account party under acceptances, surety bonds or similar arrangements (other than obligations arising out of endorsements of instruments for deposit or collection in the ordinary course of business), (g) all unpaid reimbursement obligations of such Person in respect of drawings under letters of credit and surety bonds and, for purposes of Sections 7.2 and 8(e) only, the face amount of all letters of credit issued for the account of such Person, (h) for the purposes of Sections 7.2 and 8(e) only, all Guarantee Obligations of such Person in respect of obligations of the kind referred to in clauses (a) through (g) above, (i) without limitation of the foregoing,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provided that the amount of any such obligation shall be deemed to be the lesser of the face principal amount thereof and the fair market value of the property subject to such Lien and (j) for the purposes of Sections 7.2 and 8(e) only, all obligations of such Person in respect of Hedge Agreements; provided that, for purposes of Sections 7.2 and 8(e), the amount of “Indebtedness” included with respect to any such Hedge Agreement shall be based on the net termination value thereof. Notwithstanding the foregoing, overdrafts by the Company and its Subsidiaries in the ordinary course of business in connection with cash management (and not working capital) and trade letter of credit with a maturity of less than 180 days issued in the ordinary course of business shall not constitute Indebtedness.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as defined in Section 10.5.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Ineligible Institution</w:t>
      </w:r>
      <w:r>
        <w:rPr>
          <w:rFonts w:ascii="Times New Roman" w:cs="Times New Roman" w:eastAsia="Times New Roman" w:hAnsi="Times New Roman"/>
          <w:sz w:val="20"/>
          <w:szCs w:val="20"/>
          <w:color w:val="auto"/>
        </w:rPr>
        <w:t>”: as defined in Section 10.6(b).</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as defined in Section 4.18(a).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09" w:right="339" w:bottom="1440" w:gutter="0" w:footer="0" w:header="0"/>
        </w:sectPr>
      </w:pPr>
    </w:p>
    <w:bookmarkStart w:id="55" w:name="page56"/>
    <w:bookmarkEnd w:id="55"/>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Inside Maturity Basket</w:t>
      </w:r>
      <w:r>
        <w:rPr>
          <w:rFonts w:ascii="Times New Roman" w:cs="Times New Roman" w:eastAsia="Times New Roman" w:hAnsi="Times New Roman"/>
          <w:sz w:val="20"/>
          <w:szCs w:val="20"/>
          <w:color w:val="auto"/>
        </w:rPr>
        <w:t>”: with respect to any Indebtedness incurred in reliance on the Inside Maturity Basket, an aggregate amount of such Indebtedness at any time outstanding not exceeding the greater of (x) $177,000,000 and (y) 100% of Consolidated EBITDA for the most recently ended Test Period calculated on a Pro Forma Basis.</w:t>
      </w:r>
    </w:p>
    <w:p>
      <w:pPr>
        <w:spacing w:after="0" w:line="17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w:t>
      </w:r>
      <w:r>
        <w:rPr>
          <w:rFonts w:ascii="Times New Roman" w:cs="Times New Roman" w:eastAsia="Times New Roman" w:hAnsi="Times New Roman"/>
          <w:sz w:val="20"/>
          <w:szCs w:val="20"/>
          <w:color w:val="auto"/>
        </w:rPr>
        <w:t>”: with respect to any Multiemployer Plan, the condition that such Plan is insolvent within the meaning of Section 4245 of ERISA.</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Insolvent</w:t>
      </w:r>
      <w:r>
        <w:rPr>
          <w:rFonts w:ascii="Times New Roman" w:cs="Times New Roman" w:eastAsia="Times New Roman" w:hAnsi="Times New Roman"/>
          <w:sz w:val="20"/>
          <w:szCs w:val="20"/>
          <w:color w:val="auto"/>
        </w:rPr>
        <w:t>”: pertaining to a condition of Insolvency.</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all rights, priorities and privileges, whether arising under United States, multinational or foreign laws or otherwise, relating to copyrights, patents, trademarks, technology, know-how and processes and other intellectual property, and all rights to sue at law or in equity for any infringement or other impairment thereof, including the right to receive all proceeds and damages therefrom.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Coverage Ratio</w:t>
      </w:r>
      <w:r>
        <w:rPr>
          <w:rFonts w:ascii="Times New Roman" w:cs="Times New Roman" w:eastAsia="Times New Roman" w:hAnsi="Times New Roman"/>
          <w:sz w:val="20"/>
          <w:szCs w:val="20"/>
          <w:color w:val="auto"/>
        </w:rPr>
        <w:t>”: as of any date of determination, the ratio for the most recently ended Test Period of (a) Consolidated EBITDA for such Test Period to (b) Consolidated Interest Expense for such Test Period; provided that, for purposes of calculating the Interest Coverage Ratio for any period ending prior to the first anniversary of the Closing Date, Consolidated Interest Expense shall be an amount equal to actual Consolidated Interest Expense from the Closing Date through the date of determination multiplied by a fraction the numerator of which is 365 and the denominator of which is the number of days from the Closing Date through the date of determination.</w:t>
      </w:r>
    </w:p>
    <w:p>
      <w:pPr>
        <w:spacing w:after="0" w:line="16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(a) with respect to any ABR Loan (other than a Swingline Loan), the last day of each March, June, September and December and the Revolving Termination Date, as applicable,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Revolving Termination Date, as applicable, (c) with respect to any RFR Loan, each date that is on the numerically corresponding day in each calendar month that is one month after the Borrowing of such RFR Loan (or, if there is no such numerically corresponding day in such month, then the last day of such month) and the Revolving Termination Date and (d) with respect to any Swingline Loan, the day that such Loan is required to be repaid and the Revolving Termination Date.</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as to any Term Benchmark Loan (i) initially, the period commencing on the borrowing or conversion date, as the case may be, with respect to such Term Benchmark Borrowing, and ending on the numerically corresponding day in the calendar month that is one, three or six months thereafter, (in each case, subject to the availability for the Benchmark applicable to the relevant Loan or Commitment) as selected by such Borrower in its Borrowing request or interest election request, as the case may be, given with respect thereto; (ii) thereafter, each period commencing on the last day of the next preceding Interest Period applicable to such Term Benchmark Loan and ending one, three or six months thereafter (in each case, subject to the availability for the Benchmark applicable to the relevant Loan or Commitment), as selected by such Borrower by irrevocable notice in an interest election request submitted to the Administrative Agent not later than 12:00 Noon, New York City time, on the date that is three Business Days prior to the last day of the then current Interest Period with respect thereto; provided that all of the foregoing provisions relating to Interest Periods are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09" w:right="339" w:bottom="1440" w:gutter="0" w:footer="0" w:header="0"/>
        </w:sectPr>
      </w:pPr>
    </w:p>
    <w:bookmarkStart w:id="56" w:name="page57"/>
    <w:bookmarkEnd w:id="56"/>
    <w:p>
      <w:pPr>
        <w:jc w:val="both"/>
        <w:ind w:firstLine="656"/>
        <w:spacing w:after="0" w:line="261" w:lineRule="auto"/>
        <w:tabs>
          <w:tab w:leader="none" w:pos="1067"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81" w:lineRule="exact"/>
        <w:rPr>
          <w:rFonts w:ascii="Times New Roman" w:cs="Times New Roman" w:eastAsia="Times New Roman" w:hAnsi="Times New Roman"/>
          <w:sz w:val="20"/>
          <w:szCs w:val="20"/>
          <w:color w:val="auto"/>
        </w:rPr>
      </w:pPr>
    </w:p>
    <w:p>
      <w:pPr>
        <w:ind w:right="20" w:firstLine="656"/>
        <w:spacing w:after="0" w:line="269" w:lineRule="auto"/>
        <w:tabs>
          <w:tab w:leader="none" w:pos="122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may not select an Interest Period under the Revolving Facility that would extend beyond the Revolving Termination Date;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3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last calendar month of such Interest Period) shall end on the last Business Day of the last calendar month of such Interest Period; and</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tenor that has been removed from this definition pursuant to Section 2.16(f) shall be available.</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Investments</w:t>
      </w:r>
      <w:r>
        <w:rPr>
          <w:rFonts w:ascii="Times New Roman" w:cs="Times New Roman" w:eastAsia="Times New Roman" w:hAnsi="Times New Roman"/>
          <w:sz w:val="20"/>
          <w:szCs w:val="20"/>
          <w:color w:val="auto"/>
        </w:rPr>
        <w:t>”: as defined in Section 7.7.</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Bank</w:t>
      </w:r>
      <w:r>
        <w:rPr>
          <w:rFonts w:ascii="Times New Roman" w:cs="Times New Roman" w:eastAsia="Times New Roman" w:hAnsi="Times New Roman"/>
          <w:sz w:val="20"/>
          <w:szCs w:val="20"/>
          <w:color w:val="auto"/>
        </w:rPr>
        <w:t>” means JPMorgan Chase Bank, N.A., Bank of America, N.A., Wells Fargo Bank, N.A. and any other Lender that agrees to act as an Issuing Bank (in each case, through itself or through one of its designated affiliates or branch offices), each in its capacity as the issuer of Letters of Credit hereunder, and its successors in such capacity as provided in Section 2.13.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Joint Venture</w:t>
      </w:r>
      <w:r>
        <w:rPr>
          <w:rFonts w:ascii="Times New Roman" w:cs="Times New Roman" w:eastAsia="Times New Roman" w:hAnsi="Times New Roman"/>
          <w:sz w:val="20"/>
          <w:szCs w:val="20"/>
          <w:color w:val="auto"/>
        </w:rPr>
        <w:t>”: any Person in which the Company and/or its Subsidiaries hold less than a majority of the Capital Stock, and which does not constitute a Subsidiary of the Company, whether direct or indirect.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JPMCB</w:t>
      </w:r>
      <w:r>
        <w:rPr>
          <w:rFonts w:ascii="Times New Roman" w:cs="Times New Roman" w:eastAsia="Times New Roman" w:hAnsi="Times New Roman"/>
          <w:sz w:val="20"/>
          <w:szCs w:val="20"/>
          <w:color w:val="auto"/>
        </w:rPr>
        <w:t>”: JPMorgan Chase Bank, N.A.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Judgment Currency</w:t>
      </w:r>
      <w:r>
        <w:rPr>
          <w:rFonts w:ascii="Times New Roman" w:cs="Times New Roman" w:eastAsia="Times New Roman" w:hAnsi="Times New Roman"/>
          <w:sz w:val="20"/>
          <w:szCs w:val="20"/>
          <w:color w:val="auto"/>
        </w:rPr>
        <w:t>”: as defined in Section 10.20(b).</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Lien Intercreditor Agreemen</w:t>
      </w:r>
      <w:r>
        <w:rPr>
          <w:rFonts w:ascii="Times New Roman" w:cs="Times New Roman" w:eastAsia="Times New Roman" w:hAnsi="Times New Roman"/>
          <w:sz w:val="20"/>
          <w:szCs w:val="20"/>
          <w:color w:val="auto"/>
        </w:rPr>
        <w:t>t”: an intercreditor agreement in a form reasonably acceptable to the Administrative Agent and the Company among the Loan Parties from time to time party thereto, the Administrative Agent and an Other Debt Representative for the holders of Indebtedness that is permitted under Sections 7.2 and 7.3 to be, and is intended to be, secured by a Lien on the Collateral that is junior to the Liens securing the Obligations.</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or to the “</w:t>
      </w:r>
      <w:r>
        <w:rPr>
          <w:rFonts w:ascii="Times New Roman" w:cs="Times New Roman" w:eastAsia="Times New Roman" w:hAnsi="Times New Roman"/>
          <w:sz w:val="20"/>
          <w:szCs w:val="20"/>
          <w:b w:val="1"/>
          <w:bCs w:val="1"/>
          <w:color w:val="auto"/>
        </w:rPr>
        <w:t>Knowledge</w:t>
      </w:r>
      <w:r>
        <w:rPr>
          <w:rFonts w:ascii="Times New Roman" w:cs="Times New Roman" w:eastAsia="Times New Roman" w:hAnsi="Times New Roman"/>
          <w:sz w:val="20"/>
          <w:szCs w:val="20"/>
          <w:color w:val="auto"/>
        </w:rPr>
        <w:t>”: of any Loan Party or any Subsidiaries of any Loan Party, the actual knowledge, after reasonable good faith investigation, of a Responsible Officer of such Loan Party or such Subsidiary.</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Latest Maturity Date</w:t>
      </w:r>
      <w:r>
        <w:rPr>
          <w:rFonts w:ascii="Times New Roman" w:cs="Times New Roman" w:eastAsia="Times New Roman" w:hAnsi="Times New Roman"/>
          <w:sz w:val="20"/>
          <w:szCs w:val="20"/>
          <w:color w:val="auto"/>
        </w:rPr>
        <w:t>”: at any date of determination, the latest maturity or expiration date applicable to any Loan or Commitment hereunder at such time, including the latest maturity or expiration date of any Term Loan.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Disbursement</w:t>
      </w:r>
      <w:r>
        <w:rPr>
          <w:rFonts w:ascii="Times New Roman" w:cs="Times New Roman" w:eastAsia="Times New Roman" w:hAnsi="Times New Roman"/>
          <w:sz w:val="20"/>
          <w:szCs w:val="20"/>
          <w:color w:val="auto"/>
        </w:rPr>
        <w:t>” means a payment made by an Issuing Bank pursuant to a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57" w:name="page58"/>
    <w:bookmarkEnd w:id="57"/>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LC Exposure</w:t>
      </w:r>
      <w:r>
        <w:rPr>
          <w:rFonts w:ascii="Times New Roman" w:cs="Times New Roman" w:eastAsia="Times New Roman" w:hAnsi="Times New Roman"/>
          <w:sz w:val="20"/>
          <w:szCs w:val="20"/>
          <w:color w:val="auto"/>
        </w:rPr>
        <w:t xml:space="preserve">” means, at any time, the sum of the Dollar Equivalent of (a) the aggregate undrawn amount of all outstanding Letters of Credit at such time, plus (b) the aggregate amount of all LC Disbursements that have not yet been reimbursed by or on behalf of the Borrowers at such time. The LC Exposure of any Lender at any time shall be its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auto"/>
        </w:rPr>
        <w:t xml:space="preserv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17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Lender Affiliate</w:t>
      </w:r>
      <w:r>
        <w:rPr>
          <w:rFonts w:ascii="Times New Roman" w:cs="Times New Roman" w:eastAsia="Times New Roman" w:hAnsi="Times New Roman"/>
          <w:sz w:val="19"/>
          <w:szCs w:val="19"/>
          <w:color w:val="auto"/>
        </w:rPr>
        <w:t>”: (a) with respect to any Lender (i) an Affiliate of such Lender or (ii) any entity (whether a corporation, partnership, trust or otherwise) that is engaged in making, purchasing, holding or otherwise investing in bank loans and similar extensions of credit in the ordinary course of its business and is administered or managed by such Lender or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Cash Management Obligations</w:t>
      </w:r>
      <w:r>
        <w:rPr>
          <w:rFonts w:ascii="Times New Roman" w:cs="Times New Roman" w:eastAsia="Times New Roman" w:hAnsi="Times New Roman"/>
          <w:sz w:val="20"/>
          <w:szCs w:val="20"/>
          <w:color w:val="auto"/>
        </w:rPr>
        <w:t>”: Cash Management Obligations owed to any Person who is, or was, the Administrative Agent or a Lender (or any Affiliate of the Administrative Agent or any Lender) (x) at the time the agreement governing such Cash Management Obligations was entered into, with respect to any Cash Management Obligations arising from any agreement entered into after the Closing Date or (y) as of the Closing Date, with respect to any Cash Management Obligations arising from any agreement existing on the Closing Date, in each case of clauses (x) and (y), regardless of whether such Person subsequently ceases to be the Administrative Agent or a Lender or an Affiliate of the Administrative Agent or a Lender (each such Person, a “</w:t>
      </w:r>
      <w:r>
        <w:rPr>
          <w:rFonts w:ascii="Times New Roman" w:cs="Times New Roman" w:eastAsia="Times New Roman" w:hAnsi="Times New Roman"/>
          <w:sz w:val="20"/>
          <w:szCs w:val="20"/>
          <w:b w:val="1"/>
          <w:bCs w:val="1"/>
          <w:color w:val="auto"/>
        </w:rPr>
        <w:t>Lender Cash Management Counterparty</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 Hedge Agreements</w:t>
      </w:r>
      <w:r>
        <w:rPr>
          <w:rFonts w:ascii="Times New Roman" w:cs="Times New Roman" w:eastAsia="Times New Roman" w:hAnsi="Times New Roman"/>
          <w:sz w:val="20"/>
          <w:szCs w:val="20"/>
          <w:color w:val="auto"/>
        </w:rPr>
        <w:t>”: as defined in the Guarantee Agreement.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as defined in the preamble hereto. Unless the context otherwise requires, the term “Lenders” includes the Swingline Lender and the Issuing Banks.</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(a) any letter of credit issued pursuant to this Agreement and (b) for so long as the same remain outstanding, the Existing Letters of Credit.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Agreement</w:t>
      </w:r>
      <w:r>
        <w:rPr>
          <w:rFonts w:ascii="Times New Roman" w:cs="Times New Roman" w:eastAsia="Times New Roman" w:hAnsi="Times New Roman"/>
          <w:sz w:val="20"/>
          <w:szCs w:val="20"/>
          <w:color w:val="auto"/>
        </w:rPr>
        <w:t>”: has the meaning assigned to it in Section 2.13.</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Commitment</w:t>
      </w:r>
      <w:r>
        <w:rPr>
          <w:rFonts w:ascii="Times New Roman" w:cs="Times New Roman" w:eastAsia="Times New Roman" w:hAnsi="Times New Roman"/>
          <w:sz w:val="20"/>
          <w:szCs w:val="20"/>
          <w:color w:val="auto"/>
        </w:rPr>
        <w:t>”: with respect to each Issuing Bank, the commitment of such Issuing Bank to issue Letters of Credit hereunder. The initial amount of each Issuing Bank’s Letter of Credit Commitment is set forth on Schedule 1.1A, or if an Issuing Bank has entered into an Assignment and Assumption or has otherwise assumed a Letter of Credit Commitment after the Closing Date, the amount set forth for such Issuing Bank as its Letter of Credit Commitment in the Register maintained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09" w:right="339" w:bottom="1440" w:gutter="0" w:footer="0" w:header="0"/>
        </w:sectPr>
      </w:pPr>
    </w:p>
    <w:bookmarkStart w:id="58" w:name="page59"/>
    <w:bookmarkEnd w:id="58"/>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the Administrative Agent. The Letter of Credit Commitment of an Issuing Bank may be modified from time to time by agreement between such Issuing Bank and the Borrower, and notified to the Administrative Agent.</w:t>
      </w:r>
    </w:p>
    <w:p>
      <w:pPr>
        <w:spacing w:after="0" w:line="142"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any mortgage, pledge, hypothecation, assignment, deposit arrangement, encumbrance, lien (statutory or other), charge or other security interest or any preference, priority or other security agreement (including any conditional sale or other title retention agreement and any capital lease having substantially the same economic effect as any of the foregoing).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Limited Condition Transaction</w:t>
      </w:r>
      <w:r>
        <w:rPr>
          <w:rFonts w:ascii="Times New Roman" w:cs="Times New Roman" w:eastAsia="Times New Roman" w:hAnsi="Times New Roman"/>
          <w:sz w:val="20"/>
          <w:szCs w:val="20"/>
          <w:color w:val="auto"/>
        </w:rPr>
        <w:t>”: as defined in Section 1.4(d).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any loan made by any Lender pursuant to this Agreement.</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this Agreement, the Guarantee Agreement, the Security Documents and the Notes, as the same may be amended, modified or supplemented from time to time.</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the Company, each Borrower, each other Subsidiary of the Company that is a party to a Loan Document. For the avoidance of doubt, the Loan Parties as of the Closing Date are set forth on Schedule 1.1C 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Local Time</w:t>
      </w:r>
      <w:r>
        <w:rPr>
          <w:rFonts w:ascii="Times New Roman" w:cs="Times New Roman" w:eastAsia="Times New Roman" w:hAnsi="Times New Roman"/>
          <w:sz w:val="20"/>
          <w:szCs w:val="20"/>
          <w:color w:val="auto"/>
        </w:rPr>
        <w:t>”: New York City time.</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Long-Term Indebtedness</w:t>
      </w:r>
      <w:r>
        <w:rPr>
          <w:rFonts w:ascii="Times New Roman" w:cs="Times New Roman" w:eastAsia="Times New Roman" w:hAnsi="Times New Roman"/>
          <w:sz w:val="20"/>
          <w:szCs w:val="20"/>
          <w:color w:val="auto"/>
        </w:rPr>
        <w:t>”: any Indebtedness that, in accordance with GAAP, constitutes (or, when incurred, constituted) a long-term liability; provided that revolving indebtedness shall not constitute Long-Term Indebtedness.</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Majority Facility Lenders</w:t>
      </w:r>
      <w:r>
        <w:rPr>
          <w:rFonts w:ascii="Times New Roman" w:cs="Times New Roman" w:eastAsia="Times New Roman" w:hAnsi="Times New Roman"/>
          <w:sz w:val="20"/>
          <w:szCs w:val="20"/>
          <w:color w:val="auto"/>
        </w:rPr>
        <w:t xml:space="preserve">”: with respect to any Facility, the holders (other than Defaulting Lenders) of more than 50% of the aggregate unpaid principal amount of the Loans outstanding under such Facility (excluding Loans held by Defaulting Lenders) or in the case of (a) the Revolving Facility, prior to any termination of the Revolving Commitments, the holders (other than Defaulting Lenders) of more than 50% of the Total Revolving Commitments (excluding Revolving Commitments of Defaulting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“Majority Facility Lenders” shall not be fewer than two Lenders and, for purposes of this proviso, a Lender and its Affiliates shall be deemed to constitute one Lender.</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a material adverse effect on (a) the business, property, operations or financial condition of the Company and its Subsidiaries taken as a whole, (b) the ability of the Loan Parties, taken as a whole, to perform their payment obligations under the Loan Documents or (c) the rights of or benefits available to the Lenders, taken as a whole, under this Agreement or any other Loan Document.</w:t>
      </w:r>
    </w:p>
    <w:p>
      <w:pPr>
        <w:spacing w:after="0" w:line="164"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IP</w:t>
      </w:r>
      <w:r>
        <w:rPr>
          <w:rFonts w:ascii="Times New Roman" w:cs="Times New Roman" w:eastAsia="Times New Roman" w:hAnsi="Times New Roman"/>
          <w:sz w:val="20"/>
          <w:szCs w:val="20"/>
          <w:color w:val="auto"/>
        </w:rPr>
        <w:t>” means any Intellectual Property that is material to the conduct of the business of the Company and its Subsidiaries, taken as a whole.</w:t>
      </w:r>
    </w:p>
    <w:p>
      <w:pPr>
        <w:spacing w:after="0" w:line="13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Materials of Environmental Concern</w:t>
      </w:r>
      <w:r>
        <w:rPr>
          <w:rFonts w:ascii="Times New Roman" w:cs="Times New Roman" w:eastAsia="Times New Roman" w:hAnsi="Times New Roman"/>
          <w:sz w:val="20"/>
          <w:szCs w:val="20"/>
          <w:color w:val="auto"/>
        </w:rPr>
        <w:t>”: any gasoline or petroleum (including crude oil or any fraction thereof) or petroleum products or any hazardous or toxic substances, materials or wastes, in each case that are defined or regulated as such in or under any Requirement of Law relating to the environment, including asbestos, polychlorinated biphenyls and urea-formaldehyde insulation.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as defined in Section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59" w:name="page60"/>
    <w:bookmarkEnd w:id="5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as defined in the definition of “Cash Equivalents”.</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Mortgaged Properties</w:t>
      </w:r>
      <w:r>
        <w:rPr>
          <w:rFonts w:ascii="Times New Roman" w:cs="Times New Roman" w:eastAsia="Times New Roman" w:hAnsi="Times New Roman"/>
          <w:sz w:val="20"/>
          <w:szCs w:val="20"/>
          <w:color w:val="auto"/>
        </w:rPr>
        <w:t>”: the real properties subject to the Mortgages designated in part (a) of Schedule 1.1B and any other real properties required to be mortgaged pursuant to Section 6.9; provided that Mortgaged Properties shall not include any Excluded Asset.</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Mortgages</w:t>
      </w:r>
      <w:r>
        <w:rPr>
          <w:rFonts w:ascii="Times New Roman" w:cs="Times New Roman" w:eastAsia="Times New Roman" w:hAnsi="Times New Roman"/>
          <w:sz w:val="20"/>
          <w:szCs w:val="20"/>
          <w:color w:val="auto"/>
        </w:rPr>
        <w:t>”: each mortgage, deed of trust, deed to secure debt, trust deed or any other security document entered into by the owner of a Mortgaged Property in favor of the Administrative Agent for the benefit of the Administrative Agent and the Secured Parties creating a lien on such Mortgaged Property in such form as reasonably agreed between the Company and the Administrative Agent, as the same may be amended, supplemented or otherwise modified from time to time; provided, however, in the event any Mortgaged Property is located in a jurisdiction which imposes mortgage recording taxes or similar fees, the applicable Mortgage shall not secure an amount in excess of 100% of the fair market value of such Mortgaged Property.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a Plan that is a multiemployer plan as defined in Section 4001(a)(3) of ERISA.</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Cash Proceeds</w:t>
      </w:r>
      <w:r>
        <w:rPr>
          <w:rFonts w:ascii="Times New Roman" w:cs="Times New Roman" w:eastAsia="Times New Roman" w:hAnsi="Times New Roman"/>
          <w:sz w:val="20"/>
          <w:szCs w:val="20"/>
          <w:color w:val="auto"/>
        </w:rPr>
        <w:t>”: in connection with any issuance or sale of Capital Stock or any incurrence of Indebtedness, the cash proceeds received from such issuance or incurrence, net of attorneys’ fees, investment banking fees, accountants’ fees, underwriting discounts and commissions and other fees and expenses actually incurred in connection therewith.</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Netted Cash</w:t>
      </w:r>
      <w:r>
        <w:rPr>
          <w:rFonts w:ascii="Times New Roman" w:cs="Times New Roman" w:eastAsia="Times New Roman" w:hAnsi="Times New Roman"/>
          <w:sz w:val="20"/>
          <w:szCs w:val="20"/>
          <w:color w:val="auto"/>
        </w:rPr>
        <w:t xml:space="preserve">”: at any date of determination, the aggregate amount of all unrestricted cash and Cash Equivalents of the Company and its Subsidiaries as of such date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to the extent included in such unrestricted cash and Cash Equivalents, any cash or Cash Equivalents to the extent required to be held by a money transmitter, financial institution, or other financial services or financial technology service provider in respect of customer transactions or balances or obligations pursuant to any applicable law, rule, or regulation, regardless of how such assets are designated under such law, rule, or regulation (including as “permissible investments” or “eligible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New Israeli Shekel</w:t>
      </w:r>
      <w:r>
        <w:rPr>
          <w:rFonts w:ascii="Times New Roman" w:cs="Times New Roman" w:eastAsia="Times New Roman" w:hAnsi="Times New Roman"/>
          <w:sz w:val="20"/>
          <w:szCs w:val="20"/>
          <w:color w:val="auto"/>
        </w:rPr>
        <w:t>” means the lawful currency of Israel.</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as defined in Section 2.22.</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Non-Excluded Taxes</w:t>
      </w:r>
      <w:r>
        <w:rPr>
          <w:rFonts w:ascii="Times New Roman" w:cs="Times New Roman" w:eastAsia="Times New Roman" w:hAnsi="Times New Roman"/>
          <w:sz w:val="20"/>
          <w:szCs w:val="20"/>
          <w:color w:val="auto"/>
        </w:rPr>
        <w:t>”: Taxes imposed on or with respect to any payment made by or on account of any obligation of any Loan Party under any Loan Document, other than Taxes that are (i) Taxes imposed on or measured by net income (however denominated), franchise taxes, and branch profits taxes (A) imposed as a result of the Administrative Agent or any Lender being organized under the laws of, or having its principal office or, in the case of any Lender, its applicable lending office located in, the jurisdiction imposing such Tax (or any political subdivision thereof) or (B) imposed on the Administrative Agent or any Lender as a result of a present or former connection between the Administrative Agent or such Lender and the jurisdiction of the Governmental Authority imposing such Tax or any political subdivision or taxing authority thereof or therein (other than any such connection arising solely from the Administrative Agent or such Lender having executed, delivered, become a party to, performed its obligations under, received payments under, received or perfected a security interest under, engaged in any other transaction pursuant to, or enforced this Agreement or any Loan Document), (ii) attributable to a Lender’s failure to comply with the requirements of paragraph (e) or (f) of Section 2.19, (iii) withholding taxes imposed on amounts payable to or for the account of a Lender with respect to an applicable interest in a Loan or Commitment pursuant to a law in effect on the date on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09"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20"/>
          <w:szCs w:val="20"/>
          <w:color w:val="auto"/>
        </w:rPr>
        <w:t>Lender becomes a party to this Agreement or changes its lending office, except to the extent that, pursuant to Section 2.19, amounts with respect to such Taxes were payable either to such Lender’s assignor (if any) immediately before such Lender acquired such interest or to such Lender immediately before it changed its lending office, (iv) any withholding Taxes imposed or collected pursuant to, or as a result of the application of, Section 899 of the Code (as proposed in the One Big Beautiful Act) or any substantially similar provision, in each case, as finally enacted, or any substantially similar amended or successor provision or (v) any withholding Taxes imposed pursuant to FATCA.</w:t>
      </w:r>
    </w:p>
    <w:p>
      <w:pPr>
        <w:spacing w:after="0" w:line="18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Non-Finance Lease Obligation</w:t>
      </w:r>
      <w:r>
        <w:rPr>
          <w:rFonts w:ascii="Times New Roman" w:cs="Times New Roman" w:eastAsia="Times New Roman" w:hAnsi="Times New Roman"/>
          <w:sz w:val="20"/>
          <w:szCs w:val="20"/>
          <w:color w:val="auto"/>
        </w:rPr>
        <w:t>”: with respect to any Person, a lease obligation of such Person that is not an obligation in respect of a Finance Lease. A straight-line or operating lease shall be considered a Non-Finance Lease Obligation.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Non-U.S. Lender</w:t>
      </w:r>
      <w:r>
        <w:rPr>
          <w:rFonts w:ascii="Times New Roman" w:cs="Times New Roman" w:eastAsia="Times New Roman" w:hAnsi="Times New Roman"/>
          <w:sz w:val="20"/>
          <w:szCs w:val="20"/>
          <w:color w:val="auto"/>
        </w:rPr>
        <w:t>”: as defined in Section 2.19(f)(ii).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the collective reference to any promissory note evidencing Loans.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NYFRB</w:t>
      </w:r>
      <w:r>
        <w:rPr>
          <w:rFonts w:ascii="Times New Roman" w:cs="Times New Roman" w:eastAsia="Times New Roman" w:hAnsi="Times New Roman"/>
          <w:sz w:val="20"/>
          <w:szCs w:val="20"/>
          <w:color w:val="auto"/>
        </w:rPr>
        <w:t>”: the Federal Reserve Bank of New York.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NYFRB Rate</w:t>
      </w:r>
      <w:r>
        <w:rPr>
          <w:rFonts w:ascii="Times New Roman" w:cs="Times New Roman" w:eastAsia="Times New Roman" w:hAnsi="Times New Roman"/>
          <w:sz w:val="20"/>
          <w:szCs w:val="20"/>
          <w:color w:val="auto"/>
        </w:rPr>
        <w:t>”: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provided, further, that if any of the aforesaid rates as so determined shall be less than zero, such rate shall be deemed to be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NYFRB’s Website</w:t>
      </w:r>
      <w:r>
        <w:rPr>
          <w:rFonts w:ascii="Times New Roman" w:cs="Times New Roman" w:eastAsia="Times New Roman" w:hAnsi="Times New Roman"/>
          <w:sz w:val="20"/>
          <w:szCs w:val="20"/>
          <w:color w:val="auto"/>
        </w:rPr>
        <w:t>”: the website of the NYFRB at http://www.newyorkfed.org, or any successor source.</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any Borrower, whether or not a claim for post-filing or post-petition interest is allowed in such proceeding) the Loans and all other obligations and liabilities of the Borrowers to the Administrative Agent or to any Lender (or, in the case of Lender Hedge Agreements or Lender Cash Management Obligations, any Affiliate of the Administrative Agent or any Lender), whether direct or indirect, absolute or contingent, due or to become due, or now existing or hereafter incurred, which may arise under, out of, or in connection with, this Agreement, any other Loan Document (including, for the avoidance of doubt, any guarantee of Lender Cash Management Obligations and Lender Hedge Agreements in each case arising under the Guarantee Agreement), the Letters of Credit, Lender Cash Management Obligations, Lender Hedge Agreements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Borrowers pursuant hereto) or otherwise.</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Debt Representative</w:t>
      </w:r>
      <w:r>
        <w:rPr>
          <w:rFonts w:ascii="Times New Roman" w:cs="Times New Roman" w:eastAsia="Times New Roman" w:hAnsi="Times New Roman"/>
          <w:sz w:val="20"/>
          <w:szCs w:val="20"/>
          <w:color w:val="auto"/>
        </w:rPr>
        <w:t>”: with respect to any series of Indebtedness permitted to be incurred and secured by a Lien on the Collateral that is pari passu (but without regard to the control of remedies) with or junior to the Lien securing the Obligations, the trustee, administrative agent, collateral agent, security agent or similar agent under the indenture or agreement pursuant to which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Indebtedness is issued, incurred or otherwise obtained, as the case may be, and each of their successors in such capacities.</w:t>
      </w:r>
    </w:p>
    <w:p>
      <w:pPr>
        <w:spacing w:after="0" w:line="225" w:lineRule="exact"/>
        <w:rPr>
          <w:sz w:val="20"/>
          <w:szCs w:val="20"/>
          <w:color w:val="auto"/>
        </w:rPr>
      </w:pPr>
    </w:p>
    <w:p>
      <w:pPr>
        <w:ind w:right="14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Revolving Commitments</w:t>
      </w:r>
      <w:r>
        <w:rPr>
          <w:rFonts w:ascii="Times New Roman" w:cs="Times New Roman" w:eastAsia="Times New Roman" w:hAnsi="Times New Roman"/>
          <w:sz w:val="20"/>
          <w:szCs w:val="20"/>
          <w:color w:val="auto"/>
        </w:rPr>
        <w:t>”: one or more Classes of revolving credit commitments hereunder that result from a Refinancing Revolving Amendment.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Revolving Loans</w:t>
      </w:r>
      <w:r>
        <w:rPr>
          <w:rFonts w:ascii="Times New Roman" w:cs="Times New Roman" w:eastAsia="Times New Roman" w:hAnsi="Times New Roman"/>
          <w:sz w:val="20"/>
          <w:szCs w:val="20"/>
          <w:color w:val="auto"/>
        </w:rPr>
        <w:t>”: one or more Classes of Revolving Loans that result from a Refinancing Revolving Amendment.</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all present or future stamp, court or documentary, intangible, recording, filing or any other similar Taxes that arise from any payment made under, from the execution, delivery or enforcement of, from the receipt or perfection of a security interest under, or otherwise with respect to, this Agreement or any other Loan Document, except any such Taxes imposed with respect to an assignment.</w:t>
      </w:r>
    </w:p>
    <w:p>
      <w:pPr>
        <w:spacing w:after="0" w:line="15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Outbound Investment Rules</w:t>
      </w:r>
      <w:r>
        <w:rPr>
          <w:rFonts w:ascii="Times New Roman" w:cs="Times New Roman" w:eastAsia="Times New Roman" w:hAnsi="Times New Roman"/>
          <w:sz w:val="20"/>
          <w:szCs w:val="20"/>
          <w:color w:val="auto"/>
        </w:rPr>
        <w:t>”: the regulations administered and enforced, together with any related public guidance issued, by the United States Treasury Department under U.S. Executive Order 14105 of August 9, 2023; as of the date of this Agreement, and as codified at 31 C.F.R. § 850.101 et seq.</w:t>
      </w:r>
    </w:p>
    <w:p>
      <w:pPr>
        <w:spacing w:after="0" w:line="17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Overnight Bank Funding Rate</w:t>
      </w:r>
      <w:r>
        <w:rPr>
          <w:rFonts w:ascii="Times New Roman" w:cs="Times New Roman" w:eastAsia="Times New Roman" w:hAnsi="Times New Roman"/>
          <w:sz w:val="20"/>
          <w:szCs w:val="20"/>
          <w:color w:val="auto"/>
        </w:rPr>
        <w:t>”: for any day, the rate comprised of both overnight federal funds and overnight eurodollar transactions in U.S.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as defined in Section 10.6(b).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as defined in Section 10.6(b).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Participating Member State</w:t>
      </w:r>
      <w:r>
        <w:rPr>
          <w:rFonts w:ascii="Times New Roman" w:cs="Times New Roman" w:eastAsia="Times New Roman" w:hAnsi="Times New Roman"/>
          <w:sz w:val="20"/>
          <w:szCs w:val="20"/>
          <w:color w:val="auto"/>
        </w:rPr>
        <w:t>”: each state so described in any EMU legislation.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Patriot Act</w:t>
      </w:r>
      <w:r>
        <w:rPr>
          <w:rFonts w:ascii="Times New Roman" w:cs="Times New Roman" w:eastAsia="Times New Roman" w:hAnsi="Times New Roman"/>
          <w:sz w:val="20"/>
          <w:szCs w:val="20"/>
          <w:color w:val="auto"/>
        </w:rPr>
        <w:t>”: as defined in Section 10.16.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the Pension Benefit Guaranty Corporation established pursuant to Subtitle A of Title IV of ERISA (or any successor).</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First Priority Refinancing Debt</w:t>
      </w:r>
      <w:r>
        <w:rPr>
          <w:rFonts w:ascii="Times New Roman" w:cs="Times New Roman" w:eastAsia="Times New Roman" w:hAnsi="Times New Roman"/>
          <w:sz w:val="20"/>
          <w:szCs w:val="20"/>
          <w:color w:val="auto"/>
        </w:rPr>
        <w:t>”: any Permitted First Priority Refinancing Notes and any Permitted First Priority Refinancing Loans.</w:t>
      </w:r>
    </w:p>
    <w:p>
      <w:pPr>
        <w:spacing w:after="0" w:line="138"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Permitted First Priority Refinancing Loans</w:t>
      </w:r>
      <w:r>
        <w:rPr>
          <w:rFonts w:ascii="Times New Roman" w:cs="Times New Roman" w:eastAsia="Times New Roman" w:hAnsi="Times New Roman"/>
          <w:sz w:val="19"/>
          <w:szCs w:val="19"/>
          <w:color w:val="auto"/>
        </w:rPr>
        <w:t>”: any Credit Agreement Refinancing Indebtedness in the form of secured loans incurred by the Company and/or the Subsidiary Guarantors in the form of one or more tranches of loans under this Agreement; provided that</w:t>
      </w:r>
    </w:p>
    <w:p>
      <w:pPr>
        <w:spacing w:after="0" w:line="1" w:lineRule="exact"/>
        <w:rPr>
          <w:sz w:val="20"/>
          <w:szCs w:val="20"/>
          <w:color w:val="auto"/>
        </w:rPr>
      </w:pPr>
    </w:p>
    <w:p>
      <w:pPr>
        <w:ind w:firstLine="8"/>
        <w:spacing w:after="0" w:line="253" w:lineRule="auto"/>
        <w:tabs>
          <w:tab w:leader="none" w:pos="24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is secured by a Lien on the Collateral that is pari passu (but without regard to the control of remedies) with the Liens securing the Obligations and (ii) such Indebtedness meets the Permitted Other Debt Conditions.</w:t>
      </w:r>
    </w:p>
    <w:p>
      <w:pPr>
        <w:spacing w:after="0" w:line="1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First Priority Refinancing Notes</w:t>
      </w:r>
      <w:r>
        <w:rPr>
          <w:rFonts w:ascii="Times New Roman" w:cs="Times New Roman" w:eastAsia="Times New Roman" w:hAnsi="Times New Roman"/>
          <w:sz w:val="20"/>
          <w:szCs w:val="20"/>
          <w:color w:val="auto"/>
        </w:rPr>
        <w:t>”: any Credit Agreement Refinancing Indebtedness in the form of secured Indebtedness (including any Registered Equivalent Notes) incurred by the Company and/or the Subsidiary Guarantors in the form of one or more series of senior secured notes (whether issued in a public offering, Rule 144A, private placement or otherwise) or loans not under this Agreement; provided that (i) such Indebtedness is secured by a Lien on the Collateral that is pari passu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20"/>
          <w:szCs w:val="20"/>
          <w:color w:val="auto"/>
        </w:rPr>
        <w:t>(but without regard to the control of remedies) with the Liens securing the Obligations, (ii) such Indebtedness meets the Permitted Other Debt Conditions and (iii) an Other Debt Representative acting on behalf of the holders of such Indebtedness shall have become party to a First Lien Intercreditor Agreement and, if required thereby, any other Applicable Intercreditor Agreement then in effect. Permitted First Priority Refinancing Notes will include any Registered Equivalent Notes issued in exchange therefor.</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Junior Lien Refinancing Debt</w:t>
      </w:r>
      <w:r>
        <w:rPr>
          <w:rFonts w:ascii="Times New Roman" w:cs="Times New Roman" w:eastAsia="Times New Roman" w:hAnsi="Times New Roman"/>
          <w:sz w:val="20"/>
          <w:szCs w:val="20"/>
          <w:color w:val="auto"/>
        </w:rPr>
        <w:t>”: Credit Agreement Refinancing Indebtedness constituting secured Indebtedness (including any Registered Equivalent Notes) incurred by the Company and/or the Subsidiary Guarantors in the form of one or more series of junior lien secured notes or junior lien secured loans; provided that (i) such Indebtedness is secured by a Lien on the Collateral that is junior to the Liens securing the Obligations, (ii) such Indebtedness meets the Permitted Other Debt Conditions and (iii) an Other Debt Representative acting on behalf of the holders of such Indebtedness shall have become party to the Junior Lien Intercreditor Agreement as a “Junior Priority Representative” (or similar term, in each case, to be defined in the Junior Lien Intercreditor Agreement). Permitted Junior Lien Refinancing Debt will include any Registered Equivalent Notes issued in exchange therefor.</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Other Debt Conditions</w:t>
      </w:r>
      <w:r>
        <w:rPr>
          <w:rFonts w:ascii="Times New Roman" w:cs="Times New Roman" w:eastAsia="Times New Roman" w:hAnsi="Times New Roman"/>
          <w:sz w:val="20"/>
          <w:szCs w:val="20"/>
          <w:color w:val="auto"/>
        </w:rPr>
        <w:t>”: with respect to any Indebtedness, that such applicable Indebtedness (i) is issued, incurred or otherwise obtained (including by means of the extension or renewal of existing Indebtedness) in exchange for, or to extend, renew, replace, repurchase, retire or refinance, in whole or part, existing Term Loans and Revolving Loans (or Commitments in respect to Revolving Loans), or any then-existing Credit Agreement Refinancing Indebtedness (“</w:t>
      </w:r>
      <w:r>
        <w:rPr>
          <w:rFonts w:ascii="Times New Roman" w:cs="Times New Roman" w:eastAsia="Times New Roman" w:hAnsi="Times New Roman"/>
          <w:sz w:val="20"/>
          <w:szCs w:val="20"/>
          <w:b w:val="1"/>
          <w:bCs w:val="1"/>
          <w:color w:val="auto"/>
        </w:rPr>
        <w:t>Refinanced Debt</w:t>
      </w:r>
      <w:r>
        <w:rPr>
          <w:rFonts w:ascii="Times New Roman" w:cs="Times New Roman" w:eastAsia="Times New Roman" w:hAnsi="Times New Roman"/>
          <w:sz w:val="20"/>
          <w:szCs w:val="20"/>
          <w:color w:val="auto"/>
        </w:rPr>
        <w:t>”), (ii) has a maturity no earlier than, and a Weighted Average Life to Maturity equal to or greater than the applicable Refinanced Debt; provided, that the foregoing limitation shall not apply to a customary bridge facility which, subject to customary conditions, automatically convert into long-term debt satisfying the requirements of this clause (ii) or to Indebtedness in the form of a revolving credit facility that is incurred in reliance on the Inside Maturity Basket, (iii) is not at any time guaranteed by any Subsidiaries other than Subsidiaries that are Guarantors, and (iv) is not secured by any property or assets of the Company or any Subsidiaries other than the Collateral.</w:t>
      </w:r>
    </w:p>
    <w:p>
      <w:pPr>
        <w:spacing w:after="0" w:line="19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Payee</w:t>
      </w:r>
      <w:r>
        <w:rPr>
          <w:rFonts w:ascii="Times New Roman" w:cs="Times New Roman" w:eastAsia="Times New Roman" w:hAnsi="Times New Roman"/>
          <w:sz w:val="20"/>
          <w:szCs w:val="20"/>
          <w:color w:val="auto"/>
        </w:rPr>
        <w:t>”: any future, current or former director, officer, member of management, manager, employee, independent contractor or consultant (or any Affiliate, immediate family member or transferee of any of the foregoing) of the Company (or any Subsidiary).</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Receivables Assets</w:t>
      </w:r>
      <w:r>
        <w:rPr>
          <w:rFonts w:ascii="Times New Roman" w:cs="Times New Roman" w:eastAsia="Times New Roman" w:hAnsi="Times New Roman"/>
          <w:sz w:val="20"/>
          <w:szCs w:val="20"/>
          <w:color w:val="auto"/>
        </w:rPr>
        <w:t>”: means (i) accounts receivable or, as applicable, loan receivables, in each case generated in connection with any Customer Advances or Customer Guarantees and (ii) accounts receivable generated in connection with the ordinary course remittance business of the Borrowers and their Subsidiaries.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Receivables Financing</w:t>
      </w:r>
      <w:r>
        <w:rPr>
          <w:rFonts w:ascii="Times New Roman" w:cs="Times New Roman" w:eastAsia="Times New Roman" w:hAnsi="Times New Roman"/>
          <w:sz w:val="20"/>
          <w:szCs w:val="20"/>
          <w:color w:val="auto"/>
        </w:rPr>
        <w:t>”: (a) any sale by the Company or a Subsidiary of Permitted Receivables Assets and related assets to a Finance Subsidiary intended to be (and which shall be treated for the purposes hereof as) a true sale transaction with customary limited recourse based upon the collectability of the Permitted Receivables Assets sold and the corresponding sale or pledge of such Permitted Receivables Assets and related assets (or an interest therein) by the Finance Subsidiary, in each case without any guarantee of the collectability of such Permitted Receivables Assets by the Company or any other Subsidiary thereof (other than by such Finance Subsidiary) and (b) (i) any sale by the Company or a Subsidiary of Permitted Receivables Assets and related assets under a factoring agreement that is intended to be (and which shall be treated for the purposes hereof as) a true sale transaction with customary limited recourse based upon collectability of the Permitted Receivables Assets sold,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63" w:name="page64"/>
    <w:bookmarkEnd w:id="63"/>
    <w:p>
      <w:pPr>
        <w:jc w:val="both"/>
        <w:spacing w:after="0" w:line="250" w:lineRule="auto"/>
        <w:rPr>
          <w:sz w:val="20"/>
          <w:szCs w:val="20"/>
          <w:color w:val="auto"/>
        </w:rPr>
      </w:pPr>
      <w:r>
        <w:rPr>
          <w:rFonts w:ascii="Times New Roman" w:cs="Times New Roman" w:eastAsia="Times New Roman" w:hAnsi="Times New Roman"/>
          <w:sz w:val="20"/>
          <w:szCs w:val="20"/>
          <w:color w:val="auto"/>
        </w:rPr>
        <w:t>any guarantee by the Company and any other Subsidiary thereof of the collectability of such Permitted Receivables Assets and (ii) any sale or financing by any Foreign Subsidiary to or with local buyers or lenders of Permitted Receivables Assets and related assets in the ordinary course of business, in each case without any guarantee by the Company or any Domestic Subsidiary. In addition to Permitted Receivables Assets and their proceeds, the related assets transferred in a Permitted Receivables Financing shall be limited to assets customarily transferred (or in respect of which security interests are customarily granted) in connection with a securitization, factoring or receivable sale transaction and may include (A) any collateral for transferred Permitted Receivables Assets (other than any interest in goods the sale of which gave rise to such Permitted Receivables Assets) and any agreements supporting or securing payment of transferred Permitted Receivables Assets, (B) any service contracts or other agreements associated with such Permitted Receivables Assets and records relating to such Permitted Receivables Assets, (C) any bank account or lock box maintained primarily for the purpose of receiving collections of transferred Permitted Receivables Assets and (D) proceeds of all of the foregoing.</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Refinancing</w:t>
      </w:r>
      <w:r>
        <w:rPr>
          <w:rFonts w:ascii="Times New Roman" w:cs="Times New Roman" w:eastAsia="Times New Roman" w:hAnsi="Times New Roman"/>
          <w:sz w:val="20"/>
          <w:szCs w:val="20"/>
          <w:color w:val="auto"/>
        </w:rPr>
        <w:t>”: with respect to any Person, any modification, refinancing, refunding, renewal, replacement or extension (collectively, a “</w:t>
      </w:r>
      <w:r>
        <w:rPr>
          <w:rFonts w:ascii="Times New Roman" w:cs="Times New Roman" w:eastAsia="Times New Roman" w:hAnsi="Times New Roman"/>
          <w:sz w:val="20"/>
          <w:szCs w:val="20"/>
          <w:b w:val="1"/>
          <w:bCs w:val="1"/>
          <w:color w:val="auto"/>
        </w:rPr>
        <w:t>Refinancing</w:t>
      </w:r>
      <w:r>
        <w:rPr>
          <w:rFonts w:ascii="Times New Roman" w:cs="Times New Roman" w:eastAsia="Times New Roman" w:hAnsi="Times New Roman"/>
          <w:sz w:val="20"/>
          <w:szCs w:val="20"/>
          <w:color w:val="auto"/>
        </w:rPr>
        <w:t>” and the Indebtedness being so Refinanced, the “</w:t>
      </w:r>
      <w:r>
        <w:rPr>
          <w:rFonts w:ascii="Times New Roman" w:cs="Times New Roman" w:eastAsia="Times New Roman" w:hAnsi="Times New Roman"/>
          <w:sz w:val="20"/>
          <w:szCs w:val="20"/>
          <w:b w:val="1"/>
          <w:bCs w:val="1"/>
          <w:color w:val="auto"/>
        </w:rPr>
        <w:t>Refinanced Indebtedness</w:t>
      </w:r>
      <w:r>
        <w:rPr>
          <w:rFonts w:ascii="Times New Roman" w:cs="Times New Roman" w:eastAsia="Times New Roman" w:hAnsi="Times New Roman"/>
          <w:sz w:val="20"/>
          <w:szCs w:val="20"/>
          <w:color w:val="auto"/>
        </w:rPr>
        <w:t>”) of any Indebtedness of such Person; provided that (a) the principal amount (or accreted value, if applicable) thereof does not exceed the principal amount (or accreted value, if applicable) of the Indebtedness so modified, refinanced, refunded, renewed, replaced or extended except by an amount equal to (x) 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modification, refinancing, refunding, renewal, replacement or extension,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 (b) other than with respect to a Permitted Refinancing in respect of Indebtedness permitted pursuant to Section 7.2(d), such modification, refinancing, refunding, renewal, replacement or extension has a maturity no earlier than, and a Weighted Average Life to Maturity equal to or greater than the Indebtedness being modified, refinanced, refunded, renewed, replaced or extended, (c) if such Refinanced Indebtedness is subordinated in right of payment to the Obligations, such modification, refinancing, refunding, renewal, replacement or extension is subordinated in right of payment to the Obligations on terms at least as favorable to the Lenders as those contained in the documentation governing the Refinanced Indebtedness, (d) such modification, refinancing, refunding, renewal, replacement or extension has no different obligors, or greater guarantees or security than the Refinanced Indebtedness (provided that (i) Indebtedness of any Loan Party may be Refinanced to add or substitute as an obligor another Loan Party and (ii) any Indebtedness of any Subsidiary that is not a Loan Party may be Refinanced to add or substitute as an obligor another Subsidiary that is not a Loan Party, in each case to the extent then permitted under Section 7.2) and (d) if the Indebtedness being modified, refinanced, refunded, renewed, replaced or extended was subject to an Applicable Intercreditor Agreement, the holders of such modified, refinanced, refunded, renewed, replaced or extended Indebtedness (if such Indebtedness is secured) or their representative on their behalf shall become party to the Applicable Intercreditor Agreement(s).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Sale/Leasebacks</w:t>
      </w:r>
      <w:r>
        <w:rPr>
          <w:rFonts w:ascii="Times New Roman" w:cs="Times New Roman" w:eastAsia="Times New Roman" w:hAnsi="Times New Roman"/>
          <w:sz w:val="20"/>
          <w:szCs w:val="20"/>
          <w:color w:val="auto"/>
        </w:rPr>
        <w:t>”: as defined in Section 7.9.</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Unsecured Refinancing Debt</w:t>
      </w:r>
      <w:r>
        <w:rPr>
          <w:rFonts w:ascii="Times New Roman" w:cs="Times New Roman" w:eastAsia="Times New Roman" w:hAnsi="Times New Roman"/>
          <w:sz w:val="20"/>
          <w:szCs w:val="20"/>
          <w:color w:val="auto"/>
        </w:rPr>
        <w:t>”: Credit Agreement Refinancing Indebtedness in the form of unsecured Indebtedness (including any Registered Equivalent Notes) incurred by the Company and/or the Subsidiary Guarantors in the form of one or more series of unsecured notes or loans; provided that such Indebtedness meets the Permitted Other Debt Conditions (to the extent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color w:val="auto"/>
        </w:rPr>
        <w:t>Permitted Unsecured Refinancing Debt will include any Registered Equivalent Notes issued in exchange therefor.</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an individual, partnership, corporation, limited liability company, business trust, joint stock company, trust, unincorporated association, joint venture, Governmental Authority or other entity of whatever nature.</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at a particular time, any “employee benefit plan” (as defined by Section 3(3) of ERISA) that is subject to Title IV of ERISA and in respect of which the Company or a Commonly Controlled Entity is (or, if such plan were terminated at such time, would under Section 4069 of ERISA be deemed to be) an “employer” as defined in Section 3(5) of ERISA.</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 Asset Regulations</w:t>
      </w:r>
      <w:r>
        <w:rPr>
          <w:rFonts w:ascii="Times New Roman" w:cs="Times New Roman" w:eastAsia="Times New Roman" w:hAnsi="Times New Roman"/>
          <w:sz w:val="20"/>
          <w:szCs w:val="20"/>
          <w:color w:val="auto"/>
        </w:rPr>
        <w:t>”: 29 CFR § 2510.3-101, as modified by Section 3(42) of ERISA, as amended from time to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Pledged Stock</w:t>
      </w:r>
      <w:r>
        <w:rPr>
          <w:rFonts w:ascii="Times New Roman" w:cs="Times New Roman" w:eastAsia="Times New Roman" w:hAnsi="Times New Roman"/>
          <w:sz w:val="20"/>
          <w:szCs w:val="20"/>
          <w:color w:val="auto"/>
        </w:rPr>
        <w:t>”: collectively, “Pledged Stock”, as defined in the Collateral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Polish Złoty</w:t>
      </w:r>
      <w:r>
        <w:rPr>
          <w:rFonts w:ascii="Times New Roman" w:cs="Times New Roman" w:eastAsia="Times New Roman" w:hAnsi="Times New Roman"/>
          <w:sz w:val="20"/>
          <w:szCs w:val="20"/>
          <w:color w:val="auto"/>
        </w:rPr>
        <w:t>” means the lawful currency of Poland.</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8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Forma Basis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pro forma effect</w:t>
      </w:r>
      <w:r>
        <w:rPr>
          <w:rFonts w:ascii="Times New Roman" w:cs="Times New Roman" w:eastAsia="Times New Roman" w:hAnsi="Times New Roman"/>
          <w:sz w:val="20"/>
          <w:szCs w:val="20"/>
          <w:color w:val="auto"/>
        </w:rPr>
        <w:t>”: with respect to any determination of the Total Net Leverage Ratio, the First Lien Net Leverage Ratio, the Senior Secured Net Leverage Ratio, Consolidated EBITDA, Consolidated Net Income or Interest Coverage Ratio (including component definitions thereof), that each Specified Transaction shall be deemed to have occurred as of the first day of the applicable Test Period with respect to any test or covenant for which such calculation is being made and that:</w:t>
      </w:r>
    </w:p>
    <w:p>
      <w:pPr>
        <w:spacing w:after="0" w:line="168" w:lineRule="exact"/>
        <w:rPr>
          <w:sz w:val="20"/>
          <w:szCs w:val="20"/>
          <w:color w:val="auto"/>
        </w:rPr>
      </w:pPr>
    </w:p>
    <w:p>
      <w:pPr>
        <w:jc w:val="both"/>
        <w:ind w:firstLine="656"/>
        <w:spacing w:after="0" w:line="252" w:lineRule="auto"/>
        <w:tabs>
          <w:tab w:leader="none" w:pos="112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 the case of (A) any Disposition of all or substantially all of the Capital Stock of any Subsidiary or any division and/or product line of the Company or any Subsidiary or (B) any designation of a Subsidiary as an Unrestricted Subsidiary, income statement items (whether positive or negative) attributable to the property or Person subject to such Specified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Subsidiary described in the definition of the term “Specified Transaction”, income statement items (whether positive or negative) attributable to the property or Person subject to such Specified Transaction shall be included as of the first day of the applicable Test Period with respect to any test or covenant for which the relevant determination is being made; provided that any pro forma adjustment may be applied to any such test or covenant solely to the extent that such adjustment is consistent with, subject to the limitations set forth in and without duplication with respect to the application of, the definition of “Consolidated EBITDA”,</w:t>
      </w:r>
    </w:p>
    <w:p>
      <w:pPr>
        <w:spacing w:after="0" w:line="17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Expected Cost Savings shall be calculated on a Pro Forma Basis as though such Expected Cost Savings had been realized on the first day of the applicable Test Period and as if such Expected Cost Savings were realized in full during the entirety of such period; provided that any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65" w:name="page66"/>
    <w:bookmarkEnd w:id="65"/>
    <w:p>
      <w:pPr>
        <w:spacing w:after="0" w:line="283" w:lineRule="auto"/>
        <w:rPr>
          <w:sz w:val="20"/>
          <w:szCs w:val="20"/>
          <w:color w:val="auto"/>
        </w:rPr>
      </w:pPr>
      <w:r>
        <w:rPr>
          <w:rFonts w:ascii="Times New Roman" w:cs="Times New Roman" w:eastAsia="Times New Roman" w:hAnsi="Times New Roman"/>
          <w:sz w:val="20"/>
          <w:szCs w:val="20"/>
          <w:color w:val="auto"/>
        </w:rPr>
        <w:t>forma adjustment may be applied to any such test or covenant solely to the extent that such adjustment is consistent with, subject to the limitations set forth in and without duplication with respect to the application of, the definition of “Consolidated EBITDA”,</w:t>
      </w:r>
    </w:p>
    <w:p>
      <w:pPr>
        <w:spacing w:after="0" w:line="146" w:lineRule="exact"/>
        <w:rPr>
          <w:sz w:val="20"/>
          <w:szCs w:val="20"/>
          <w:color w:val="auto"/>
        </w:rPr>
      </w:pPr>
    </w:p>
    <w:p>
      <w:pPr>
        <w:jc w:val="both"/>
        <w:ind w:firstLine="656"/>
        <w:spacing w:after="0" w:line="261" w:lineRule="auto"/>
        <w:tabs>
          <w:tab w:leader="none" w:pos="1134"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 and</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93"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Indebtedness incurred by the Company or any of its Subsidiaries in connection therewith shall be deemed to have occurred as of the first day of the applicable Test Period with respect to any test or covenant for which the relevant determination is being made; provided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w:t>
      </w:r>
    </w:p>
    <w:p>
      <w:pPr>
        <w:jc w:val="both"/>
        <w:ind w:firstLine="8"/>
        <w:spacing w:after="0" w:line="249" w:lineRule="auto"/>
        <w:tabs>
          <w:tab w:leader="none" w:pos="302"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any obligation with respect to any capital lease shall be deemed to accrue at an interest rate determined by a Responsible Officer of the Company in good faith to be the rate of interest implicit in such obligation in accordance with GAAP and (z) interest on any Indebtedness that may optionally be determined at an interest rate based upon a factor of a prime or similar rate, a Term Benchmark, an interbank offered rate or other rate shall be determined to have been based upon the rate actually chosen, or if none, then based upon such optional rate chosen by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set forth in the immediately preceding paragraph, for the avoidance of doubt, when calculating the Total Net Leverage Ratio for purposes of the Financial Covenant, the events described in the immediately preceding paragraph that occurred subsequent to the end of the applicable Test Period shall not be given pro forma effect.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as defined in Section 10.5.</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Projections</w:t>
      </w:r>
      <w:r>
        <w:rPr>
          <w:rFonts w:ascii="Times New Roman" w:cs="Times New Roman" w:eastAsia="Times New Roman" w:hAnsi="Times New Roman"/>
          <w:sz w:val="20"/>
          <w:szCs w:val="20"/>
          <w:color w:val="auto"/>
        </w:rPr>
        <w:t>”: the financial projections for the Company and its Subsidiaries delivered to the Arrangers on May 15,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Properties</w:t>
      </w:r>
      <w:r>
        <w:rPr>
          <w:rFonts w:ascii="Times New Roman" w:cs="Times New Roman" w:eastAsia="Times New Roman" w:hAnsi="Times New Roman"/>
          <w:sz w:val="20"/>
          <w:szCs w:val="20"/>
          <w:color w:val="auto"/>
        </w:rPr>
        <w:t>”: as defined in Section 4.17(a).</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PTE</w:t>
      </w:r>
      <w:r>
        <w:rPr>
          <w:rFonts w:ascii="Times New Roman" w:cs="Times New Roman" w:eastAsia="Times New Roman" w:hAnsi="Times New Roman"/>
          <w:sz w:val="20"/>
          <w:szCs w:val="20"/>
          <w:color w:val="auto"/>
        </w:rPr>
        <w:t>”: a prohibited transaction class exemption issued by the U.S. Department of Labor, as any such exemption may be amended from time to time.</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w:t>
      </w:r>
      <w:r>
        <w:rPr>
          <w:rFonts w:ascii="Times New Roman" w:cs="Times New Roman" w:eastAsia="Times New Roman" w:hAnsi="Times New Roman"/>
          <w:sz w:val="20"/>
          <w:szCs w:val="20"/>
          <w:color w:val="auto"/>
        </w:rPr>
        <w:t>”: as assigned to the term “qualified financial contract” in, and which shall be interpreted in accordance with, 12 U.S.C. § 5390(c)(8)(D).</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as defined in Section 10.23.</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Acquisition</w:t>
      </w:r>
      <w:r>
        <w:rPr>
          <w:rFonts w:ascii="Times New Roman" w:cs="Times New Roman" w:eastAsia="Times New Roman" w:hAnsi="Times New Roman"/>
          <w:sz w:val="20"/>
          <w:szCs w:val="20"/>
          <w:color w:val="auto"/>
        </w:rPr>
        <w:t>”: any acquisition permitted under this Agreement that (a) involves the payment of consideration (including Indebtedness assumed in connection therewith, all obligations in respect of deferred purchase price (including obligations under any purchase price adjustment but excluding earnout or similar payments) and all other consideration payable in connection therewith (including payment obligations in respect of noncompetition agreements or other arrangements representing acquisition consideration)) by the Company and its Subsidiaries in excess of $50,000,000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and (b) is designated as a “Qualified Acquisition” by any Borrower in a written notice to the Administrative Agent.</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Capital Stock</w:t>
      </w:r>
      <w:r>
        <w:rPr>
          <w:rFonts w:ascii="Times New Roman" w:cs="Times New Roman" w:eastAsia="Times New Roman" w:hAnsi="Times New Roman"/>
          <w:sz w:val="20"/>
          <w:szCs w:val="20"/>
          <w:color w:val="auto"/>
        </w:rPr>
        <w:t>”: Capital Stock of the Company in respect of which no scheduled, mandatory or required payments are due (other than payments in kind) prior to the Latest Maturity Date.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Ratio Based Amount</w:t>
      </w:r>
      <w:r>
        <w:rPr>
          <w:rFonts w:ascii="Times New Roman" w:cs="Times New Roman" w:eastAsia="Times New Roman" w:hAnsi="Times New Roman"/>
          <w:sz w:val="20"/>
          <w:szCs w:val="20"/>
          <w:color w:val="auto"/>
        </w:rPr>
        <w:t>”: as defined in the definition of “Incremental Cap”.</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Ratio Debt</w:t>
      </w:r>
      <w:r>
        <w:rPr>
          <w:rFonts w:ascii="Times New Roman" w:cs="Times New Roman" w:eastAsia="Times New Roman" w:hAnsi="Times New Roman"/>
          <w:sz w:val="20"/>
          <w:szCs w:val="20"/>
          <w:color w:val="auto"/>
        </w:rPr>
        <w:t>”: as defined in Section 7.2(i)(i).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Reclassifiable Item</w:t>
      </w:r>
      <w:r>
        <w:rPr>
          <w:rFonts w:ascii="Times New Roman" w:cs="Times New Roman" w:eastAsia="Times New Roman" w:hAnsi="Times New Roman"/>
          <w:sz w:val="20"/>
          <w:szCs w:val="20"/>
          <w:color w:val="auto"/>
        </w:rPr>
        <w:t>”: as defined in Section 1.4(a).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Reference Time</w:t>
      </w:r>
      <w:r>
        <w:rPr>
          <w:rFonts w:ascii="Times New Roman" w:cs="Times New Roman" w:eastAsia="Times New Roman" w:hAnsi="Times New Roman"/>
          <w:sz w:val="19"/>
          <w:szCs w:val="19"/>
          <w:color w:val="auto"/>
        </w:rPr>
        <w:t>”: with respect to any setting of the then-current Benchmark means (1) if such Benchmark is the Term SOFR Rate,</w:t>
      </w:r>
    </w:p>
    <w:p>
      <w:pPr>
        <w:spacing w:after="0" w:line="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5:00 a.m. (Chicago time) on the day that is two U.S. Government Securities Business Days preceding the date of such setting, (2) if, following a Benchmark Transition Event and a Benchmark Replacement Date with respect to the Term SOFR Rate, such Benchmark is Daily Simple SOFR, then four U.S. Government Securities Business Days prior to such setting, or (3) if such Benchmark is none of the Term SOFR Rate or Daily Simple SOFR, the time determined by the Administrative Agent in its reasonable discretion.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Debt</w:t>
      </w:r>
      <w:r>
        <w:rPr>
          <w:rFonts w:ascii="Times New Roman" w:cs="Times New Roman" w:eastAsia="Times New Roman" w:hAnsi="Times New Roman"/>
          <w:sz w:val="20"/>
          <w:szCs w:val="20"/>
          <w:color w:val="auto"/>
        </w:rPr>
        <w:t>”: as defined in the definition of “Permitted Other Debt Conditions”.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Refinanced Indebtedness</w:t>
      </w:r>
      <w:r>
        <w:rPr>
          <w:rFonts w:ascii="Times New Roman" w:cs="Times New Roman" w:eastAsia="Times New Roman" w:hAnsi="Times New Roman"/>
          <w:sz w:val="20"/>
          <w:szCs w:val="20"/>
          <w:color w:val="auto"/>
        </w:rPr>
        <w:t>”: as defined in the definition of “Permitted Refinancing”.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Amendment</w:t>
      </w:r>
      <w:r>
        <w:rPr>
          <w:rFonts w:ascii="Times New Roman" w:cs="Times New Roman" w:eastAsia="Times New Roman" w:hAnsi="Times New Roman"/>
          <w:sz w:val="20"/>
          <w:szCs w:val="20"/>
          <w:color w:val="auto"/>
        </w:rPr>
        <w:t>” a Refinancing Revolving Amendment or a Refinancing Term Amendment, as the context requires.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Series</w:t>
      </w:r>
      <w:r>
        <w:rPr>
          <w:rFonts w:ascii="Times New Roman" w:cs="Times New Roman" w:eastAsia="Times New Roman" w:hAnsi="Times New Roman"/>
          <w:sz w:val="20"/>
          <w:szCs w:val="20"/>
          <w:color w:val="auto"/>
        </w:rPr>
        <w:t>”: Refinancing Term Loans or Refinancing Term Commitments that are established pursuant to the same Refinancing Term Amendment (or any subsequent Refinancing Term Amendment to the extent such Refinancing Term Amendment expressly provides that the Refinancing Term Loans or Refinancing Term Commitments provided for therein are intended to be a part of any previously established Refinancing Series) and that provide for the same All-in Yield and, in the case of Refinancing Term Loans or Refinancing Term Commitments, amortization schedule.</w:t>
      </w:r>
    </w:p>
    <w:p>
      <w:pPr>
        <w:spacing w:after="0" w:line="16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Revolving Amendment</w:t>
      </w:r>
      <w:r>
        <w:rPr>
          <w:rFonts w:ascii="Times New Roman" w:cs="Times New Roman" w:eastAsia="Times New Roman" w:hAnsi="Times New Roman"/>
          <w:sz w:val="20"/>
          <w:szCs w:val="20"/>
          <w:color w:val="auto"/>
        </w:rPr>
        <w:t>”: an amendment to this Agreement executed by each of (a) each Borrower, (b) the Administrative Agent, (c) each Additional Refinancing Lender and (d) each Lender that agrees to provide any portion of Other Revolving Commitments in accordance with Section 2.28.</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Term Amendment</w:t>
      </w:r>
      <w:r>
        <w:rPr>
          <w:rFonts w:ascii="Times New Roman" w:cs="Times New Roman" w:eastAsia="Times New Roman" w:hAnsi="Times New Roman"/>
          <w:sz w:val="20"/>
          <w:szCs w:val="20"/>
          <w:color w:val="auto"/>
        </w:rPr>
        <w:t>”: an amendment to this Agreement executed by each of (a) each Borrower, (b) the Administrative Agent, (c) each Additional Refinancing Lender and (d) each Lender that agrees to provide any portion of Refinancing Term Loans in accordance with Section 2.28.</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Term Commitments</w:t>
      </w:r>
      <w:r>
        <w:rPr>
          <w:rFonts w:ascii="Times New Roman" w:cs="Times New Roman" w:eastAsia="Times New Roman" w:hAnsi="Times New Roman"/>
          <w:sz w:val="20"/>
          <w:szCs w:val="20"/>
          <w:color w:val="auto"/>
        </w:rPr>
        <w:t>”: one or more Classes of Term Commitments hereunder that are established to fund Refinancing Term Loans of the applicable Refinancing Series hereunder pursuant to a Refinancing Term Amendment.</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Refinancing Term Loans</w:t>
      </w:r>
      <w:r>
        <w:rPr>
          <w:rFonts w:ascii="Times New Roman" w:cs="Times New Roman" w:eastAsia="Times New Roman" w:hAnsi="Times New Roman"/>
          <w:sz w:val="20"/>
          <w:szCs w:val="20"/>
          <w:color w:val="auto"/>
        </w:rPr>
        <w:t>”: one or more Classes of Term Loans hereunder that result from a Refinancing Term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413"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as defined in Section 10.6(d).</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Registered Equivalent Notes</w:t>
      </w:r>
      <w:r>
        <w:rPr>
          <w:rFonts w:ascii="Times New Roman" w:cs="Times New Roman" w:eastAsia="Times New Roman" w:hAnsi="Times New Roman"/>
          <w:sz w:val="20"/>
          <w:szCs w:val="20"/>
          <w:color w:val="auto"/>
        </w:rPr>
        <w:t>”: with respect to any notes originally issued in an offering pursuant to Rule 144A under the Securities Act or other private placement transaction under the Securities Act of 1933, substantially identical notes (having the same guarantees) issued in a dollar-for-dollar exchange therefor pursuant to an exchange offer registered with the SEC.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U</w:t>
      </w:r>
      <w:r>
        <w:rPr>
          <w:rFonts w:ascii="Times New Roman" w:cs="Times New Roman" w:eastAsia="Times New Roman" w:hAnsi="Times New Roman"/>
          <w:sz w:val="20"/>
          <w:szCs w:val="20"/>
          <w:color w:val="auto"/>
        </w:rPr>
        <w:t>”: Regulation U of the Board as in effect from time to time.</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Obligation</w:t>
      </w:r>
      <w:r>
        <w:rPr>
          <w:rFonts w:ascii="Times New Roman" w:cs="Times New Roman" w:eastAsia="Times New Roman" w:hAnsi="Times New Roman"/>
          <w:sz w:val="20"/>
          <w:szCs w:val="20"/>
          <w:color w:val="auto"/>
        </w:rPr>
        <w:t>”: the obligation of the applicable Borrower to reimburse an Issuing Bank pursuant to Section 2.13 for amounts drawn under Letters of Credit.</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with respect to any specified Person, such Person’s Affiliates and the respective directors, officers, employees, agents and advisors of such Person and such Person’s Affiliates.</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the Board or the NYFRB, or a committee officially endorsed or convened by the Board or the NYFRB, or, in each case, any successor thereto.</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Rate</w:t>
      </w:r>
      <w:r>
        <w:rPr>
          <w:rFonts w:ascii="Times New Roman" w:cs="Times New Roman" w:eastAsia="Times New Roman" w:hAnsi="Times New Roman"/>
          <w:sz w:val="20"/>
          <w:szCs w:val="20"/>
          <w:color w:val="auto"/>
        </w:rPr>
        <w:t>”: (i) with respect to any Term Benchmark Borrowing denominated in U.S. Dollars, the Term SOFR Rate or (ii) with respect to any RFR Borrowing, Daily Simple SOFR, as applicable.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Screen Rate</w:t>
      </w:r>
      <w:r>
        <w:rPr>
          <w:rFonts w:ascii="Times New Roman" w:cs="Times New Roman" w:eastAsia="Times New Roman" w:hAnsi="Times New Roman"/>
          <w:sz w:val="20"/>
          <w:szCs w:val="20"/>
          <w:color w:val="auto"/>
        </w:rPr>
        <w:t>”: with respect to any Term Benchmark Borrowing denominated in U.S. Dollars, the Term SOFR Reference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Remitly</w:t>
      </w:r>
      <w:r>
        <w:rPr>
          <w:rFonts w:ascii="Times New Roman" w:cs="Times New Roman" w:eastAsia="Times New Roman" w:hAnsi="Times New Roman"/>
          <w:sz w:val="20"/>
          <w:szCs w:val="20"/>
          <w:color w:val="auto"/>
        </w:rPr>
        <w:t>”: as defined in the preamble hereto.</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Reportable Event</w:t>
      </w:r>
      <w:r>
        <w:rPr>
          <w:rFonts w:ascii="Times New Roman" w:cs="Times New Roman" w:eastAsia="Times New Roman" w:hAnsi="Times New Roman"/>
          <w:sz w:val="20"/>
          <w:szCs w:val="20"/>
          <w:color w:val="auto"/>
        </w:rPr>
        <w:t>”: any of the events set forth in Section 4043(c) of ERISA, other than those events as to which the thirty day notice period is waived.</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at any time, the holders (other than Defaulting Lenders) of more than 50.0% of the sum of (i) the aggregate unpaid principal amount of the Term Loans (excluding Term Loans held by Defaulting Lenders) then outstanding and (ii) the Total Revolving Commitments (excluding Revolving Commitments of Defaulting Lenders) then in effect or, if the Revolving Commitments have been terminated, the Total Revolving Extensions of Credit (excluding Revolving Extensions of Credit held by Defaulting Lenders) then outstanding; provided that the “Required Lenders” shall not be fewer than two Lenders and, for purposes of this proviso, a Lender and its Affiliates shall be deemed to constitute one Lender.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Revolving Lenders</w:t>
      </w:r>
      <w:r>
        <w:rPr>
          <w:rFonts w:ascii="Times New Roman" w:cs="Times New Roman" w:eastAsia="Times New Roman" w:hAnsi="Times New Roman"/>
          <w:sz w:val="20"/>
          <w:szCs w:val="20"/>
          <w:color w:val="auto"/>
        </w:rPr>
        <w:t xml:space="preserve">”: at any time, the holders (other than Defaulting Lenders) of more than 50.0% of the Total Revolving Commitments (excluding Revolving Commitments of Defaulting Lenders) then in effect or, if the Revolving Commitments have been terminated, the Total Revolving Extensions of Credit (excluding Revolving Extensions of Credit held by Defaulting Lenders)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“Required Revolving Lenders” shall not be fewer than two Lenders and, for purposes of this proviso, a Lender and its Affiliates shall be deemed to constitute one Lender.</w:t>
      </w:r>
    </w:p>
    <w:p>
      <w:pPr>
        <w:spacing w:after="0" w:line="168"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Requirement of Law</w:t>
      </w:r>
      <w:r>
        <w:rPr>
          <w:rFonts w:ascii="Times New Roman" w:cs="Times New Roman" w:eastAsia="Times New Roman" w:hAnsi="Times New Roman"/>
          <w:sz w:val="20"/>
          <w:szCs w:val="20"/>
          <w:color w:val="auto"/>
        </w:rPr>
        <w:t>”: as to any Person,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09"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Resolution Authority</w:t>
      </w:r>
      <w:r>
        <w:rPr>
          <w:rFonts w:ascii="Times New Roman" w:cs="Times New Roman" w:eastAsia="Times New Roman" w:hAnsi="Times New Roman"/>
          <w:sz w:val="19"/>
          <w:szCs w:val="19"/>
          <w:color w:val="auto"/>
        </w:rPr>
        <w:t>”: an EEA Resolution Authority or, with respect to any UK Financial Institution, a UK Resolution Authority.</w:t>
      </w:r>
    </w:p>
    <w:p>
      <w:pPr>
        <w:spacing w:after="0" w:line="24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the chief executive officer, president or chief financial officer of the Company or any other applicable Loan Party, but in any event, with respect to financial matters, the chief financial officer, Treasurer and Controller of the Company or such Loan Party, as the case may be.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Debt Payments</w:t>
      </w:r>
      <w:r>
        <w:rPr>
          <w:rFonts w:ascii="Times New Roman" w:cs="Times New Roman" w:eastAsia="Times New Roman" w:hAnsi="Times New Roman"/>
          <w:sz w:val="20"/>
          <w:szCs w:val="20"/>
          <w:color w:val="auto"/>
        </w:rPr>
        <w:t>”: as defined in Section 7.13.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Payments</w:t>
      </w:r>
      <w:r>
        <w:rPr>
          <w:rFonts w:ascii="Times New Roman" w:cs="Times New Roman" w:eastAsia="Times New Roman" w:hAnsi="Times New Roman"/>
          <w:sz w:val="20"/>
          <w:szCs w:val="20"/>
          <w:color w:val="auto"/>
        </w:rPr>
        <w:t>”: as defined in Section 7.6.</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Revaluation Date</w:t>
      </w:r>
      <w:r>
        <w:rPr>
          <w:rFonts w:ascii="Times New Roman" w:cs="Times New Roman" w:eastAsia="Times New Roman" w:hAnsi="Times New Roman"/>
          <w:sz w:val="20"/>
          <w:szCs w:val="20"/>
          <w:color w:val="auto"/>
        </w:rPr>
        <w:t>”: with respect to any Letter of Credit denominated in an Alternative Currency, each of the following: (i) the date on which such Letter of Credit is issued, (ii) the first Business Day of each calendar month, (iii) the date of any amendment of such Letter of Credit that has the effect of increasing the face amount thereof and (iv) any additional date as the Administrative Agent may in its discretion determine.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Revolver Extension Request</w:t>
      </w:r>
      <w:r>
        <w:rPr>
          <w:rFonts w:ascii="Times New Roman" w:cs="Times New Roman" w:eastAsia="Times New Roman" w:hAnsi="Times New Roman"/>
          <w:sz w:val="20"/>
          <w:szCs w:val="20"/>
          <w:color w:val="auto"/>
        </w:rPr>
        <w:t>”: as defined in Section 2.24(a)(II).</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Revolver Extension Series</w:t>
      </w:r>
      <w:r>
        <w:rPr>
          <w:rFonts w:ascii="Times New Roman" w:cs="Times New Roman" w:eastAsia="Times New Roman" w:hAnsi="Times New Roman"/>
          <w:sz w:val="20"/>
          <w:szCs w:val="20"/>
          <w:color w:val="auto"/>
        </w:rPr>
        <w:t>”: as defined in Section 2.24(a)(II).</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w:t>
      </w:r>
      <w:r>
        <w:rPr>
          <w:rFonts w:ascii="Times New Roman" w:cs="Times New Roman" w:eastAsia="Times New Roman" w:hAnsi="Times New Roman"/>
          <w:sz w:val="20"/>
          <w:szCs w:val="20"/>
          <w:color w:val="auto"/>
        </w:rPr>
        <w:t xml:space="preserve">”: as to any Revolving Lender, the obligation of such Revolving Lender, if any, to make Revolving Loans and participate in Swingline Loans and Letters of Credit in an aggregate principal and/or face amount not to exceed the amount set forth under the heading “Revolving Commitment” opposite such Lender’s name on Schedule 1.1A or in the Assignment and Assumption pursuant to which such Lender became a party hereto, as the same may be changed from time to time pursuant to the terms hereof. The initial amount of the Total Revolving Commitments on the Closing Date is $550,000,000. </w:t>
      </w:r>
      <w:r>
        <w:rPr>
          <w:rFonts w:ascii="Times New Roman" w:cs="Times New Roman" w:eastAsia="Times New Roman" w:hAnsi="Times New Roman"/>
          <w:sz w:val="20"/>
          <w:szCs w:val="20"/>
          <w:color w:val="0070C0"/>
        </w:rPr>
        <w:t>The amount of the Total Revolving Commitments on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Amendment No. 2 Effective Date is $1,000,000,000.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4022725</wp:posOffset>
            </wp:positionH>
            <wp:positionV relativeFrom="paragraph">
              <wp:posOffset>-180975</wp:posOffset>
            </wp:positionV>
            <wp:extent cx="3107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7055" cy="825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 Period</w:t>
      </w:r>
      <w:r>
        <w:rPr>
          <w:rFonts w:ascii="Times New Roman" w:cs="Times New Roman" w:eastAsia="Times New Roman" w:hAnsi="Times New Roman"/>
          <w:sz w:val="20"/>
          <w:szCs w:val="20"/>
          <w:color w:val="auto"/>
        </w:rPr>
        <w:t>”: the period from and including the Closing Date to the Revolving Termination Date.</w:t>
      </w:r>
    </w:p>
    <w:p>
      <w:pPr>
        <w:spacing w:after="0" w:line="21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Extensions of Credit</w:t>
      </w:r>
      <w:r>
        <w:rPr>
          <w:rFonts w:ascii="Times New Roman" w:cs="Times New Roman" w:eastAsia="Times New Roman" w:hAnsi="Times New Roman"/>
          <w:sz w:val="20"/>
          <w:szCs w:val="20"/>
          <w:color w:val="auto"/>
        </w:rPr>
        <w:t>”: as to any Revolving Lender at any time, an amount equal to the sum of (a) the aggregate principal amount of all Revolving Loans held by such Lender then outstanding, (b) such Lender’s LC Exposure and (c) such Lender’s Swingline Exposure.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Facility</w:t>
      </w:r>
      <w:r>
        <w:rPr>
          <w:rFonts w:ascii="Times New Roman" w:cs="Times New Roman" w:eastAsia="Times New Roman" w:hAnsi="Times New Roman"/>
          <w:sz w:val="20"/>
          <w:szCs w:val="20"/>
          <w:color w:val="auto"/>
        </w:rPr>
        <w:t>”: as defined in the definition of the term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each Lender that has a Revolving Commitment or that holds Revolving Loans.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as defined in Section 2.4(a).</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Percentage</w:t>
      </w:r>
      <w:r>
        <w:rPr>
          <w:rFonts w:ascii="Times New Roman" w:cs="Times New Roman" w:eastAsia="Times New Roman" w:hAnsi="Times New Roman"/>
          <w:sz w:val="20"/>
          <w:szCs w:val="20"/>
          <w:color w:val="auto"/>
        </w:rPr>
        <w:t>”: as to any Revolving Lender at any time, the percentage which such Lender’s Revolving Commitment then constitutes of the Total Revolving Commitments (or, at any time after the Revolving Commitments shall have expired or terminated, the percentage which the aggregate principal amount of such Lender’s Revolving Extensions of Credit then outstanding constitutes of the aggregate principal amount of the Revolving Extensions of Credit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409" w:right="339" w:bottom="1440" w:gutter="0" w:footer="0" w:header="0"/>
        </w:sectPr>
      </w:pPr>
    </w:p>
    <w:bookmarkStart w:id="69" w:name="page70"/>
    <w:bookmarkEnd w:id="69"/>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Termination Date</w:t>
      </w:r>
      <w:r>
        <w:rPr>
          <w:rFonts w:ascii="Times New Roman" w:cs="Times New Roman" w:eastAsia="Times New Roman" w:hAnsi="Times New Roman"/>
          <w:sz w:val="20"/>
          <w:szCs w:val="20"/>
          <w:color w:val="auto"/>
        </w:rPr>
        <w:t>”: the date which is the earlier to occur of (a) the fifth anniversary of the Closing Date and (b) the date on which the Revolving Commitments are terminated; provided, however, if such date is not a Business Day, the Revolving Termination Date shall be the next preceding Business Day.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RFR Borrowing</w:t>
      </w:r>
      <w:r>
        <w:rPr>
          <w:rFonts w:ascii="Times New Roman" w:cs="Times New Roman" w:eastAsia="Times New Roman" w:hAnsi="Times New Roman"/>
          <w:sz w:val="20"/>
          <w:szCs w:val="20"/>
          <w:color w:val="auto"/>
        </w:rPr>
        <w:t>”: as to any Borrowing, the RFR Loans comprising such Borrowing.</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RFR Loan</w:t>
      </w:r>
      <w:r>
        <w:rPr>
          <w:rFonts w:ascii="Times New Roman" w:cs="Times New Roman" w:eastAsia="Times New Roman" w:hAnsi="Times New Roman"/>
          <w:sz w:val="20"/>
          <w:szCs w:val="20"/>
          <w:color w:val="auto"/>
        </w:rPr>
        <w:t>”: a Loan that bears interest at a rate based on Daily Simple SOFR.</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at any time, a country, region or territory which is itself the subject or target of any Sanctions (at the time of this Agreement, the so - called Donetsk People’s Republic, the so- called Luhansk People’s Republic, the Crimea Region of Ukraine, the Zaporizhzhia and Kherson Regions of Ukraine, Cuba, Iran, North Korea and Syria).</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at any time, any Person subject or target of any Sanctions, including (a) any Person listed in any Sanctions-related list of designated Persons maintained by the U.S. government, including by the Office of Foreign Assets Control of the U.S. Department of the Treasury or the U.S. Department of State, or by the United Nations Security Council, the European Union, any European Union member state, His Majesty’s Treasury of the United Kingdom or other relevant sanctions authority of any other jurisdiction in which any Guarantor or Foreign Subsidiary is organized, (b) any Person operating, organized or ordinarily resident in a Sanctioned Country, (c) any Person owned or controlled by any such Person or Persons described in the foregoing clauses (a) or (b) (as ownership and control may be defined and/or established in and/or by any applicable laws, rules, regulations, or orders for purposes of defining a Sanctioned Person).</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His Majesty’s Treasury of the United Kingdom or other relevant sanctions authority of any other jurisdiction in which any Guarantor or Foreign Subsidiary is organized.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S&amp;P</w:t>
      </w:r>
      <w:r>
        <w:rPr>
          <w:rFonts w:ascii="Times New Roman" w:cs="Times New Roman" w:eastAsia="Times New Roman" w:hAnsi="Times New Roman"/>
          <w:sz w:val="20"/>
          <w:szCs w:val="20"/>
          <w:color w:val="auto"/>
        </w:rPr>
        <w:t>”: as defined in the definition of “Cash Equivalents”.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Party</w:t>
      </w:r>
      <w:r>
        <w:rPr>
          <w:rFonts w:ascii="Times New Roman" w:cs="Times New Roman" w:eastAsia="Times New Roman" w:hAnsi="Times New Roman"/>
          <w:sz w:val="20"/>
          <w:szCs w:val="20"/>
          <w:color w:val="auto"/>
        </w:rPr>
        <w:t>”: as defined in the Collateral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Documents</w:t>
      </w:r>
      <w:r>
        <w:rPr>
          <w:rFonts w:ascii="Times New Roman" w:cs="Times New Roman" w:eastAsia="Times New Roman" w:hAnsi="Times New Roman"/>
          <w:sz w:val="20"/>
          <w:szCs w:val="20"/>
          <w:color w:val="auto"/>
        </w:rPr>
        <w:t>”: the collective reference to the Collateral Agreement, any Applicable Intercreditor Agreement, the Mortgages and all other security documents hereafter delivered to the Administrative Agent granting a Lien on any property of any Person to secure the obligations and liabilities of any Loan Party under any Loan Document.</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Senior Secured Net Leverage Ratio</w:t>
      </w:r>
      <w:r>
        <w:rPr>
          <w:rFonts w:ascii="Times New Roman" w:cs="Times New Roman" w:eastAsia="Times New Roman" w:hAnsi="Times New Roman"/>
          <w:sz w:val="20"/>
          <w:szCs w:val="20"/>
          <w:color w:val="auto"/>
        </w:rPr>
        <w:t>”: with respect to any date of determination, the ratio of (x) Consolidated Total Debt that is secured by a Lien on the Collateral as of such date less Netted Cash as of such date to (y) Consolidated EBITDA of the Company and its Subsidiaries for the applicable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409" w:right="339" w:bottom="1440" w:gutter="0" w:footer="0" w:header="0"/>
        </w:sectPr>
      </w:pPr>
    </w:p>
    <w:bookmarkStart w:id="70" w:name="page71"/>
    <w:bookmarkEnd w:id="70"/>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Shared Incremental Amount</w:t>
      </w:r>
      <w:r>
        <w:rPr>
          <w:rFonts w:ascii="Times New Roman" w:cs="Times New Roman" w:eastAsia="Times New Roman" w:hAnsi="Times New Roman"/>
          <w:sz w:val="20"/>
          <w:szCs w:val="20"/>
          <w:color w:val="auto"/>
        </w:rPr>
        <w:t xml:space="preserve">”: as of any date of determination, (a) the greater of (x) $177,000,000 and (y) 100% of Consolidated EBITDA for the most recently ended Test Period calculated on a Pro Forma Basis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principal amount of all Incremental Facilities, Incremental Equivalent Debt, Ratio Debt and/or Incurred Acquisition Debt incurred or issued in reliance on the Shared Incremental Amount outstanding on such date, in each case after giving effect to any reclassification of any such Indebtedness as having been incurred under the Ratio Based Amount or clauses (i)(i)(B) or (m)(i)(B) of Section 7.2, as applicable.</w:t>
      </w:r>
    </w:p>
    <w:p>
      <w:pPr>
        <w:spacing w:after="0" w:line="1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“Significant Subsidiary</w:t>
      </w:r>
      <w:r>
        <w:rPr>
          <w:rFonts w:ascii="Times New Roman" w:cs="Times New Roman" w:eastAsia="Times New Roman" w:hAnsi="Times New Roman"/>
          <w:sz w:val="20"/>
          <w:szCs w:val="20"/>
          <w:color w:val="auto"/>
        </w:rPr>
        <w:t>”: at any time any Subsidiary, which at such time would meet the definition of “significant subsidiary”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Regulation S-X promulgated by the SEC.</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Similar Business</w:t>
      </w:r>
      <w:r>
        <w:rPr>
          <w:rFonts w:ascii="Times New Roman" w:cs="Times New Roman" w:eastAsia="Times New Roman" w:hAnsi="Times New Roman"/>
          <w:sz w:val="20"/>
          <w:szCs w:val="20"/>
          <w:color w:val="auto"/>
        </w:rPr>
        <w:t>”: any Person the majority of the revenues of which are derived from a business that would be permitted by Section 7.12 if the references to “Subsidiaries” in Section 7.12 were deemed to refer to such Person.</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Singapore Dollar</w:t>
      </w:r>
      <w:r>
        <w:rPr>
          <w:rFonts w:ascii="Times New Roman" w:cs="Times New Roman" w:eastAsia="Times New Roman" w:hAnsi="Times New Roman"/>
          <w:sz w:val="20"/>
          <w:szCs w:val="20"/>
          <w:color w:val="auto"/>
        </w:rPr>
        <w:t>” means the lawful currency of Singapore.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Single Employer Plan</w:t>
      </w:r>
      <w:r>
        <w:rPr>
          <w:rFonts w:ascii="Times New Roman" w:cs="Times New Roman" w:eastAsia="Times New Roman" w:hAnsi="Times New Roman"/>
          <w:sz w:val="20"/>
          <w:szCs w:val="20"/>
          <w:color w:val="auto"/>
        </w:rPr>
        <w:t>”: any Plan that is not a Multiemployer Plan.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the NYFRB (or a successor administrator of the secured overnight financing rate).</w:t>
      </w:r>
    </w:p>
    <w:p>
      <w:pPr>
        <w:spacing w:after="0" w:line="22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the NYFRB’s website, currently at http://www.newyorkfed.org, or any successor source for the secured overnight financing rate identified as such by the SOFR Administrator from time to time.</w:t>
      </w:r>
    </w:p>
    <w:p>
      <w:pPr>
        <w:spacing w:after="0" w:line="16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when used with respect to any Person, means that, as of any date of determination, (a) the amount of the “present fair saleable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(c) such Person will not have, as of such date, an unreasonably small amount of capital with which to conduct its business, and (d) such Person will be able to pay its debts as they mature in the ordinary course of business.</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Special Purpose Finance Subsidiary</w:t>
      </w:r>
      <w:r>
        <w:rPr>
          <w:rFonts w:ascii="Times New Roman" w:cs="Times New Roman" w:eastAsia="Times New Roman" w:hAnsi="Times New Roman"/>
          <w:sz w:val="20"/>
          <w:szCs w:val="20"/>
          <w:color w:val="auto"/>
        </w:rPr>
        <w:t>”: a special purpose entity organized under the laws of any state of the United States of America that is formed by the Company or any of its Subsidiaries for the purpose of incurring Indebtedness the proceeds of which will be placed in escrow, pending the use of such proceeds, to effect transactions that at the time such proceeds are released from escrow are permitted hereunder.</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Event of Default</w:t>
      </w:r>
      <w:r>
        <w:rPr>
          <w:rFonts w:ascii="Times New Roman" w:cs="Times New Roman" w:eastAsia="Times New Roman" w:hAnsi="Times New Roman"/>
          <w:sz w:val="20"/>
          <w:szCs w:val="20"/>
          <w:color w:val="auto"/>
        </w:rPr>
        <w:t>”: any of the Events of Default described in clause (a) or (f) of Section 8.</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Transaction</w:t>
      </w:r>
      <w:r>
        <w:rPr>
          <w:rFonts w:ascii="Times New Roman" w:cs="Times New Roman" w:eastAsia="Times New Roman" w:hAnsi="Times New Roman"/>
          <w:sz w:val="20"/>
          <w:szCs w:val="20"/>
          <w:color w:val="auto"/>
        </w:rPr>
        <w:t>”: with respect to any period, any merger, Investment, Disposition, incurrence, assumption or repayment of Indebtedness (including the incurrence of Incremental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09"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20"/>
          <w:szCs w:val="20"/>
          <w:color w:val="auto"/>
        </w:rPr>
        <w:t>Facilities), Restricted Payment or designation of a Subsidiary as an Unrestricted Subsidiary or of an Unrestricted Subsidiary as a Subsidiary or other event that by the terms of this Agreement requires “compliance on a Pro Forma Basis” with a test or covenant hereunder or requires such test or covenant to be calculated on a “Pro Forma Basis”.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Sterling</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the lawful currency of the United Kingdom.</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Subordinated Indebtedness</w:t>
      </w:r>
      <w:r>
        <w:rPr>
          <w:rFonts w:ascii="Times New Roman" w:cs="Times New Roman" w:eastAsia="Times New Roman" w:hAnsi="Times New Roman"/>
          <w:sz w:val="20"/>
          <w:szCs w:val="20"/>
          <w:color w:val="auto"/>
        </w:rPr>
        <w:t>”: of any Person, any Indebtedness of such Person that is (a) contractually subordinated in right of payment to any other Indebtedness of such Person or (b) secured by a Lien on any asset of such Person that is junior in priority to the Lien on any asset of such Person securing any other Indebtedness.</w:t>
      </w:r>
    </w:p>
    <w:p>
      <w:pPr>
        <w:spacing w:after="0" w:line="15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(i) all references to a “Subsidiary” or to “Subsidiaries” in this Agreement shall refer to a Subsidiary or Subsidiaries of the Company, including Remitly, and (ii) Unrestricted Subsidiaries shall be deemed not to be Subsidiaries of the Company for any and all purposes of this Agreement and the other Loan Documents. The term “Subsidiary” shall not include any Special Purpose Finance Subsidiary for purposes of Section 7.1 only for so long as the proceeds of the Indebtedness incurred by such Special Purpose Finance Subsidiary are held in escrow.</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 Guarantor</w:t>
      </w:r>
      <w:r>
        <w:rPr>
          <w:rFonts w:ascii="Times New Roman" w:cs="Times New Roman" w:eastAsia="Times New Roman" w:hAnsi="Times New Roman"/>
          <w:sz w:val="20"/>
          <w:szCs w:val="20"/>
          <w:color w:val="auto"/>
        </w:rPr>
        <w:t>”: each Subsidiary of the Company other than any Excluded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 Holding Company</w:t>
      </w:r>
      <w:r>
        <w:rPr>
          <w:rFonts w:ascii="Times New Roman" w:cs="Times New Roman" w:eastAsia="Times New Roman" w:hAnsi="Times New Roman"/>
          <w:sz w:val="20"/>
          <w:szCs w:val="20"/>
          <w:color w:val="auto"/>
        </w:rPr>
        <w:t>”: as defined in Section 7.4(b).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Supported QFC</w:t>
      </w:r>
      <w:r>
        <w:rPr>
          <w:rFonts w:ascii="Times New Roman" w:cs="Times New Roman" w:eastAsia="Times New Roman" w:hAnsi="Times New Roman"/>
          <w:sz w:val="20"/>
          <w:szCs w:val="20"/>
          <w:color w:val="auto"/>
        </w:rPr>
        <w:t>”: as defined in Section 10.23.</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w:t>
      </w:r>
      <w:r>
        <w:rPr>
          <w:rFonts w:ascii="Times New Roman" w:cs="Times New Roman" w:eastAsia="Times New Roman" w:hAnsi="Times New Roman"/>
          <w:sz w:val="20"/>
          <w:szCs w:val="20"/>
          <w:color w:val="auto"/>
        </w:rPr>
        <w:t>”: any agreement, contract, or transaction that constitutes a “swap” within the meaning of section 1a(47) of the Commodity Exchange Act.</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Agreement</w:t>
      </w:r>
      <w:r>
        <w:rPr>
          <w:rFonts w:ascii="Times New Roman" w:cs="Times New Roman" w:eastAsia="Times New Roman" w:hAnsi="Times New Roman"/>
          <w:sz w:val="20"/>
          <w:szCs w:val="20"/>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provided that no phantom stock or similar plan providing for payments only on account of services provided by current or former directors, officers, employees or consultants of the Company or any of its Subsidiaries shall be a “</w:t>
      </w:r>
      <w:r>
        <w:rPr>
          <w:rFonts w:ascii="Times New Roman" w:cs="Times New Roman" w:eastAsia="Times New Roman" w:hAnsi="Times New Roman"/>
          <w:sz w:val="20"/>
          <w:szCs w:val="20"/>
          <w:b w:val="1"/>
          <w:bCs w:val="1"/>
          <w:color w:val="auto"/>
        </w:rPr>
        <w:t>Swap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Obligation</w:t>
      </w:r>
      <w:r>
        <w:rPr>
          <w:rFonts w:ascii="Times New Roman" w:cs="Times New Roman" w:eastAsia="Times New Roman" w:hAnsi="Times New Roman"/>
          <w:sz w:val="20"/>
          <w:szCs w:val="20"/>
          <w:color w:val="auto"/>
        </w:rPr>
        <w:t>”: with respect to any person, any obligation to pay or perform under any Swap.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Swingline Borrowing</w:t>
      </w:r>
      <w:r>
        <w:rPr>
          <w:rFonts w:ascii="Times New Roman" w:cs="Times New Roman" w:eastAsia="Times New Roman" w:hAnsi="Times New Roman"/>
          <w:sz w:val="20"/>
          <w:szCs w:val="20"/>
          <w:color w:val="auto"/>
        </w:rPr>
        <w:t>” means a borrowing of a Swingline Loan.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Swingline Commitment</w:t>
      </w:r>
      <w:r>
        <w:rPr>
          <w:rFonts w:ascii="Times New Roman" w:cs="Times New Roman" w:eastAsia="Times New Roman" w:hAnsi="Times New Roman"/>
          <w:sz w:val="20"/>
          <w:szCs w:val="20"/>
          <w:color w:val="auto"/>
        </w:rPr>
        <w:t>” means $250,000,000.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413" w:right="339" w:bottom="1440" w:gutter="0" w:footer="0" w:header="0"/>
        </w:sectPr>
      </w:pPr>
    </w:p>
    <w:bookmarkStart w:id="72" w:name="page73"/>
    <w:bookmarkEnd w:id="72"/>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Swingline Exposure</w:t>
      </w:r>
      <w:r>
        <w:rPr>
          <w:rFonts w:ascii="Times New Roman" w:cs="Times New Roman" w:eastAsia="Times New Roman" w:hAnsi="Times New Roman"/>
          <w:sz w:val="20"/>
          <w:szCs w:val="20"/>
          <w:color w:val="auto"/>
        </w:rPr>
        <w:t xml:space="preserve">” means, at any time, the aggregate principal amount of all Swingline Loans outstanding at such time. The Swingline Exposure of any Lender at any time shall be the sum of (a) its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auto"/>
        </w:rPr>
        <w:t xml:space="preserve"> Percentage of the aggregate principal amount of all Swingline Loans outstanding at such time (excluding, in the case of any Lender that is the Swingline Lender, Swingline Loans made by it that are outstanding at such time to the extent that the other Lenders shall not have funded their participations in such Swingline Loans), adjusted to give effect to any reallocation under Section 2.27 of the Swingline Exposure of Defaulting Lenders in effect at such time, and (b) in the case of any Lender that is the Swingline Lender, the aggregate principal amount of all Swingline Loans made by such Lender outstanding at such time, less the amount of participations funded by the other Lenders in such Swingline Loans.</w:t>
      </w:r>
    </w:p>
    <w:p>
      <w:pPr>
        <w:spacing w:after="0" w:line="17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Swingline Lender</w:t>
      </w:r>
      <w:r>
        <w:rPr>
          <w:rFonts w:ascii="Times New Roman" w:cs="Times New Roman" w:eastAsia="Times New Roman" w:hAnsi="Times New Roman"/>
          <w:sz w:val="20"/>
          <w:szCs w:val="20"/>
          <w:color w:val="auto"/>
        </w:rPr>
        <w:t>”: JPMorgan Chase Bank, N.A. (or any of its designated branch offices or affiliates), in its capacity as a lender of Swingline Loans hereunder.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Swingline Loan</w:t>
      </w:r>
      <w:r>
        <w:rPr>
          <w:rFonts w:ascii="Times New Roman" w:cs="Times New Roman" w:eastAsia="Times New Roman" w:hAnsi="Times New Roman"/>
          <w:sz w:val="20"/>
          <w:szCs w:val="20"/>
          <w:color w:val="auto"/>
        </w:rPr>
        <w:t>” means a Loan made pursuant to Section 2.9.</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all present or future taxes, levies, imposts, duties, deductions, withholdings (including backup withholding), assessments, or other similar charges imposed by any Governmental Authority, including any interest, additions to tax or penalties applicable thereto.</w:t>
      </w:r>
    </w:p>
    <w:p>
      <w:pPr>
        <w:spacing w:after="0" w:line="138"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Benchmark</w:t>
      </w:r>
      <w:r>
        <w:rPr>
          <w:rFonts w:ascii="Times New Roman" w:cs="Times New Roman" w:eastAsia="Times New Roman" w:hAnsi="Times New Roman"/>
          <w:sz w:val="20"/>
          <w:szCs w:val="20"/>
          <w:color w:val="auto"/>
        </w:rPr>
        <w:t>”: when used in reference to any Loan or Borrowing, whether such Loan, or the Loans comprising such Borrowing, are bearing interest at a rate determined by reference to the Term SOFR Rate.</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Lenders</w:t>
      </w:r>
      <w:r>
        <w:rPr>
          <w:rFonts w:ascii="Times New Roman" w:cs="Times New Roman" w:eastAsia="Times New Roman" w:hAnsi="Times New Roman"/>
          <w:sz w:val="20"/>
          <w:szCs w:val="20"/>
          <w:color w:val="auto"/>
        </w:rPr>
        <w:t>”: any Lender which holds a Term Loan.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Extension Request</w:t>
      </w:r>
      <w:r>
        <w:rPr>
          <w:rFonts w:ascii="Times New Roman" w:cs="Times New Roman" w:eastAsia="Times New Roman" w:hAnsi="Times New Roman"/>
          <w:sz w:val="20"/>
          <w:szCs w:val="20"/>
          <w:color w:val="auto"/>
        </w:rPr>
        <w:t>”: as defined in Section 2.24(a).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Extension Series</w:t>
      </w:r>
      <w:r>
        <w:rPr>
          <w:rFonts w:ascii="Times New Roman" w:cs="Times New Roman" w:eastAsia="Times New Roman" w:hAnsi="Times New Roman"/>
          <w:sz w:val="20"/>
          <w:szCs w:val="20"/>
          <w:color w:val="auto"/>
        </w:rPr>
        <w:t>”: as defined in Section 2.24(a).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Loans</w:t>
      </w:r>
      <w:r>
        <w:rPr>
          <w:rFonts w:ascii="Times New Roman" w:cs="Times New Roman" w:eastAsia="Times New Roman" w:hAnsi="Times New Roman"/>
          <w:sz w:val="20"/>
          <w:szCs w:val="20"/>
          <w:color w:val="auto"/>
        </w:rPr>
        <w:t>”: any term loans made under an Incremental Term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Determination Day</w:t>
      </w:r>
      <w:r>
        <w:rPr>
          <w:rFonts w:ascii="Times New Roman" w:cs="Times New Roman" w:eastAsia="Times New Roman" w:hAnsi="Times New Roman"/>
          <w:sz w:val="20"/>
          <w:szCs w:val="20"/>
          <w:color w:val="auto"/>
        </w:rPr>
        <w:t>”: as defined in the definition of Term SOFR Reference Rate.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w:t>
      </w:r>
      <w:r>
        <w:rPr>
          <w:rFonts w:ascii="Times New Roman" w:cs="Times New Roman" w:eastAsia="Times New Roman" w:hAnsi="Times New Roman"/>
          <w:sz w:val="20"/>
          <w:szCs w:val="20"/>
          <w:color w:val="auto"/>
        </w:rPr>
        <w:t>”: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 If the Term SOFR Rate as so determined would be less than the Floor, such rate shall be deemed to be the Floor for the purposes of this Agreement.</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for any day and time (such day, the “</w:t>
      </w:r>
      <w:r>
        <w:rPr>
          <w:rFonts w:ascii="Times New Roman" w:cs="Times New Roman" w:eastAsia="Times New Roman" w:hAnsi="Times New Roman"/>
          <w:sz w:val="20"/>
          <w:szCs w:val="20"/>
          <w:b w:val="1"/>
          <w:bCs w:val="1"/>
          <w:color w:val="auto"/>
        </w:rPr>
        <w:t>Term SOFR Determination Day</w:t>
      </w:r>
      <w:r>
        <w:rPr>
          <w:rFonts w:ascii="Times New Roman" w:cs="Times New Roman" w:eastAsia="Times New Roman" w:hAnsi="Times New Roman"/>
          <w:sz w:val="20"/>
          <w:szCs w:val="20"/>
          <w:color w:val="auto"/>
        </w:rPr>
        <w:t>”), with respect to any Term Benchmark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409" w:right="339" w:bottom="1440" w:gutter="0" w:footer="0" w:header="0"/>
        </w:sectPr>
      </w:pPr>
    </w:p>
    <w:bookmarkStart w:id="73" w:name="page74"/>
    <w:bookmarkEnd w:id="73"/>
    <w:p>
      <w:pPr>
        <w:jc w:val="both"/>
        <w:spacing w:after="0" w:line="261" w:lineRule="auto"/>
        <w:rPr>
          <w:sz w:val="20"/>
          <w:szCs w:val="20"/>
          <w:color w:val="auto"/>
        </w:rPr>
      </w:pPr>
      <w:r>
        <w:rPr>
          <w:rFonts w:ascii="Times New Roman" w:cs="Times New Roman" w:eastAsia="Times New Roman" w:hAnsi="Times New Roman"/>
          <w:sz w:val="20"/>
          <w:szCs w:val="20"/>
          <w:color w:val="auto"/>
        </w:rPr>
        <w:t>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w:t>
      </w:r>
    </w:p>
    <w:p>
      <w:pPr>
        <w:spacing w:after="0" w:line="17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for any date of determination, the most recent period of four consecutive fiscal quarters of the Company ended prior to such date of determination in respect of which financial statements have been delivered to the Administrative Agent pursuant to Section 6.1 (or, prior to the delivery of any financial statements pursuant to Section 6.1, the period of four consecutive full fiscal quarters most recently ended prior to the Closing Date).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Testing Date</w:t>
      </w:r>
      <w:r>
        <w:rPr>
          <w:rFonts w:ascii="Times New Roman" w:cs="Times New Roman" w:eastAsia="Times New Roman" w:hAnsi="Times New Roman"/>
          <w:sz w:val="20"/>
          <w:szCs w:val="20"/>
          <w:color w:val="auto"/>
        </w:rPr>
        <w:t>” means any date on which the Total Net Leverage Ratio exceeds 3.50 to 1.00.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 Company</w:t>
      </w:r>
      <w:r>
        <w:rPr>
          <w:rFonts w:ascii="Times New Roman" w:cs="Times New Roman" w:eastAsia="Times New Roman" w:hAnsi="Times New Roman"/>
          <w:sz w:val="20"/>
          <w:szCs w:val="20"/>
          <w:color w:val="auto"/>
        </w:rPr>
        <w:t>”: as defined in Section 6.11(b)(i).</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Title Policy</w:t>
      </w:r>
      <w:r>
        <w:rPr>
          <w:rFonts w:ascii="Times New Roman" w:cs="Times New Roman" w:eastAsia="Times New Roman" w:hAnsi="Times New Roman"/>
          <w:sz w:val="20"/>
          <w:szCs w:val="20"/>
          <w:color w:val="auto"/>
        </w:rPr>
        <w:t>”: as defined in Section 6.11(b)(i).</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Market Cap</w:t>
      </w:r>
      <w:r>
        <w:rPr>
          <w:rFonts w:ascii="Times New Roman" w:cs="Times New Roman" w:eastAsia="Times New Roman" w:hAnsi="Times New Roman"/>
          <w:sz w:val="20"/>
          <w:szCs w:val="20"/>
          <w:color w:val="auto"/>
        </w:rPr>
        <w:t>”: as at any date of determination, the value of the Company’s common shares on the principal national securities exchange on which the Company’s common shares are registered and listed for trading at the close of trading on the preceding Business Day multiplied by the aggregate number of common shares outstanding as of the close of trading on such day.</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Net Leverage Ratio</w:t>
      </w:r>
      <w:r>
        <w:rPr>
          <w:rFonts w:ascii="Times New Roman" w:cs="Times New Roman" w:eastAsia="Times New Roman" w:hAnsi="Times New Roman"/>
          <w:sz w:val="20"/>
          <w:szCs w:val="20"/>
          <w:color w:val="auto"/>
        </w:rPr>
        <w:t>”: with respect to any date of determination, the ratio of (x) Consolidated Total Debt as of such date less Netted Cash as of such date to (y) Consolidated EBITDA of the Company and its Subsidiaries for the applicable Test Period.</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Net Leverage Ratio Step Up Period</w:t>
      </w:r>
      <w:r>
        <w:rPr>
          <w:rFonts w:ascii="Times New Roman" w:cs="Times New Roman" w:eastAsia="Times New Roman" w:hAnsi="Times New Roman"/>
          <w:sz w:val="20"/>
          <w:szCs w:val="20"/>
          <w:color w:val="auto"/>
        </w:rPr>
        <w:t>”: as defined in Section 7.1.</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Revolving Commitments</w:t>
      </w:r>
      <w:r>
        <w:rPr>
          <w:rFonts w:ascii="Times New Roman" w:cs="Times New Roman" w:eastAsia="Times New Roman" w:hAnsi="Times New Roman"/>
          <w:sz w:val="20"/>
          <w:szCs w:val="20"/>
          <w:color w:val="auto"/>
        </w:rPr>
        <w:t>”: at any time, the aggregate amount of the Revolving Commitments then in effect. The Total Revolving Commitments may be increased or reduced from time to time pursuant to Sections 2.25 and 2.7, respectively.</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Revolving Extensions of Credit</w:t>
      </w:r>
      <w:r>
        <w:rPr>
          <w:rFonts w:ascii="Times New Roman" w:cs="Times New Roman" w:eastAsia="Times New Roman" w:hAnsi="Times New Roman"/>
          <w:sz w:val="20"/>
          <w:szCs w:val="20"/>
          <w:color w:val="auto"/>
        </w:rPr>
        <w:t>”: at any time, the aggregate amount of the Revolving Extensions of Credit of the Revolving Lenders outstanding at such time.</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any Assignee or Participant.</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the Term SOFR Rate or the Alternate Base Rate or, if applicable, Daily Simple SOFR.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Arab Emirates Dirhams</w:t>
      </w:r>
      <w:r>
        <w:rPr>
          <w:rFonts w:ascii="Times New Roman" w:cs="Times New Roman" w:eastAsia="Times New Roman" w:hAnsi="Times New Roman"/>
          <w:sz w:val="20"/>
          <w:szCs w:val="20"/>
          <w:color w:val="auto"/>
        </w:rPr>
        <w:t>” means the lawful currency of the United Arab Emirates.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dollars in lawful currency of the United States.</w:t>
      </w:r>
    </w:p>
    <w:p>
      <w:pPr>
        <w:spacing w:after="0" w:line="216"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240"/>
          </w:cols>
          <w:pgMar w:left="320" w:top="1413"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a “United States person” within the meaning of Section 7701(a)(30) of the Code.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Special Resolution Regimes</w:t>
      </w:r>
      <w:r>
        <w:rPr>
          <w:rFonts w:ascii="Times New Roman" w:cs="Times New Roman" w:eastAsia="Times New Roman" w:hAnsi="Times New Roman"/>
          <w:sz w:val="20"/>
          <w:szCs w:val="20"/>
          <w:color w:val="auto"/>
        </w:rPr>
        <w:t>”: as defined in Section 10.23.</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Institutions</w:t>
      </w:r>
      <w:r>
        <w:rPr>
          <w:rFonts w:ascii="Times New Roman" w:cs="Times New Roman" w:eastAsia="Times New Roman" w:hAnsi="Times New Roman"/>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the United States of America.</w:t>
      </w:r>
    </w:p>
    <w:p>
      <w:pPr>
        <w:spacing w:after="0" w:line="21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Subsidiary</w:t>
      </w:r>
      <w:r>
        <w:rPr>
          <w:rFonts w:ascii="Times New Roman" w:cs="Times New Roman" w:eastAsia="Times New Roman" w:hAnsi="Times New Roman"/>
          <w:sz w:val="20"/>
          <w:szCs w:val="20"/>
          <w:color w:val="auto"/>
        </w:rPr>
        <w:t>”: (a) any Subsidiary of the Company that is designated as an Unrestricted Subsidiary by the Company pursuant to Section 6.10 subsequent to the Closing Date and (b) any subsidiary of an Unrestricted Subsidiary.</w:t>
      </w:r>
    </w:p>
    <w:p>
      <w:pPr>
        <w:spacing w:after="0" w:line="13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Weighted Average Life to Maturity</w:t>
      </w:r>
      <w:r>
        <w:rPr>
          <w:rFonts w:ascii="Times New Roman" w:cs="Times New Roman" w:eastAsia="Times New Roman" w:hAnsi="Times New Roman"/>
          <w:sz w:val="20"/>
          <w:szCs w:val="20"/>
          <w:color w:val="auto"/>
        </w:rPr>
        <w:t>”: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 provided that, for purposes of determining the Weighted Average Life to Maturity of any Indebtedness that is being extended, replaced, refunded, refinanced, renewed or defeased, the effect of any amortization or prepayment prior to the date of the applicable extension, replacement, refunding, refinancing, renewal or defeasance shall be disregarded.</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 Owned Subsidiary</w:t>
      </w:r>
      <w:r>
        <w:rPr>
          <w:rFonts w:ascii="Times New Roman" w:cs="Times New Roman" w:eastAsia="Times New Roman" w:hAnsi="Times New Roman"/>
          <w:sz w:val="20"/>
          <w:szCs w:val="20"/>
          <w:color w:val="auto"/>
        </w:rPr>
        <w:t>”: as to any Person, any other Person all of the Capital Stock of which (other than directors’ qualifying shares required by law) is owned by such Person directly and/or through other Wholly Owned Subsidiaries.</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any Loan Party and the Administrative Agent.</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u w:val="single" w:color="auto"/>
          <w:color w:val="auto"/>
        </w:rPr>
        <w:t>Other Definitional Provisions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409" w:right="339" w:bottom="1440" w:gutter="0" w:footer="0" w:header="0"/>
        </w:sectPr>
      </w:pPr>
    </w:p>
    <w:bookmarkStart w:id="75" w:name="page76"/>
    <w:bookmarkEnd w:id="75"/>
    <w:p>
      <w:pPr>
        <w:ind w:firstLine="656"/>
        <w:spacing w:after="0" w:line="283" w:lineRule="auto"/>
        <w:tabs>
          <w:tab w:leader="none" w:pos="108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46" w:lineRule="exact"/>
        <w:rPr>
          <w:rFonts w:ascii="Times New Roman" w:cs="Times New Roman" w:eastAsia="Times New Roman" w:hAnsi="Times New Roman"/>
          <w:sz w:val="20"/>
          <w:szCs w:val="20"/>
          <w:color w:val="auto"/>
        </w:rPr>
      </w:pPr>
    </w:p>
    <w:p>
      <w:pPr>
        <w:jc w:val="both"/>
        <w:ind w:firstLine="656"/>
        <w:spacing w:after="0" w:line="267" w:lineRule="auto"/>
        <w:tabs>
          <w:tab w:leader="none" w:pos="1111"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used herein and in the other Loan Documents, and any certificate or other document made or delivered pursuant hereto or thereto, (i) accounting terms relating to the Company and its Subsidiaries not defined in Section 1.1 and accounting terms partly defined in Section 1.1, to the extent not defined, shall have the respective meanings given to them under GAAP, (ii) the words “include,” “includes” and “including” shall be deemed to be followed by the phrase “without limitation,” (iii) the word “incur” shall be construed to mean incur, create,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 assume, become liable in respect of or suffer to exist (and the words “incurred” and “incurrence” shall have correlative meanings), and</w:t>
      </w:r>
    </w:p>
    <w:p>
      <w:pPr>
        <w:spacing w:after="0" w:line="18" w:lineRule="exact"/>
        <w:rPr>
          <w:sz w:val="20"/>
          <w:szCs w:val="20"/>
          <w:color w:val="auto"/>
        </w:rPr>
      </w:pPr>
    </w:p>
    <w:p>
      <w:pPr>
        <w:ind w:firstLine="8"/>
        <w:spacing w:after="0" w:line="260" w:lineRule="auto"/>
        <w:tabs>
          <w:tab w:leader="none" w:pos="367"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168" w:lineRule="exact"/>
        <w:rPr>
          <w:rFonts w:ascii="Times New Roman" w:cs="Times New Roman" w:eastAsia="Times New Roman" w:hAnsi="Times New Roman"/>
          <w:sz w:val="20"/>
          <w:szCs w:val="20"/>
          <w:color w:val="auto"/>
        </w:rPr>
      </w:pPr>
    </w:p>
    <w:p>
      <w:pPr>
        <w:jc w:val="both"/>
        <w:ind w:firstLine="656"/>
        <w:spacing w:after="0" w:line="268" w:lineRule="auto"/>
        <w:tabs>
          <w:tab w:leader="none" w:pos="114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 terms.</w:t>
      </w:r>
    </w:p>
    <w:p>
      <w:pPr>
        <w:spacing w:after="0" w:line="229" w:lineRule="exact"/>
        <w:rPr>
          <w:rFonts w:ascii="Times New Roman" w:cs="Times New Roman" w:eastAsia="Times New Roman" w:hAnsi="Times New Roman"/>
          <w:sz w:val="20"/>
          <w:szCs w:val="20"/>
          <w:color w:val="auto"/>
        </w:rPr>
      </w:pPr>
    </w:p>
    <w:p>
      <w:pPr>
        <w:jc w:val="both"/>
        <w:ind w:firstLine="656"/>
        <w:spacing w:after="0" w:line="249" w:lineRule="auto"/>
        <w:tabs>
          <w:tab w:leader="none" w:pos="118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Company or any subsidiary at “fair value,” as defined therein, (ii)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(iii) the application of Accounting Standards Codification 480, 815, 805 and 718 (to the extent these pronouncements under Accounting Standards Codification 718 result in recording an equity award as a liability on the consolidated balance sheet of the Company and its Subsidiaries in the circumstance where, but for the application of the pronouncements, such award would have been classified as equity).</w:t>
      </w:r>
    </w:p>
    <w:p>
      <w:pPr>
        <w:spacing w:after="0" w:line="20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59"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no Default or Event of Default shall arise as a result of any limitation set forth in U.S. Dollars in Section 7 (or in any defined term used therein) being exceeded solely as a result of changes in currency exchange rates from the currency exchange rates applicable at the time or times the related transaction was entered into or designated as a Cash Management Obligation provided that, for purposes of determining whether a new transaction or designation complies with any such limitation set forth in U.S. Dollars in Section 7 (or in any defined term used therein), the then current currency exchange rates shall be applied to all previous transactions or designations made in reliance on such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76" w:name="page77"/>
    <w:bookmarkEnd w:id="76"/>
    <w:p>
      <w:pPr>
        <w:ind w:firstLine="656"/>
        <w:spacing w:after="0" w:line="283" w:lineRule="auto"/>
        <w:tabs>
          <w:tab w:leader="none" w:pos="115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headings, subheadings and table of contents used herein or in any other Loan Document are solely for convenience of reference and shall not constitute a part of any such document or affect the meaning, construction or effect of any provision thereof.</w:t>
      </w:r>
    </w:p>
    <w:p>
      <w:pPr>
        <w:spacing w:after="0" w:line="146" w:lineRule="exact"/>
        <w:rPr>
          <w:rFonts w:ascii="Times New Roman" w:cs="Times New Roman" w:eastAsia="Times New Roman" w:hAnsi="Times New Roman"/>
          <w:sz w:val="20"/>
          <w:szCs w:val="20"/>
          <w:color w:val="auto"/>
        </w:rPr>
      </w:pPr>
    </w:p>
    <w:p>
      <w:pPr>
        <w:jc w:val="both"/>
        <w:ind w:firstLine="656"/>
        <w:spacing w:after="0" w:line="266" w:lineRule="auto"/>
        <w:tabs>
          <w:tab w:leader="none" w:pos="1101"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in the definition of “Finance Lease”, unless the Borrowers elect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9"/>
          <w:szCs w:val="19"/>
          <w:u w:val="single" w:color="auto"/>
          <w:color w:val="auto"/>
        </w:rPr>
        <w:t>ASU</w:t>
      </w:r>
      <w:r>
        <w:rPr>
          <w:rFonts w:ascii="Times New Roman" w:cs="Times New Roman" w:eastAsia="Times New Roman" w:hAnsi="Times New Roman"/>
          <w:sz w:val="19"/>
          <w:szCs w:val="19"/>
          <w:color w:val="auto"/>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8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u w:val="single" w:color="auto"/>
          <w:color w:val="auto"/>
        </w:rPr>
        <w:t>Currency Conversion; Currency Equivalents; Exchange Rates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0" w:lineRule="auto"/>
        <w:tabs>
          <w:tab w:leader="none" w:pos="112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more than one currency or currency unit are at the same time recognized by the central bank of any country as the lawful currency of that country, then (i) any reference in the Loan Documents to, and any obligations arising under the Loan Documents in, the currency of that country shall be translated into or paid in the currency or currency unit of that country designated by the Administrative Agent and (ii) except as otherwise set forth in this Agreement, any translation from one currency or currency unit to another shall be at the official rate of exchange recognized by the central bank for conversion of that currency or currency unit into the other, rounded up or down by the Administrative Agent as it deems appropriate in its reasonable discretion.</w:t>
      </w:r>
    </w:p>
    <w:p>
      <w:pPr>
        <w:spacing w:after="0" w:line="180" w:lineRule="exact"/>
        <w:rPr>
          <w:rFonts w:ascii="Times New Roman" w:cs="Times New Roman" w:eastAsia="Times New Roman" w:hAnsi="Times New Roman"/>
          <w:sz w:val="20"/>
          <w:szCs w:val="20"/>
          <w:color w:val="auto"/>
        </w:rPr>
      </w:pPr>
    </w:p>
    <w:p>
      <w:pPr>
        <w:jc w:val="both"/>
        <w:ind w:firstLine="656"/>
        <w:spacing w:after="0" w:line="258" w:lineRule="auto"/>
        <w:tabs>
          <w:tab w:leader="none" w:pos="112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in any currency of a country occurs, this Agreement shall be amended (and each party hereto agrees to enter into any supplemental agreement necessary to effect any such amendment) to the extent that the Administrative Agent determines such amendment to be necessary to reflect the change in currency and to put the Lenders and the Loan Parties in the same position, so far as possible, that they would have been in if no change in currency had occurred.</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Issuing Bank, as applicable, shall determine the Dollar Equivalent amounts of Letter of Credit extensions denominated in Alternative Currencies. Such Dollar Equivalent shall become effective as of such Revaluation Date and shall be the Dollar Equivalent of such amounts until the next Revaluation Date to occur. Except for purposes of financial statements delivered by the Company hereunder or calculating financial covenants hereunder or except as otherwise provided herein (it being understood that in the event of a conflict with Section 1.3(a) above, this Section 1.3(c) shall control), the applicable amount of any Alternative Currency for purposes of the Loan Documents shall be such Dollar Equivalent amount as so determined by the Administrative Agent or the Issuing Bank, as applicable.</w:t>
      </w:r>
    </w:p>
    <w:p>
      <w:pPr>
        <w:spacing w:after="0" w:line="192" w:lineRule="exact"/>
        <w:rPr>
          <w:rFonts w:ascii="Times New Roman" w:cs="Times New Roman" w:eastAsia="Times New Roman" w:hAnsi="Times New Roman"/>
          <w:sz w:val="20"/>
          <w:szCs w:val="20"/>
          <w:color w:val="auto"/>
        </w:rPr>
      </w:pPr>
    </w:p>
    <w:p>
      <w:pPr>
        <w:jc w:val="both"/>
        <w:ind w:firstLine="656"/>
        <w:spacing w:after="0" w:line="254" w:lineRule="auto"/>
        <w:tabs>
          <w:tab w:leader="none" w:pos="108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the issuance, amendment or extension of a Letter of Credit, an amount, such as a required minimum or multiple amount, is expressed in U.S. Dollars, but such Letter of Credit is denominated in an Alternative Currency, such amount shall be the Dollar Equivalent of such amount (rounded to the nearest unit of such Alternative Currency, with 0.5 of a unit being rounded upward), as determined by the Administrative Agent or the Issuing Bank,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413" w:right="339" w:bottom="1440" w:gutter="0" w:footer="0" w:header="0"/>
        </w:sectPr>
      </w:pPr>
    </w:p>
    <w:bookmarkStart w:id="77" w:name="page78"/>
    <w:bookmarkEnd w:id="77"/>
    <w:p>
      <w:pPr>
        <w:jc w:val="both"/>
        <w:ind w:firstLine="656"/>
        <w:spacing w:after="0" w:line="251" w:lineRule="auto"/>
        <w:tabs>
          <w:tab w:leader="none" w:pos="109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and subject to Section 1.2(f), for purposes of any determination under Section 6, Section 7 (other than Section 7.1) or Section 8 or any determination under any other provision of this Agreement expressly requiring the use of a current exchange rate (other than as set forth in Section 1.3(c) and Section 1.3(d) above), all amounts incurred, outstanding or proposed to be incurred or outstanding in currencies other than U.S. Dollars shall be translated into the U.S. Dollar equivalent of such amounts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relevant transaction (rounded to the nearest currency unit, with 0.5 or more of a currency unit being rounded upward). For purposes of any determination of Indebtedness, amounts in currencies other than U.S. Dollars shall be translated into the U.S. Dollar equivalent at the currency exchange rates used in preparing the most recently delivered financial statements pursuant to Section 6.1(a) or (b) and shall give effect to any Hedge Agreement permitted hereunder in respect of currency exchange risks relating to such Indebtedness in effect on the date of determination relating to any such currencies.</w:t>
      </w:r>
    </w:p>
    <w:p>
      <w:pPr>
        <w:spacing w:after="0" w:line="178"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u w:val="single" w:color="auto"/>
          <w:color w:val="auto"/>
        </w:rPr>
        <w:t>Terms Generally; Pro Forma Calculations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1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at any time with Sections 7.2, 7.3, 7.4, 7.5, 7.6, 7.8 and 7.13, in the event that any Indebtedness, Lien, Restricted Payment, Restricted Debt Payment, Investment, Disposition and/or Affiliate transactions or portion thereof, as applicable, at any time meets the criteria of more than one of the categories of transactions or items permitted pursuant to any clause of such Sections 7.2 (other than Section 7.2(a)), 7.3 (other than Section 7.3(j)), 7.4, 7.5, 7.6 and 7.13 (each of the foregoing, a “</w:t>
      </w:r>
      <w:r>
        <w:rPr>
          <w:rFonts w:ascii="Times New Roman" w:cs="Times New Roman" w:eastAsia="Times New Roman" w:hAnsi="Times New Roman"/>
          <w:sz w:val="20"/>
          <w:szCs w:val="20"/>
          <w:b w:val="1"/>
          <w:bCs w:val="1"/>
          <w:color w:val="auto"/>
        </w:rPr>
        <w:t>Reclassifiable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Item</w:t>
      </w:r>
      <w:r>
        <w:rPr>
          <w:rFonts w:ascii="Times New Roman" w:cs="Times New Roman" w:eastAsia="Times New Roman" w:hAnsi="Times New Roman"/>
          <w:sz w:val="20"/>
          <w:szCs w:val="20"/>
          <w:color w:val="auto"/>
        </w:rPr>
        <w:t>”), the Company, in its sole discretion, may, from time to time, divide, classify or reclassify such Reclassifiable Item (or portion thereof)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one or more clauses of each such Section and will only be required to include such Reclassifiable Item (or portion thereof) in any one category; provided that, upon delivery of any financial statements pursuant to Section 6.1 following the initial incurrence or making of any such Reclassifiable Item, if such Reclassifiable Item could, based on such financial statements, have been incurred or made in reliance on any “ratio-based” basket or exception, such Reclassifiable Item shall automatically be reclassified as having been incurred or made under the applicable provisions of such “ratio-based” basket or exception, as applicable (in each case, subject to any other applicable provision of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Sections 7.2, 7.3, 7.4, 7.5, 7.6, 7.8 and 7.13, respectively, but may instead be permitted in part under any combination thereof or under any other available exception.</w:t>
      </w:r>
    </w:p>
    <w:p>
      <w:pPr>
        <w:spacing w:after="0" w:line="200" w:lineRule="exact"/>
        <w:rPr>
          <w:rFonts w:ascii="Times New Roman" w:cs="Times New Roman" w:eastAsia="Times New Roman" w:hAnsi="Times New Roman"/>
          <w:sz w:val="20"/>
          <w:szCs w:val="20"/>
          <w:color w:val="auto"/>
        </w:rPr>
      </w:pPr>
    </w:p>
    <w:p>
      <w:pPr>
        <w:jc w:val="both"/>
        <w:ind w:firstLine="656"/>
        <w:spacing w:after="0" w:line="251" w:lineRule="auto"/>
        <w:tabs>
          <w:tab w:leader="none" w:pos="120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but subject to Sections 1.4(c), (d) and (e) and the last paragraph of the definition of “Pro Forma Basis”, all financial ratios and tests (including the First Lien Net Leverage Ratio, the Senior Secured Net Leverage Ratio, the Total Net Leverage Ratio, the Interest Coverage Ratio and the amount of Consolidated Net Income and Consolidated EBITDA contained in this Agreement that are calculated with respect to any applicable Test Period during which any Specified Transaction occurs) shall be calculated with respect to such applicable Test Period and such Specified Transaction on a Pro Forma Basis. Further, if since the beginning of any such applicable Test Period and on or prior to the date of any required calculation of any financial ratio or test (x) any Specified Transaction has occurred or (y) any Person that subsequently became a Subsidiary or was merged, amalgamated or consolidated with or into the Company or any of its Subsidiaries since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240"/>
          </w:cols>
          <w:pgMar w:left="320" w:top="1413" w:right="339" w:bottom="1440" w:gutter="0" w:footer="0" w:header="0"/>
        </w:sectPr>
      </w:pPr>
    </w:p>
    <w:bookmarkStart w:id="78" w:name="page79"/>
    <w:bookmarkEnd w:id="78"/>
    <w:p>
      <w:pPr>
        <w:jc w:val="both"/>
        <w:spacing w:after="0" w:line="261" w:lineRule="auto"/>
        <w:rPr>
          <w:sz w:val="20"/>
          <w:szCs w:val="20"/>
          <w:color w:val="auto"/>
        </w:rPr>
      </w:pPr>
      <w:r>
        <w:rPr>
          <w:rFonts w:ascii="Times New Roman" w:cs="Times New Roman" w:eastAsia="Times New Roman" w:hAnsi="Times New Roman"/>
          <w:sz w:val="20"/>
          <w:szCs w:val="20"/>
          <w:color w:val="auto"/>
        </w:rPr>
        <w:t>beginning of such applicable Test Period has consummated any Specified Transaction, then, in each case, any applicable financial ratio or test shall be calculated on a Pro Forma Basis for such applicable Test Period as if such Specified Transaction had occurred at the beginning of the applicable Test Period.</w:t>
      </w:r>
    </w:p>
    <w:p>
      <w:pPr>
        <w:spacing w:after="0" w:line="181" w:lineRule="exact"/>
        <w:rPr>
          <w:sz w:val="20"/>
          <w:szCs w:val="20"/>
          <w:color w:val="auto"/>
        </w:rPr>
      </w:pPr>
    </w:p>
    <w:p>
      <w:pPr>
        <w:jc w:val="both"/>
        <w:ind w:firstLine="656"/>
        <w:spacing w:after="0" w:line="251" w:lineRule="auto"/>
        <w:tabs>
          <w:tab w:leader="none" w:pos="114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permissibility of any action, change, transaction or event that requires a calculation of any financial ratio or financial test (including any First Lien Net Leverage Ratio test, any Senior Secured Net Leverage Ratio test, any Total Net Leverage Ratio test and/or any Interest Coverage Ratio test) and/or the amount of Consolidated EBITDA or Consolidated Net Income, such financial ratio, financial test or amount shall, subject to clause (d)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192" w:lineRule="exact"/>
        <w:rPr>
          <w:rFonts w:ascii="Times New Roman" w:cs="Times New Roman" w:eastAsia="Times New Roman" w:hAnsi="Times New Roman"/>
          <w:sz w:val="20"/>
          <w:szCs w:val="20"/>
          <w:color w:val="auto"/>
        </w:rPr>
      </w:pPr>
    </w:p>
    <w:p>
      <w:pPr>
        <w:jc w:val="both"/>
        <w:ind w:firstLine="656"/>
        <w:spacing w:after="0" w:line="248" w:lineRule="auto"/>
        <w:tabs>
          <w:tab w:leader="none" w:pos="110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(including in connection with any calculation made on a Pro Forma Basis), to the extent that the terms of this Agreement require (i) compliance with any financial ratio or financial test (including any First Lien Net Leverage Ratio test, any Senior Secured Net Leverage Ratio test, any Total Net Leverage Ratio test and/or any Interest Coverage Ratio test) and/or any cap expressed as a percentage of Consolidated Net Income or Consolidated EBITDA, (ii) accuracy of any representation or warranty and/or the absence of a Default or Event of Default (or any type of default or event of default), in each case other than for purposes of the making of any Revolving Extension of Credit or (iii) compliance with any basket or other condition, as a condition to (A) the consummation of any acquisition, consolidation, business combination or similar Investment, the consummation of which by the Company is not conditioned on the availability of, or obtaining, third party financing, and/or (B) the redemption, repurchase, defeasance, satisfaction and discharge or repayment of Indebtedness or any Restricted Payment, in each case, requiring irrevocable notice in advance of such redemption, repurchase, satisfaction and discharge or repayment (clauses (A) and (B), collectively, a “</w:t>
      </w:r>
      <w:r>
        <w:rPr>
          <w:rFonts w:ascii="Times New Roman" w:cs="Times New Roman" w:eastAsia="Times New Roman" w:hAnsi="Times New Roman"/>
          <w:sz w:val="20"/>
          <w:szCs w:val="20"/>
          <w:b w:val="1"/>
          <w:bCs w:val="1"/>
          <w:color w:val="auto"/>
        </w:rPr>
        <w:t>Limited Condition Transaction</w:t>
      </w:r>
      <w:r>
        <w:rPr>
          <w:rFonts w:ascii="Times New Roman" w:cs="Times New Roman" w:eastAsia="Times New Roman" w:hAnsi="Times New Roman"/>
          <w:sz w:val="20"/>
          <w:szCs w:val="20"/>
          <w:color w:val="auto"/>
        </w:rPr>
        <w:t>”), the determination of whether the relevant condition is satisfied may be made, at the election of the Company, (A) in the case of any such acquisition, consolidation, business combination or similar Investment, at the time of (or on the basis of the most recent financial statements delivered pursuant to Section 6.1) either (x) the execution of a letter of intent or the definitive agreement with respect to such acquisition, consolidation, business combination, similar Investment (or, solely in connection with an acquisition, consolidation or business combination to which the United Kingdom City Code on Takeovers and Mergers applies, the date on which a “Rule 2.7 Announcement” of a firm intention to make an offer) or the establishment of a commitment with respect to such Indebtedness or (y) the consummation of such acquisition, consolidation, business combination or Investment and (B) in the case of any redemption, repurchase, defeasance, satisfaction and discharge or repayment of Indebtedness or Restricted Payment, in each case, at the time of (or on the basis of the most recent financial statements delivered pursuant to Section 6.1 at the time of) (x) delivery of irrevocable notice with respect to such redemption, repurchase, defeasance, satisfaction and discharge or repayment of Indebtedness or Restricted Payment or (y) the redemption, repurchase, defeasance, satisfaction and discharge or repayment of such Indebtedness or Restricted Payment, in each case, after giving effect on a Pro Forma Basis to the relevant acquisition, consolidation, business combination or similar Investment and/or Restricted Debt Payment, incurrence of Indebtedness or other transaction (including the intended use of proceeds of any Indebtedness to be incurred in connection therewith) and any other acquisition, consolidation, business combination or similar Investment, redemption, repurchase, defeasance, satisfaction and discharge or repayment of Indebtedness, incurrence of Indebtedness or other transaction that has not been consummated but with respect to which the Company has elected to test any applicable condition prior to the date of consummation in accordance with this Section 1.4(d), and no Default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413"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20"/>
          <w:szCs w:val="20"/>
          <w:color w:val="auto"/>
        </w:rPr>
        <w:t>Event of Default shall be deemed to have occurred solely as a result of an adverse change in such test or condition occurring after the time such election is made (but any subsequent improvement in the applicable ratio, test or amount may be utilized by the Company or any Subsidiary). For the avoidance of doubt, if the Company shall have elected the option set forth in clause (x) of any of the preceding clauses</w:t>
      </w:r>
    </w:p>
    <w:p>
      <w:pPr>
        <w:spacing w:after="0" w:line="1" w:lineRule="exact"/>
        <w:rPr>
          <w:sz w:val="20"/>
          <w:szCs w:val="20"/>
          <w:color w:val="auto"/>
        </w:rPr>
      </w:pPr>
    </w:p>
    <w:p>
      <w:pPr>
        <w:jc w:val="both"/>
        <w:ind w:firstLine="8"/>
        <w:spacing w:after="0" w:line="250" w:lineRule="auto"/>
        <w:tabs>
          <w:tab w:leader="none" w:pos="28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(2) in respect of any transaction, then (i) the Company shall be permitted to consummate such transaction even if any applicable test or condition shall cease to be satisfied subsequent to the Company’s election of such option and (ii) any further determination with respect to incurrence tests prior to the earlier of the consummation of such Limited Condition Transaction and the termination of such Limited Condition Transaction will require the Company to comply with such tests on a Pro Forma Basis assuming the applicable Limited Condition Transaction has been consummated and the applicable acquisition debt has been incurred. The provisions of this paragraph (d) shall also apply in respect of the incurrence of any Incremental Term Facility.</w:t>
      </w:r>
    </w:p>
    <w:p>
      <w:pPr>
        <w:spacing w:after="0" w:line="180"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unless the Company otherwise notifies the Administrative Agent, with respect to any amount incurred (including under Section 2.25 (including the definition of Incremental Cap used therein)) or transaction entered into (or consummated) in reliance on a provision of any covenant in this Agreement that does not require compliance with a financial ratio or financial test (including any First Lien Net Leverage Ratio test, any Senior Secured Net Leverage Ratio test, any Total Net Leverage Ratio test and/or any Interest Coverage Ratio test) (any such amount, including any amount drawn under the Revolving Facility or any other permitted revolving facility, and any cap expressed as a percentage of Consolidated EBITDA, a “</w:t>
      </w:r>
      <w:r>
        <w:rPr>
          <w:rFonts w:ascii="Times New Roman" w:cs="Times New Roman" w:eastAsia="Times New Roman" w:hAnsi="Times New Roman"/>
          <w:sz w:val="20"/>
          <w:szCs w:val="20"/>
          <w:b w:val="1"/>
          <w:bCs w:val="1"/>
          <w:color w:val="auto"/>
        </w:rPr>
        <w:t>Fixed Amount</w:t>
      </w:r>
      <w:r>
        <w:rPr>
          <w:rFonts w:ascii="Times New Roman" w:cs="Times New Roman" w:eastAsia="Times New Roman" w:hAnsi="Times New Roman"/>
          <w:sz w:val="20"/>
          <w:szCs w:val="20"/>
          <w:color w:val="auto"/>
        </w:rPr>
        <w:t>”) substantially concurrently with any amount incurred or transaction entered into (or consummated) in reliance on a provision of such covenant that requires compliance with a financial ratio or financial test (including any First Lien Net Leverage Ratio test, any Senior Secured Net Leverage Ratio test, any Total Net Leverage Ratio test and/or any Interest Coverage Ratio test) (any such amount, an “</w:t>
      </w:r>
      <w:r>
        <w:rPr>
          <w:rFonts w:ascii="Times New Roman" w:cs="Times New Roman" w:eastAsia="Times New Roman" w:hAnsi="Times New Roman"/>
          <w:sz w:val="20"/>
          <w:szCs w:val="20"/>
          <w:b w:val="1"/>
          <w:bCs w:val="1"/>
          <w:color w:val="auto"/>
        </w:rPr>
        <w:t>Incurrence-Based Amount</w:t>
      </w:r>
      <w:r>
        <w:rPr>
          <w:rFonts w:ascii="Times New Roman" w:cs="Times New Roman" w:eastAsia="Times New Roman" w:hAnsi="Times New Roman"/>
          <w:sz w:val="20"/>
          <w:szCs w:val="20"/>
          <w:color w:val="auto"/>
        </w:rPr>
        <w:t>”), it is understood and agreed that, solely for purposes of such covenant, (i) the incurrence of such Incurrence-Based Amount shall be calculated first without giving effect to such Fixed Amount but giving full pro forma effect to the use of proceeds of such Fixed Amount and the related transactions and (ii) the incurrence of such Fixed Amount shall be calculated thereafter. Unless the Company elects otherwise, the Company shall be deemed to have used amounts under an Incurrence-Based Amount under any covenant then available to the Company prior to utilization of any amount under a Fixed Amount under such covenant then available to the Company.</w:t>
      </w:r>
    </w:p>
    <w:p>
      <w:pPr>
        <w:spacing w:after="0" w:line="196"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5"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amount of any non-interest bearing Indebtedness or other discount security constituting Indebtedness at any date shall be the principal amount thereof that would be shown on a balance sheet of the Company dated such date prepared in accordance with GAAP.</w:t>
      </w:r>
    </w:p>
    <w:p>
      <w:pPr>
        <w:spacing w:after="0" w:line="167" w:lineRule="exact"/>
        <w:rPr>
          <w:rFonts w:ascii="Times New Roman" w:cs="Times New Roman" w:eastAsia="Times New Roman" w:hAnsi="Times New Roman"/>
          <w:sz w:val="20"/>
          <w:szCs w:val="20"/>
          <w:color w:val="auto"/>
        </w:rPr>
      </w:pPr>
    </w:p>
    <w:p>
      <w:pPr>
        <w:jc w:val="both"/>
        <w:ind w:firstLine="656"/>
        <w:spacing w:after="0" w:line="257" w:lineRule="auto"/>
        <w:tabs>
          <w:tab w:leader="none" w:pos="115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 deemed to be permitted Indebtedness for purposes of Section 7.2 and will be deemed not to be the granting of a Lien for purposes of Section 7.3.</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1"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compliance with Section 7.2 or Section 7.3, if any Indebtedness or Lien is incurred in reliance on a basket measured by reference to a percentage of Consolidated EBITDA, and any refinancing or replacement thereof would cause the percentage of Consolidated EBITDA to be exceeded if calculated based on the Consolidated EBITDA on the date of such refinancing or replacement, such percentage of Consolidated EBITDA will be deemed not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413" w:right="339" w:bottom="1440" w:gutter="0" w:footer="0" w:header="0"/>
        </w:sectPr>
      </w:pPr>
    </w:p>
    <w:bookmarkStart w:id="80" w:name="page81"/>
    <w:bookmarkEnd w:id="80"/>
    <w:p>
      <w:pPr>
        <w:spacing w:after="0" w:line="258" w:lineRule="auto"/>
        <w:rPr>
          <w:sz w:val="20"/>
          <w:szCs w:val="20"/>
          <w:color w:val="auto"/>
        </w:rPr>
      </w:pPr>
      <w:r>
        <w:rPr>
          <w:rFonts w:ascii="Times New Roman" w:cs="Times New Roman" w:eastAsia="Times New Roman" w:hAnsi="Times New Roman"/>
          <w:sz w:val="20"/>
          <w:szCs w:val="20"/>
          <w:color w:val="auto"/>
        </w:rPr>
        <w:t>exceeded so long as the principal amount of such refinancing or replacement Indebtedness or other obligation does not exceed an amount sufficient to repay the principal amount of such Indebtedness or other obligation being refinanced or replaced, except by an amount equal to</w:t>
      </w:r>
    </w:p>
    <w:p>
      <w:pPr>
        <w:jc w:val="both"/>
        <w:ind w:firstLine="8"/>
        <w:spacing w:after="0" w:line="251" w:lineRule="auto"/>
        <w:tabs>
          <w:tab w:leader="none" w:pos="3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unpaid accrued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Section 7.2 and, to the extent secured by a Lien, Section 7.3 (and, in each case, the applicable clause of Section 7.2 and Section 7.3 shall be deemed to be utilized by the amount so incurred).</w:t>
      </w:r>
    </w:p>
    <w:p>
      <w:pPr>
        <w:spacing w:after="0" w:line="179" w:lineRule="exact"/>
        <w:rPr>
          <w:rFonts w:ascii="Times New Roman" w:cs="Times New Roman" w:eastAsia="Times New Roman" w:hAnsi="Times New Roman"/>
          <w:sz w:val="20"/>
          <w:szCs w:val="20"/>
          <w:color w:val="auto"/>
        </w:rPr>
      </w:pPr>
    </w:p>
    <w:p>
      <w:pPr>
        <w:jc w:val="both"/>
        <w:ind w:firstLine="656"/>
        <w:spacing w:after="0" w:line="274" w:lineRule="auto"/>
        <w:tabs>
          <w:tab w:leader="none" w:pos="1118" w:val="left"/>
        </w:tabs>
        <w:numPr>
          <w:ilvl w:val="1"/>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avoidance of doubt, for purposes of determining compliance with Section 7.2(f), (g), (i), (k) and (m) and any other comparable provision of Section 7.2, a Permitted Refinancing in respect of Indebtedness incurred pursuant to a U.S. Dollar-denominated or Consolidated EBITDA-governed basket shall not increase capacity to incur Indebtedness under such U.S. Dollar-denominated or EBITDA-governed basket, and such U.S. Dollar-denominated or EBITDA-governed basket shall be deemed to continue to be utilized by the amount of the original Indebtedness incurred unless and until the Indebtedness incurred to effect such Permitted Refinancing is no longer outstanding.</w:t>
      </w:r>
    </w:p>
    <w:p>
      <w:pPr>
        <w:spacing w:after="0" w:line="156" w:lineRule="exact"/>
        <w:rPr>
          <w:rFonts w:ascii="Times New Roman" w:cs="Times New Roman" w:eastAsia="Times New Roman" w:hAnsi="Times New Roman"/>
          <w:sz w:val="19"/>
          <w:szCs w:val="19"/>
          <w:color w:val="auto"/>
        </w:rPr>
      </w:pPr>
    </w:p>
    <w:p>
      <w:pPr>
        <w:jc w:val="both"/>
        <w:ind w:firstLine="656"/>
        <w:spacing w:after="0" w:line="258" w:lineRule="auto"/>
        <w:tabs>
          <w:tab w:leader="none" w:pos="1053"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ratios required to be maintained by the Company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(or, if such subsequent Person ceases to be a Subsidiary of the original Person, disposed of) on the first date of its existence by the holders of its Capital Stock at such time.</w:t>
      </w:r>
    </w:p>
    <w:p>
      <w:pPr>
        <w:spacing w:after="0" w:line="178" w:lineRule="exact"/>
        <w:rPr>
          <w:rFonts w:ascii="Times New Roman" w:cs="Times New Roman" w:eastAsia="Times New Roman" w:hAnsi="Times New Roman"/>
          <w:sz w:val="20"/>
          <w:szCs w:val="20"/>
          <w:color w:val="auto"/>
        </w:rPr>
      </w:pPr>
    </w:p>
    <w:p>
      <w:pPr>
        <w:ind w:firstLine="656"/>
        <w:spacing w:after="0" w:line="283" w:lineRule="auto"/>
        <w:tabs>
          <w:tab w:leader="none" w:pos="103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consummation of any Holding Company Reorganization, the second reference to the “Company” in the first paragraph of Section 7 shall be deemed a reference to the Holding Company.</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Classification of Loans and Borrowings</w:t>
      </w:r>
      <w:r>
        <w:rPr>
          <w:rFonts w:ascii="Times New Roman" w:cs="Times New Roman" w:eastAsia="Times New Roman" w:hAnsi="Times New Roman"/>
          <w:sz w:val="20"/>
          <w:szCs w:val="20"/>
          <w:color w:val="auto"/>
        </w:rPr>
        <w:t>. For purposes of this Agreement, Loans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Loan”)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Loan”)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Term Loan”). Borrowings also may be classified and referred to by Class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Loan Borrowing”) or by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Borrowing”) or by Class and Type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“Term Benchmark Term Loan Borrowing”).</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Interest Rates; Benchmark Notification</w:t>
      </w:r>
      <w:r>
        <w:rPr>
          <w:rFonts w:ascii="Times New Roman" w:cs="Times New Roman" w:eastAsia="Times New Roman" w:hAnsi="Times New Roman"/>
          <w:sz w:val="20"/>
          <w:szCs w:val="20"/>
          <w:color w:val="auto"/>
        </w:rPr>
        <w:t>. The interest rate on a Loan denominated in U.S. Dollars may be derived from an interest rate benchmark that may be discontinued or is, or may in the future become, the subject of regulatory reform. Upon the occurrence of a Benchmark Transition Event, Section 2.16(b)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413" w:right="339" w:bottom="1440" w:gutter="0" w:footer="0" w:header="0"/>
        </w:sectPr>
      </w:pPr>
    </w:p>
    <w:bookmarkStart w:id="81" w:name="page82"/>
    <w:bookmarkEnd w:id="81"/>
    <w:p>
      <w:pPr>
        <w:jc w:val="both"/>
        <w:spacing w:after="0" w:line="265" w:lineRule="auto"/>
        <w:rPr>
          <w:sz w:val="20"/>
          <w:szCs w:val="20"/>
          <w:color w:val="auto"/>
        </w:rPr>
      </w:pPr>
      <w:r>
        <w:rPr>
          <w:rFonts w:ascii="Times New Roman" w:cs="Times New Roman" w:eastAsia="Times New Roman" w:hAnsi="Times New Roman"/>
          <w:sz w:val="19"/>
          <w:szCs w:val="19"/>
          <w:color w:val="auto"/>
        </w:rPr>
        <w:t>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2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Letter of Credit Amounts</w:t>
      </w:r>
      <w:r>
        <w:rPr>
          <w:rFonts w:ascii="Times New Roman" w:cs="Times New Roman" w:eastAsia="Times New Roman" w:hAnsi="Times New Roman"/>
          <w:sz w:val="20"/>
          <w:szCs w:val="20"/>
          <w:color w:val="auto"/>
        </w:rPr>
        <w:t xml:space="preserve">. Unless otherwise specified herein, the amount of a Letter of Credit at any time shall be deemed to be the Dollar Equivalent of the stated amount of such Letter of Credit available to be drawn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Letter of Credit that, by its terms,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spacing w:after="0" w:line="19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2.</w:t>
      </w:r>
      <w:r>
        <w:rPr>
          <w:sz w:val="20"/>
          <w:szCs w:val="20"/>
          <w:color w:val="auto"/>
        </w:rPr>
        <w:tab/>
      </w:r>
      <w:r>
        <w:rPr>
          <w:rFonts w:ascii="Times New Roman" w:cs="Times New Roman" w:eastAsia="Times New Roman" w:hAnsi="Times New Roman"/>
          <w:sz w:val="19"/>
          <w:szCs w:val="19"/>
          <w:color w:val="auto"/>
        </w:rPr>
        <w:t>AMOUNT AND TERMS OF LOANS AND COMMITMENTS</w:t>
      </w:r>
    </w:p>
    <w:p>
      <w:pPr>
        <w:spacing w:after="0" w:line="22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u w:val="single" w:color="auto"/>
          <w:color w:val="auto"/>
        </w:rPr>
        <w:t>Revolving Commitments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9" w:lineRule="auto"/>
        <w:tabs>
          <w:tab w:leader="none" w:pos="107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hereof, each Revolving Lender severally agrees to make revolving credit loans denominated in U.S. Dollars (“</w:t>
      </w:r>
      <w:r>
        <w:rPr>
          <w:rFonts w:ascii="Times New Roman" w:cs="Times New Roman" w:eastAsia="Times New Roman" w:hAnsi="Times New Roman"/>
          <w:sz w:val="20"/>
          <w:szCs w:val="20"/>
          <w:b w:val="1"/>
          <w:bCs w:val="1"/>
          <w:color w:val="auto"/>
        </w:rPr>
        <w:t>Revolving Loans</w:t>
      </w:r>
      <w:r>
        <w:rPr>
          <w:rFonts w:ascii="Times New Roman" w:cs="Times New Roman" w:eastAsia="Times New Roman" w:hAnsi="Times New Roman"/>
          <w:sz w:val="20"/>
          <w:szCs w:val="20"/>
          <w:color w:val="auto"/>
        </w:rPr>
        <w:t>”) to any Borrower from time to time at such Borrower’s request during the Revolving Commitment Period in an aggregate principal amount at any one time outstanding that will not result in such Revolving Lender’s Revolving Extensions of Credit exceeding such Revolving Lender’s Revolving Commitment. During the Revolving Commitment Period each Borrower may use the Revolving Commitments by borrowing, prepaying the Revolving Loans in whole or in part, and reborrowing, all in accordance with the terms and conditions hereof. The Revolving Loans may from time to time be Term Benchmark Loans or ABR Loans, as determined by the applicable Borrower and notified to the Administrative Agent in accordance with Sections 2.5 and/or 2.12. Each Swingline Loan shall be an ABR Loan.</w:t>
      </w:r>
    </w:p>
    <w:p>
      <w:pPr>
        <w:spacing w:after="0" w:line="19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shall repay all outstanding Revolving Loans made to such Borrower on the Revolving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413" w:right="339" w:bottom="1440" w:gutter="0" w:footer="0" w:header="0"/>
        </w:sectPr>
      </w:pPr>
    </w:p>
    <w:bookmarkStart w:id="82" w:name="page83"/>
    <w:bookmarkEnd w:id="82"/>
    <w:p>
      <w:pPr>
        <w:jc w:val="both"/>
        <w:ind w:firstLine="656"/>
        <w:spacing w:after="0" w:line="258" w:lineRule="auto"/>
        <w:tabs>
          <w:tab w:leader="none" w:pos="114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shall repay the then unpaid principal amount of each Swingline Loan on the earlier of the Revolving Termination Date and the fifth Business Day after such Swingline Loan is made; provided that on each date that a Revolving Loan is made, the Borrowers shall repay all Swingline Loans then outstanding and the proceeds of any such Revolving Loan shall be applied by the Administrative Agent to repay any Swingline Loans outstanding.</w:t>
      </w:r>
    </w:p>
    <w:p>
      <w:pPr>
        <w:spacing w:after="0" w:line="17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u w:val="single" w:color="auto"/>
          <w:color w:val="auto"/>
        </w:rPr>
        <w:t>Procedure for Revolving Loan Borrowing</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may borrow Revolving Loans under the Revolving Commitments during the Revolving Commitment Period on any Business Day prior to the Revolving Termination Date; provided that such Borrower shall give the Administrative Agent irrevocable notice (which notice must be received by the Administrative Agent (a) prior to 12:00 Noon, New York City time, three U.S. Government Securities Business Days prior to the requested Borrowing Date, in the case of Term Benchmark Loans, or (b) prior to 12:00 Noon, New York City time on the day of the proposed Borrowing, in the case of ABR Loans), specifying (i) the amount and the Type of Loans to be borrowed, (ii) the requested Borrowing Date and (iii) in the case of Term Benchmark Loans, the initial Interest Period therefor. If any such Borrowing request requests a Term Benchmark Loan but does not specify an Interest Period, then the applicable Borrower shall be deemed to have selected an Interest Period of one month’s duration. Each such borrowing of Revolving Loans shall be in an amount equal to (x) in the case of ABR Loans, $1,000,000 or a whole multiple thereof (or, if the then aggregate Available Revolving Commitments are less than $1,000,000, such lesser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ABR Borrowing may be in an aggregate amount that is required to finance the reimbursement of a LC Disbursement as contemplated by </w:t>
      </w:r>
      <w:r>
        <w:rPr>
          <w:rFonts w:ascii="Times New Roman" w:cs="Times New Roman" w:eastAsia="Times New Roman" w:hAnsi="Times New Roman"/>
          <w:sz w:val="20"/>
          <w:szCs w:val="20"/>
          <w:u w:val="single" w:color="auto"/>
          <w:color w:val="auto"/>
        </w:rPr>
        <w:t>Section 2.13(e)</w:t>
      </w:r>
      <w:r>
        <w:rPr>
          <w:rFonts w:ascii="Times New Roman" w:cs="Times New Roman" w:eastAsia="Times New Roman" w:hAnsi="Times New Roman"/>
          <w:sz w:val="20"/>
          <w:szCs w:val="20"/>
          <w:color w:val="auto"/>
        </w:rPr>
        <w:t xml:space="preserve"> and (y) in the case of Term Benchmark Loans, $1,000,000 or a whole multiple of $1,000,000 in excess thereof, respectively. Upon receipt of any such notice of borrowing under the Revolving Facility from any Borrower, the Administrative Agent shall promptly notify each Lender under the Revolving Facility thereof. In the case of a borrowing under the Revolving Facility, each Revolving Lender will make the amount of its Revolving Percentage of such borrowing of Revolving Loans available to the Administrative Agent for the account of the applicable Borrower at the Domestic Funding Office prior to 2:00 p.m., New York City time, on the Borrowing Date requested by the applicable Borrower in funds immediately available to the Administrative Agent. Such borrowing will then be made available to the applicable Borrower by the Administrative Agent crediting the account of such Borrower on the books of such office with the aggregate of the amounts made available to the Administrative Agent by the Revolving Lenders and in like funds as received by the Administrative Agent.</w:t>
      </w:r>
    </w:p>
    <w:p>
      <w:pPr>
        <w:spacing w:after="0" w:line="194"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rFonts w:ascii="Times New Roman" w:cs="Times New Roman" w:eastAsia="Times New Roman" w:hAnsi="Times New Roman"/>
          <w:sz w:val="20"/>
          <w:szCs w:val="20"/>
          <w:color w:val="auto"/>
        </w:rPr>
      </w:pPr>
    </w:p>
    <w:p>
      <w:pPr>
        <w:spacing w:after="0" w:line="258" w:lineRule="exact"/>
        <w:rPr>
          <w:rFonts w:ascii="Times New Roman" w:cs="Times New Roman" w:eastAsia="Times New Roman" w:hAnsi="Times New Roman"/>
          <w:sz w:val="20"/>
          <w:szCs w:val="20"/>
          <w:color w:val="auto"/>
        </w:rPr>
      </w:pPr>
    </w:p>
    <w:p>
      <w:pPr>
        <w:jc w:val="both"/>
        <w:ind w:firstLine="656"/>
        <w:spacing w:after="0" w:line="226" w:lineRule="auto"/>
        <w:tabs>
          <w:tab w:leader="none" w:pos="117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may, at its option, make any Loan available to any Borrower by causing any foreign or domestic branch or Affiliate of such Lender to make such Loan; provided that any exercise of such option shall not affect the obligation of such Borrower to repay such Loan in accordance with the terms of this Agreement.</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u w:val="single" w:color="auto"/>
          <w:color w:val="auto"/>
        </w:rPr>
        <w:t>Commitment Fees.</w:t>
      </w:r>
      <w:r>
        <w:rPr>
          <w:rFonts w:ascii="Times New Roman" w:cs="Times New Roman" w:eastAsia="Times New Roman" w:hAnsi="Times New Roman"/>
          <w:sz w:val="20"/>
          <w:szCs w:val="20"/>
          <w:color w:val="auto"/>
        </w:rPr>
        <w:t xml:space="preserve"> The Borrowers agree to pay to the Administrative Agent for the account of each Revolving Lender a commitment fee for the period from and including the Closing Date to the last day of the Revolving Commitment Period, computed at the Commitment Fee Rate on the average daily Available Revolving Commitment of such Lender during the period for which payment is made, payable quarterly in arrears on the fifteenth Business Day of each January, April, July and October (with respect to the amount of such fee accrued to and including the last day of such March, June, September or December, respectively) and on the Revolving Termination Date, commencing on the first of such dates to occur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413" w:right="339" w:bottom="1440" w:gutter="0" w:footer="0" w:header="0"/>
        </w:sectPr>
      </w:pPr>
    </w:p>
    <w:bookmarkStart w:id="83" w:name="page84"/>
    <w:bookmarkEnd w:id="83"/>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2.7. </w:t>
      </w:r>
      <w:r>
        <w:rPr>
          <w:rFonts w:ascii="Times New Roman" w:cs="Times New Roman" w:eastAsia="Times New Roman" w:hAnsi="Times New Roman"/>
          <w:sz w:val="20"/>
          <w:szCs w:val="20"/>
          <w:u w:val="single" w:color="auto"/>
          <w:color w:val="auto"/>
        </w:rPr>
        <w:t>Termination or Reduction of Revolving Commitments</w:t>
      </w:r>
      <w:r>
        <w:rPr>
          <w:rFonts w:ascii="Times New Roman" w:cs="Times New Roman" w:eastAsia="Times New Roman" w:hAnsi="Times New Roman"/>
          <w:sz w:val="20"/>
          <w:szCs w:val="20"/>
          <w:color w:val="auto"/>
        </w:rPr>
        <w:t>. The Company shall have the right, upon not less than three Business Days’ notice (or shorter notice period approved by the Administrative Agent) to the Administrative Agent, to terminate the Revolving Commitments or, from time to time, to reduce the amount of the Revolving Commitments; provided that no such termination or reduction of Revolving Commitments shall be permitted if, after giving effect thereto and to any prepayments of the Revolving Loans and Swingline Loans made on the effective date thereof, the Total Revolving Extensions of Credit would exceed the Total Revolving Commitments. Any such partial reduction shall be in an amount equal to $1,000,000, or a whole multiple thereof, and shall reduce permanently the Revolving Commitments then in effect. Each reduction of the Revolving Commitments shall be made ratably among the Revolving Lenders in accordance with their respective Revolving Commitments. Notwithstanding the foregoing, the Company may rescind or postpone any notice of termination of the Revolving Commitments if such termination would have resulted from a refinancing of all or any portion of any Facility or Facilities, which refinancing shall not be consummated or otherwise shall be delayed.</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2.8. </w:t>
      </w:r>
      <w:r>
        <w:rPr>
          <w:rFonts w:ascii="Times New Roman" w:cs="Times New Roman" w:eastAsia="Times New Roman" w:hAnsi="Times New Roman"/>
          <w:sz w:val="20"/>
          <w:szCs w:val="20"/>
          <w:u w:val="single" w:color="auto"/>
          <w:color w:val="auto"/>
        </w:rPr>
        <w:t>Fees, etc.</w:t>
      </w:r>
      <w:r>
        <w:rPr>
          <w:rFonts w:ascii="Times New Roman" w:cs="Times New Roman" w:eastAsia="Times New Roman" w:hAnsi="Times New Roman"/>
          <w:sz w:val="20"/>
          <w:szCs w:val="20"/>
          <w:color w:val="auto"/>
        </w:rPr>
        <w:t>. The Borrowers agree to pay to the Administrative Agent the fees in the amounts and on the dates previously agreed to in writing by any Borrower and the Administrative Agent, including pursuant to the Fee Letter.</w:t>
      </w:r>
    </w:p>
    <w:p>
      <w:pPr>
        <w:spacing w:after="0" w:line="38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u w:val="single" w:color="auto"/>
          <w:color w:val="auto"/>
        </w:rPr>
        <w:t>Swingline Loans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9" w:lineRule="auto"/>
        <w:tabs>
          <w:tab w:leader="none" w:pos="1075"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set forth herein, from time to time during the Revolving Commitment Period, the Swingline Lender agrees to make Swingline Loans to the Borrowers in an aggregate principal amount at any time outstanding that will not result in</w:t>
      </w:r>
    </w:p>
    <w:p>
      <w:pPr>
        <w:ind w:left="260" w:hanging="252"/>
        <w:spacing w:after="0"/>
        <w:tabs>
          <w:tab w:leader="none" w:pos="2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principal amount of outstanding Swingline Loans made by the Swingline Lender exceeding the Swingline Commitment or</w:t>
      </w:r>
    </w:p>
    <w:p>
      <w:pPr>
        <w:spacing w:after="0" w:line="13" w:lineRule="exact"/>
        <w:rPr>
          <w:rFonts w:ascii="Times New Roman" w:cs="Times New Roman" w:eastAsia="Times New Roman" w:hAnsi="Times New Roman"/>
          <w:sz w:val="20"/>
          <w:szCs w:val="20"/>
          <w:color w:val="auto"/>
        </w:rPr>
      </w:pPr>
    </w:p>
    <w:p>
      <w:pPr>
        <w:jc w:val="both"/>
        <w:ind w:firstLine="8"/>
        <w:spacing w:after="0" w:line="248" w:lineRule="auto"/>
        <w:tabs>
          <w:tab w:leader="none" w:pos="31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Revolving Extensions of Credit</w:t>
      </w:r>
      <w:r>
        <w:rPr>
          <w:rFonts w:ascii="Times New Roman" w:cs="Times New Roman" w:eastAsia="Times New Roman" w:hAnsi="Times New Roman"/>
          <w:sz w:val="20"/>
          <w:szCs w:val="20"/>
          <w:color w:val="auto"/>
        </w:rPr>
        <w:t xml:space="preserve"> exceeding its </w:t>
      </w:r>
      <w:r>
        <w:rPr>
          <w:rFonts w:ascii="Times New Roman" w:cs="Times New Roman" w:eastAsia="Times New Roman" w:hAnsi="Times New Roman"/>
          <w:sz w:val="20"/>
          <w:szCs w:val="20"/>
          <w:u w:val="single" w:color="auto"/>
          <w:color w:val="0070C0"/>
        </w:rPr>
        <w:t>Revolving</w:t>
      </w:r>
      <w:r>
        <w:rPr>
          <w:rFonts w:ascii="Times New Roman" w:cs="Times New Roman" w:eastAsia="Times New Roman" w:hAnsi="Times New Roman"/>
          <w:sz w:val="20"/>
          <w:szCs w:val="20"/>
          <w:color w:val="auto"/>
        </w:rPr>
        <w:t xml:space="preserve"> Commitment; provided that the Swingline Lender, in its sole discretion, may agree to make Swingline Loans that would result in the Swingline Lender’s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Revolving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70C0"/>
        </w:rPr>
        <w:t>Extensions of Credit</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exceeding its</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u w:val="single" w:color="auto"/>
          <w:color w:val="0070C0"/>
        </w:rPr>
        <w:t>Revolving</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Commitment; provided further that the Swingline Lender shall not be required to make a</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 xml:space="preserve">Swingline Loan to refinance an outstanding Swingline Loan. Each Swingline Loan shall be in an amount that is an integral multiple of $500,000 and not less than $1,000,000;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a Swingline Loan may be in an aggregate amount that is required to finance the reimbursement of a LC Disbursement as contemplated by </w:t>
      </w:r>
      <w:r>
        <w:rPr>
          <w:rFonts w:ascii="Times New Roman" w:cs="Times New Roman" w:eastAsia="Times New Roman" w:hAnsi="Times New Roman"/>
          <w:sz w:val="20"/>
          <w:szCs w:val="20"/>
          <w:u w:val="single" w:color="auto"/>
          <w:color w:val="000000"/>
        </w:rPr>
        <w:t>Section 2.13(e)</w:t>
      </w:r>
      <w:r>
        <w:rPr>
          <w:rFonts w:ascii="Times New Roman" w:cs="Times New Roman" w:eastAsia="Times New Roman" w:hAnsi="Times New Roman"/>
          <w:sz w:val="20"/>
          <w:szCs w:val="20"/>
          <w:color w:val="000000"/>
        </w:rPr>
        <w:t>. Within the foregoing limits and subject to the terms and conditions set forth herein, the Borrowers may borrow, prepay and reborrow Swingline Loans.</w:t>
      </w:r>
    </w:p>
    <w:p>
      <w:pPr>
        <w:spacing w:after="0" w:line="197" w:lineRule="exact"/>
        <w:rPr>
          <w:rFonts w:ascii="Times New Roman" w:cs="Times New Roman" w:eastAsia="Times New Roman" w:hAnsi="Times New Roman"/>
          <w:sz w:val="20"/>
          <w:szCs w:val="20"/>
          <w:color w:val="auto"/>
        </w:rPr>
      </w:pPr>
    </w:p>
    <w:p>
      <w:pPr>
        <w:jc w:val="both"/>
        <w:ind w:firstLine="656"/>
        <w:spacing w:after="0" w:line="251" w:lineRule="auto"/>
        <w:tabs>
          <w:tab w:leader="none" w:pos="109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a Swingline Loan, the applicable Borrower shall submit a written notice to the Administrative Agent by telecopy or electronic mail (or transmit by electronic communication including an Approved Borrower Portal, if arrangements for such transmission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 of any such notice received from the Borrowers. The Swingline Lender shall make the requested Swingline Loan available to each applicable Borrower by means of a credit to an account of such Borrower with the Administrative Agent designated for such purpose by 3:00 p.m., New York City time, on the requested date of such Swingline Loan.</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84" w:name="page85"/>
    <w:bookmarkEnd w:id="84"/>
    <w:p>
      <w:pPr>
        <w:jc w:val="both"/>
        <w:ind w:firstLine="656"/>
        <w:spacing w:after="0" w:line="262" w:lineRule="auto"/>
        <w:tabs>
          <w:tab w:leader="none" w:pos="109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Swingline Lender may by written notice given to the Administrative Agent require the Lenders to acquire participations in all or a portion of its Swingline Loans outstanding. Such notice shall specify the aggregate amount of Swingline Loans in which Lenders will participate. Promptly upon receipt of such notice, the Administrative Agent will give notice thereof to each Lender, specifying in such notice such Lender’s </w:t>
      </w:r>
      <w:r>
        <w:rPr>
          <w:rFonts w:ascii="Times New Roman" w:cs="Times New Roman" w:eastAsia="Times New Roman" w:hAnsi="Times New Roman"/>
          <w:sz w:val="19"/>
          <w:szCs w:val="19"/>
          <w:color w:val="FF0000"/>
          <w:strike w:val="1"/>
        </w:rPr>
        <w:t>Aggregate Exposure</w:t>
      </w:r>
      <w:r>
        <w:rPr>
          <w:rFonts w:ascii="Times New Roman" w:cs="Times New Roman" w:eastAsia="Times New Roman" w:hAnsi="Times New Roman"/>
          <w:sz w:val="19"/>
          <w:szCs w:val="19"/>
          <w:u w:val="single" w:color="auto"/>
          <w:color w:val="0070C0"/>
        </w:rPr>
        <w:t>Applicable</w:t>
      </w:r>
      <w:r>
        <w:rPr>
          <w:rFonts w:ascii="Times New Roman" w:cs="Times New Roman" w:eastAsia="Times New Roman" w:hAnsi="Times New Roman"/>
          <w:sz w:val="19"/>
          <w:szCs w:val="19"/>
          <w:color w:val="auto"/>
        </w:rPr>
        <w:t xml:space="preserve"> Percentage of such Swingline Loans. Each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w:t>
      </w:r>
      <w:r>
        <w:rPr>
          <w:rFonts w:ascii="Times New Roman" w:cs="Times New Roman" w:eastAsia="Times New Roman" w:hAnsi="Times New Roman"/>
          <w:sz w:val="19"/>
          <w:szCs w:val="19"/>
          <w:color w:val="FF0000"/>
          <w:strike w:val="1"/>
        </w:rPr>
        <w:t>Aggregate Exposure</w:t>
      </w:r>
      <w:r>
        <w:rPr>
          <w:rFonts w:ascii="Times New Roman" w:cs="Times New Roman" w:eastAsia="Times New Roman" w:hAnsi="Times New Roman"/>
          <w:sz w:val="19"/>
          <w:szCs w:val="19"/>
          <w:u w:val="single" w:color="auto"/>
          <w:color w:val="0070C0"/>
        </w:rPr>
        <w:t>Applicable</w:t>
      </w:r>
      <w:r>
        <w:rPr>
          <w:rFonts w:ascii="Times New Roman" w:cs="Times New Roman" w:eastAsia="Times New Roman" w:hAnsi="Times New Roman"/>
          <w:sz w:val="19"/>
          <w:szCs w:val="19"/>
          <w:color w:val="auto"/>
        </w:rPr>
        <w:t xml:space="preserve"> Percentage of such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2.5 with respect to Loans made by such Lender (and Section 2.5 shall apply, mutatis mutandis, to the payment obligations of the Lenders), and the Administrative Agent shall promptly pay to the Swingline Lender the amounts so received by it from the Lenders. The Administrative Agent shall notify each Borrower of any participations in any Swingline Loan acquired pursuant to this paragraph, and thereafter payments in respect of such Swingline Loan shall be made to the Administrative Agent and not to the Swingline Lender. Any amounts received by the Swingline Lender from any Borrower (or other party on behalf of such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the Swingline Lender, as their interests may appear;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any such payment so remitted shall be repaid to such Swingline Lender or to the Administrative Agent, as applicable, if and to the extent such payment is required to be refunded to such Borrower for any reason. The purchase of participations in a Swingline Loan pursuant to this paragraph shall not relieve any Borrower of any default in the payment thereof.</w:t>
      </w:r>
    </w:p>
    <w:p>
      <w:pPr>
        <w:spacing w:after="0" w:line="200" w:lineRule="exact"/>
        <w:rPr>
          <w:rFonts w:ascii="Times New Roman" w:cs="Times New Roman" w:eastAsia="Times New Roman" w:hAnsi="Times New Roman"/>
          <w:sz w:val="19"/>
          <w:szCs w:val="19"/>
          <w:color w:val="auto"/>
        </w:rPr>
      </w:pPr>
    </w:p>
    <w:p>
      <w:pPr>
        <w:spacing w:after="0" w:line="236" w:lineRule="exact"/>
        <w:rPr>
          <w:rFonts w:ascii="Times New Roman" w:cs="Times New Roman" w:eastAsia="Times New Roman" w:hAnsi="Times New Roman"/>
          <w:sz w:val="19"/>
          <w:szCs w:val="19"/>
          <w:color w:val="auto"/>
        </w:rPr>
      </w:pPr>
    </w:p>
    <w:p>
      <w:pPr>
        <w:jc w:val="both"/>
        <w:ind w:firstLine="656"/>
        <w:spacing w:after="0" w:line="250" w:lineRule="auto"/>
        <w:tabs>
          <w:tab w:leader="none" w:pos="110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Borrowers shall pay all unpaid interest accrued for the account of the replaced Swingline Lender pursuant to Section 2.22.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the Swingline Lender under this Agreement with respect to Swingline Loans made by it prior to its replacement, but shall not be required to make additional Swingline Loans.</w:t>
      </w:r>
    </w:p>
    <w:p>
      <w:pPr>
        <w:spacing w:after="0" w:line="196" w:lineRule="exact"/>
        <w:rPr>
          <w:rFonts w:ascii="Times New Roman" w:cs="Times New Roman" w:eastAsia="Times New Roman" w:hAnsi="Times New Roman"/>
          <w:sz w:val="20"/>
          <w:szCs w:val="20"/>
          <w:color w:val="auto"/>
        </w:rPr>
      </w:pPr>
    </w:p>
    <w:p>
      <w:pPr>
        <w:ind w:firstLine="656"/>
        <w:spacing w:after="0" w:line="269" w:lineRule="auto"/>
        <w:tabs>
          <w:tab w:leader="none" w:pos="112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Swingline Lender, the Swingline Lender may resign as Swingline Lender at any time upon thirty days’ prior written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13" w:right="339" w:bottom="1440" w:gutter="0" w:footer="0" w:header="0"/>
        </w:sectPr>
      </w:pPr>
    </w:p>
    <w:bookmarkStart w:id="85" w:name="page86"/>
    <w:bookmarkEnd w:id="85"/>
    <w:p>
      <w:pPr>
        <w:ind w:right="20"/>
        <w:spacing w:after="0" w:line="283" w:lineRule="auto"/>
        <w:rPr>
          <w:sz w:val="20"/>
          <w:szCs w:val="20"/>
          <w:color w:val="auto"/>
        </w:rPr>
      </w:pPr>
      <w:r>
        <w:rPr>
          <w:rFonts w:ascii="Times New Roman" w:cs="Times New Roman" w:eastAsia="Times New Roman" w:hAnsi="Times New Roman"/>
          <w:sz w:val="20"/>
          <w:szCs w:val="20"/>
          <w:color w:val="auto"/>
        </w:rPr>
        <w:t>Administrative Agent, the Borrowers and the Lenders, in which case, the Swingline Lender shall be replaced in accordance with Section 2.9(e) above.</w:t>
      </w:r>
    </w:p>
    <w:p>
      <w:pPr>
        <w:spacing w:after="0" w:line="14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u w:val="single" w:color="auto"/>
          <w:color w:val="auto"/>
        </w:rPr>
        <w:t>Optional Prepayments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15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may at any time and from time to time prepay the Loans, in whole or in part, without premium or penalty (except as set forth in Section 2.10(b)), upon notice delivered by the applicable Borrower to the Administrative Agent (a) at least three Business Days (or shorter notice period approved by the Administrative Agent) prior thereto in the case of Term Benchmark Loans and</w:t>
      </w:r>
    </w:p>
    <w:p>
      <w:pPr>
        <w:spacing w:after="0" w:line="2" w:lineRule="exact"/>
        <w:rPr>
          <w:rFonts w:ascii="Times New Roman" w:cs="Times New Roman" w:eastAsia="Times New Roman" w:hAnsi="Times New Roman"/>
          <w:sz w:val="20"/>
          <w:szCs w:val="20"/>
          <w:color w:val="auto"/>
        </w:rPr>
      </w:pPr>
    </w:p>
    <w:p>
      <w:pPr>
        <w:jc w:val="both"/>
        <w:ind w:firstLine="8"/>
        <w:spacing w:after="0" w:line="248" w:lineRule="auto"/>
        <w:tabs>
          <w:tab w:leader="none" w:pos="28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same Business Day in the case of ABR Loans, which notice shall specify the date and amount of prepayment, the Class of Loans to be prepaid and whether the prepayment is of Term Benchmark Loans or ABR Loans; provided, that if a Term Benchmark Loan is prepaid on any day other than the last day of the Interest Period applicable thereto, the applicable Borrower shall also pay any amounts owing pursuant to Section 2.20. Upon receipt of any such notice the Administrative Agent shall promptly notify each relevant Lender thereof. If any such notice is given, the amount specified in such notice shall be due and payable on the date specified therein, together with accrued interest to such date on the amount prepaid; provided that notwithstanding anything to the contrary contained in this Agreement, the Borrowers may rescind, or extend the date for prepayment specified in, any notice of prepayment under this Section 2.10(a), if such prepayment would have resulted from a refinancing of all or any portion of any Facility or Facilities which refinancing shall not be consummated or shall otherwise be delayed. Partial prepayments of Revolving Loans shall be in an aggregate principal amount of $1,000,000 or a whole multiple thereof. Partial prepayments of Swingline Loans shall be in an amount that is an integral multiple of $500,000 and not less than $1,000,000. Any optional prepayments of the Term Loans shall be applied to the remaining installments thereof as selected by the applicable Borrower (or absent any such selection in the direct order of maturity).</w:t>
      </w:r>
    </w:p>
    <w:p>
      <w:pPr>
        <w:spacing w:after="0" w:line="19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2.11. </w:t>
      </w:r>
      <w:r>
        <w:rPr>
          <w:rFonts w:ascii="Times New Roman" w:cs="Times New Roman" w:eastAsia="Times New Roman" w:hAnsi="Times New Roman"/>
          <w:sz w:val="20"/>
          <w:szCs w:val="20"/>
          <w:u w:val="single" w:color="auto"/>
          <w:color w:val="auto"/>
        </w:rPr>
        <w:t>Mandatory Prepayments</w:t>
      </w:r>
      <w:r>
        <w:rPr>
          <w:rFonts w:ascii="Times New Roman" w:cs="Times New Roman" w:eastAsia="Times New Roman" w:hAnsi="Times New Roman"/>
          <w:sz w:val="20"/>
          <w:szCs w:val="20"/>
          <w:color w:val="auto"/>
        </w:rPr>
        <w:t>. If at any time the Total Revolving Extensions of Credit exceed the Total Revolving Commitments, the Borrowers shall, within one Business Day of notice thereof from the Administrative Agent, prepay the Revolving Loans in an amount equal to the amount of such excess or, to the extent the principal amount of Revolving Loans outstanding is less than the amount of such excess, cash collateralize LC Exposure (in an amount equal to 103% of such LC Exposure) (or backstop or provide credit support reasonably acceptable to the applicable Issuing Bank), in each case to the extent necessary to eliminate any such excess. Each prepayment of the Loans under this Section 2.11 shall be accompanied by accrued interest to the date of such prepayment on the amount prepaid.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413" w:right="339" w:bottom="1440" w:gutter="0" w:footer="0" w:header="0"/>
        </w:sectPr>
      </w:pPr>
    </w:p>
    <w:bookmarkStart w:id="86" w:name="page87"/>
    <w:bookmarkEnd w:id="86"/>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u w:val="single" w:color="auto"/>
          <w:color w:val="auto"/>
        </w:rPr>
        <w:t>Continuation Options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10" w:lineRule="auto"/>
        <w:tabs>
          <w:tab w:leader="none" w:pos="12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Borrower may elect from time to time to convert Term Benchmark Loans to ABR Loans by giving the Administrative Agent at least two Business Days’ prior irrevocable notice of such election, provided that any such conversion of Term Benchmark Loans may only be made on the last day of an Interest Period with respect thereto. The applicable Borrower may elect from time to time to convert ABR Loans to Term Benchmark Loans by giving the Administrative Agent at least three Business Days’ prior irrevocable notice of such election (which notice shall specify the length of the initial Interest Period therefor); provided that no ABR Loan under a particular Facility may be converted into a Term Benchmark Loan when any Event of Default has occurred and is continuing and the Majority Facility Lenders in respect of such Facility have determined in its or their sole discretion not to permit such conversions. Upon receipt of any such notice, the Administrative Agent shall promptly notify each relevant Lender thereof. If any interest election requests a Term Benchmark Loan but does not specify an Interest Period, then the applicable Borrower shall be deemed to have selected an Interest Period of one month’s duration.</w:t>
      </w:r>
    </w:p>
    <w:p>
      <w:pPr>
        <w:spacing w:after="0" w:line="16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Term Benchmark Loan shall be continued as such upon the expiration of the then current Interest Period with respect thereto unless the applicable Borrower gives notice to the Administrative Agent, in accordance with the applicable provisions of the term “Interest Period” set forth in Section 1.1, of a different length of the next Interest Period to be applicable to such Loans.</w:t>
      </w:r>
    </w:p>
    <w:p>
      <w:pPr>
        <w:spacing w:after="0" w:line="18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u w:val="single" w:color="auto"/>
          <w:color w:val="auto"/>
        </w:rPr>
        <w:t>Letters of Credit</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14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terms and conditions set forth herein, any Borrower may request any Issuing Bank to issue Letters of Credit denominated in U.S. Dollars or any Alternative Currency as the applicant thereof for the support of its or its Subsidiaries’ obligations, in a form reasonably acceptable to such Issuing Bank, at any time and from time to time during the Revolving Commitment Period.</w:t>
      </w:r>
    </w:p>
    <w:p>
      <w:pPr>
        <w:spacing w:after="0" w:line="175"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request the issuance of a Letter of Credit (or the amendment or extension of an outstanding Letter of Credit), any Borrower shall hand deliver or telecopy (or transmit by electronic communication, including an Approved Borrower Portal, if arrangements for doing so have been approved by the respective Issuing Bank) to an Issuing Bank selected by it and to the Administrative Agent (reasonably in advance of the requested date of issuance, amendment or extension, but in any event no less than three Business Days) a written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 w:cs="Times New Roman" w:eastAsia="Times New Roman" w:hAnsi="Times New Roman"/>
          <w:sz w:val="20"/>
          <w:szCs w:val="20"/>
          <w:b w:val="1"/>
          <w:bCs w:val="1"/>
          <w:i w:val="1"/>
          <w:iCs w:val="1"/>
          <w:color w:val="auto"/>
        </w:rPr>
        <w:t>Letter of Credit Agreement</w:t>
      </w:r>
      <w:r>
        <w:rPr>
          <w:rFonts w:ascii="Times New Roman" w:cs="Times New Roman" w:eastAsia="Times New Roman" w:hAnsi="Times New Roman"/>
          <w:sz w:val="20"/>
          <w:szCs w:val="20"/>
          <w:color w:val="auto"/>
        </w:rPr>
        <w:t>”). In the event of any conflict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applicable Borrower shall be deemed to represent and warrant that), after giving effect to such issuance, amendment or extension</w:t>
      </w:r>
    </w:p>
    <w:p>
      <w:pPr>
        <w:spacing w:after="0" w:line="9" w:lineRule="exact"/>
        <w:rPr>
          <w:rFonts w:ascii="Times New Roman" w:cs="Times New Roman" w:eastAsia="Times New Roman" w:hAnsi="Times New Roman"/>
          <w:sz w:val="20"/>
          <w:szCs w:val="20"/>
          <w:color w:val="auto"/>
        </w:rPr>
      </w:pPr>
    </w:p>
    <w:p>
      <w:pPr>
        <w:jc w:val="both"/>
        <w:ind w:firstLine="8"/>
        <w:spacing w:after="0" w:line="249" w:lineRule="auto"/>
        <w:tabs>
          <w:tab w:leader="none" w:pos="25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(x) the aggregate undrawn amount of all outstanding Letters of Credit issued by any Issuing Bank at such time plus (y) the aggregate amount of all LC Disbursements made by such Issuing Bank that have not yet been reimbursed by or on behalf of the Borrowers at such time shall not exceed its Letter of Credit Commitment, (ii) the LC Exposure shall not exceed $</w:t>
      </w:r>
      <w:r>
        <w:rPr>
          <w:rFonts w:ascii="Times New Roman" w:cs="Times New Roman" w:eastAsia="Times New Roman" w:hAnsi="Times New Roman"/>
          <w:sz w:val="20"/>
          <w:szCs w:val="20"/>
          <w:color w:val="FF0000"/>
          <w:strike w:val="1"/>
        </w:rPr>
        <w:t>200,000,000</w:t>
      </w:r>
      <w:r>
        <w:rPr>
          <w:rFonts w:ascii="Times New Roman" w:cs="Times New Roman" w:eastAsia="Times New Roman" w:hAnsi="Times New Roman"/>
          <w:sz w:val="20"/>
          <w:szCs w:val="20"/>
          <w:u w:val="single" w:color="auto"/>
          <w:color w:val="0070C0"/>
        </w:rPr>
        <w:t>400,000,000</w:t>
      </w:r>
      <w:r>
        <w:rPr>
          <w:rFonts w:ascii="Times New Roman" w:cs="Times New Roman" w:eastAsia="Times New Roman" w:hAnsi="Times New Roman"/>
          <w:sz w:val="20"/>
          <w:szCs w:val="20"/>
          <w:color w:val="auto"/>
        </w:rPr>
        <w:t xml:space="preserve"> and (iii) no Lender’s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Revolving Extensions of Credit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shall exceed its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70C0"/>
        </w:rPr>
        <w:t>Revolving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Commitment. The Borrowers may, at any time and from time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to time, reduce the Letter of Credit Commitment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413" w:right="339" w:bottom="1440" w:gutter="0" w:footer="0" w:header="0"/>
        </w:sectPr>
      </w:pPr>
    </w:p>
    <w:bookmarkStart w:id="87" w:name="page88"/>
    <w:bookmarkEnd w:id="87"/>
    <w:p>
      <w:pPr>
        <w:spacing w:after="0" w:line="287" w:lineRule="auto"/>
        <w:rPr>
          <w:sz w:val="20"/>
          <w:szCs w:val="20"/>
          <w:color w:val="auto"/>
        </w:rPr>
      </w:pPr>
      <w:r>
        <w:rPr>
          <w:rFonts w:ascii="Times New Roman" w:cs="Times New Roman" w:eastAsia="Times New Roman" w:hAnsi="Times New Roman"/>
          <w:sz w:val="20"/>
          <w:szCs w:val="20"/>
          <w:color w:val="auto"/>
        </w:rPr>
        <w:t xml:space="preserve">Issuing Bank with the consent of such Issuing Bank;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Borrowers shall not reduce the Letter of Credit Commitment of any Issuing Bank if, after giving effect of such reduction, the conditions set forth in clauses (i) through (iii) above shall not be satisfied.</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 Issuing Bank shall not be under any obligation to issue, amend or extend any Letter of Credit if:</w:t>
      </w:r>
    </w:p>
    <w:p>
      <w:pPr>
        <w:spacing w:after="0" w:line="229" w:lineRule="exact"/>
        <w:rPr>
          <w:sz w:val="20"/>
          <w:szCs w:val="20"/>
          <w:color w:val="auto"/>
        </w:rPr>
      </w:pPr>
    </w:p>
    <w:p>
      <w:pPr>
        <w:jc w:val="both"/>
        <w:ind w:left="660" w:firstLine="644"/>
        <w:spacing w:after="0" w:line="251" w:lineRule="auto"/>
        <w:tabs>
          <w:tab w:leader="none" w:pos="1808"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such Issuing Bank from issuing, amending or extending such Letter of Credit, or request that such Issuing Bank refrain from issuing, amending or extending such Letter of Credit, or any law applicable to such Issuing Bank shall prohibit, the issuance, amendment or extension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Closing Date, or shall impose upon such Issuing Bank any unreimbursed loss, cost or expense that was not applicable on the Closing Date and that such Issuing Bank in good faith deems material to it; or</w:t>
      </w:r>
    </w:p>
    <w:p>
      <w:pPr>
        <w:spacing w:after="0" w:line="195" w:lineRule="exact"/>
        <w:rPr>
          <w:rFonts w:ascii="Times New Roman" w:cs="Times New Roman" w:eastAsia="Times New Roman" w:hAnsi="Times New Roman"/>
          <w:sz w:val="20"/>
          <w:szCs w:val="20"/>
          <w:color w:val="auto"/>
        </w:rPr>
      </w:pPr>
    </w:p>
    <w:p>
      <w:pPr>
        <w:ind w:left="660" w:firstLine="644"/>
        <w:spacing w:after="0" w:line="269" w:lineRule="auto"/>
        <w:tabs>
          <w:tab w:leader="none" w:pos="180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amendment or extension of such Letter of Credit would violate one or more policies of such Issuing Bank applicable to letters of credit generally.</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2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extension of the expiration date thereof, one year after such extension) and (ii) the date that is five Business Days prior to the Revolving Termination Date.</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117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the issuance of a Letter of Credit (or an amendment to a Letter of Credit increasing the amount or extending the term thereof) and without any further action on the part of the applicable Issuing Bank or the Lenders, such Issuing Bank hereby grants to each Lender, and each Lender hereby acquires from such Issuing Bank, a participation in such Letter of Credit equal to such Lender’s </w:t>
      </w:r>
      <w:r>
        <w:rPr>
          <w:rFonts w:ascii="Times New Roman" w:cs="Times New Roman" w:eastAsia="Times New Roman" w:hAnsi="Times New Roman"/>
          <w:sz w:val="20"/>
          <w:szCs w:val="20"/>
          <w:color w:val="FF0000"/>
          <w:strike w:val="1"/>
        </w:rPr>
        <w:t>Aggregate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Percentage of the Dollar Equivalent of the aggregate amount available to be drawn under such Letter of Credit. 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consideration and in furtherance of the foregoing, each Lender hereby absolutely and unconditionally agrees to pay to the Administrative Agent, for the account of the respective Issuing Bank, such Lender’s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000000"/>
        </w:rPr>
        <w:t xml:space="preserve"> Percentage of the Dollar Equivalent of each LC Disbursement made by such Issuing Bank and not reimbursed by the Borrowers on the date due as provided in paragraph (e) of this Section, or of any reimbursement payment required to be refunded to any Borrower for any reason, including after the Revolving Termination Date. Each such payment shall be made without any offset, abatement, withholding or reduction whatsoever. Each Lender acknowledges and agrees that its obligations to acquire participations pursuant to this paragraph in respect of Letters of Credit and to make payments in respect of such acquired participations are absolute and unconditional and shall not be affected by any circumstance whatsoever, including any amendment or extension of any Letter of Credit or the occurrence and continuance of a Default or reduction or termination of the Commitments.</w:t>
      </w:r>
    </w:p>
    <w:p>
      <w:pPr>
        <w:spacing w:after="0" w:line="193"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Issuing Bank shall make any LC Disbursement in respect of a Letter of Credit, the applicable Borrower shall reimburse such LC Disbursement by paying to the Administrative Agent an amount equal to the Dollar Equivalent (determined as of the date that such LC Disbursement is made)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409" w:right="339" w:bottom="1440" w:gutter="0" w:footer="0" w:header="0"/>
        </w:sectPr>
      </w:pPr>
    </w:p>
    <w:bookmarkStart w:id="88" w:name="page89"/>
    <w:bookmarkEnd w:id="88"/>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such LC Disbursement not later than 12:00 noon, New York City time, on the date that such LC Disbursement is made, if such Borrower shall have received notice of such LC Disbursement prior to 10:00 a.m., New York City time, on such date, or, if such notice has not been received by such Borrower prior to such time on such date, then not later than 12:00 noon, New York City time, on the Business Day immediately following the day that such Borrower receives such notice, if such notice is not received prior to such time on the day of receipt; provided that (x) if such LC Disbursement is denominated in U.S. Dollars, such Borrower may, subject to the conditions to borrowing set forth herein, request in accordance with Section 2.5 or 2.9 that such payment be financed with an ABR Revolving Loan or Swingline Loan in an equivalent amount or (y) if such LC Disbursement is denominated in an Alternative Currency, such Borrower may, subject to the conditions to borrowing set forth herein, request in accordance with Section 2.5 that such payment be converted into an equivalent amount of an ABR Revolving Loan denominated in U.S. Dollars in an amount equal to the Dollar Equivalent of such Alternative Currency, and, in each case, to the extent so financed, such Borrower’s obligation to make such payment shall be discharged and replaced by the resulting ABR Revolving Loan or Swingline Loan, as applicable. If such Borrower fails to make such payment when due, the Administrative Agent shall notify each Lender of the applicable LC Disbursement, the payment then due from such Borrower in respect thereof and such Lender’s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Percentage of the Dollar Equivalent thereof. Promptly following receipt of such notice, each Lender shall pay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to the Administrative Agent its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000000"/>
        </w:rPr>
        <w:t xml:space="preserve"> Percentage of the Dollar Equivalent of the payment then due from such Borrower, in the same manner as provided in Section 2.5 with respect to Loans made by such Lender (and Section 2.5 shall apply, mutatis mutandis, to the payment obligations of the Lenders), and the Administrative Agent shall promptly pay to the respective Issuing Bank the amounts so received by it from the Lenders. Promptly following receipt by the Administrative Agent of any payment from such Borrower pursuant to this paragraph, the Administrative Agent shall distribute such payment to the respective Issuing Bank or, to the extent that Lenders have made payments pursuant to this paragraph to reimburse such Issuing Bank, then to such Lenders and such Issuing Bank as their interests may appear. Any payment made by a Lender pursuant to this paragraph to reimburse an Issuing Bank for any LC Disbursement (other than the funding of ABR Revolving Loans or a Swingline Loan as contemplated above) shall not constitute a Loan and shall not relieve the applicable Borrower of its obligation to reimburse such LC Disbursement.</w:t>
      </w:r>
    </w:p>
    <w:p>
      <w:pPr>
        <w:spacing w:after="0" w:line="212" w:lineRule="exact"/>
        <w:rPr>
          <w:sz w:val="20"/>
          <w:szCs w:val="20"/>
          <w:color w:val="auto"/>
        </w:rPr>
      </w:pPr>
    </w:p>
    <w:p>
      <w:pPr>
        <w:jc w:val="both"/>
        <w:ind w:firstLine="656"/>
        <w:spacing w:after="0" w:line="264" w:lineRule="auto"/>
        <w:tabs>
          <w:tab w:leader="none" w:pos="1123"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applicable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the respective Issuing Bank under a Letter of Credit against presentation of a draft or other document that does not comply with the terms of such Letter of Credit,</w:t>
      </w:r>
    </w:p>
    <w:p>
      <w:pPr>
        <w:spacing w:after="0" w:line="4" w:lineRule="exact"/>
        <w:rPr>
          <w:rFonts w:ascii="Times New Roman" w:cs="Times New Roman" w:eastAsia="Times New Roman" w:hAnsi="Times New Roman"/>
          <w:sz w:val="19"/>
          <w:szCs w:val="19"/>
          <w:color w:val="auto"/>
        </w:rPr>
      </w:pPr>
    </w:p>
    <w:p>
      <w:pPr>
        <w:jc w:val="both"/>
        <w:ind w:firstLine="8"/>
        <w:spacing w:after="0" w:line="248" w:lineRule="auto"/>
        <w:tabs>
          <w:tab w:leader="none" w:pos="35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event or circumstance whatsoever, whether or not similar to any of the foregoing, that might, but for the provisions of this Section, constitute a legal or equitable discharge of, or provide a right of setoff against, any Borrower’s obligations hereunder or (v) any adverse change in the relevant exchange rates or in the availability of the relevant Alternative Currency to any Borrower or any Subsidiary or in the relevant currency markets generally. Neither the Administrative Agent, the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413" w:right="339" w:bottom="1440" w:gutter="0" w:footer="0" w:header="0"/>
        </w:sectPr>
      </w:pPr>
    </w:p>
    <w:bookmarkStart w:id="89" w:name="page90"/>
    <w:bookmarkEnd w:id="89"/>
    <w:p>
      <w:pPr>
        <w:jc w:val="both"/>
        <w:spacing w:after="0" w:line="251" w:lineRule="auto"/>
        <w:rPr>
          <w:sz w:val="20"/>
          <w:szCs w:val="20"/>
          <w:color w:val="auto"/>
        </w:rPr>
      </w:pPr>
      <w:r>
        <w:rPr>
          <w:rFonts w:ascii="Times New Roman" w:cs="Times New Roman" w:eastAsia="Times New Roman" w:hAnsi="Times New Roman"/>
          <w:sz w:val="20"/>
          <w:szCs w:val="20"/>
          <w:color w:val="auto"/>
        </w:rPr>
        <w:t>in translation or any consequence arising from causes beyond the control of the respective Issuing Bank; provided that the foregoing shall not be construed to excuse an Issuing Bank from liability to each applicable Borrower to the extent of any direct damages (as opposed to special, indirect, consequential or punitive damages, claims in respect of which are hereby waived by each applicable Borrower to the extent permitted by applicable law) suffered by the each applicable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8" w:lineRule="exact"/>
        <w:rPr>
          <w:sz w:val="20"/>
          <w:szCs w:val="20"/>
          <w:color w:val="auto"/>
        </w:rPr>
      </w:pPr>
    </w:p>
    <w:p>
      <w:pPr>
        <w:jc w:val="both"/>
        <w:ind w:firstLine="656"/>
        <w:spacing w:after="0" w:line="253" w:lineRule="auto"/>
        <w:tabs>
          <w:tab w:leader="none" w:pos="109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Borrowers by telephone (confirmed by telecopy or electronic mail) of such demand for payment if such Issuing Bank has made or will make an LC Disbursement thereunder; provided that such notice need not be given prior to payment by the Issuing Bank and any failure to give or delay in giving such notice shall not relieve any Borrower of its obligation to reimburse such Issuing Bank and the Lenders with respect to any such LC Disbursement.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51" w:lineRule="auto"/>
        <w:tabs>
          <w:tab w:leader="none" w:pos="118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Issuing Bank for any Letter of Credit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reimbursement is due and payable at the rate per annum then applicable to ABR Revolving Loans and such interest shall be due and payable on the date when such reimbursement is payable;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Borrower fails to reimburse such LC Disbursement when due pursuant to paragraph (e) of this Section, then Section 2.13(d) shall apply. Interest accrued pursuant to this paragraph shall be for the account of such Issuing Bank, except that interest accrued on and after the date of payment by any Lender pursuant to paragraph (e) of this Section to reimburse such Issuing Bank for such LC Disbursement shall be for the account of such Lender to the extent of such payment.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2" w:lineRule="auto"/>
        <w:tabs>
          <w:tab w:leader="none" w:pos="110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 Issuing Bank may be replaced at any time by written agreement among the Borrowers, the Administrative Agent, the replaced Issuing Bank and the successor Issuing Bank. The Administrative Agent shall notify the Lenders of any such replacement of an Issuing Bank. At the time any such replacement shall become effective, the Borrowers shall pay all unpaid fees accrued for the account of the replaced Issuing Bank pursuant to Section 2.13(l). From and after the effective date of any such replacement, (x) the successor Issuing Bank shall have all the rights and obligations of an Issuing Bank under this Agreement with respect to Letters of Credit to be issued by it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413" w:right="339" w:bottom="1440" w:gutter="0" w:footer="0" w:header="0"/>
        </w:sectPr>
      </w:pPr>
    </w:p>
    <w:bookmarkStart w:id="90" w:name="page91"/>
    <w:bookmarkEnd w:id="90"/>
    <w:p>
      <w:pPr>
        <w:spacing w:after="0" w:line="283" w:lineRule="auto"/>
        <w:rPr>
          <w:sz w:val="20"/>
          <w:szCs w:val="20"/>
          <w:color w:val="auto"/>
        </w:rPr>
      </w:pPr>
      <w:r>
        <w:rPr>
          <w:rFonts w:ascii="Times New Roman" w:cs="Times New Roman" w:eastAsia="Times New Roman" w:hAnsi="Times New Roman"/>
          <w:sz w:val="20"/>
          <w:szCs w:val="20"/>
          <w:color w:val="auto"/>
        </w:rPr>
        <w:t>respect to Letters of Credit issued by it prior to such replacement, but shall not be required to issue additional Letters of Credit or extend or otherwise amend any existing Letter of Credit.</w:t>
      </w:r>
    </w:p>
    <w:p>
      <w:pPr>
        <w:spacing w:after="0" w:line="146" w:lineRule="exact"/>
        <w:rPr>
          <w:sz w:val="20"/>
          <w:szCs w:val="20"/>
          <w:color w:val="auto"/>
        </w:rPr>
      </w:pPr>
    </w:p>
    <w:p>
      <w:pPr>
        <w:jc w:val="both"/>
        <w:ind w:left="660" w:firstLine="644"/>
        <w:spacing w:after="0" w:line="261" w:lineRule="auto"/>
        <w:tabs>
          <w:tab w:leader="none" w:pos="1819"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appointment and acceptance of a successor Issuing Bank, any Issuing Bank may resign as an Issuing Bank at any time upon thirty days’ prior written notice to the Administrative Agent, the Borrowers and the Lenders, in which case, such resigning Issuing Bank shall be replaced in accordance with Section 2.13(i)(i) above.</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Event of Default shall occur and be continuing, on the Business Day that the Borrowers receive notice from the Administrative Agent or the Required Lenders (or, if the maturity of the Loans has been accelerated, Lenders with LC Exposure representing greater than 50% of the total LC Exposure) demanding the deposit of cash collateral pursuant to this paragraph, the Borrowers shall deposit in an account or accounts with the Administrative Agent, in the name of the Administrative Agent and for the benefit of the Lenders (the “</w:t>
      </w:r>
      <w:r>
        <w:rPr>
          <w:rFonts w:ascii="Times New Roman" w:cs="Times New Roman" w:eastAsia="Times New Roman" w:hAnsi="Times New Roman"/>
          <w:sz w:val="20"/>
          <w:szCs w:val="20"/>
          <w:b w:val="1"/>
          <w:bCs w:val="1"/>
          <w:i w:val="1"/>
          <w:iCs w:val="1"/>
          <w:color w:val="auto"/>
        </w:rPr>
        <w:t>Collateral Account</w:t>
      </w:r>
      <w:r>
        <w:rPr>
          <w:rFonts w:ascii="Times New Roman" w:cs="Times New Roman" w:eastAsia="Times New Roman" w:hAnsi="Times New Roman"/>
          <w:sz w:val="20"/>
          <w:szCs w:val="20"/>
          <w:color w:val="auto"/>
        </w:rPr>
        <w:t xml:space="preserve">”), an amount in cash equal to 103% of the LC Exposure in the applicable currencies as of such date plus any accrued and unpaid interest thereon;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Section 8(h) or (i). Such deposit shall be held by the Administrative Agent as collateral for the payment and performance of the obligations of the Borrowers under this Agreement. In addition, and without limiting the foregoing or paragraph (c) of this Section, if any LC Exposure remain outstanding after the expiration date specified in said paragraph (c), the Borrowers shall immediately deposit into the Collateral Account an amount in cash equal to 103% of such LC Exposure in the applicable currencies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any accrued and unpaid interest thereon.</w:t>
      </w:r>
    </w:p>
    <w:p>
      <w:pPr>
        <w:spacing w:after="0" w:line="17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such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such Borrower for the LC Exposure at such time or, if the maturity of the Loans has been accelerated (but subject to the consent of Lenders with LC Exposure representing greater than 50% of the total LC Exposure), be applied to satisfy other Obligations. If the Borrowers are required to provide an amount of cash collateral hereunder as a result of the occurrence of an Event of Default, such amount (to the extent not applied as aforesaid) shall be returned to the Borrowers within three Business Days after all Events of Default have been cured or waived.</w:t>
      </w:r>
    </w:p>
    <w:p>
      <w:pPr>
        <w:spacing w:after="0" w:line="196" w:lineRule="exact"/>
        <w:rPr>
          <w:sz w:val="20"/>
          <w:szCs w:val="20"/>
          <w:color w:val="auto"/>
        </w:rPr>
      </w:pPr>
    </w:p>
    <w:p>
      <w:pPr>
        <w:jc w:val="both"/>
        <w:ind w:firstLine="656"/>
        <w:spacing w:after="0" w:line="253" w:lineRule="auto"/>
        <w:tabs>
          <w:tab w:leader="none" w:pos="111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applicable Borrower (i) shall reimburse, indemnify and compensate the applicable Issuing Bank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Subsidiary in respect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413" w:right="339" w:bottom="1440" w:gutter="0" w:footer="0" w:header="0"/>
        </w:sectPr>
      </w:pPr>
    </w:p>
    <w:bookmarkStart w:id="91" w:name="page92"/>
    <w:bookmarkEnd w:id="91"/>
    <w:p>
      <w:pPr>
        <w:spacing w:after="0" w:line="283" w:lineRule="auto"/>
        <w:rPr>
          <w:sz w:val="20"/>
          <w:szCs w:val="20"/>
          <w:color w:val="auto"/>
        </w:rPr>
      </w:pPr>
      <w:r>
        <w:rPr>
          <w:rFonts w:ascii="Times New Roman" w:cs="Times New Roman" w:eastAsia="Times New Roman" w:hAnsi="Times New Roman"/>
          <w:sz w:val="20"/>
          <w:szCs w:val="20"/>
          <w:color w:val="auto"/>
        </w:rPr>
        <w:t>Letter of Credit. Such Borrower hereby acknowledges that the issuance of such Letters of Credit for its Subsidiaries inures to the benefit of such Borrower, and that such Borrower’s business derives substantial benefits from the businesses of such Subsidiaries.</w:t>
      </w:r>
    </w:p>
    <w:p>
      <w:pPr>
        <w:spacing w:after="0" w:line="146" w:lineRule="exact"/>
        <w:rPr>
          <w:sz w:val="20"/>
          <w:szCs w:val="20"/>
          <w:color w:val="auto"/>
        </w:rPr>
      </w:pPr>
    </w:p>
    <w:p>
      <w:pPr>
        <w:jc w:val="both"/>
        <w:ind w:firstLine="656"/>
        <w:spacing w:after="0" w:line="250" w:lineRule="auto"/>
        <w:tabs>
          <w:tab w:leader="none" w:pos="104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agree to pay (i) to the Administrative Agent for the account of each Lender a participation fee with respect to its participations in each outstanding Letter of Credit, which shall accrue on the Dollar Equivalent of the daily maximum stated amount then available to be drawn under such Letter of Credit at the same Applicable Margin used to determine the interest rate applicable to Term Benchmark Revolving Loans, during the period from and including the Closing Date to but excluding the later of the date on which such Lender’s Commitment terminates and the date on which such Lender ceases to have any LC Exposure, and (ii) to each Issuing Bank for its own account a fronting fee with respect to each Letter of Credit issued by such Issuing Bank, which shall accrue at the rate of 0.125% per annum on the Dollar Equivalent of the daily maximum stated amount then available to be drawn under such Letter of Credit, during the period from and including the Closing Date to but excluding the later of the date of termination of the Commitments and the date on which there ceases to be any LC Exposure with respect to Letters of Credit issued by such Issuing Bank, as well as such Issuing Bank’s standard fees with respect to the issuance, amendment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day following such last day, commencing on the first such date to occur after the Closing Date; provided that all such fees shall be payable on the date on which the Commitments terminate and any such fees accruing after the date on which the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38"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set forth herein, the Borrowers, the Administrative Agent, the Issuing Banks and the Lenders hereby acknowledge and agree that all Existing Letters of Credit shall constitute Letters of Credit under this Agreement on and after the Amendment No. 1 Effective Date with the same effect as if such Existing Letters of Credit were issued by the applicable Issuing Bank at the request of such Borrower on the Amendment No. 1 Effective Date.</w:t>
      </w:r>
    </w:p>
    <w:p>
      <w:pPr>
        <w:spacing w:after="0" w:line="18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u w:val="single" w:color="auto"/>
          <w:color w:val="auto"/>
        </w:rPr>
        <w:t>Interest Rates and Payment Dates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firstLine="656"/>
        <w:spacing w:after="0" w:line="260" w:lineRule="auto"/>
        <w:tabs>
          <w:tab w:leader="none" w:pos="111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comprising each ABR Borrowing (including each Swingline Loan) shall bear interest at a rate per annum equal to the Alternate Base Rate plus the Applicable Margin.</w:t>
      </w:r>
    </w:p>
    <w:p>
      <w:pPr>
        <w:spacing w:after="0" w:line="168" w:lineRule="exact"/>
        <w:rPr>
          <w:rFonts w:ascii="Times New Roman" w:cs="Times New Roman" w:eastAsia="Times New Roman" w:hAnsi="Times New Roman"/>
          <w:sz w:val="20"/>
          <w:szCs w:val="20"/>
          <w:color w:val="auto"/>
        </w:rPr>
      </w:pPr>
    </w:p>
    <w:p>
      <w:pPr>
        <w:ind w:right="20" w:firstLine="656"/>
        <w:spacing w:after="0" w:line="283" w:lineRule="auto"/>
        <w:tabs>
          <w:tab w:leader="none" w:pos="113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comprising a Term Benchmark Borrowing shall bear interest during each Interest Period with respect thereto at a rate per annum equal to the Term SOFR Rate determined for such Interest Period plus the Applicable Margin.</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12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RFR Loan (if applicable) shall bear interest for each day that is outstanding at a rate per annum equal to Daily Simple SOFR plus the Applicable Margin.</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5"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all or a portion of the principal amount of or interest on any Loan or Reimbursement Obligation shall not be paid when due and payable (whether at the stated maturity, by acceleration or otherwise), such overdue amounts shall bear interest at a rate per annum equal to (x)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413" w:right="339" w:bottom="1440" w:gutter="0" w:footer="0" w:header="0"/>
        </w:sectPr>
      </w:pPr>
    </w:p>
    <w:bookmarkStart w:id="92" w:name="page93"/>
    <w:bookmarkEnd w:id="92"/>
    <w:p>
      <w:pPr>
        <w:jc w:val="both"/>
        <w:spacing w:after="0" w:line="253" w:lineRule="auto"/>
        <w:rPr>
          <w:sz w:val="20"/>
          <w:szCs w:val="20"/>
          <w:color w:val="auto"/>
        </w:rPr>
      </w:pPr>
      <w:r>
        <w:rPr>
          <w:rFonts w:ascii="Times New Roman" w:cs="Times New Roman" w:eastAsia="Times New Roman" w:hAnsi="Times New Roman"/>
          <w:sz w:val="20"/>
          <w:szCs w:val="20"/>
          <w:color w:val="auto"/>
        </w:rPr>
        <w:t>overdue amounts in respect of any Loan, the rate that would otherwise be applicable thereto pursuant to the foregoing provisions of this Section plus 2% or (y) in the case of overdue amounts in respect of any Reimbursement Obligation, the rate applicable to ABR Loans under the Revolving Facility plus 2% and (ii) if all or a portion of any interest, commitment fee or other amount payable hereunder shall not be paid when due and payable (whether at the stated maturity, by acceleration or otherwise), such overdue amount shall bear interest at a rate per annum equal to the rate then applicable to ABR Loans under the relevant Facility plus 2% (or, in the case of any such other amounts that do not relate to a particular Facility, the rate then applicable to ABR Loans under the Revolving Facility plus 2%), in each case, with respect to clauses (i) and (ii) above, from the date of such non-payment until such amount is paid in full (as well after as before judgment).</w:t>
      </w:r>
    </w:p>
    <w:p>
      <w:pPr>
        <w:spacing w:after="0" w:line="179"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Interest shall be payable in arrears on each Interest Payment Date.</w:t>
      </w:r>
    </w:p>
    <w:p>
      <w:pPr>
        <w:spacing w:after="0" w:line="22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u w:val="single" w:color="auto"/>
          <w:color w:val="auto"/>
        </w:rPr>
        <w:t>Computation of Interest and Fees; Interest Elections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49" w:lineRule="auto"/>
        <w:tabs>
          <w:tab w:leader="none" w:pos="107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and fees payable pursuant hereto shall be calculated on the basis of a 360-day year except that interest and fees payable for ABR Loans on which is then based on the Prime Rate shall be computed on the basis of a 365 day year (or 366 day year in a leap year) for the actual days elapsed. The Administrative Agent shall as soon as practicable notify the Borrowers and the relevant Lenders of each determination of the Term SOFR Rate. Any change in the interest rate on a Loan resulting from a change in the Alternate Base Rate shall become effective as of the opening of business on the day on which such change becomes effective. The Administrative Agent shall as soon as practicable notify the Borrowers and the relevant Lenders of the effective date and the amount of each such change in interest rate.</w:t>
      </w:r>
    </w:p>
    <w:p>
      <w:pPr>
        <w:spacing w:after="0" w:line="193"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7"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determination of an interest rate by the Administrative Agent pursuant to any provision of this Agreement shall be conclusive and binding on the Borrowers and the Lenders absent manifest error. The Administrative Agent shall, at the request of the Borrower, deliver to the Borrowers a statement showing the quotations used by the Administrative Agent in determining any interest rate pursuant to Section 2.15(a).</w:t>
      </w:r>
    </w:p>
    <w:p>
      <w:pPr>
        <w:spacing w:after="0" w:line="17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u w:val="single" w:color="auto"/>
          <w:color w:val="auto"/>
        </w:rPr>
        <w:t>Inability to Determine Interest Rate</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clauses (b), (c), (d), (e) and (f) of this Section 2.16, if:</w:t>
      </w:r>
    </w:p>
    <w:p>
      <w:pPr>
        <w:spacing w:after="0" w:line="200"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49"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absent manifest error) (A) prior to the commencement of any Interest Period for a Term Benchmark Borrowing, that adequate and reasonable means do not exist for ascertaining the Term SOFR Rate (including because the Term SOFR Reference Rate is not available or published on a current basis), for such Interest Period or (B) at any time, that adequate and reasonable means do not exist for ascertaining the applicable Daily Simple SOFR; or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853"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is advised by the Required Lenders that (A) prior to the commencement of any Interest Period for a Term Benchmark Borrowing, the Term SOFR Rate for such Interest Period will not adequately and fairly reflect the cost to such Lenders (or Lender) of making or maintaining their Loans (or its Loan) included in such Borrowing for such Interest Period or (B) at any time, Daily Simple SOFR will not adequately and fairly reflect the cost to such Lenders (or Lender) of making or maintaining their Loans (or its Loan) included in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64" w:lineRule="auto"/>
        <w:rPr>
          <w:sz w:val="20"/>
          <w:szCs w:val="20"/>
          <w:color w:val="auto"/>
        </w:rPr>
      </w:pPr>
      <w:r>
        <w:rPr>
          <w:rFonts w:ascii="Times New Roman" w:cs="Times New Roman" w:eastAsia="Times New Roman" w:hAnsi="Times New Roman"/>
          <w:sz w:val="19"/>
          <w:szCs w:val="19"/>
          <w:color w:val="auto"/>
        </w:rPr>
        <w:t>then the Administrative Agent shall give notice thereof to the Borrowers and the Lenders by telephone, telecopy or electronic mail as promptly as practicable thereafter and, until (x) the Administrative Agent notifies the Borrowers and the Lenders that the circumstances giving rise to such notice no longer exist with respect to the relevant Benchmark and (y) the Borrowers deliver a new interest election request in accordance with the terms of Section 2.5 or a new Borrowing request in accordance with the terms of Section 2.12,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so long as Daily Simple SOFR is not also the subject of Section 2.16(a)(i) or (ii) above or</w:t>
      </w:r>
    </w:p>
    <w:p>
      <w:pPr>
        <w:jc w:val="both"/>
        <w:ind w:firstLine="8"/>
        <w:spacing w:after="0" w:line="249" w:lineRule="auto"/>
        <w:tabs>
          <w:tab w:leader="none" w:pos="30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ABR Borrowing if Daily Simple SOFR also is the subject of Section 2.16(a)(i) or (ii) above and (2) any Borrowing request that requests an RFR Borrowing shall instead be deemed to be a Borrowing request, as applicable, for an ABR Borrowing; provided that if the circumstances giving rise to such notice affect only one Type of Borrowings, then all other Types of Borrowings shall be permitted. Furthermore, if any Term Benchmark Loan or RFR Loan is outstanding on the date of the Borrowers’ receipt of the notice from the Administrative Agent referred to in this Section 2.16(a) with respect to a Relevant Rate applicable to such Term Benchmark Loan or RFR Loan, then until (x) the Administrative Agent notifies the Borrowers and the Lenders that the circumstances giving rise to such notice no longer exist with respect to the relevant Benchmark and (y) the Borrowers deliver a new interest election request in accordance with the terms of Section 2.12 or a new Borrowing request in accordance with the terms of Section 2.5, (1) any Term Benchmark Loan shall on the last day of the Interest Period applicable to such Loan, be converted by the Administrative Agent to, and shall constitute, (x) an RFR Borrowing so long as Daily Simple SOFR is not also the subject of Section 2.16(a)(i) or (ii) above or (y) an ABR Loan if Daily Simple SOFR also is the subject of Section 2.16(a)(i) or (ii) above, on such day, and (2) any RFR Loan shall on and from such day be converted by the Administrative Agent to, and shall constitute an ABR Loan.</w:t>
      </w:r>
    </w:p>
    <w:p>
      <w:pPr>
        <w:spacing w:after="0" w:line="179" w:lineRule="exact"/>
        <w:rPr>
          <w:rFonts w:ascii="Times New Roman" w:cs="Times New Roman" w:eastAsia="Times New Roman" w:hAnsi="Times New Roman"/>
          <w:sz w:val="20"/>
          <w:szCs w:val="20"/>
          <w:color w:val="auto"/>
        </w:rPr>
      </w:pPr>
    </w:p>
    <w:p>
      <w:pPr>
        <w:jc w:val="both"/>
        <w:ind w:firstLine="656"/>
        <w:spacing w:after="0" w:line="250" w:lineRule="auto"/>
        <w:tabs>
          <w:tab w:leader="none" w:pos="108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(and any Swap Agreement shall be deemed not to be a “Loan Document” for purposes of this Section 2.16),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for such Benchmark Replacement Date, such Benchmark Replacement will replace such Benchmark (including any related adjustments)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(including any related adjustments)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w:t>
      </w:r>
    </w:p>
    <w:p>
      <w:pPr>
        <w:spacing w:after="0" w:line="193" w:lineRule="exact"/>
        <w:rPr>
          <w:rFonts w:ascii="Times New Roman" w:cs="Times New Roman" w:eastAsia="Times New Roman" w:hAnsi="Times New Roman"/>
          <w:sz w:val="20"/>
          <w:szCs w:val="20"/>
          <w:color w:val="auto"/>
        </w:rPr>
      </w:pPr>
    </w:p>
    <w:p>
      <w:pPr>
        <w:jc w:val="both"/>
        <w:ind w:firstLine="656"/>
        <w:spacing w:after="0" w:line="258" w:lineRule="auto"/>
        <w:tabs>
          <w:tab w:leader="none" w:pos="1065"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413" w:right="339" w:bottom="1440" w:gutter="0" w:footer="0" w:header="0"/>
        </w:sectPr>
      </w:pPr>
    </w:p>
    <w:bookmarkStart w:id="94" w:name="page95"/>
    <w:bookmarkEnd w:id="94"/>
    <w:p>
      <w:pPr>
        <w:jc w:val="both"/>
        <w:ind w:firstLine="656"/>
        <w:spacing w:after="0" w:line="271" w:lineRule="auto"/>
        <w:tabs>
          <w:tab w:leader="none" w:pos="1083"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will promptly notify the Borrowers and the Lenders of (i) any occurrence of a Benchmark Transition Event, (ii) the implementation of any Benchmark Replacement, (iii) the effectiveness of any Benchmark Replacement Conforming Changes,</w:t>
      </w:r>
    </w:p>
    <w:p>
      <w:pPr>
        <w:spacing w:after="0" w:line="1" w:lineRule="exact"/>
        <w:rPr>
          <w:rFonts w:ascii="Times New Roman" w:cs="Times New Roman" w:eastAsia="Times New Roman" w:hAnsi="Times New Roman"/>
          <w:sz w:val="19"/>
          <w:szCs w:val="19"/>
          <w:color w:val="auto"/>
        </w:rPr>
      </w:pPr>
    </w:p>
    <w:p>
      <w:pPr>
        <w:ind w:left="340" w:hanging="332"/>
        <w:spacing w:after="0"/>
        <w:tabs>
          <w:tab w:leader="none" w:pos="3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removal or reinstatement of any tenor of a Benchmark pursuant to clause (e) below and (v) the commencement or conclusion of any</w:t>
      </w:r>
    </w:p>
    <w:p>
      <w:pPr>
        <w:spacing w:after="0" w:line="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Benchmark Unavailability Period. Any determination, decision or election that may be made by the Administrative Agent or, if applicable, any Lender (or group of Lenders) pursuant to this Section 2.16,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2.16.</w:t>
      </w:r>
    </w:p>
    <w:p>
      <w:pPr>
        <w:spacing w:after="0" w:line="196" w:lineRule="exact"/>
        <w:rPr>
          <w:sz w:val="20"/>
          <w:szCs w:val="20"/>
          <w:color w:val="auto"/>
        </w:rPr>
      </w:pPr>
    </w:p>
    <w:p>
      <w:pPr>
        <w:jc w:val="both"/>
        <w:ind w:firstLine="656"/>
        <w:spacing w:after="0" w:line="254" w:lineRule="auto"/>
        <w:tabs>
          <w:tab w:leader="none" w:pos="1094"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herein or in any other Loan Document, at any time (including in connection with the implementation of a Benchmark Replacement), (i) if the then-current Benchmark is a term rate (including the Term SOFR Rate) and either</w:t>
      </w:r>
    </w:p>
    <w:p>
      <w:pPr>
        <w:spacing w:after="0" w:line="1" w:lineRule="exact"/>
        <w:rPr>
          <w:rFonts w:ascii="Times New Roman" w:cs="Times New Roman" w:eastAsia="Times New Roman" w:hAnsi="Times New Roman"/>
          <w:sz w:val="20"/>
          <w:szCs w:val="20"/>
          <w:color w:val="auto"/>
        </w:rPr>
      </w:pPr>
    </w:p>
    <w:p>
      <w:pPr>
        <w:jc w:val="both"/>
        <w:ind w:firstLine="8"/>
        <w:spacing w:after="0" w:line="250" w:lineRule="auto"/>
        <w:tabs>
          <w:tab w:leader="none" w:pos="34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77" w:lineRule="exact"/>
        <w:rPr>
          <w:rFonts w:ascii="Times New Roman" w:cs="Times New Roman" w:eastAsia="Times New Roman" w:hAnsi="Times New Roman"/>
          <w:sz w:val="20"/>
          <w:szCs w:val="20"/>
          <w:color w:val="auto"/>
        </w:rPr>
      </w:pPr>
    </w:p>
    <w:p>
      <w:pPr>
        <w:jc w:val="both"/>
        <w:ind w:firstLine="656"/>
        <w:spacing w:after="0" w:line="250" w:lineRule="auto"/>
        <w:tabs>
          <w:tab w:leader="none" w:pos="1062"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Borrowers’ receipt of notice of the commencement of a Benchmark Unavailability Period, the Borrowers may revoke any request for (i) a Term Benchmark Borrowing, conversion to or continuation of Term Benchmark Loans to be made, converted or continued or (ii) a RFR Borrowing or conversion to RFR Loans, during any Benchmark Unavailability Period and, failing that, the Borrowers will be deemed to have converted any request for a Term Benchmark Borrowing or RFR Borrowing, as applicable, into a request for a Borrowing of or conversion to (A) solely with respect to any such request for a Term Benchmark Borrowing, an RFR Borrowing so long as Daily Simple SOFR is not the subject of a Benchmark Transition Event or (B) an ABR Borrowing if Daily Simple SOFR is the subject of a Benchmark Transition Event.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is outstanding on the date of the Borrowers’ receipt of notice of the commencement of a Benchmark Unavailability Period with respect to a Relevant Rate applicable to such Term Benchmark Loan or RFR Loan, then until such time as a Benchmark Replacement is implemented pursuant to this Section 2.16, (1) any Term Benchmark Loan shall on the last day of the Interest Period applicable to such Loan, be converted by the Administrative Agent to, and shall constitute, (x) an RFR Borrowing so long as Daily Simple SOFR is not the subject of a Benchmark Transition Event or (y) an ABR Loan if Daily Simple SOFR is the subject of a Benchmark Transition Event, on such day and (2) any RFR Loan shall on and from such day be converted by the Administrative Agent to, and shall constitute an ABR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95" w:name="page96"/>
    <w:bookmarkEnd w:id="95"/>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u w:val="single" w:color="auto"/>
          <w:color w:val="auto"/>
        </w:rPr>
        <w:t>Pro Rata Treatment and Payments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19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borrowing by a Borrower from the Revolving Lenders hereunder, each payment by a Borrower on account of any commitment fee and any reduction of the Revolving Commitments shall be made pro rata according to the respective Revolving Percentages of the Revolving Lenders.</w:t>
      </w:r>
    </w:p>
    <w:p>
      <w:pPr>
        <w:spacing w:after="0" w:line="175" w:lineRule="exact"/>
        <w:rPr>
          <w:rFonts w:ascii="Times New Roman" w:cs="Times New Roman" w:eastAsia="Times New Roman" w:hAnsi="Times New Roman"/>
          <w:sz w:val="20"/>
          <w:szCs w:val="20"/>
          <w:color w:val="auto"/>
        </w:rPr>
      </w:pPr>
    </w:p>
    <w:p>
      <w:pPr>
        <w:jc w:val="both"/>
        <w:ind w:firstLine="656"/>
        <w:spacing w:after="0" w:line="268" w:lineRule="auto"/>
        <w:tabs>
          <w:tab w:leader="none" w:pos="109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(including each prepayment) by a Borrower on account of principal of and interest on the Revolving Loans shall be made pro rata according to the respective outstanding principal amounts of the Revolving Loans then held by the Revolving Lenders, except as otherwise provided in Section 2.27.</w:t>
      </w:r>
    </w:p>
    <w:p>
      <w:pPr>
        <w:spacing w:after="0" w:line="16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payment (including each prepayment) by a Borrower on account of principal of and interest on any Class of Term Loans shall be made pro rata according to the respective outstanding principal amounts of the Term Loans of such Class then held by the applicable Lenders.</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07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payments (including prepayments) to be made by any Borrower hereunder, whether on account of principal, interest, fees or otherwise, shall be made without setoff or counterclaim and shall be made prior to 2:00 p.m., New York City time, on the due date thereof to the Administrative Agent, for the account of the Lenders, at its Domestic Funding Office, in U.S. Dollars and in immediately available funds. The Administrative Agent shall distribute such payments to the Lenders promptly upon receipt in like funds as received. If any payment hereunder (other than payments on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96" w:lineRule="exact"/>
        <w:rPr>
          <w:rFonts w:ascii="Times New Roman" w:cs="Times New Roman" w:eastAsia="Times New Roman" w:hAnsi="Times New Roman"/>
          <w:sz w:val="20"/>
          <w:szCs w:val="20"/>
          <w:color w:val="auto"/>
        </w:rPr>
      </w:pPr>
    </w:p>
    <w:p>
      <w:pPr>
        <w:jc w:val="both"/>
        <w:ind w:firstLine="656"/>
        <w:spacing w:after="0" w:line="250" w:lineRule="auto"/>
        <w:tabs>
          <w:tab w:leader="none" w:pos="110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to the applicable Borrower a corresponding amount. If such amount is not made available to the Administrative Agent by the required time on the Borrowing Date therefor, such Lender shall pay to the Administrative Agent, on demand, such amount with interest thereon at a rate equal to the daily average NYFRB Rate for the period until such Lender makes such amount immediately available to the Administrative Agent. A certificate of the Administrative Agent submitted to any Lender with respect to any amounts owing under this paragraph shall be conclusive absent manifest error. If such Lender’s share of such borrowing is not made available to the Administrative Agent by such Lender within three Business Days of such Borrowing Date, the Administrative Agent shall also be entitled to recover such amount with interest thereon at the rate per annum equal to the daily average Federal Funds Effective Rate, on demand, from the applicable Borrower.</w:t>
      </w:r>
    </w:p>
    <w:p>
      <w:pPr>
        <w:spacing w:after="0" w:line="186" w:lineRule="exact"/>
        <w:rPr>
          <w:rFonts w:ascii="Times New Roman" w:cs="Times New Roman" w:eastAsia="Times New Roman" w:hAnsi="Times New Roman"/>
          <w:sz w:val="20"/>
          <w:szCs w:val="20"/>
          <w:color w:val="auto"/>
        </w:rPr>
      </w:pPr>
    </w:p>
    <w:p>
      <w:pPr>
        <w:jc w:val="both"/>
        <w:ind w:firstLine="656"/>
        <w:spacing w:after="0" w:line="258" w:lineRule="auto"/>
        <w:tabs>
          <w:tab w:leader="none" w:pos="104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Administrative Agent shall have been notified in writing by the applicable Borrower prior to the date of any payment being made hereunder that the applicable Borrower will not make such payment to the Administrative Agent, the Administrative Agent may assume that the applicable Borrower is making such payment, and the Administrative Agent may, but shall not be required to, in reliance upon such assumption, make available to the Lenders their respective pro rata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413" w:right="339" w:bottom="1440" w:gutter="0" w:footer="0" w:header="0"/>
        </w:sectPr>
      </w:pPr>
    </w:p>
    <w:bookmarkStart w:id="96" w:name="page97"/>
    <w:bookmarkEnd w:id="96"/>
    <w:p>
      <w:pPr>
        <w:jc w:val="both"/>
        <w:spacing w:after="0" w:line="258" w:lineRule="auto"/>
        <w:rPr>
          <w:sz w:val="20"/>
          <w:szCs w:val="20"/>
          <w:color w:val="auto"/>
        </w:rPr>
      </w:pPr>
      <w:r>
        <w:rPr>
          <w:rFonts w:ascii="Times New Roman" w:cs="Times New Roman" w:eastAsia="Times New Roman" w:hAnsi="Times New Roman"/>
          <w:sz w:val="20"/>
          <w:szCs w:val="20"/>
          <w:color w:val="auto"/>
        </w:rPr>
        <w:t>shares of a corresponding amount. If such payment is not made to the Administrative Agent by the applicable Borrower within three Business Days of such required date, the Administrative Agent shall be entitled to recover, on demand, from each Lender to which any amount which was made available pursuant to the preceding sentence, such amount with interest thereon at the rate per annum equal to the daily average Federal Funds Effective Rate.</w:t>
      </w:r>
    </w:p>
    <w:p>
      <w:pPr>
        <w:spacing w:after="0" w:line="17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u w:val="single" w:color="auto"/>
          <w:color w:val="auto"/>
        </w:rPr>
        <w:t>Requirements of Law</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3" w:lineRule="auto"/>
        <w:tabs>
          <w:tab w:leader="none" w:pos="107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adoption of or any change in any Requirement of Law or in the interpretation or application thereof or compliance by any Credit Party with any request or directive (whether or not having the force of law) from any central bank or other Governmental Authority made subsequent to the date hereof:</w:t>
      </w:r>
    </w:p>
    <w:p>
      <w:pPr>
        <w:spacing w:after="0" w:line="188"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711"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subject such Credit Party to any Tax (except for, without duplication, Non-Excluded Taxes and Taxes described in clauses (i) through (v) of the definition of Non-Excluded Taxes) on its loans, loan principal, letters of credit, commitments, or other obligations, or its deposits, reserves, other liabilities or capital attributable thereto;</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75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modify or hold applicable any reserve, special deposit, compulsory loan or similar requirement (including any insurance charge or other assessment, but other than any reserve requirement contemplated by Section 2.18(e)) against assets held by, deposits or other liabilities in or for the account of, advances, loans or other extensions of credit by, or any other acquisition of funds by, any office of such Credit Party; or</w:t>
      </w:r>
    </w:p>
    <w:p>
      <w:pPr>
        <w:spacing w:after="0" w:line="187"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15"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impose on such Credit Party or the London interbank or other relevant market any other condition, cost or expense affecting this Agreement or the Loans made by such Credit Party or any Letter of Credit or participation therein (other than Taxes);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and the result of any of the foregoing is to increase the cost to such Credit Party, by an amount that such Credit Party deems to be material, of making, converting into, continuing or maintaining Loans or issuing, maintaining or participating in Letters of Credit or to reduce any amount receivable hereunder in respect thereof, then, in any such case, the Borrowers shall pay such Credit Party, following thirty (30) days’ prior written demand and delivery of the calculation of such amount, any additional amounts necessary to compensate such Credit Party for such increased cost or reduced amount receivable. If any Credit Party becomes entitled to claim any additional amounts pursuant to this paragraph, it shall promptly notify the Company (with a copy to the Administrative Agent) of the event by reason of which it has become so entitled together with a calculation of such amount claimed; provided that failure or delay on the part of any Credit Party to demand compensation pursuant to this Section 2.18(a) shall not constitute a waiver of such Credit Party’s right to demand such compensation; provided further that the Borrowers shall not be required to compensate a Lender pursuant to this paragraph for any amounts incurred more than 90 days prior to the date that such Lender notifies the Company of such Lender’s intention to claim compensation therefor; and provided further that, if the circumstances giving rise to such claim have a retroactive effect, then such 90-day period shall be extended to include the period of such retroactive effect; provided further that in respect of clause (a)(i), the Company shall be required to make such payment only if the respective Lender certifies that it generally requires similarly situated borrowers in comparable syndicated credit facilities to which it is a lender to make similar payments.</w:t>
      </w:r>
    </w:p>
    <w:p>
      <w:pPr>
        <w:spacing w:after="0" w:line="197" w:lineRule="exact"/>
        <w:rPr>
          <w:sz w:val="20"/>
          <w:szCs w:val="20"/>
          <w:color w:val="auto"/>
        </w:rPr>
      </w:pPr>
    </w:p>
    <w:p>
      <w:pPr>
        <w:jc w:val="both"/>
        <w:ind w:firstLine="656"/>
        <w:spacing w:after="0" w:line="261" w:lineRule="auto"/>
        <w:tabs>
          <w:tab w:leader="none" w:pos="1126"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Credit Party shall have determined that the adoption of or any change in any Requirement of Law regarding capital or liquidity requirements or in the interpretation or application thereof or compliance by such Credit Party, or any corporation controlling such Credit Party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413" w:right="339" w:bottom="1440" w:gutter="0" w:footer="0" w:header="0"/>
        </w:sectPr>
      </w:pPr>
    </w:p>
    <w:bookmarkStart w:id="97" w:name="page98"/>
    <w:bookmarkEnd w:id="97"/>
    <w:p>
      <w:pPr>
        <w:jc w:val="both"/>
        <w:spacing w:after="0" w:line="250" w:lineRule="auto"/>
        <w:rPr>
          <w:sz w:val="20"/>
          <w:szCs w:val="20"/>
          <w:color w:val="auto"/>
        </w:rPr>
      </w:pPr>
      <w:r>
        <w:rPr>
          <w:rFonts w:ascii="Times New Roman" w:cs="Times New Roman" w:eastAsia="Times New Roman" w:hAnsi="Times New Roman"/>
          <w:sz w:val="20"/>
          <w:szCs w:val="20"/>
          <w:color w:val="auto"/>
        </w:rPr>
        <w:t>request or directive regarding capital or liquidity requirements (whether or not having the force of law) from any Governmental Authority made subsequent to the Closing Date shall have the effect of reducing the rate of return on such Credit Party’s or such corporation’s capital as a consequence of its obligations hereunder or under or in respect of any Letter of Credit to a level below that which such Lender or such corporation could have achieved but for such adoption, change or compliance (taking into consideration such Credit Party’s or such corporation’s policies with respect to capital adequacy or liquidity) by an amount deemed by such Lender to be material, then from time to time, after submission by such Credit Party to the Company (with a copy to the Administrative Agent) of a written request therefor, the Borrowers shall pay to such Credit Party such additional amount or amounts as will compensate such Credit Party for such reduction; provided that the Borrowers shall not be required to compensate a Lender pursuant to this paragraph for any amounts incurred more than 90 days prior to the date that such Lender notifies the Company of such Lender’s intention to claim compensation therefor; provided further that, if the circumstances giving rise to such claim have a retroactive effect, then such 90-day period shall be extended to include the period of such retroactive effect; and provided further that the Borrowers shall be required to make such payment only if the respective Lender certifies that it generally requires similarly situated borrowers in comparable syndicated credit facilities to which it is a lender to make similar payments.</w:t>
      </w:r>
    </w:p>
    <w:p>
      <w:pPr>
        <w:spacing w:after="0" w:line="193" w:lineRule="exact"/>
        <w:rPr>
          <w:sz w:val="20"/>
          <w:szCs w:val="20"/>
          <w:color w:val="auto"/>
        </w:rPr>
      </w:pPr>
    </w:p>
    <w:p>
      <w:pPr>
        <w:jc w:val="both"/>
        <w:ind w:firstLine="656"/>
        <w:spacing w:after="0" w:line="253" w:lineRule="auto"/>
        <w:tabs>
          <w:tab w:leader="none" w:pos="110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a Requirement of Law, regardless of the date enacted, adopted or issued.</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as to any additional amounts payable pursuant to this Section submitted by any Credit Party to the Company (with a copy to the Administrative Agent) shall be conclusive absent manifest error. The obligations of the Borrowers pursuant to this Section shall survive the termination of this Agreement and the payment of the Loans and all other amounts payable hereunder.</w:t>
      </w:r>
    </w:p>
    <w:p>
      <w:pPr>
        <w:spacing w:after="0" w:line="16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656"/>
        <w:spacing w:after="0" w:line="250" w:lineRule="auto"/>
        <w:tabs>
          <w:tab w:leader="none" w:pos="106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in any applicable jurisdiction, it becomes unlawful for a Revolving Lender to perform any of its obligations as contemplated by this Agreement or to fund, issue or maintain its participation in any Revolving Loan or it becomes unlawful for any Affiliate of a Revolving Lender for that Revolving Lender to do so, that Revolving Lender shall promptly notify the Administrative Agent upon becoming aware of that event; upon the Administrative Agent notifying the Borrower, each Available Revolving Commitment of that Revolving Lender will be immediately cancelled; and to the extent that the Lender's participation has not been transferred pursuant to Section 2.22, the Borrowers shall repay that Revolving Lender's participation in the Revolving Loans made to the Borrower, together with any amounts otherwise payable pursuant to Section 2.18, on the last day of the Interest Period for each Revolving Loan occurring after the Administrative Agent has notified the Borrowers or, if earlier, the date specified by the Revolving Lender in the notice delivered to the Administrative Agent (being no earlier than the last day of any applicable grace period permitted by law) and that Revolving Lender's corresponding Revolving Commitment(s) shall be immediately cancelled in the amount of the participations repaid.</w:t>
      </w:r>
    </w:p>
    <w:p>
      <w:pPr>
        <w:spacing w:after="0" w:line="19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u w:val="single" w:color="auto"/>
          <w:color w:val="auto"/>
        </w:rPr>
        <w:t>Taxes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firstLine="656"/>
        <w:spacing w:after="0" w:line="253" w:lineRule="auto"/>
        <w:tabs>
          <w:tab w:leader="none" w:pos="109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payments by or on account of any obligation of the Borrowers under any Loan Document shall be made free and clear of, and without deduction or withholding for or on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413" w:right="339" w:bottom="144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20"/>
          <w:szCs w:val="20"/>
          <w:color w:val="auto"/>
        </w:rPr>
        <w:t>of,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 Non-Excluded Tax or Other Taxes, then the amount payable by the Borrowers to the Credit Party shall be increased as necessary so that after such deduction or withholding has been made (including such deductions and withholdings applicable to additional sums payable under this Section) the Credit Party receives an amount that would have received had no such deduction or withholding been made. Whenever any Taxes are payable by the Borrowers to a Governmental Authority pursuant to this Section 2.19, as soon as practicable thereafter the applicable Borrower shall send to the Administrative Agent the original or certified copy of a receipt issued by such Governmental Authority evidencing such payment.</w:t>
      </w:r>
    </w:p>
    <w:p>
      <w:pPr>
        <w:spacing w:after="0" w:line="176" w:lineRule="exact"/>
        <w:rPr>
          <w:sz w:val="20"/>
          <w:szCs w:val="20"/>
          <w:color w:val="auto"/>
        </w:rPr>
      </w:pPr>
    </w:p>
    <w:p>
      <w:pPr>
        <w:ind w:firstLine="656"/>
        <w:spacing w:after="0" w:line="283" w:lineRule="auto"/>
        <w:tabs>
          <w:tab w:leader="none" w:pos="1093"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the Borrowers shall timely pay to the relevant Governmental Authority in accordance with applicable law, or at the option of the Administrative Agent timely reimburse it for the payment of any Other Taxes.</w:t>
      </w:r>
    </w:p>
    <w:p>
      <w:pPr>
        <w:spacing w:after="0" w:line="159" w:lineRule="exact"/>
        <w:rPr>
          <w:rFonts w:ascii="Times New Roman" w:cs="Times New Roman" w:eastAsia="Times New Roman" w:hAnsi="Times New Roman"/>
          <w:sz w:val="20"/>
          <w:szCs w:val="20"/>
          <w:color w:val="auto"/>
        </w:rPr>
      </w:pPr>
    </w:p>
    <w:p>
      <w:pPr>
        <w:jc w:val="both"/>
        <w:ind w:firstLine="656"/>
        <w:spacing w:after="0" w:line="250" w:lineRule="auto"/>
        <w:tabs>
          <w:tab w:leader="none" w:pos="117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indemnify each Credit Party, within 10 days after demand therefor, for the full amount of any Non-Excluded Taxes or Other Taxes (including Non-Excluded Taxes or Other Taxes imposed or asserted on or attributable to amounts payable under this Section) payable or paid by such Credit Party or required to be withheld or deducted from a payment to such Credit Party and any reasonable expenses arising therefrom or with respect thereto, whether or not such Non-Excluded Taxes or Other Taxes were correctly or legally imposed or asserted by the relevant Governmental Authority; provided, however, that the Borrowers shall not be obligated to indemnify such Credit Party pursuant to this Section 2.19 in respect of penalties, interest and other liabilities are attributable to the bad faith, gross negligence or willful misconduct of such Credit Party. After a Credit Party learns of the imposition of Non-Excluded Taxes or Other Taxes, such Credit Party will act in good faith to promptly notify the Borrowers of its obligations thereunder. A certificate as to the amount of such payment or liability delivered to the Borrowers by a Lender (with a copy to the Administrative Agent), or by the Administrative Agent on its own behalf or on behalf of a Lender, shall be conclusive absent manifest error.</w:t>
      </w:r>
    </w:p>
    <w:p>
      <w:pPr>
        <w:spacing w:after="0" w:line="182" w:lineRule="exact"/>
        <w:rPr>
          <w:rFonts w:ascii="Times New Roman" w:cs="Times New Roman" w:eastAsia="Times New Roman" w:hAnsi="Times New Roman"/>
          <w:sz w:val="20"/>
          <w:szCs w:val="20"/>
          <w:color w:val="auto"/>
        </w:rPr>
      </w:pPr>
    </w:p>
    <w:p>
      <w:pPr>
        <w:jc w:val="both"/>
        <w:ind w:firstLine="656"/>
        <w:spacing w:after="0" w:line="252" w:lineRule="auto"/>
        <w:tabs>
          <w:tab w:leader="none" w:pos="119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shall severally indemnify the Administrative Agent, within 10 days after demand therefor, for any Taxes (i) attributable to such Lender (but only to the extent that the Borrowers has not already indemnified the Administrative Agent for such Non-Excluded Taxes or Other Taxes and without limiting the obligation of the Borrowers to do so) or (ii) attributable to such Lender’s failure to comply with the provisions of Section 10.6(b) relating to the maintenance of a Participant Register, in either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(d).</w:t>
      </w:r>
    </w:p>
    <w:p>
      <w:pPr>
        <w:spacing w:after="0" w:line="177"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137"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or any Lender is entitled to an exemption from or reduction of withholding Tax with respect to payments made under any Loan Document, such Administrative Agent or Lender shall deliver to the Borrowers and the Administrative Agent at the time or times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413" w:right="339" w:bottom="1440" w:gutter="0" w:footer="0" w:header="0"/>
        </w:sectPr>
      </w:pPr>
    </w:p>
    <w:bookmarkStart w:id="99" w:name="page100"/>
    <w:bookmarkEnd w:id="99"/>
    <w:p>
      <w:pPr>
        <w:jc w:val="both"/>
        <w:spacing w:after="0" w:line="252" w:lineRule="auto"/>
        <w:rPr>
          <w:sz w:val="20"/>
          <w:szCs w:val="20"/>
          <w:color w:val="auto"/>
        </w:rPr>
      </w:pPr>
      <w:r>
        <w:rPr>
          <w:rFonts w:ascii="Times New Roman" w:cs="Times New Roman" w:eastAsia="Times New Roman" w:hAnsi="Times New Roman"/>
          <w:sz w:val="20"/>
          <w:szCs w:val="20"/>
          <w:color w:val="auto"/>
        </w:rPr>
        <w:t>prescribed by applicable law or reasonably requested by the Borrowers or the Administrative Agent, such properly completed and executed documentation prescribed by applicable law or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2.19(f))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6" w:lineRule="exact"/>
        <w:rPr>
          <w:sz w:val="20"/>
          <w:szCs w:val="20"/>
          <w:color w:val="auto"/>
        </w:rPr>
      </w:pPr>
    </w:p>
    <w:p>
      <w:pPr>
        <w:ind w:left="1040" w:hanging="384"/>
        <w:spacing w:after="0"/>
        <w:tabs>
          <w:tab w:leader="none" w:pos="10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76" w:lineRule="auto"/>
        <w:tabs>
          <w:tab w:leader="none" w:pos="1751" w:val="left"/>
        </w:tabs>
        <w:numPr>
          <w:ilvl w:val="1"/>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Lender (or Transferee) that is a U.S. Person shall deliver to the Borrowers and the Administrative Agent, on or prior to the date on which such Lender becomes a Lender under this Agreement (and from time to time thereafter upon the reasonable request of the Borrowers or the Administrative Agent), two properly completed and duly signed copies of U.S. Internal Revenue Service Form W-9 (or any successor form) certifying that such Lender is exempt from U.S. federal backup withholding tax.</w:t>
      </w:r>
    </w:p>
    <w:p>
      <w:pPr>
        <w:spacing w:after="0" w:line="152" w:lineRule="exact"/>
        <w:rPr>
          <w:rFonts w:ascii="Times New Roman" w:cs="Times New Roman" w:eastAsia="Times New Roman" w:hAnsi="Times New Roman"/>
          <w:sz w:val="19"/>
          <w:szCs w:val="19"/>
          <w:color w:val="auto"/>
        </w:rPr>
      </w:pPr>
    </w:p>
    <w:p>
      <w:pPr>
        <w:jc w:val="both"/>
        <w:ind w:left="660" w:firstLine="644"/>
        <w:spacing w:after="0" w:line="270" w:lineRule="auto"/>
        <w:tabs>
          <w:tab w:leader="none" w:pos="176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Transferee) that is not a U.S. Person (a “</w:t>
      </w:r>
      <w:r>
        <w:rPr>
          <w:rFonts w:ascii="Times New Roman" w:cs="Times New Roman" w:eastAsia="Times New Roman" w:hAnsi="Times New Roman"/>
          <w:sz w:val="20"/>
          <w:szCs w:val="20"/>
          <w:b w:val="1"/>
          <w:bCs w:val="1"/>
          <w:color w:val="auto"/>
        </w:rPr>
        <w:t>Non-U.S. Lender</w:t>
      </w:r>
      <w:r>
        <w:rPr>
          <w:rFonts w:ascii="Times New Roman" w:cs="Times New Roman" w:eastAsia="Times New Roman" w:hAnsi="Times New Roman"/>
          <w:sz w:val="20"/>
          <w:szCs w:val="20"/>
          <w:color w:val="auto"/>
        </w:rPr>
        <w:t>”) shall, to the extent it is legally entitled to do so, deliver to the Borrowers and the Administrative Agent on or prior to the date on which such Lender becomes a Lender under this Agreement (and from time to time thereafter upon the reasonable request of the Borrowers or the Administrative Agent.):</w:t>
      </w:r>
    </w:p>
    <w:p>
      <w:pPr>
        <w:spacing w:after="0" w:line="159" w:lineRule="exact"/>
        <w:rPr>
          <w:rFonts w:ascii="Times New Roman" w:cs="Times New Roman" w:eastAsia="Times New Roman" w:hAnsi="Times New Roman"/>
          <w:sz w:val="20"/>
          <w:szCs w:val="20"/>
          <w:color w:val="auto"/>
        </w:rPr>
      </w:pPr>
    </w:p>
    <w:p>
      <w:pPr>
        <w:jc w:val="both"/>
        <w:ind w:left="1300" w:firstLine="652"/>
        <w:spacing w:after="0" w:line="253" w:lineRule="auto"/>
        <w:tabs>
          <w:tab w:leader="none" w:pos="2446"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claiming the benefits of an income tax treaty to which the United States is a party (x) with respect to payments of interest under any Loan Document, two properly completed and duly signed copies of IRS Form W- 8BEN or IRS Form W-8BEN-E establishing an exemption from, or reduction of, U.S. federal withholding Tax pursuant to the “interest” article of such tax treaty and (y) with respect to any other applicable payments under any Loan Document, two completed and duly signed copies of IRS Form W-8BEN or IRS Form W-8BEN-E establishing an exemption from, or reduction of, U.S. federal withholding Tax pursuant to the “business profits” or “other income” article of such tax treaty;</w:t>
      </w:r>
    </w:p>
    <w:p>
      <w:pPr>
        <w:spacing w:after="0" w:line="179" w:lineRule="exact"/>
        <w:rPr>
          <w:rFonts w:ascii="Times New Roman" w:cs="Times New Roman" w:eastAsia="Times New Roman" w:hAnsi="Times New Roman"/>
          <w:sz w:val="20"/>
          <w:szCs w:val="20"/>
          <w:color w:val="auto"/>
        </w:rPr>
      </w:pPr>
    </w:p>
    <w:p>
      <w:pPr>
        <w:ind w:left="1300" w:firstLine="652"/>
        <w:spacing w:after="0" w:line="283" w:lineRule="auto"/>
        <w:tabs>
          <w:tab w:leader="none" w:pos="2499"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a Non-U.S. Lender claiming that its extension of credit will generate U.S. effectively connected income, two properly completed and duly signed copies of IRS Form W-8ECI;</w:t>
      </w:r>
    </w:p>
    <w:p>
      <w:pPr>
        <w:spacing w:after="0" w:line="146" w:lineRule="exact"/>
        <w:rPr>
          <w:rFonts w:ascii="Times New Roman" w:cs="Times New Roman" w:eastAsia="Times New Roman" w:hAnsi="Times New Roman"/>
          <w:sz w:val="20"/>
          <w:szCs w:val="20"/>
          <w:color w:val="auto"/>
        </w:rPr>
      </w:pPr>
    </w:p>
    <w:p>
      <w:pPr>
        <w:jc w:val="both"/>
        <w:ind w:left="1300" w:firstLine="652"/>
        <w:spacing w:after="0" w:line="257" w:lineRule="auto"/>
        <w:tabs>
          <w:tab w:leader="none" w:pos="2471"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Non-U.S. Lender claiming the benefits of the exemption for portfolio interest under Section 881(c) of the Code, (x) a certificate substantially in the form of Exhibit D to the effect that such Non-U.S. Lender is not a “bank” within the meaning of Section 881(c)(3)(A) of the Code, a “10 percent shareholder” of the Borrowers within the meaning of Section 871(h)(3)(B) of the Code, or a CFC related to the Borrowers as described in Section 881(c)(3)(C) of the Code (a “</w:t>
      </w:r>
      <w:r>
        <w:rPr>
          <w:rFonts w:ascii="Times New Roman" w:cs="Times New Roman" w:eastAsia="Times New Roman" w:hAnsi="Times New Roman"/>
          <w:sz w:val="20"/>
          <w:szCs w:val="20"/>
          <w:b w:val="1"/>
          <w:bCs w:val="1"/>
          <w:color w:val="auto"/>
        </w:rPr>
        <w:t>U.S.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413" w:right="339" w:bottom="1440" w:gutter="0" w:footer="0" w:header="0"/>
        </w:sectPr>
      </w:pPr>
    </w:p>
    <w:bookmarkStart w:id="100" w:name="page101"/>
    <w:bookmarkEnd w:id="100"/>
    <w:p>
      <w:pPr>
        <w:ind w:left="640"/>
        <w:spacing w:after="0"/>
        <w:rPr>
          <w:sz w:val="20"/>
          <w:szCs w:val="20"/>
          <w:color w:val="auto"/>
        </w:rPr>
      </w:pP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and (y) executed copies of IRS Form W-8BEN or IRS Form W-8BEN-E; or</w:t>
      </w:r>
    </w:p>
    <w:p>
      <w:pPr>
        <w:spacing w:after="0" w:line="233" w:lineRule="exact"/>
        <w:rPr>
          <w:sz w:val="20"/>
          <w:szCs w:val="20"/>
          <w:color w:val="auto"/>
        </w:rPr>
      </w:pPr>
    </w:p>
    <w:p>
      <w:pPr>
        <w:jc w:val="both"/>
        <w:ind w:left="640" w:firstLine="652"/>
        <w:spacing w:after="0" w:line="253" w:lineRule="auto"/>
        <w:tabs>
          <w:tab w:leader="none" w:pos="194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 Non-U.S. Lender is not the beneficial owner, executed copies of IRS Form W-8IMY, accompanied by IRS Form W-8ECI, IRS Form W-8BEN, IRS Form W-8BEN-E, a U.S. Tax Compliance Certificate substantially in the form of Exhibit D, IRS Form W-9, and/or other certification documents from each beneficial owner, as applicable; provided that if the Non-U.S. Lender is a partnership and one or more direct or indirect partners of such Non-U.S. Lender are claiming the portfolio interest exemption, such Non-U.S. Lender may provide a U.S. Tax Compliance Certificate substantially in the form of Exhibit D on behalf of each such direct and indirect partner.</w:t>
      </w:r>
    </w:p>
    <w:p>
      <w:pPr>
        <w:spacing w:after="0" w:line="178" w:lineRule="exact"/>
        <w:rPr>
          <w:rFonts w:ascii="Times New Roman" w:cs="Times New Roman" w:eastAsia="Times New Roman" w:hAnsi="Times New Roman"/>
          <w:sz w:val="20"/>
          <w:szCs w:val="20"/>
          <w:color w:val="auto"/>
        </w:rPr>
      </w:pPr>
    </w:p>
    <w:p>
      <w:pPr>
        <w:jc w:val="both"/>
        <w:ind w:firstLine="644"/>
        <w:spacing w:after="0" w:line="253" w:lineRule="auto"/>
        <w:tabs>
          <w:tab w:leader="none" w:pos="1141"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Non-U.S. Lender shall, to the extent it is legally entitled to do so, deliver to the Borrowers and the Administrative Agent on or about the date on which such Non-U.S. Lender becomes a Lender under this Agreement (and from time to time thereafter upon the reasonable request of the Borrowers or the Administrative Agent), two completed and duly signed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w:t>
      </w:r>
    </w:p>
    <w:p>
      <w:pPr>
        <w:spacing w:after="0" w:line="192" w:lineRule="exact"/>
        <w:rPr>
          <w:rFonts w:ascii="Times New Roman" w:cs="Times New Roman" w:eastAsia="Times New Roman" w:hAnsi="Times New Roman"/>
          <w:sz w:val="20"/>
          <w:szCs w:val="20"/>
          <w:color w:val="auto"/>
        </w:rPr>
      </w:pPr>
    </w:p>
    <w:p>
      <w:pPr>
        <w:jc w:val="both"/>
        <w:ind w:firstLine="644"/>
        <w:spacing w:after="0" w:line="266" w:lineRule="auto"/>
        <w:tabs>
          <w:tab w:leader="none" w:pos="1164"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to determine that such Lender has complied with such Lender’s obligations under FATCA or to determine the amount, if any, to deduct and withhold from such payment; and</w:t>
      </w:r>
    </w:p>
    <w:p>
      <w:pPr>
        <w:spacing w:after="0" w:line="168" w:lineRule="exact"/>
        <w:rPr>
          <w:rFonts w:ascii="Times New Roman" w:cs="Times New Roman" w:eastAsia="Times New Roman" w:hAnsi="Times New Roman"/>
          <w:sz w:val="19"/>
          <w:szCs w:val="19"/>
          <w:color w:val="auto"/>
        </w:rPr>
      </w:pPr>
    </w:p>
    <w:p>
      <w:pPr>
        <w:ind w:left="1220" w:hanging="576"/>
        <w:spacing w:after="0"/>
        <w:tabs>
          <w:tab w:leader="none" w:pos="122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deliver to the Borrowers two executed copies of whichever of the following is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applicable:</w:t>
      </w:r>
    </w:p>
    <w:p>
      <w:pPr>
        <w:spacing w:after="0" w:line="213" w:lineRule="exact"/>
        <w:rPr>
          <w:rFonts w:ascii="Times New Roman" w:cs="Times New Roman" w:eastAsia="Times New Roman" w:hAnsi="Times New Roman"/>
          <w:sz w:val="20"/>
          <w:szCs w:val="20"/>
          <w:color w:val="auto"/>
        </w:rPr>
      </w:pPr>
    </w:p>
    <w:p>
      <w:pPr>
        <w:ind w:left="640" w:right="20" w:firstLine="652"/>
        <w:spacing w:after="0" w:line="269" w:lineRule="auto"/>
        <w:tabs>
          <w:tab w:leader="none" w:pos="1908"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is a U.S. Person, IRS Form W-9 certifying to such Administrative Agent’s exemption from U.S. federal backup withholding; or</w:t>
      </w:r>
    </w:p>
    <w:p>
      <w:pPr>
        <w:spacing w:after="0" w:line="172" w:lineRule="exact"/>
        <w:rPr>
          <w:rFonts w:ascii="Times New Roman" w:cs="Times New Roman" w:eastAsia="Times New Roman" w:hAnsi="Times New Roman"/>
          <w:sz w:val="20"/>
          <w:szCs w:val="20"/>
          <w:color w:val="auto"/>
        </w:rPr>
      </w:pPr>
    </w:p>
    <w:p>
      <w:pPr>
        <w:jc w:val="both"/>
        <w:ind w:left="640" w:firstLine="652"/>
        <w:spacing w:after="0" w:line="253" w:lineRule="auto"/>
        <w:tabs>
          <w:tab w:leader="none" w:pos="1774"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is not a U.S. Person, (x) IRS Form W-8ECI with respect to payments received for its own account; and (y) IRS Form W-8IMY with respect to any amounts payable to the Administrative Agent for the accounts of others, clarifying that it is a U.S. branch of a foreign bank or insurance company described in Regulations section 1.1441-1(b)(2)(iv)(A) that is a “participating foreign financial institution” or PFFI (including a reporting Model 2 FFI), registered deemed-compliant FFI (including a reporting Model 1 FFI), or “non-financial foreign entity” that is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0580"/>
          </w:cols>
          <w:pgMar w:left="980" w:top="1409" w:right="339" w:bottom="1440" w:gutter="0" w:footer="0" w:header="0"/>
        </w:sectPr>
      </w:pPr>
    </w:p>
    <w:bookmarkStart w:id="101" w:name="page102"/>
    <w:bookmarkEnd w:id="101"/>
    <w:p>
      <w:pPr>
        <w:ind w:left="1300" w:right="20"/>
        <w:spacing w:after="0" w:line="283" w:lineRule="auto"/>
        <w:rPr>
          <w:sz w:val="20"/>
          <w:szCs w:val="20"/>
          <w:color w:val="auto"/>
        </w:rPr>
      </w:pPr>
      <w:r>
        <w:rPr>
          <w:rFonts w:ascii="Times New Roman" w:cs="Times New Roman" w:eastAsia="Times New Roman" w:hAnsi="Times New Roman"/>
          <w:sz w:val="20"/>
          <w:szCs w:val="20"/>
          <w:color w:val="auto"/>
        </w:rPr>
        <w:t>this form as evidence of its agreement with the withholding agent to be treated as a U.S. Person with respect to any payments associated with this withholding certificate.</w:t>
      </w:r>
    </w:p>
    <w:p>
      <w:pPr>
        <w:spacing w:after="0" w:line="146" w:lineRule="exact"/>
        <w:rPr>
          <w:sz w:val="20"/>
          <w:szCs w:val="20"/>
          <w:color w:val="auto"/>
        </w:rPr>
      </w:pPr>
    </w:p>
    <w:p>
      <w:pPr>
        <w:jc w:val="both"/>
        <w:ind w:right="20" w:firstLine="656"/>
        <w:spacing w:after="0" w:line="261" w:lineRule="auto"/>
        <w:tabs>
          <w:tab w:leader="none" w:pos="113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each Lender agree that if any form or certification it previously delivered expires or becomes obsolete or inaccurate in any respect, it shall update such form or certification or promptly notify the Borrowers and the Administrative Agent in writing of its legal inability to do so.</w:t>
      </w:r>
    </w:p>
    <w:p>
      <w:pPr>
        <w:spacing w:after="0" w:line="181" w:lineRule="exact"/>
        <w:rPr>
          <w:rFonts w:ascii="Times New Roman" w:cs="Times New Roman" w:eastAsia="Times New Roman" w:hAnsi="Times New Roman"/>
          <w:sz w:val="20"/>
          <w:szCs w:val="20"/>
          <w:color w:val="auto"/>
        </w:rPr>
      </w:pPr>
    </w:p>
    <w:p>
      <w:pPr>
        <w:jc w:val="both"/>
        <w:ind w:firstLine="656"/>
        <w:spacing w:after="0" w:line="250" w:lineRule="auto"/>
        <w:tabs>
          <w:tab w:leader="none" w:pos="112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party determines, in its sole discretion exercised in good faith, that it has received a refund of any Taxes as to which it has been indemnified pursuant to this Section 2.19 (including by the payment of additional amounts pursuant to this Section 2.19),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2.19(h) (plus any penalties, interest or other charges imposed by the relevant Governmental Authority) in the event that such indemnified party is required to repay such refund to such Governmental Authority. Notwithstanding anything to the contrary in this Section 2.19(h), in no event will the indemnified party be required to pay any amount to an indemnifying party pursuant to this Section 2.19(h)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2.19(h) shall not be construed to require any indemnified party to make available its Tax returns (or any other information relating to its Taxes that it deems confidential) to the indemnifying party or any other Person.</w:t>
      </w:r>
    </w:p>
    <w:p>
      <w:pPr>
        <w:spacing w:after="0" w:line="183"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2.19, the term “applicable law” includes FATCA.</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23"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shall survive the resignation or replacement of the Administrative Agent or any assignment or rights by, or the replacement of, a Lender, the termination of the Commitments and the repayment, satisfaction or discharge of all obligations under any Loan Document.</w:t>
      </w:r>
    </w:p>
    <w:p>
      <w:pPr>
        <w:spacing w:after="0" w:line="18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2.20. </w:t>
      </w: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Each Borrower agrees to indemnify each Lender and to hold each Lender harmless from any loss or expense that such Lender may sustain or incur as a consequence of (a) default by such Borrower in making a borrowing of, conversion into or continuation of Term Benchmark Loans after such Borrower has given a notice requesting the same in accordance with the provisions of this Agreement, (b) default by such Borrower in making any prepayment of or conversion from Term Benchmark Loans after such Borrower has given a notice thereof in accordance with the provisions of this Agreement or (c) the making of a payment of Term Benchmark Loans (including pursuant to Sections 2.22 or 10.1(b)) on a day that is not the last day of an Interest Period with respect thereto. Such indemnification, which shall be payable within 30 days of written demand therefor, may include an amount equal to the excess, if any, of (i) the amount of interest that would have accrued on the amount so prepaid or returned, or not so borrowed, converted or continued, for the period from the date of such prepayment or return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413" w:right="339" w:bottom="1440" w:gutter="0" w:footer="0" w:header="0"/>
        </w:sectPr>
      </w:pPr>
    </w:p>
    <w:bookmarkStart w:id="102" w:name="page103"/>
    <w:bookmarkEnd w:id="102"/>
    <w:p>
      <w:pPr>
        <w:jc w:val="both"/>
        <w:spacing w:after="0" w:line="253" w:lineRule="auto"/>
        <w:rPr>
          <w:sz w:val="20"/>
          <w:szCs w:val="20"/>
          <w:color w:val="auto"/>
        </w:rPr>
      </w:pPr>
      <w:r>
        <w:rPr>
          <w:rFonts w:ascii="Times New Roman" w:cs="Times New Roman" w:eastAsia="Times New Roman" w:hAnsi="Times New Roman"/>
          <w:sz w:val="20"/>
          <w:szCs w:val="20"/>
          <w:color w:val="auto"/>
        </w:rPr>
        <w:t>amount of interest (as reasonably determined by such Lender) that would have accrued to such Lender on such amount by placing such amount on deposit for a comparable period with leading banks in the interbank eurodollar market or other applicable interbank market. A certificate as to any amounts payable pursuant to this Section submitted to the applicable Borrower by any Lender shall be conclusive absent manifest error. This covenant shall survive the termination of this Agreement and the payment of the Loans and all other amounts payable hereunder.</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2.21. </w:t>
      </w:r>
      <w:r>
        <w:rPr>
          <w:rFonts w:ascii="Times New Roman" w:cs="Times New Roman" w:eastAsia="Times New Roman" w:hAnsi="Times New Roman"/>
          <w:sz w:val="20"/>
          <w:szCs w:val="20"/>
          <w:u w:val="single" w:color="auto"/>
          <w:color w:val="auto"/>
        </w:rPr>
        <w:t>Change of Lending Office</w:t>
      </w:r>
      <w:r>
        <w:rPr>
          <w:rFonts w:ascii="Times New Roman" w:cs="Times New Roman" w:eastAsia="Times New Roman" w:hAnsi="Times New Roman"/>
          <w:sz w:val="20"/>
          <w:szCs w:val="20"/>
          <w:color w:val="auto"/>
        </w:rPr>
        <w:t>. Each Lender agrees that, upon the occurrence of any event giving rise to the operation of Sections 2.18 or 2.19 with respect to such Lender, it will, if requested by the Company, use reasonable efforts (subject to overall policy considerations of such Lender) to designate another lending office for any Loans affected by such event with the object of avoiding the consequences of such event; provided, that such designation is made on terms that, in the good faith judgment of such Lender, (i) would eliminate or reduce the amounts payable pursuant to Section 2.18 or Section 2.19, as the case may be, in the future, (ii) would not subject such Lender to (A) any unreimbursed cost or expense or (B) significant investment of time or effort and (iii) would not otherwise be materially disadvantageous to such Lender, and provided, further, that nothing in this Section shall affect or postpone any of the obligations of any Borrower or the rights of any Lender pursuant to Section 2.18 or 2.19. The Company hereby agrees to pay all reasonable costs and expenses incurred by any Lender in connection with any such designation.</w:t>
      </w: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2.22. </w:t>
      </w: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The Company shall be permitted, at its sole expense and effort, with respect to any Lender that (a) requests reimbursement for amounts owing pursuant to Section 2.18 or Section 2.19, (b) has become a Defaulting Lender hereunder or (c) in connection with any proposed amendment, waiver or consent requiring the consent of “each Lender” or “each Lender directly affected thereby” (or any other Class or group of Lenders other than the Required Lenders or Required Revolving Lenders) with respect to which Required Lender or Required Revolving Lender consent, as applicable (or the consent of Lenders holding loans or commitments of such Class or lesser group representing more than 50% of the sum of the total loans and unused commitments of such Class or lesser group at such time) has been obtained, as applicable, is a non-consenting Lender (each such Lender, a “</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(1) to replace such Lender, with a replacement financial institution; provided that (i) the replacement financial institution shall purchase, at par, all Loans and other amounts owing to such replaced Lender on or prior to the date of replacement, (ii) the applicable Borrower shall be liable to such replaced Lender under Section 2.20 for any losses suffered or expenses incurred by such Lender if any Term Benchmark Rate Loan owing to such replaced Lender shall be purchased other than on the last day of the Interest Period relating thereto, (iii) the replacement financial institution, if not already a Lender, shall be reasonably satisfactory to the Administrative Agent to the extent such consent is required pursuant to Section 10.6, (iv) the replaced Lender shall be obligated to make such replacement in accordance with the provisions of Section 10.6 (provided that the applicable Borrower shall be obligated to pay the registration and processing fee referred to therein) or pursuant to other procedures agreed upon by the Company and the Administrative Agent including deemed assignments upon payment to the replaced Lender of amounts required to be paid to it pursuant to this Section 2.22, (v) until such time as such replacement shall be consummated, the applicable Borrower shall pay all additional amounts (if any) required pursuant to Section 2.18 or 2.19, as the case may be, and (vi) any such replacement shall not be deemed to be a waiver of any rights that any Borrower, the Administrative Agent or any other Lender shall have against the replaced Lender or (2) terminate the Commitment of such Lender and (a) in the case of a Lender, repay all Obligations of the Borrowers owing to such Lender relating to the applicable Loans, Commitments and participations held by such Lender as of such termination date and (b)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413" w:right="339" w:bottom="1440" w:gutter="0" w:footer="0" w:header="0"/>
        </w:sectPr>
      </w:pPr>
    </w:p>
    <w:bookmarkStart w:id="103" w:name="page104"/>
    <w:bookmarkEnd w:id="103"/>
    <w:p>
      <w:pPr>
        <w:jc w:val="both"/>
        <w:spacing w:after="0" w:line="253" w:lineRule="auto"/>
        <w:rPr>
          <w:sz w:val="20"/>
          <w:szCs w:val="20"/>
          <w:color w:val="auto"/>
        </w:rPr>
      </w:pPr>
      <w:r>
        <w:rPr>
          <w:rFonts w:ascii="Times New Roman" w:cs="Times New Roman" w:eastAsia="Times New Roman" w:hAnsi="Times New Roman"/>
          <w:sz w:val="20"/>
          <w:szCs w:val="20"/>
          <w:color w:val="auto"/>
        </w:rPr>
        <w:t>case of an Issuing Bank, repay all Obligations of the Borrowers owing to such Issuing Bank relating to the applicable Loans, Commitments and participations held by such Issuing Bank as of such termination date and cancel or backstop on terms satisfactory to such Issuing Bank any Letters of Credit issued by it. No action by or consent of any Lender referred to in this Section 2.22, including any Defaulting Lender or Non-Consenting Lender shall be necessary in connection with such assignment, which shall be immediately and automatically effective upon payment of the amounts described in the immediately preceding sentence.</w:t>
      </w: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u w:val="single" w:color="auto"/>
          <w:color w:val="auto"/>
        </w:rPr>
        <w:t>Extension of the Facilities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48" w:lineRule="auto"/>
        <w:tabs>
          <w:tab w:leader="none" w:pos="1103"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Borrowers may at any time and from time to time, request that all or a portion of the Term Loans of a given Class (or series or tranche thereof) (each, an “</w:t>
      </w:r>
      <w:r>
        <w:rPr>
          <w:rFonts w:ascii="Times New Roman" w:cs="Times New Roman" w:eastAsia="Times New Roman" w:hAnsi="Times New Roman"/>
          <w:sz w:val="20"/>
          <w:szCs w:val="20"/>
          <w:b w:val="1"/>
          <w:bCs w:val="1"/>
          <w:color w:val="auto"/>
        </w:rPr>
        <w:t>Existing Term Loan Tranche</w:t>
      </w:r>
      <w:r>
        <w:rPr>
          <w:rFonts w:ascii="Times New Roman" w:cs="Times New Roman" w:eastAsia="Times New Roman" w:hAnsi="Times New Roman"/>
          <w:sz w:val="20"/>
          <w:szCs w:val="20"/>
          <w:color w:val="auto"/>
        </w:rPr>
        <w:t>”) be amended to extend the scheduled maturity date(s) with respect to all or a portion of any principal amount of such Term Loans (any such Term Loans which have been so amended, “</w:t>
      </w:r>
      <w:r>
        <w:rPr>
          <w:rFonts w:ascii="Times New Roman" w:cs="Times New Roman" w:eastAsia="Times New Roman" w:hAnsi="Times New Roman"/>
          <w:sz w:val="20"/>
          <w:szCs w:val="20"/>
          <w:b w:val="1"/>
          <w:bCs w:val="1"/>
          <w:color w:val="auto"/>
        </w:rPr>
        <w:t>Extended Term Loans</w:t>
      </w:r>
      <w:r>
        <w:rPr>
          <w:rFonts w:ascii="Times New Roman" w:cs="Times New Roman" w:eastAsia="Times New Roman" w:hAnsi="Times New Roman"/>
          <w:sz w:val="20"/>
          <w:szCs w:val="20"/>
          <w:color w:val="auto"/>
        </w:rPr>
        <w:t>”) and to provide for other terms applicable thereto consistent with this Section 2.24. In order to establish any Extended Term Loans, the Borrowers shall provide a notice to the Administrative Agent (who shall provide a copy of such notice to each of the Lenders under the applicable Existing Term Loan Tranche) (each, a “</w:t>
      </w:r>
      <w:r>
        <w:rPr>
          <w:rFonts w:ascii="Times New Roman" w:cs="Times New Roman" w:eastAsia="Times New Roman" w:hAnsi="Times New Roman"/>
          <w:sz w:val="20"/>
          <w:szCs w:val="20"/>
          <w:b w:val="1"/>
          <w:bCs w:val="1"/>
          <w:color w:val="auto"/>
        </w:rPr>
        <w:t>Term Loan Extension Request</w:t>
      </w:r>
      <w:r>
        <w:rPr>
          <w:rFonts w:ascii="Times New Roman" w:cs="Times New Roman" w:eastAsia="Times New Roman" w:hAnsi="Times New Roman"/>
          <w:sz w:val="20"/>
          <w:szCs w:val="20"/>
          <w:color w:val="auto"/>
        </w:rPr>
        <w:t>”) setting forth the proposed terms of the Extended Term Loans to be established, which shall (x) be identical as offered to each Lender under such Existing Term Loan Tranche (including as to the proposed interest rates and fees payable) and offered pro rata to each Lender under such Existing Term Loan Tranche and (y) be identical to the Term Loans under the Existing Term Loan Tranche from which such Extended Term Loans are to be amended, except that: (i) all or any of the scheduled amortization payments of principal of the Extended Term Loans may be delayed to later dates than the scheduled amortization payments of principal of the Term Loans of such Existing Term Loan Tranche, to the extent provided in the applicable Extension Amendment; (ii) the All-in Yield with respect to the Extended Term Loans may be different than the All-in Yield for the Term Loans of such Existing Term Loan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and (iv) the Extended Term Loans may have prepayment premiums or call protection as may be agreed by the Borrowers and the Lenders thereof; provided that that (A) in no event shall the final maturity date of any Extended Term Loans of a given Term Loan Extension Series at the time of establishment thereof be earlier than the maturity date of the applicable Existing Term Loan Tranche, (B) the Weighted Average Life to Maturity of any Extended Term Loans of a given Term Loan Extension Series at the time of establishment thereof shall be no shorter than the remaining Weighted Average Life to Maturity of the applicable Existing Term Loan Tranche, (C) all documentation in respect of such Extension Amendment shall be consistent with the foregoing and (D) any Extended Term Loans may participate on a pro rata basis or less than a pro rata basis (but not greater than a pro rata basis) in any mandatory repayments or prepayments hereunder, in each case as specified in the respective Term Loan Extension Request. Any Class of Extended Term Loans amended pursuant to any Term Loan Extension Request shall be designated a series (each, a “</w:t>
      </w:r>
      <w:r>
        <w:rPr>
          <w:rFonts w:ascii="Times New Roman" w:cs="Times New Roman" w:eastAsia="Times New Roman" w:hAnsi="Times New Roman"/>
          <w:sz w:val="20"/>
          <w:szCs w:val="20"/>
          <w:b w:val="1"/>
          <w:bCs w:val="1"/>
          <w:color w:val="auto"/>
        </w:rPr>
        <w:t>Term Loan Extension Series</w:t>
      </w:r>
      <w:r>
        <w:rPr>
          <w:rFonts w:ascii="Times New Roman" w:cs="Times New Roman" w:eastAsia="Times New Roman" w:hAnsi="Times New Roman"/>
          <w:sz w:val="20"/>
          <w:szCs w:val="20"/>
          <w:color w:val="auto"/>
        </w:rPr>
        <w:t>”) of Extended Term Loans for all purposes of this Agreement; provided that any Extended Term Loans amended from an Existing Term Loan Tranche may, to the extent provided in the applicable Extension Amendment, be designated as an increase in any previously established Term Loan Extension Series with respect to such Existing Term Loan Tranche. Each Term Loan Extension Series of Extended Term Loans incurred under this Section 2.24 shall be in an aggregate principal amount that is not less than $20,000,000 (or such lesser amount as to which the Administrative Agent may agree).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413" w:right="339" w:bottom="1440" w:gutter="0" w:footer="0" w:header="0"/>
        </w:sectPr>
      </w:pPr>
    </w:p>
    <w:bookmarkStart w:id="104" w:name="page105"/>
    <w:bookmarkEnd w:id="104"/>
    <w:p>
      <w:pPr>
        <w:jc w:val="both"/>
        <w:ind w:firstLine="656"/>
        <w:spacing w:after="0" w:line="249" w:lineRule="auto"/>
        <w:tabs>
          <w:tab w:leader="none" w:pos="119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at any time and from time to time, in its sole discretion, request that all or a portion of the Revolving Commitments or commitments in respect of an Incremental Revolving Facility (“</w:t>
      </w:r>
      <w:r>
        <w:rPr>
          <w:rFonts w:ascii="Times New Roman" w:cs="Times New Roman" w:eastAsia="Times New Roman" w:hAnsi="Times New Roman"/>
          <w:sz w:val="20"/>
          <w:szCs w:val="20"/>
          <w:b w:val="1"/>
          <w:bCs w:val="1"/>
          <w:color w:val="auto"/>
        </w:rPr>
        <w:t>Incremental Revolving Commitments</w:t>
      </w:r>
      <w:r>
        <w:rPr>
          <w:rFonts w:ascii="Times New Roman" w:cs="Times New Roman" w:eastAsia="Times New Roman" w:hAnsi="Times New Roman"/>
          <w:sz w:val="20"/>
          <w:szCs w:val="20"/>
          <w:color w:val="auto"/>
        </w:rPr>
        <w:t>”) of a given Class (or series or tranche thereof) (each, an “</w:t>
      </w:r>
      <w:r>
        <w:rPr>
          <w:rFonts w:ascii="Times New Roman" w:cs="Times New Roman" w:eastAsia="Times New Roman" w:hAnsi="Times New Roman"/>
          <w:sz w:val="20"/>
          <w:szCs w:val="20"/>
          <w:b w:val="1"/>
          <w:bCs w:val="1"/>
          <w:color w:val="auto"/>
        </w:rPr>
        <w:t>Existing Revolver Tranche</w:t>
      </w:r>
      <w:r>
        <w:rPr>
          <w:rFonts w:ascii="Times New Roman" w:cs="Times New Roman" w:eastAsia="Times New Roman" w:hAnsi="Times New Roman"/>
          <w:sz w:val="20"/>
          <w:szCs w:val="20"/>
          <w:color w:val="auto"/>
        </w:rPr>
        <w:t>”) be amended to extend the maturity date with respect to all or a portion of any principal amount of such Revolving Commitments or Incremental Revolving Commitments (any such Revolving Commitments or Incremental Revolving Commitments which have been so amended, “</w:t>
      </w:r>
      <w:r>
        <w:rPr>
          <w:rFonts w:ascii="Times New Roman" w:cs="Times New Roman" w:eastAsia="Times New Roman" w:hAnsi="Times New Roman"/>
          <w:sz w:val="20"/>
          <w:szCs w:val="20"/>
          <w:b w:val="1"/>
          <w:bCs w:val="1"/>
          <w:color w:val="auto"/>
        </w:rPr>
        <w:t>Extended Revolving Commitments</w:t>
      </w:r>
      <w:r>
        <w:rPr>
          <w:rFonts w:ascii="Times New Roman" w:cs="Times New Roman" w:eastAsia="Times New Roman" w:hAnsi="Times New Roman"/>
          <w:sz w:val="20"/>
          <w:szCs w:val="20"/>
          <w:color w:val="auto"/>
        </w:rPr>
        <w:t>”) and to provide for other terms consistent with this Section 2.24. In order to establish any Extended Revolving Commitments, the Company shall provide a notice to the Administrative Agent (who shall provide a copy of such notice to each of the Lenders under the applicable Existing Revolver Tranche) (each, a “</w:t>
      </w:r>
      <w:r>
        <w:rPr>
          <w:rFonts w:ascii="Times New Roman" w:cs="Times New Roman" w:eastAsia="Times New Roman" w:hAnsi="Times New Roman"/>
          <w:sz w:val="20"/>
          <w:szCs w:val="20"/>
          <w:b w:val="1"/>
          <w:bCs w:val="1"/>
          <w:color w:val="auto"/>
        </w:rPr>
        <w:t>Revolver Extension Request</w:t>
      </w:r>
      <w:r>
        <w:rPr>
          <w:rFonts w:ascii="Times New Roman" w:cs="Times New Roman" w:eastAsia="Times New Roman" w:hAnsi="Times New Roman"/>
          <w:sz w:val="20"/>
          <w:szCs w:val="20"/>
          <w:color w:val="auto"/>
        </w:rPr>
        <w:t>” and together with a Term Loan Extension Request, an “</w:t>
      </w:r>
      <w:r>
        <w:rPr>
          <w:rFonts w:ascii="Times New Roman" w:cs="Times New Roman" w:eastAsia="Times New Roman" w:hAnsi="Times New Roman"/>
          <w:sz w:val="20"/>
          <w:szCs w:val="20"/>
          <w:b w:val="1"/>
          <w:bCs w:val="1"/>
          <w:color w:val="auto"/>
        </w:rPr>
        <w:t>Extension Request</w:t>
      </w:r>
      <w:r>
        <w:rPr>
          <w:rFonts w:ascii="Times New Roman" w:cs="Times New Roman" w:eastAsia="Times New Roman" w:hAnsi="Times New Roman"/>
          <w:sz w:val="20"/>
          <w:szCs w:val="20"/>
          <w:color w:val="auto"/>
        </w:rPr>
        <w:t>”) setting forth the proposed terms of the Extended Revolving Commitments to be established, which shall (x) be identical as offered to each Lender under such Existing Revolver Tranche (including as to the proposed interest rates and fees payable) and offered pro rata to each Lender under such Existing Revolver Tranche and (y) be identical to the Revolving Commitments under the Existing Revolver Tranche from which such Extended Revolving Commitments are to be amended, except that: (i) the maturity date of the Extended Revolving Commitments may be delayed to a later date than the maturity date of the Revolving Commitments of such Existing Revolver Tranche, to the extent provided in the applicable Extension Amendment; (ii) the All-in Yield with respect to extensions of credit under the Extended Revolving Commitments (whether in the form of interest rate margin, upfront fees, commitment fees, OID or otherwise) may be different than the All-in Yield for extensions of credit under the Revolving Commitments of such Existing Revolver Tranche, in each case, to the extent provided in the applicable Extension Amendment; (iii) the Extension Amendment may provide for other covenants and terms that apply solely to any period after the Latest Maturity Date that is in effect on the effective date of the Extension Amendment; and (iv) all borrowings under the applicable Revolving Commitments (i.e., the Existing Revolver Tranche and the Extended Revolving Commitments of the applicable Revolver Extension Series) and repayments thereunder shall be made on a pro rata basis (except for (I) payments of interest and fees at different rates on Extended Revolving Commitments (and related outstandings) and (II) repayments required upon the maturity date of the non-extending Revolving Commitments); provided, further, that all documentation in respect of such Extension Amendment shall be consistent with the foregoing. Any Extended Revolving Commitments amended pursuant to any Revolver Extension Request shall be designated a series (each, a “</w:t>
      </w:r>
      <w:r>
        <w:rPr>
          <w:rFonts w:ascii="Times New Roman" w:cs="Times New Roman" w:eastAsia="Times New Roman" w:hAnsi="Times New Roman"/>
          <w:sz w:val="20"/>
          <w:szCs w:val="20"/>
          <w:b w:val="1"/>
          <w:bCs w:val="1"/>
          <w:color w:val="auto"/>
        </w:rPr>
        <w:t>Revolver Extension Series</w:t>
      </w:r>
      <w:r>
        <w:rPr>
          <w:rFonts w:ascii="Times New Roman" w:cs="Times New Roman" w:eastAsia="Times New Roman" w:hAnsi="Times New Roman"/>
          <w:sz w:val="20"/>
          <w:szCs w:val="20"/>
          <w:color w:val="auto"/>
        </w:rPr>
        <w:t>” (and together with a Term Loan Extension Series, any “</w:t>
      </w:r>
      <w:r>
        <w:rPr>
          <w:rFonts w:ascii="Times New Roman" w:cs="Times New Roman" w:eastAsia="Times New Roman" w:hAnsi="Times New Roman"/>
          <w:sz w:val="20"/>
          <w:szCs w:val="20"/>
          <w:b w:val="1"/>
          <w:bCs w:val="1"/>
          <w:color w:val="auto"/>
        </w:rPr>
        <w:t>Extension Series</w:t>
      </w:r>
      <w:r>
        <w:rPr>
          <w:rFonts w:ascii="Times New Roman" w:cs="Times New Roman" w:eastAsia="Times New Roman" w:hAnsi="Times New Roman"/>
          <w:sz w:val="20"/>
          <w:szCs w:val="20"/>
          <w:color w:val="auto"/>
        </w:rPr>
        <w:t>”)) of Extended Revolving Commitments for all purposes of this Agreement; provided that any Extended Revolving Commitments amended from an Existing Revolver Tranche may, to the extent provided in the applicable Extension Amendment, be designated as an increase in any previously established Revolver Extension Series with respect to such Existing Revolver Tranche. Each Revolver Extension Series of Extended Revolving Commitments incurred under this Section 2.24 shall be in an aggregate principal amount that is not less than $5,000,000 (or such lesser amount as to which the Administrative Agent may agree).</w:t>
      </w:r>
    </w:p>
    <w:p>
      <w:pPr>
        <w:spacing w:after="0" w:line="182" w:lineRule="exact"/>
        <w:rPr>
          <w:sz w:val="20"/>
          <w:szCs w:val="20"/>
          <w:color w:val="auto"/>
        </w:rPr>
      </w:pPr>
    </w:p>
    <w:p>
      <w:pPr>
        <w:jc w:val="both"/>
        <w:ind w:firstLine="656"/>
        <w:spacing w:after="0" w:line="251" w:lineRule="auto"/>
        <w:tabs>
          <w:tab w:leader="none" w:pos="111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shall provide the applicable Extension Request at least three (3) Business Days (or such shorter period as may be agreed by the Administrative Agent) prior to the date on which Lenders under the Existing Term Loan Tranche or Existing Revolver Tranche, as applicable, are requested to respond, and shall agree to such procedures, if any, as may be established by, or acceptable to, the Administrative Agent, in each case acting reasonably to accomplish the purposes of this Section 2.24. No Lender shall have any obligation to agree to have any of its Term Loans of any Existing Term Loan Tranche amended into Extended Term Loans or any of its Revolving Commitments amended into Extended Revolving Commitments, as applicable, pursuant to any Extension Request. Any Lender holding a Loan under an Existing Term Loan Tranche (each, an “</w:t>
      </w:r>
      <w:r>
        <w:rPr>
          <w:rFonts w:ascii="Times New Roman" w:cs="Times New Roman" w:eastAsia="Times New Roman" w:hAnsi="Times New Roman"/>
          <w:sz w:val="20"/>
          <w:szCs w:val="20"/>
          <w:b w:val="1"/>
          <w:bCs w:val="1"/>
          <w:color w:val="auto"/>
        </w:rPr>
        <w:t>Extending Term Lender</w:t>
      </w:r>
      <w:r>
        <w:rPr>
          <w:rFonts w:ascii="Times New Roman" w:cs="Times New Roman" w:eastAsia="Times New Roman" w:hAnsi="Times New Roman"/>
          <w:sz w:val="20"/>
          <w:szCs w:val="20"/>
          <w:color w:val="auto"/>
        </w:rPr>
        <w:t>”) wishing to have all or a portion of its Term Loans under the Existing Term Loan Tranche subject to such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413" w:right="339" w:bottom="1440" w:gutter="0" w:footer="0" w:header="0"/>
        </w:sectPr>
      </w:pPr>
    </w:p>
    <w:bookmarkStart w:id="105" w:name="page106"/>
    <w:bookmarkEnd w:id="105"/>
    <w:p>
      <w:pPr>
        <w:jc w:val="both"/>
        <w:spacing w:after="0" w:line="250" w:lineRule="auto"/>
        <w:rPr>
          <w:sz w:val="20"/>
          <w:szCs w:val="20"/>
          <w:color w:val="auto"/>
        </w:rPr>
      </w:pPr>
      <w:r>
        <w:rPr>
          <w:rFonts w:ascii="Times New Roman" w:cs="Times New Roman" w:eastAsia="Times New Roman" w:hAnsi="Times New Roman"/>
          <w:sz w:val="20"/>
          <w:szCs w:val="20"/>
          <w:color w:val="auto"/>
        </w:rPr>
        <w:t>Request amended into Extended Term Loans and any Revolving Lender (each, an “</w:t>
      </w:r>
      <w:r>
        <w:rPr>
          <w:rFonts w:ascii="Times New Roman" w:cs="Times New Roman" w:eastAsia="Times New Roman" w:hAnsi="Times New Roman"/>
          <w:sz w:val="20"/>
          <w:szCs w:val="20"/>
          <w:b w:val="1"/>
          <w:bCs w:val="1"/>
          <w:color w:val="auto"/>
        </w:rPr>
        <w:t>Extending Revolving Lender</w:t>
      </w:r>
      <w:r>
        <w:rPr>
          <w:rFonts w:ascii="Times New Roman" w:cs="Times New Roman" w:eastAsia="Times New Roman" w:hAnsi="Times New Roman"/>
          <w:sz w:val="20"/>
          <w:szCs w:val="20"/>
          <w:color w:val="auto"/>
        </w:rPr>
        <w:t>”) wishing to have all or a portion of its Revolving Commitments under the Existing Revolver Tranche subject to such Extension Request amended into Extended Revolving Commitments, as applicable, shall notify the Administrative Agent (each, an “</w:t>
      </w:r>
      <w:r>
        <w:rPr>
          <w:rFonts w:ascii="Times New Roman" w:cs="Times New Roman" w:eastAsia="Times New Roman" w:hAnsi="Times New Roman"/>
          <w:sz w:val="20"/>
          <w:szCs w:val="20"/>
          <w:b w:val="1"/>
          <w:bCs w:val="1"/>
          <w:color w:val="auto"/>
        </w:rPr>
        <w:t>Extension Election</w:t>
      </w:r>
      <w:r>
        <w:rPr>
          <w:rFonts w:ascii="Times New Roman" w:cs="Times New Roman" w:eastAsia="Times New Roman" w:hAnsi="Times New Roman"/>
          <w:sz w:val="20"/>
          <w:szCs w:val="20"/>
          <w:color w:val="auto"/>
        </w:rPr>
        <w:t>”) on or prior to the date specified in such Extension Request of the amount of its Term Loans under the Existing Term Loan Tranche or Revolving Commitments under the Existing Revolver Tranche, as applicable, which it has elected to request be amended into Extended Term Loans or Extended Revolving Commitments, as applicable (subject to any minimum denomination requirements imposed by the Administrative Agent). In the event that the aggregate principal amount of Term Loans under the Existing Term Loan Tranche or Revolving Commitments under the Existing Revolver Tranche, as applicable, in respect of which applicable Term Lenders or Revolving Lenders, as the case may be, shall have accepted the relevant Extension Request exceeds the amount of Extended Term Loans or Extended Revolving Commitments, as applicable, requested to be extended pursuant to the Extension Request, Term Loans or Revolving Commitments, as applicable, subject to Extension Elections shall be amended to Extended Term Loans or Revolving Commitments, as applicable, on a pro rata basis (subject to rounding by the Administrative Agent, which shall be conclusive absent manifest error) based on the aggregate principal amount of Term Loans or Revolving Commitments, as applicable, included in each such Extension Election.</w:t>
      </w:r>
    </w:p>
    <w:p>
      <w:pPr>
        <w:spacing w:after="0" w:line="197" w:lineRule="exact"/>
        <w:rPr>
          <w:sz w:val="20"/>
          <w:szCs w:val="20"/>
          <w:color w:val="auto"/>
        </w:rPr>
      </w:pPr>
    </w:p>
    <w:p>
      <w:pPr>
        <w:jc w:val="both"/>
        <w:ind w:firstLine="656"/>
        <w:spacing w:after="0" w:line="249" w:lineRule="auto"/>
        <w:tabs>
          <w:tab w:leader="none" w:pos="1222"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Extended Term Loans and Extended Revolving Commitments shall be established pursuant to an amendment (each, an “</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to this Agreement among the Company, the Administrative Agent and each Extending Term Lender or Extending Revolving Lender, as applicable, providing an Extended Term Loan or Extended Revolving Commitment, as applicable, thereunder, which shall be consistent with the provisions set forth in Section 2.24(a) above, respectively (but which shall not require the consent of any other Lender). The effectiveness of any Extension Amendment shall be subject to the satisfaction on the date thereof of each of the conditions set forth in Section 5.3 and, to the extent reasonably requested by the Administrative Agent, receipt by the Administrative Agent of reaffirmation agreements and/or such amendments to the Security Documents as may be reasonably requested by the Administrative Agent in order to ensure that the Extended Term Loans or Extended Revolving Commitments, as applicable, are provided with the benefit of the applicable Loan Documents. The Company may, at its election, specify as a condition to consummating any Extension Amendment that a minimum amount (to be determined and specified in the relevant Extension Request in the Company’s sole discretion and as may be waived by the Company) of Term Loans, Revolving Commitments or Incremental Revolving Commitments (as applicable) of any or all applicable Classes be tendered. The Administrative Agent shall promptly notify each Lender as to the effectiveness of each Extension Amendment. Each of the parties hereto hereby agrees that this Agreement and the other Loan Documents may be amended pursuant to an Extension Amendment, without the consent of any other Lenders, to the extent (but only to the extent) necessary to (i) reflect the existence and terms of the Extended Term Loans or Extended Revolving Commitments, as applicable, incurred pursuant thereto, (ii) modify the scheduled repayments applicable with respect to any Existing Term Loan Tranche subject to an Extension Election to reflect a reduction in the principal amount of the Term Loans thereunder in an amount equal to the aggregate principal amount of the Extended Term Loans amended pursuant to the applicable Extension Election (with such amount to be applied ratably to reduce scheduled repayments of such Term Loans), (iii) modify the prepayments applicable to the Term Loans to reflect the existence of the Extended Term Loans and the application of prepayments with respect thereto, (iv) make such other changes to this Agreement and the other Loan Documents consistent with the provisions and intent of Section 10.1 (without the consent of the Required Lenders called for therein) and (v) effect such other amendments to this Agreement and the other Loan Documents as may be necessary or appropriate, in the reasonable opinion of the Administrative Agent and the Company, to effect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40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color w:val="auto"/>
        </w:rPr>
        <w:t>2.24, and the Required Lenders hereby expressly authorize the Administrative Agent to enter into any such Extension Amendment.</w:t>
      </w:r>
    </w:p>
    <w:p>
      <w:pPr>
        <w:spacing w:after="0" w:line="229" w:lineRule="exact"/>
        <w:rPr>
          <w:sz w:val="20"/>
          <w:szCs w:val="20"/>
          <w:color w:val="auto"/>
        </w:rPr>
      </w:pPr>
    </w:p>
    <w:p>
      <w:pPr>
        <w:ind w:firstLine="656"/>
        <w:spacing w:after="0" w:line="269" w:lineRule="auto"/>
        <w:tabs>
          <w:tab w:leader="none" w:pos="111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extension of Loans pursuant to any Extension Election in accordance with this Section 2.24 shall constitute a voluntary or mandatory payment or prepayment for purposes of this Agreement.</w:t>
      </w:r>
    </w:p>
    <w:p>
      <w:pPr>
        <w:spacing w:after="0" w:line="168"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Section 2.24 shall supersede any provisions in Section 2.17 or </w:t>
      </w:r>
      <w:r>
        <w:rPr>
          <w:rFonts w:ascii="Times New Roman" w:cs="Times New Roman" w:eastAsia="Times New Roman" w:hAnsi="Times New Roman"/>
          <w:sz w:val="20"/>
          <w:szCs w:val="20"/>
          <w:b w:val="1"/>
          <w:bCs w:val="1"/>
          <w:color w:val="auto"/>
        </w:rPr>
        <w:t>10.1</w:t>
      </w:r>
      <w:r>
        <w:rPr>
          <w:rFonts w:ascii="Times New Roman" w:cs="Times New Roman" w:eastAsia="Times New Roman" w:hAnsi="Times New Roman"/>
          <w:sz w:val="20"/>
          <w:szCs w:val="20"/>
          <w:color w:val="auto"/>
        </w:rPr>
        <w:t xml:space="preserve"> to the contrary.</w:t>
      </w:r>
    </w:p>
    <w:p>
      <w:pPr>
        <w:spacing w:after="0" w:line="220"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u w:val="single" w:color="auto"/>
          <w:color w:val="auto"/>
        </w:rPr>
        <w:t>Incremental Loan Extensions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9" w:lineRule="auto"/>
        <w:tabs>
          <w:tab w:leader="none" w:pos="110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Borrower may, at any time, on one or more occasions pursuant to an Incremental Facility Amendment (i) add one or more new Classes of term facilities and/or increase the principal amount of any Term Loans of any existing Class by requesting new term loan commitments to be added to such Loans (any such new Class or increase, an “</w:t>
      </w:r>
      <w:r>
        <w:rPr>
          <w:rFonts w:ascii="Times New Roman" w:cs="Times New Roman" w:eastAsia="Times New Roman" w:hAnsi="Times New Roman"/>
          <w:sz w:val="20"/>
          <w:szCs w:val="20"/>
          <w:b w:val="1"/>
          <w:bCs w:val="1"/>
          <w:color w:val="auto"/>
        </w:rPr>
        <w:t>Incremental Term Facility</w:t>
      </w:r>
      <w:r>
        <w:rPr>
          <w:rFonts w:ascii="Times New Roman" w:cs="Times New Roman" w:eastAsia="Times New Roman" w:hAnsi="Times New Roman"/>
          <w:sz w:val="20"/>
          <w:szCs w:val="20"/>
          <w:color w:val="auto"/>
        </w:rPr>
        <w:t>” and any loans made pursuant to an Incremental Term Facility, “</w:t>
      </w:r>
      <w:r>
        <w:rPr>
          <w:rFonts w:ascii="Times New Roman" w:cs="Times New Roman" w:eastAsia="Times New Roman" w:hAnsi="Times New Roman"/>
          <w:sz w:val="20"/>
          <w:szCs w:val="20"/>
          <w:b w:val="1"/>
          <w:bCs w:val="1"/>
          <w:color w:val="auto"/>
        </w:rPr>
        <w:t>Incremental Term Loans</w:t>
      </w:r>
      <w:r>
        <w:rPr>
          <w:rFonts w:ascii="Times New Roman" w:cs="Times New Roman" w:eastAsia="Times New Roman" w:hAnsi="Times New Roman"/>
          <w:sz w:val="20"/>
          <w:szCs w:val="20"/>
          <w:color w:val="auto"/>
        </w:rPr>
        <w:t>”) and/or (ii) add one or more new Classes of revolving commitments and/or increase the aggregate amount of the Revolving Commitments of any existing Class (any such new Class or increase, an “</w:t>
      </w:r>
      <w:r>
        <w:rPr>
          <w:rFonts w:ascii="Times New Roman" w:cs="Times New Roman" w:eastAsia="Times New Roman" w:hAnsi="Times New Roman"/>
          <w:sz w:val="20"/>
          <w:szCs w:val="20"/>
          <w:b w:val="1"/>
          <w:bCs w:val="1"/>
          <w:color w:val="auto"/>
        </w:rPr>
        <w:t>Incremental Revolving Facility</w:t>
      </w:r>
      <w:r>
        <w:rPr>
          <w:rFonts w:ascii="Times New Roman" w:cs="Times New Roman" w:eastAsia="Times New Roman" w:hAnsi="Times New Roman"/>
          <w:sz w:val="20"/>
          <w:szCs w:val="20"/>
          <w:color w:val="auto"/>
        </w:rPr>
        <w:t>” and, together with any Incremental Term Facility, “</w:t>
      </w:r>
      <w:r>
        <w:rPr>
          <w:rFonts w:ascii="Times New Roman" w:cs="Times New Roman" w:eastAsia="Times New Roman" w:hAnsi="Times New Roman"/>
          <w:sz w:val="20"/>
          <w:szCs w:val="20"/>
          <w:b w:val="1"/>
          <w:bCs w:val="1"/>
          <w:color w:val="auto"/>
        </w:rPr>
        <w:t>Incremental Facilities</w:t>
      </w:r>
      <w:r>
        <w:rPr>
          <w:rFonts w:ascii="Times New Roman" w:cs="Times New Roman" w:eastAsia="Times New Roman" w:hAnsi="Times New Roman"/>
          <w:sz w:val="20"/>
          <w:szCs w:val="20"/>
          <w:color w:val="auto"/>
        </w:rPr>
        <w:t>”, or either or any thereof, an “</w:t>
      </w: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color w:val="auto"/>
        </w:rPr>
        <w:t>”; and the loans thereunder, “</w:t>
      </w:r>
      <w:r>
        <w:rPr>
          <w:rFonts w:ascii="Times New Roman" w:cs="Times New Roman" w:eastAsia="Times New Roman" w:hAnsi="Times New Roman"/>
          <w:sz w:val="20"/>
          <w:szCs w:val="20"/>
          <w:b w:val="1"/>
          <w:bCs w:val="1"/>
          <w:color w:val="auto"/>
        </w:rPr>
        <w:t>Incremental Revolving Loans</w:t>
      </w:r>
      <w:r>
        <w:rPr>
          <w:rFonts w:ascii="Times New Roman" w:cs="Times New Roman" w:eastAsia="Times New Roman" w:hAnsi="Times New Roman"/>
          <w:sz w:val="20"/>
          <w:szCs w:val="20"/>
          <w:color w:val="auto"/>
        </w:rPr>
        <w:t>” and, together with any Incremental Term Loans, “</w:t>
      </w:r>
      <w:r>
        <w:rPr>
          <w:rFonts w:ascii="Times New Roman" w:cs="Times New Roman" w:eastAsia="Times New Roman" w:hAnsi="Times New Roman"/>
          <w:sz w:val="20"/>
          <w:szCs w:val="20"/>
          <w:b w:val="1"/>
          <w:bCs w:val="1"/>
          <w:color w:val="auto"/>
        </w:rPr>
        <w:t>Incremental Loans</w:t>
      </w:r>
      <w:r>
        <w:rPr>
          <w:rFonts w:ascii="Times New Roman" w:cs="Times New Roman" w:eastAsia="Times New Roman" w:hAnsi="Times New Roman"/>
          <w:sz w:val="20"/>
          <w:szCs w:val="20"/>
          <w:color w:val="auto"/>
        </w:rPr>
        <w:t xml:space="preserve">”) in an aggregate outstanding principal amount not to exceed the Incremental Cap;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1" w:lineRule="exact"/>
        <w:rPr>
          <w:rFonts w:ascii="Times New Roman" w:cs="Times New Roman" w:eastAsia="Times New Roman" w:hAnsi="Times New Roman"/>
          <w:sz w:val="20"/>
          <w:szCs w:val="20"/>
          <w:color w:val="auto"/>
        </w:rPr>
      </w:pPr>
    </w:p>
    <w:p>
      <w:pPr>
        <w:ind w:left="660" w:right="20" w:firstLine="644"/>
        <w:spacing w:after="0" w:line="300" w:lineRule="auto"/>
        <w:tabs>
          <w:tab w:leader="none" w:pos="1712"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commitments in respect of Incremental Loans (“</w:t>
      </w:r>
      <w:r>
        <w:rPr>
          <w:rFonts w:ascii="Times New Roman" w:cs="Times New Roman" w:eastAsia="Times New Roman" w:hAnsi="Times New Roman"/>
          <w:sz w:val="19"/>
          <w:szCs w:val="19"/>
          <w:b w:val="1"/>
          <w:bCs w:val="1"/>
          <w:color w:val="auto"/>
        </w:rPr>
        <w:t>Incremental Commitment</w:t>
      </w:r>
      <w:r>
        <w:rPr>
          <w:rFonts w:ascii="Times New Roman" w:cs="Times New Roman" w:eastAsia="Times New Roman" w:hAnsi="Times New Roman"/>
          <w:sz w:val="19"/>
          <w:szCs w:val="19"/>
          <w:color w:val="auto"/>
        </w:rPr>
        <w:t>”) in respect of any Incremental Facility may be in an amount that is less than $10,000,000 (or such lesser amount to which the Administrative Agent may reasonably agree),</w:t>
      </w:r>
    </w:p>
    <w:p>
      <w:pPr>
        <w:spacing w:after="0" w:line="146" w:lineRule="exact"/>
        <w:rPr>
          <w:rFonts w:ascii="Times New Roman" w:cs="Times New Roman" w:eastAsia="Times New Roman" w:hAnsi="Times New Roman"/>
          <w:sz w:val="19"/>
          <w:szCs w:val="19"/>
          <w:color w:val="auto"/>
        </w:rPr>
      </w:pPr>
    </w:p>
    <w:p>
      <w:pPr>
        <w:jc w:val="both"/>
        <w:ind w:left="660" w:firstLine="644"/>
        <w:spacing w:after="0" w:line="258" w:lineRule="auto"/>
        <w:tabs>
          <w:tab w:leader="none" w:pos="177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separately agreed from time to time between such Borrower and any Lender, no Lender shall be obligated to provide any Incremental Commitment, and the determination to provide such commitments shall be within the sole and absolute discretion of such Lender (it being agreed that such Borrower shall not be obligated to offer the opportunity to any Lender to participate in any Incremental Facility),</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48"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Incremental Facility or Incremental Loan (nor the creation, provision or implementation thereof) shall require the approval of any existing Lender other than in its capacity, if any, as a lender providing all or part of such Incremental Facility or Incremental Loan,</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11"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final maturity date of any Incremental Revolving Facility or any Incremental Term Facility shall be no earlier than the Latest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foregoing limitation shall not apply to a customary bridge facility which, subject to customary conditions, automatically convert into long-term debt satisfying the requirements of this clause (iv) or to any Incremental Revolving Facility or any Incremental Term Facility incurred in reliance on the Inside Maturity Basket,</w:t>
      </w:r>
    </w:p>
    <w:p>
      <w:pPr>
        <w:spacing w:after="0" w:line="17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6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clause (iv) above, any Incremental Term Facility may otherwise have interest rates, call protection, mandatory prepayments and an amortization schedule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amortization schedule is customary for term facilities of the same type as the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41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Term Facility) as determined by such Borrower and the lenders providing such Incremental Term Facility,</w:t>
      </w:r>
    </w:p>
    <w:p>
      <w:pPr>
        <w:spacing w:after="0" w:line="229" w:lineRule="exact"/>
        <w:rPr>
          <w:sz w:val="20"/>
          <w:szCs w:val="20"/>
          <w:color w:val="auto"/>
        </w:rPr>
      </w:pPr>
    </w:p>
    <w:p>
      <w:pPr>
        <w:ind w:firstLine="644"/>
        <w:spacing w:after="0" w:line="269" w:lineRule="auto"/>
        <w:tabs>
          <w:tab w:leader="none" w:pos="126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applicable, the fees payable in connection with any Incremental Facility shall be determined by such Borrower and the arrangers and/or lenders providing such Incremental Facility,</w:t>
      </w:r>
    </w:p>
    <w:p>
      <w:pPr>
        <w:spacing w:after="0" w:line="172" w:lineRule="exact"/>
        <w:rPr>
          <w:rFonts w:ascii="Times New Roman" w:cs="Times New Roman" w:eastAsia="Times New Roman" w:hAnsi="Times New Roman"/>
          <w:sz w:val="20"/>
          <w:szCs w:val="20"/>
          <w:color w:val="auto"/>
        </w:rPr>
      </w:pPr>
    </w:p>
    <w:p>
      <w:pPr>
        <w:jc w:val="both"/>
        <w:ind w:firstLine="644"/>
        <w:spacing w:after="0" w:line="253" w:lineRule="auto"/>
        <w:tabs>
          <w:tab w:leader="none" w:pos="128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 Incremental Facility may be guaranteed by any Subsidiaries other than Subsidiaries that are Guarantors, (B) each Incremental Facility shall either be (x) secured by a Lien on the Collateral that is pari passu (but without regard to the control of remedies) with the Liens securing the Obligations, (y) secured by a Lien on the Collateral that is junior to the Liens securing the Obligations or (z) unsecured or secured solely by assets that do not constitute Collateral and (C) each Incremental Facility shall either rank pari passu with or junior to the Obligations in right of payment.</w:t>
      </w:r>
    </w:p>
    <w:p>
      <w:pPr>
        <w:spacing w:after="0" w:line="191" w:lineRule="exact"/>
        <w:rPr>
          <w:rFonts w:ascii="Times New Roman" w:cs="Times New Roman" w:eastAsia="Times New Roman" w:hAnsi="Times New Roman"/>
          <w:sz w:val="20"/>
          <w:szCs w:val="20"/>
          <w:color w:val="auto"/>
        </w:rPr>
      </w:pPr>
    </w:p>
    <w:p>
      <w:pPr>
        <w:jc w:val="both"/>
        <w:ind w:firstLine="644"/>
        <w:spacing w:after="0" w:line="258" w:lineRule="auto"/>
        <w:tabs>
          <w:tab w:leader="none" w:pos="113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Term Facility may provide for the ability to participate (A) a pro rata basis or non-pro rata basis in any voluntary prepayment of Term Loans, in each case, made pursuant to Section 2.10 and (B) on a pro rata or less than pro rata basis (but not on a greater than pro rata basis, other than in the case of prepayment with proceeds of Indebtedness refinancing such Incremental Term Loans) in any mandatory prepayment of Term Loans required hereunder,</w:t>
      </w:r>
    </w:p>
    <w:p>
      <w:pPr>
        <w:spacing w:after="0" w:line="172" w:lineRule="exact"/>
        <w:rPr>
          <w:rFonts w:ascii="Times New Roman" w:cs="Times New Roman" w:eastAsia="Times New Roman" w:hAnsi="Times New Roman"/>
          <w:sz w:val="20"/>
          <w:szCs w:val="20"/>
          <w:color w:val="auto"/>
        </w:rPr>
      </w:pPr>
    </w:p>
    <w:p>
      <w:pPr>
        <w:jc w:val="both"/>
        <w:ind w:firstLine="644"/>
        <w:spacing w:after="0" w:line="253" w:lineRule="auto"/>
        <w:tabs>
          <w:tab w:leader="none" w:pos="108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1.4(d), (A) no Default or Event of Default shall exist immediately prior to or after giving effect to the effectiveness of such Incremental Facility and (B) the representations and warranties made by any Loan Party in or pursuant to the Loan Documents shall be true and correct in all material respects (and in all respects if any such representation and warranty is qualified by materiality) on and as of the date of effectiveness of such Incremental Facility (except to the extent any such representation and warranty expressly relates to an earlier date, in which case it was true and correct in all material respects (and in all respects if any such representation and warranty is qualified by materiality) as of such earlier date,</w:t>
      </w:r>
    </w:p>
    <w:p>
      <w:pPr>
        <w:spacing w:after="0" w:line="192" w:lineRule="exact"/>
        <w:rPr>
          <w:rFonts w:ascii="Times New Roman" w:cs="Times New Roman" w:eastAsia="Times New Roman" w:hAnsi="Times New Roman"/>
          <w:sz w:val="20"/>
          <w:szCs w:val="20"/>
          <w:color w:val="auto"/>
        </w:rPr>
      </w:pPr>
    </w:p>
    <w:p>
      <w:pPr>
        <w:jc w:val="both"/>
        <w:ind w:firstLine="644"/>
        <w:spacing w:after="0" w:line="264" w:lineRule="auto"/>
        <w:tabs>
          <w:tab w:leader="none" w:pos="114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otherwise required or permitted in clauses (i) through (x) above and except in the case of any increase in the principal amount of Loans of any existing Class, all other terms of any Incremental Facility shall be as agreed between such Borrower and the Lenders providing such Incremental Facility;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to the extent such terms are not consistent with the terms in respect of the applicable Facility, they shall be not materially more restrictive (as determined by such Borrower in good faith), when taken as a whole, than those under such applicable Facility (except for covenants or other provisions (x) applicable only to periods after the Latest Maturity Date, (y) that are also added for the benefit of each applicable Facility or (z) that are reasonably satisfactory to the Administrative Agent); provided that, in the case of clauses (w), (y) and (z), if any financial maintenance covenant for the benefit of any Incremental Facility is added or is more restrictive than the financial maintenance covenant then applicable to any then-existing Revolving Facility, such financial maintenance covenant shall be applied to any then-existing Revolving Facility,</w:t>
      </w:r>
    </w:p>
    <w:p>
      <w:pPr>
        <w:spacing w:after="0" w:line="186" w:lineRule="exact"/>
        <w:rPr>
          <w:rFonts w:ascii="Times New Roman" w:cs="Times New Roman" w:eastAsia="Times New Roman" w:hAnsi="Times New Roman"/>
          <w:sz w:val="19"/>
          <w:szCs w:val="19"/>
          <w:color w:val="auto"/>
        </w:rPr>
      </w:pPr>
    </w:p>
    <w:p>
      <w:pPr>
        <w:ind w:firstLine="644"/>
        <w:spacing w:after="0" w:line="283" w:lineRule="auto"/>
        <w:tabs>
          <w:tab w:leader="none" w:pos="123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in respect of any Incremental Facility constituting an increase in the principal amount of an existing Class shall be the same as the terms of such existing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0580"/>
          </w:cols>
          <w:pgMar w:left="980" w:top="1413" w:right="339" w:bottom="1440" w:gutter="0" w:footer="0" w:header="0"/>
        </w:sectPr>
      </w:pPr>
    </w:p>
    <w:bookmarkStart w:id="108" w:name="page109"/>
    <w:bookmarkEnd w:id="108"/>
    <w:p>
      <w:pPr>
        <w:jc w:val="both"/>
        <w:ind w:left="660" w:firstLine="644"/>
        <w:spacing w:after="0" w:line="261" w:lineRule="auto"/>
        <w:tabs>
          <w:tab w:leader="none" w:pos="1972"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any Incremental Facility may be used for working capital, Capital Expenditures and other general corporate purposes of the applicable Borrowers and their Subsidiaries (including permitted Restricted Payments, Investments, permitted acquisitions, Restricted Debt Payments) and any other purpose not prohibited by the terms of the Loan Documents,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81"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of the making of any Incremental Term Loans that will be added to any Class of then existing Term Loans, and notwithstanding anything to the contrary set forth in Sections 2.14, such Incremental Term Loans shall be added to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may result in new Incremental Term Loans having Interest Periods (the duration of which may be less than one month) that begin during an Interest Period then applicable to outstanding Term Benchmark Loans of the relevant Class and which end on the last day of such Interest Period.</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1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Incremental Commitments may be provided by any existing Lender or by any other Assignee (any such other Assignee being called an “</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Issuing Banks and the Swingline Lender shall have consented (such consent not to be unreasonably withheld, conditioned or delayed) to the relevant Additional Lender’s provision of Incremental Commitments if such consent would be required under Section 10.6(c) for an assignment of Loans to such Additional Lender.</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0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or Additional Lender providing a portion of any Incremental Commitment shall execute and deliver to the Administrative Agent and such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precedent to the effectiveness of any Incremental Facility or the making of any Incremental Loans, (i) upon its request, the Administrative Agent shall have received reaffirmation agreements, supplements and/or amendments as it shall reasonably require, (ii) the Administrative Agent shall have received, from each Additional Lender, an Administrative Questionnaire and such other documents as it shall reasonably require from such Additional Lender and (iii) the Administrative Agent and applicable Additional Lenders shall have received all fees required to be paid in respect of such Incremental Facility or Incremental Loans.</w:t>
      </w:r>
    </w:p>
    <w:p>
      <w:pPr>
        <w:spacing w:after="0" w:line="191" w:lineRule="exact"/>
        <w:rPr>
          <w:rFonts w:ascii="Times New Roman" w:cs="Times New Roman" w:eastAsia="Times New Roman" w:hAnsi="Times New Roman"/>
          <w:sz w:val="20"/>
          <w:szCs w:val="20"/>
          <w:color w:val="auto"/>
        </w:rPr>
      </w:pPr>
    </w:p>
    <w:p>
      <w:pPr>
        <w:jc w:val="both"/>
        <w:ind w:firstLine="656"/>
        <w:spacing w:after="0" w:line="251" w:lineRule="auto"/>
        <w:tabs>
          <w:tab w:leader="none" w:pos="110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Lenders hereby irrevocably authorize the Administrative Agent to enter into any Incremental Facility Amendment and/or any amendment to any other Loan Document with the Company and/or such Borrower as may be necessary in order to establish new or any increase in any Classes or sub-Classes in respect of Loans or commitments pursuant to this Section 2.25 and such technical amendments as may be necessary or appropriate in the reasonable opinion of the Administrative Agent and such Borrower in connection with the establishment of such Classes or sub-Classes, in each case on terms consistent with this Section 2.25 (including with respect to (i) establishing Incremental Revolving Commitments denominated in a foreign currency, (ii) the incorporation of customary agency provisions of the Administrative Agent required for the administration of a revolving credit facility, letter of credit facility and/or swing line loan facility established pursuant to any Class of Incremental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53" w:lineRule="auto"/>
        <w:rPr>
          <w:sz w:val="20"/>
          <w:szCs w:val="20"/>
          <w:color w:val="auto"/>
        </w:rPr>
      </w:pPr>
      <w:r>
        <w:rPr>
          <w:rFonts w:ascii="Times New Roman" w:cs="Times New Roman" w:eastAsia="Times New Roman" w:hAnsi="Times New Roman"/>
          <w:sz w:val="20"/>
          <w:szCs w:val="20"/>
          <w:color w:val="auto"/>
        </w:rPr>
        <w:t>Commitments (including provisions with respect to the inclusion of a customary base rate option for Borrowings under such revolving credit facility), (iii) the appointment of a letter of credit issuer and/or swing line lender pursuant to any Class of Incremental Revolving Commitments, (iv) the appointment of one or more a Subsidiary Guarantors as a Borrower in respect of such Incremental Facility and/or (v) providing that any or all of the Financial Covenants may apply with respect to any Incremental Term Facility in the form of term “a” loans to the extent required by the lenders providing such Incremental Term Facility (including, for the avoidance of doubt, applicable amendments to Section 8 and Section 10.1(c)(i)).</w:t>
      </w:r>
    </w:p>
    <w:p>
      <w:pPr>
        <w:spacing w:after="0" w:line="192" w:lineRule="exact"/>
        <w:rPr>
          <w:sz w:val="20"/>
          <w:szCs w:val="20"/>
          <w:color w:val="auto"/>
        </w:rPr>
      </w:pPr>
    </w:p>
    <w:p>
      <w:pPr>
        <w:jc w:val="both"/>
        <w:ind w:firstLine="656"/>
        <w:spacing w:after="0" w:line="253" w:lineRule="auto"/>
        <w:tabs>
          <w:tab w:leader="none" w:pos="1067"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2.25 (including Section 2.25(d)) or in any other provision of any Loan Document, if the proceeds of any Incremental Term Facility are intended to be applied to finance an acquisition or other Investment and the lenders providing such Incremental Term Facility so agree, the availability thereof shall be subject to customary “SunGard” or “certain funds” conditionality (including the making and accuracy of customary specified representations in connection with such acquisition or other Investment).</w:t>
      </w:r>
    </w:p>
    <w:p>
      <w:pPr>
        <w:spacing w:after="0" w:line="19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2.25 shall supersede any provision in Section 2.17 or 10.1 to the contrary.</w:t>
      </w:r>
    </w:p>
    <w:p>
      <w:pPr>
        <w:spacing w:after="0" w:line="21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implementation of any Incremental Revolving Facility pursuant to this Section 2.25:</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798"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Incremental Revolving Facility establishes Revolving Commitments of the same Class as any then-existing Class of Revolving Commitments, (i) each Revolving Lender immediately prior to such increase will automatically and without further act be deemed to have assigned to each relevant Lender under such Incremental Revolving Facility, and each relevant Lender under such Incremental Revolving Facility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Lender’s under such Incremental Revolving Facility) (A) participations hereunder in Letters of Credit and (B) participations hereunder in Swingline Loans shall be held on a pro rata basis on the basis of their respective Revolving Commitments (after giving effect to any increase in the Revolving Commitment pursuant to this Section 2.25)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Commitments of such Class (after giving effect to any increase in the Revolving Commitment pursuant to this Section 2.25); it being understood and agreed that the minimum borrowing, pro rata borrowing and pro rata payment requirements contained elsewhere in this Agreement shall not apply to the transactions effected pursuant to this clause (i); and</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41"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such Incremental Revolving Facility establishes Revolving Commitments of a new Class, (1) the borrowing and repayment (except for (A) payments of interest and fees at different rates on any Revolving Facility, (B) repayments required upon the maturity date of any Revolving Facility and (C) repayments made in connection with any permanent repayment and termination of any Revolving Commitments (subject to </w:t>
      </w:r>
      <w:r>
        <w:rPr>
          <w:rFonts w:ascii="Times New Roman" w:cs="Times New Roman" w:eastAsia="Times New Roman" w:hAnsi="Times New Roman"/>
          <w:sz w:val="20"/>
          <w:szCs w:val="20"/>
          <w:u w:val="single" w:color="auto"/>
          <w:color w:val="auto"/>
        </w:rPr>
        <w:t>clause (3)</w:t>
      </w:r>
      <w:r>
        <w:rPr>
          <w:rFonts w:ascii="Times New Roman" w:cs="Times New Roman" w:eastAsia="Times New Roman" w:hAnsi="Times New Roman"/>
          <w:sz w:val="20"/>
          <w:szCs w:val="20"/>
          <w:color w:val="auto"/>
        </w:rPr>
        <w:t xml:space="preserve"> below)) of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413" w:right="339" w:bottom="1440" w:gutter="0" w:footer="0" w:header="0"/>
        </w:sectPr>
      </w:pPr>
    </w:p>
    <w:bookmarkStart w:id="110" w:name="page111"/>
    <w:bookmarkEnd w:id="110"/>
    <w:p>
      <w:pPr>
        <w:jc w:val="both"/>
        <w:ind w:left="660"/>
        <w:spacing w:after="0" w:line="266" w:lineRule="auto"/>
        <w:rPr>
          <w:sz w:val="20"/>
          <w:szCs w:val="20"/>
          <w:color w:val="auto"/>
        </w:rPr>
      </w:pPr>
      <w:r>
        <w:rPr>
          <w:rFonts w:ascii="Times New Roman" w:cs="Times New Roman" w:eastAsia="Times New Roman" w:hAnsi="Times New Roman"/>
          <w:sz w:val="19"/>
          <w:szCs w:val="19"/>
          <w:color w:val="auto"/>
        </w:rPr>
        <w:t>Revolving Loans after the effective date of such Incremental Revolving Facility shall be made on a pro rata basis with any then-existing Revolving Facility, (2) all Swingline Loans and/or Letters of Credit made or issued, as applicable, under such Incremental Revolving Facility shall be participated on a pro rata basis by all Revolving Lenders and (3) any permanent repayment of Revolving Loans with respect to, and reduction or termination of Revolving Commitments under, any Revolving Facility after the effective date of any Incremental Revolving Facility shall be made on a pro rata basis or less than pro rata basis with all other Revolving Facilities, except that the applicable Borrowers shall be permitted to permanently repay Revolving Loans and terminate Revolving Commitments of any Revolving Facility on a greater than pro rata basis (I) as compared to any other Revolving Facilities with a later maturity date than such Revolving Facility or (II) with the proceeds of Indebtedness refinancing such Revolving Facility.</w:t>
      </w:r>
    </w:p>
    <w:p>
      <w:pPr>
        <w:spacing w:after="0" w:line="18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2.27. </w:t>
      </w:r>
      <w:r>
        <w:rPr>
          <w:rFonts w:ascii="Times New Roman" w:cs="Times New Roman" w:eastAsia="Times New Roman" w:hAnsi="Times New Roman"/>
          <w:sz w:val="20"/>
          <w:szCs w:val="20"/>
          <w:u w:val="single" w:color="auto"/>
          <w:color w:val="auto"/>
        </w:rPr>
        <w:t>Defaulting Revolving Lenders</w:t>
      </w:r>
      <w:r>
        <w:rPr>
          <w:rFonts w:ascii="Times New Roman" w:cs="Times New Roman" w:eastAsia="Times New Roman" w:hAnsi="Times New Roman"/>
          <w:sz w:val="20"/>
          <w:szCs w:val="20"/>
          <w:color w:val="auto"/>
        </w:rPr>
        <w:t>. Notwithstanding any provision of this Agreement to the contrary, if any Revolving Lender becomes a Defaulting Lender (a “</w:t>
      </w:r>
      <w:r>
        <w:rPr>
          <w:rFonts w:ascii="Times New Roman" w:cs="Times New Roman" w:eastAsia="Times New Roman" w:hAnsi="Times New Roman"/>
          <w:sz w:val="20"/>
          <w:szCs w:val="20"/>
          <w:b w:val="1"/>
          <w:bCs w:val="1"/>
          <w:color w:val="auto"/>
        </w:rPr>
        <w:t>Defaulting Revolving Lender</w:t>
      </w:r>
      <w:r>
        <w:rPr>
          <w:rFonts w:ascii="Times New Roman" w:cs="Times New Roman" w:eastAsia="Times New Roman" w:hAnsi="Times New Roman"/>
          <w:sz w:val="20"/>
          <w:szCs w:val="20"/>
          <w:color w:val="auto"/>
        </w:rPr>
        <w:t>”), then the following provisions shall apply for so long as such Revolving Lender is a Defaulting Revolving Lender:</w:t>
      </w:r>
    </w:p>
    <w:p>
      <w:pPr>
        <w:spacing w:after="0" w:line="2" w:lineRule="exact"/>
        <w:rPr>
          <w:sz w:val="20"/>
          <w:szCs w:val="20"/>
          <w:color w:val="auto"/>
        </w:rPr>
      </w:pPr>
    </w:p>
    <w:p>
      <w:pPr>
        <w:ind w:firstLine="656"/>
        <w:spacing w:after="0" w:line="260" w:lineRule="auto"/>
        <w:tabs>
          <w:tab w:leader="none" w:pos="1099"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commitment fees shall cease to accrue on the Available Revolving Commitment (if any) of such Defaulting Revolving Lender pursuant to Section 2.6;</w:t>
      </w:r>
    </w:p>
    <w:p>
      <w:pPr>
        <w:spacing w:after="0" w:line="16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Swingline Exposure or LC Exposure exists at the time such Lender becomes a Defaulting Revolving Lender, then:</w:t>
      </w:r>
    </w:p>
    <w:p>
      <w:pPr>
        <w:spacing w:after="0" w:line="22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12"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or any part of the Swingline Exposure and LC Exposure of such Defaulting Revolving Lender (other than, in the case of a Defaulting Revolving Lender that is the Swingline Lender, the portion of such Swingline Exposure referred to in clause (b) of the definition of such term) shall be reallocated among the non-Defaulting Revolving Lenders in accordance with their respective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Percentages but only to the extent that such reallocation does not, as to any non-Defaulting</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Revolving Lender, cause such non-Defaulting Revolving Lender’s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Revolving Extensions of Credit</w:t>
      </w:r>
      <w:r>
        <w:rPr>
          <w:rFonts w:ascii="Times New Roman" w:cs="Times New Roman" w:eastAsia="Times New Roman" w:hAnsi="Times New Roman"/>
          <w:sz w:val="20"/>
          <w:szCs w:val="20"/>
          <w:color w:val="000000"/>
        </w:rPr>
        <w:t xml:space="preserve"> to exceed its </w:t>
      </w:r>
      <w:r>
        <w:rPr>
          <w:rFonts w:ascii="Times New Roman" w:cs="Times New Roman" w:eastAsia="Times New Roman" w:hAnsi="Times New Roman"/>
          <w:sz w:val="20"/>
          <w:szCs w:val="20"/>
          <w:u w:val="single" w:color="auto"/>
          <w:color w:val="0070C0"/>
        </w:rPr>
        <w:t>Revolving</w:t>
      </w:r>
      <w:r>
        <w:rPr>
          <w:rFonts w:ascii="Times New Roman" w:cs="Times New Roman" w:eastAsia="Times New Roman" w:hAnsi="Times New Roman"/>
          <w:sz w:val="20"/>
          <w:szCs w:val="20"/>
          <w:color w:val="0070C0"/>
        </w:rPr>
        <w:t xml:space="preserve"> </w:t>
      </w:r>
      <w:r>
        <w:rPr>
          <w:rFonts w:ascii="Times New Roman" w:cs="Times New Roman" w:eastAsia="Times New Roman" w:hAnsi="Times New Roman"/>
          <w:sz w:val="20"/>
          <w:szCs w:val="20"/>
          <w:color w:val="000000"/>
        </w:rPr>
        <w:t>Commitment;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57" w:lineRule="auto"/>
        <w:tabs>
          <w:tab w:leader="none" w:pos="174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reallocation described in clause (i) above cannot, or can only partially, be effected, each applicable Borrower shall within one Business Day following notice by the Administrative Agent (x) first, prepay such Swingline Exposure and (y) second, cash collateralize for the benefit of the Issuing Banks only any Borrower’s obligations corresponding to such Defaulting Revolving Lender’s LC Exposure (after giving effect to any partial reallocation pursuant to clause (i) above) in accordance with the procedures set forth in Section 2.13(j) for so long as such LC Exposure is outstanding;</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98"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and so long as a Borrower cash collateralizes any portion of such Defaulting Revolving Lender’s LC Exposure pursuant to clause (ii) above, then such Borrower shall not be required to pay any fees to such Defaulting Revolving Lender pursuant to Section 2.13(l) with respect to such Defaulting Revolving Lender’s LC Exposure during the period such Defaulting Revolving Lender’s LC Exposure is cash collateralized;</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823" w:val="left"/>
        </w:tabs>
        <w:numPr>
          <w:ilvl w:val="1"/>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LC Exposure of the non-Defaulting Revolving Lenders is reallocated pursuant to clause (i) above, then the fees payable to the Lenders pursuant to Section 2.6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413"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20"/>
          <w:szCs w:val="20"/>
          <w:color w:val="auto"/>
        </w:rPr>
        <w:t>Section 2.13(l) shall be adjusted in accordance with such non-Defaulting Revolving Lenders’ Applicable Percentages; and</w:t>
      </w:r>
    </w:p>
    <w:p>
      <w:pPr>
        <w:spacing w:after="0" w:line="229" w:lineRule="exact"/>
        <w:rPr>
          <w:sz w:val="20"/>
          <w:szCs w:val="20"/>
          <w:color w:val="auto"/>
        </w:rPr>
      </w:pPr>
    </w:p>
    <w:p>
      <w:pPr>
        <w:jc w:val="both"/>
        <w:ind w:left="660" w:firstLine="644"/>
        <w:spacing w:after="0" w:line="254" w:lineRule="auto"/>
        <w:tabs>
          <w:tab w:leader="none" w:pos="1773"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all or any portion of such Defaulting Revolving Lender’s LC Exposure is neither reallocated nor cash collateralized pursuant to clause (i) or (ii) above, then, without prejudice to any rights or remedies of any Issuing Bank or any other Lender hereunder, all letter of credit fees payable under Section 2.13(l) with respect to such Defaulting Revolving Lender’s LC Exposure shall be payable to the Issuing Banks until and to the extent that such LC Exposure is reallocated and/or cash collateralized; and</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such Lender is a Defaulting Revolving Lender, the Swingline Lender shall not be required to fund any Swingline Loan and no Issuing Bank shall be required to issue, amend or increase any Letter of Credit, unless it is satisfied that the related exposure and the Defaulting Revolving Lender’s then outstanding LC Exposure will be 100% covered by the Commitments of the non-Defaulting Revolving Lenders and/or cash collateral will be provided by the applicable Borrower in accordance with Section 2.27(b), and Swingline Exposure related to any newly made Swingline Loan or LC Exposure related to any newly issued or increased Letter of Credit shall be allocated among non-Defaulting Revolving Lenders in a manner consistent with Section 2.27(b)(i) (and such Defaulting Revolving Lender shall not participate therein); and</w:t>
      </w:r>
    </w:p>
    <w:p>
      <w:pPr>
        <w:spacing w:after="0" w:line="179" w:lineRule="exact"/>
        <w:rPr>
          <w:rFonts w:ascii="Times New Roman" w:cs="Times New Roman" w:eastAsia="Times New Roman" w:hAnsi="Times New Roman"/>
          <w:sz w:val="20"/>
          <w:szCs w:val="20"/>
          <w:color w:val="auto"/>
        </w:rPr>
      </w:pPr>
    </w:p>
    <w:p>
      <w:pPr>
        <w:jc w:val="both"/>
        <w:ind w:firstLine="656"/>
        <w:spacing w:after="0" w:line="257" w:lineRule="auto"/>
        <w:tabs>
          <w:tab w:leader="none" w:pos="1105"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Revolving Commitment and Revolving Extensions of Credit of such Defaulting Revolving Lender shall not be included in determining whether the Required Lenders or the Majority Facility Lenders under the Revolving Facility have taken or may take any action hereunder (including any consent to any amendment, waiver or other modification pursuant to Section 10.1); provided, that this clause (d) shall not apply in the case of an amendment, waiver or other modification requiring the consent of all Lenders or each Lender affected thereby; and</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22"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amount payable to such Defaulting Revolving Lender hereunder (whether on account of principal, interest, fees or otherwise and including any amount that would otherwise be payable to such Defaulting Revolving Lender pursuant to Section 10.7 but excluding Section 2.22) shall, in lieu of being distributed to such Defaulting Revolving Lender and without duplication, be retained by the Administrative Agent in a segregated interest-bearing account reasonably satisfactory to the Administrative Agent and the applicable Borrower(s) and, subject to any applicable requirements of law, be applied at such time or times as may be determined by the Administrative Agent (i) first, to the payment of any amounts owing by such Defaulting Revolving Lender to the Administrative Agent hereunder, (ii) second, to the payment on a pro rata basis of any amounts owing by such Defaulting Revolving Lender to any Issuing Bank or Swingline Lender hereunder, (iii) third, to cash collateralize LC Exposure with respect to such Defaulting Revolving Lender in accordance with this Section, (iv) fourth, to the funding of any Revolving Loan in respect of which such Defaulting Revolving Lender has failed to fund its portion thereof as required by this Agreement, as determined by the Administrative Agent, (v) fifth, if so determined by the Administrative Agent and the Borrower, unless such Defaulting Revolving Lender has no remaining unutilized Revolving Commitment, to be held in a deposit account and released pro rata in order to (x) satisfy such Defaulting Revolving Lender’s potential future funding obligations with respect to Loans under this Agreement and (y) cash collateralize future LC Exposure with respect to such Defaulting Revolving Lender with respect to future Letters of Credit issued under this Agreement, in accordance with this Section, (vi) sixth, to the payment of any amounts owing to the Lenders, the Issuing Banks or the Swingline Lender as a result of any judgment of a court of competent jurisdiction obtained by any Lender, the Issuing Banks or the Swingline Lender against such Defaulting Revolving Lender as a result of such Defaulting Revolving Lender’s breach of its obligations under this Agreement or under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413" w:right="339" w:bottom="1440" w:gutter="0" w:footer="0" w:header="0"/>
        </w:sectPr>
      </w:pPr>
    </w:p>
    <w:bookmarkStart w:id="112" w:name="page113"/>
    <w:bookmarkEnd w:id="112"/>
    <w:p>
      <w:pPr>
        <w:jc w:val="both"/>
        <w:spacing w:after="0" w:line="250" w:lineRule="auto"/>
        <w:rPr>
          <w:sz w:val="20"/>
          <w:szCs w:val="20"/>
          <w:color w:val="auto"/>
        </w:rPr>
      </w:pPr>
      <w:r>
        <w:rPr>
          <w:rFonts w:ascii="Times New Roman" w:cs="Times New Roman" w:eastAsia="Times New Roman" w:hAnsi="Times New Roman"/>
          <w:sz w:val="20"/>
          <w:szCs w:val="20"/>
          <w:color w:val="auto"/>
        </w:rPr>
        <w:t>other Loan Document, (vii) seventh, to the payment of any amounts owing to the applicable Borrower(s) as a result of any judgment of a court of competent jurisdiction obtained by such Borrower(s) against such Defaulting Revolving Lender as a result of such Defaulting Revolving Lender’s breach of its obligations under this Agreement, and (viii) eighth, to such Defaulting Revolving Lender or as otherwise directed by a court of competent jurisdiction, provided, that, with respect to this clause (viii), if such payment is (A) a prepayment of the principal amount of any Revolving Loans or Reimbursement Obligations as to which a Defaulting Revolving Lender has funded its participation and (B) made at a time when the conditions set forth in Section 5.3 are satisfied, such payment shall be applied solely to prepay the Revolving Loans of, and Reimbursement Obligations owed to, all Revolving Lenders that are not Defaulting Revolving Lenders under the Revolving Facility pro rata prior to being applied to the prepayment of any Revolving Loans of, or Reimbursement Obligations owed to, any Defaulting Revolving Lender. On the Revolving Termination Date, any remaining amounts not previously applied (except for amounts in connection with clause (vii) above) shall be returned to the applicable Defaulting Revolving Lender.</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In the event that each of the Administrative Agent, the Company, the Swingline Lender and each Issuing Bank agrees that a Defaulting Revolving Lender has adequately remedied all matters that caused such Revolving Lender to be a Defaulting Revolving Lender, then the Swingline Exposure and LC Exposure of the Revolving Lenders shall be readjusted to reflect the inclusion of such Revolving Lender’s Revolving Commitment and on such date such Revolving Lender shall purchase at par such of the Revolving Loans of the other Revolving Lenders (other than Swingline Loans) as the Administrative Agent shall determine may be necessary in order for such Revolving Lender to hold such Revolving Loans in accordance with its Revolving Percentage.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provisions of this Agreement relating to funding, payment and other matters with respect to the Revolving Facility may be adjusted by the Administrative Agent, with the consent of the Borrowers (such consent not to be unreasonably withheld), to the extent necessary to give effect to the provisions of this Section 2.27. The provisions of this Section 2.27 may not be amended, supplemented or modified without, in addition to consents required by Section 10.1, the prior written consent of the Administrative Agent, the Swingline Lender, the Issuing Banks, the Borrowers and any Defaulting Revolving Lenders.</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Subject to Section 10.19, no reallocation hereunder shall constitute a waiver or release of any claim of any party hereunder against a Defaulting Revolving Lender arising from such Lender becoming a Defaulting Revolving Lender, including any claim of a non-Defaulting Revolving Lender as a result of such non-Defaulting Revolving Lender’s increased exposure following such reallocation.</w:t>
      </w:r>
    </w:p>
    <w:p>
      <w:pPr>
        <w:spacing w:after="0" w:line="16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u w:val="single" w:color="auto"/>
          <w:color w:val="auto"/>
        </w:rPr>
        <w:t>Refinancing Facilities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1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one or more occasions after the Closing Date, the applicable Borrower may obtain, from any Lender or any other bank, financial institution or other institutional lender or investor (other than an Ineligible Institution) that agrees to provide any portion of Refinancing Term Loans or Other Revolving Commitments pursuant to a Refinancing Amendment in accordance with this Section 2.28 (each, an “</w:t>
      </w:r>
      <w:r>
        <w:rPr>
          <w:rFonts w:ascii="Times New Roman" w:cs="Times New Roman" w:eastAsia="Times New Roman" w:hAnsi="Times New Roman"/>
          <w:sz w:val="20"/>
          <w:szCs w:val="20"/>
          <w:b w:val="1"/>
          <w:bCs w:val="1"/>
          <w:color w:val="auto"/>
        </w:rPr>
        <w:t>Additional Refinancing Lender</w:t>
      </w:r>
      <w:r>
        <w:rPr>
          <w:rFonts w:ascii="Times New Roman" w:cs="Times New Roman" w:eastAsia="Times New Roman" w:hAnsi="Times New Roman"/>
          <w:sz w:val="20"/>
          <w:szCs w:val="20"/>
          <w:color w:val="auto"/>
        </w:rPr>
        <w:t>”) (provided that the Administrative Agent, the Swingline Lender and each Issuing Bank, if applicable, shall have consented (not to be unreasonably withheld or delayed) to such Lender’s or Additional Refinancing Lender’s providing such Refinancing Term Loans or Other Revolving Commitments to the extent such consent, if any, would be required under Section 10.6(c) for an assignment of Revolving Commitments or Loans to such Lender or Additional Refinancing Lender), Credit Agreement Refinancing Indebtedness in respect of all or any portion of any Class, as selected by the applicable Borrower in its sole discretion, of Term Loans or Revolving Loans (or unused Commitments in respect thereof) then outstanding under this Agreement, in the form of Refinancing Term Loans, Refinancing Term Commitments, Other Revolving Commitments, or Other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41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9"/>
          <w:szCs w:val="19"/>
          <w:color w:val="auto"/>
        </w:rPr>
        <w:t>Loans; provided that notwithstanding anything to the contrary in this Section 2.28 or otherwise, (1) the borrowing and repayment (except for</w:t>
      </w:r>
    </w:p>
    <w:p>
      <w:pPr>
        <w:spacing w:after="0" w:line="40" w:lineRule="exact"/>
        <w:rPr>
          <w:sz w:val="20"/>
          <w:szCs w:val="20"/>
          <w:color w:val="auto"/>
        </w:rPr>
      </w:pPr>
    </w:p>
    <w:p>
      <w:pPr>
        <w:jc w:val="both"/>
        <w:ind w:firstLine="8"/>
        <w:spacing w:after="0" w:line="260" w:lineRule="auto"/>
        <w:tabs>
          <w:tab w:leader="none" w:pos="342"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payments of interest and fees at different rates on Other Revolving Commitments (and related outstandings), (B) repayments required upon the maturity date of the Other Revolving Commitments and (C) repayment made in connection with a permanent repayment and termination of commitments (subject to clause (3) below)) of Loans with respect to Other Revolving Commitments after the date of obtaining any Other Revolving Commitments shall be made on a pro rata basis with all other Revolving Commitments, (2) all Swingline Loans and Letters of Credit shall be participated on a pro rata basis by all Lenders with Commitments in accordance with their percentage of the Commitments in respect of Revolving Loans, (3) the permanent repayment of Revolving Loans with respect to, and termination of, Other Revolving Commitments after the date of obtaining any Other Revolving Commitments shall be made on a pro rata basis with all other Revolving Commitments in respect of Revolving Loans, except that the Company shall be permitted to permanently repay and terminate commitments of any such Class on a better than a pro rata basis as compared to any other Class with a later maturity date than such Class and</w:t>
      </w:r>
    </w:p>
    <w:p>
      <w:pPr>
        <w:spacing w:after="0" w:line="2" w:lineRule="exact"/>
        <w:rPr>
          <w:rFonts w:ascii="Times New Roman" w:cs="Times New Roman" w:eastAsia="Times New Roman" w:hAnsi="Times New Roman"/>
          <w:sz w:val="19"/>
          <w:szCs w:val="19"/>
          <w:color w:val="auto"/>
        </w:rPr>
      </w:pPr>
    </w:p>
    <w:p>
      <w:pPr>
        <w:spacing w:after="0" w:line="26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 assignments and participations of Other Revolving Commitments and Other Revolving Loans shall be governed by the same assignment and participation provisions applicable to Revolving Commitments and Revolving Loans.</w:t>
      </w:r>
    </w:p>
    <w:p>
      <w:pPr>
        <w:spacing w:after="0" w:line="161" w:lineRule="exact"/>
        <w:rPr>
          <w:rFonts w:ascii="Times New Roman" w:cs="Times New Roman" w:eastAsia="Times New Roman" w:hAnsi="Times New Roman"/>
          <w:sz w:val="19"/>
          <w:szCs w:val="19"/>
          <w:color w:val="auto"/>
        </w:rPr>
      </w:pPr>
    </w:p>
    <w:p>
      <w:pPr>
        <w:jc w:val="both"/>
        <w:ind w:firstLine="656"/>
        <w:spacing w:after="0" w:line="257" w:lineRule="auto"/>
        <w:tabs>
          <w:tab w:leader="none" w:pos="1212"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any Refinancing Amendment shall be subject to the satisfaction on the date thereof of each of the conditions set forth in Section 5.3 and, to the extent reasonably requested by the Administrative Agent, receipt by the Administrative Agent of reaffirmation agreements and/or such amendments to the Security Documents as may be reasonably requested by the Administrative Agent in order to ensure that such Credit Agreement Refinancing Indebtedness is provided with the benefit of the applicable Loan Documents.</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03"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issuance of Credit Agreement Refinancing Indebtedness under Section 2.28(a) shall be in an aggregate principal amount that is (x) not less than $10,000,000 and (y) an integral multiple of $1,000,000 in excess thereof.</w:t>
      </w:r>
    </w:p>
    <w:p>
      <w:pPr>
        <w:spacing w:after="0" w:line="146" w:lineRule="exact"/>
        <w:rPr>
          <w:rFonts w:ascii="Times New Roman" w:cs="Times New Roman" w:eastAsia="Times New Roman" w:hAnsi="Times New Roman"/>
          <w:sz w:val="20"/>
          <w:szCs w:val="20"/>
          <w:color w:val="auto"/>
        </w:rPr>
      </w:pPr>
    </w:p>
    <w:p>
      <w:pPr>
        <w:jc w:val="both"/>
        <w:ind w:firstLine="656"/>
        <w:spacing w:after="0" w:line="269" w:lineRule="auto"/>
        <w:tabs>
          <w:tab w:leader="none" w:pos="1146" w:val="left"/>
        </w:tabs>
        <w:numPr>
          <w:ilvl w:val="1"/>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Credit Agreement Refinancing Indebtedness incurred pursuant thereto and (ii) make such other changes to this Agreement and the other Loan Documents consistent with the provisions and intent of the third paragraph of Section 10.1 (without the consent of the Required Lenders called for therein) and (iii) effect such other amendments to this Agreement and the other Loan Documents as may be necessary or appropriate, in the reasonable opinion of the Administrative Agent and the Company, to effect the provisions of this Section 2.28, and the Required Lenders hereby expressly authorize the Administrative Agent to enter into any such Refinancing Amendment.</w:t>
      </w:r>
    </w:p>
    <w:p>
      <w:pPr>
        <w:spacing w:after="0" w:line="158" w:lineRule="exact"/>
        <w:rPr>
          <w:rFonts w:ascii="Times New Roman" w:cs="Times New Roman" w:eastAsia="Times New Roman" w:hAnsi="Times New Roman"/>
          <w:sz w:val="19"/>
          <w:szCs w:val="19"/>
          <w:color w:val="auto"/>
        </w:rPr>
      </w:pPr>
    </w:p>
    <w:p>
      <w:pPr>
        <w:ind w:left="1060" w:hanging="404"/>
        <w:spacing w:after="0"/>
        <w:tabs>
          <w:tab w:leader="none" w:pos="1060" w:val="left"/>
        </w:tabs>
        <w:numPr>
          <w:ilvl w:val="1"/>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Section 2.28 shall supersede any provisions in Section 2.17 or </w:t>
      </w:r>
      <w:r>
        <w:rPr>
          <w:rFonts w:ascii="Times New Roman" w:cs="Times New Roman" w:eastAsia="Times New Roman" w:hAnsi="Times New Roman"/>
          <w:sz w:val="20"/>
          <w:szCs w:val="20"/>
          <w:b w:val="1"/>
          <w:bCs w:val="1"/>
          <w:color w:val="auto"/>
        </w:rPr>
        <w:t>10.1</w:t>
      </w:r>
      <w:r>
        <w:rPr>
          <w:rFonts w:ascii="Times New Roman" w:cs="Times New Roman" w:eastAsia="Times New Roman" w:hAnsi="Times New Roman"/>
          <w:sz w:val="20"/>
          <w:szCs w:val="20"/>
          <w:color w:val="auto"/>
        </w:rPr>
        <w:t xml:space="preserve"> to the contrary.</w:t>
      </w:r>
    </w:p>
    <w:p>
      <w:pPr>
        <w:spacing w:after="0" w:line="23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3.</w:t>
      </w:r>
      <w:r>
        <w:rPr>
          <w:sz w:val="20"/>
          <w:szCs w:val="20"/>
          <w:color w:val="auto"/>
        </w:rPr>
        <w:tab/>
      </w:r>
      <w:r>
        <w:rPr>
          <w:rFonts w:ascii="Times New Roman" w:cs="Times New Roman" w:eastAsia="Times New Roman" w:hAnsi="Times New Roman"/>
          <w:sz w:val="19"/>
          <w:szCs w:val="19"/>
          <w:color w:val="auto"/>
        </w:rPr>
        <w:t>[RESERVED]</w:t>
      </w:r>
    </w:p>
    <w:p>
      <w:pPr>
        <w:spacing w:after="0" w:line="22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4.</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or participate in the Letters of Credit, the Company and, as to itself, each other Borrower each hereby represent and warrant to the Administrative Agent and each Lender,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413" w:right="339" w:bottom="1440" w:gutter="0" w:footer="0" w:header="0"/>
        </w:sectPr>
      </w:pPr>
    </w:p>
    <w:bookmarkStart w:id="114" w:name="page115"/>
    <w:bookmarkEnd w:id="114"/>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Financial Condition</w:t>
      </w:r>
      <w:r>
        <w:rPr>
          <w:rFonts w:ascii="Times New Roman" w:cs="Times New Roman" w:eastAsia="Times New Roman" w:hAnsi="Times New Roman"/>
          <w:sz w:val="20"/>
          <w:szCs w:val="20"/>
          <w:color w:val="auto"/>
        </w:rPr>
        <w:t>. The financial statements of the Company delivered to the Arrangers prior to the Closing Date and the financial statements of the Company delivered pursuant to Section 6.1 present fairly in all material respects the financial condition of the Company as at the date referenced therein, and the combined results of its operations and its combined cash flows for the applicable periods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No Change</w:t>
      </w:r>
      <w:r>
        <w:rPr>
          <w:rFonts w:ascii="Times New Roman" w:cs="Times New Roman" w:eastAsia="Times New Roman" w:hAnsi="Times New Roman"/>
          <w:sz w:val="20"/>
          <w:szCs w:val="20"/>
          <w:color w:val="auto"/>
        </w:rPr>
        <w:t>. Since December 31, 2024, there has not occurred any change, development or event that, individually or in the aggregate, has had or would reasonably be expected to have a Material Adverse Effect.</w:t>
      </w:r>
    </w:p>
    <w:p>
      <w:pPr>
        <w:spacing w:after="0" w:line="3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Existence; Compliance with Law</w:t>
      </w:r>
      <w:r>
        <w:rPr>
          <w:rFonts w:ascii="Times New Roman" w:cs="Times New Roman" w:eastAsia="Times New Roman" w:hAnsi="Times New Roman"/>
          <w:sz w:val="20"/>
          <w:szCs w:val="20"/>
          <w:color w:val="auto"/>
        </w:rPr>
        <w:t>. Each of the Company and its Subsidiaries (a) is (except in the case of any Immaterial Subsidiary) duly organized, validly existing and in good standing (to the extent such concept is relevant in the applicable jurisdiction) under the laws of the jurisdiction of its organization, (b) has the corporate or other organizational power and authority, and the legal right, to own and operate its property, to lease the property it operates as lessee and to conduct the business in which it is currently engaged, (c) is duly qualified as a foreign corporation or other entity and in good standing (to the extent such concept is relevant in the applicable jurisdiction) under the laws of each jurisdiction where its ownership, lease or operation of property or the conduct of its business requires such qualification and (d) is in compliance with all Requirements of Law except, in the case of clauses (a) (except with respect to any Borrower), (b), (c) and (d), to the extent that the failure to be qualified or comply would not, in the aggregate, reasonably be expected to have a Material Adverse Effect.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Power; Authorization; Enforceable Obligations</w:t>
      </w:r>
      <w:r>
        <w:rPr>
          <w:rFonts w:ascii="Times New Roman" w:cs="Times New Roman" w:eastAsia="Times New Roman" w:hAnsi="Times New Roman"/>
          <w:sz w:val="20"/>
          <w:szCs w:val="20"/>
          <w:color w:val="auto"/>
        </w:rPr>
        <w:t>. Each Loan Party has the corporate or other organizational power and authority, and the legal right, to make, deliver and perform the Loan Documents to which it is a party and, in the case of each Borrower, to borrow hereunder. Each Loan Party has taken all necessary corporate or other organizational action to authorize the execution, delivery and performance of the Loan Documents to which it is a party and, in the case of each Borrower, to authorize the borrowings on the terms and conditions of this Agreement. No consent or authorization of, filing with, notice to or other act by or in respect of, any Governmental Authority or any other Person is required in connection with the borrowings hereunder or with the execution, delivery, performance, validity or enforceability of this Agreement or any of the other Loan Documents, except (i) consents, authorizations, filings and notices described in Schedule 4.4, which consents, authorizations, filings and notices have been obtained or made and are in full force and effect or will have been obtained or made and be in full force and effect on the Closing Date or (ii) where the failure to obtain such consent or authorization, or failure to file or provide notice would not, in the aggregate, reasonably be expected to have a Material Adverse Effect. Each Loan Document has been duly executed and delivered on behalf of each Loan Party that is a party thereto. This Agreement constitutes, and each other Loan Document upon execution will constitute, a legal, valid and binding obligation of each Loan Party that is a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413" w:right="339" w:bottom="1440" w:gutter="0" w:footer="0" w:header="0"/>
        </w:sectPr>
      </w:pPr>
    </w:p>
    <w:bookmarkStart w:id="115" w:name="page116"/>
    <w:bookmarkEnd w:id="115"/>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No Legal Bar</w:t>
      </w:r>
      <w:r>
        <w:rPr>
          <w:rFonts w:ascii="Times New Roman" w:cs="Times New Roman" w:eastAsia="Times New Roman" w:hAnsi="Times New Roman"/>
          <w:sz w:val="20"/>
          <w:szCs w:val="20"/>
          <w:color w:val="auto"/>
        </w:rPr>
        <w:t>. The execution, delivery and performance of this Agreement and the other Loan Documents, the issuance of Letters of Credit, the borrowings hereunder and the use of the proceeds thereof will not violate (a) the Certificate of Incorporation and By-Laws or other organizational or governing documents of the Company or any of its Subsidiaries or (b) any other Requirement of Law or any Contractual Obligation of the Company or any of its Subsidiaries and will not result in, or require, the creation or imposition of any Lien on any of their respective properties or revenues pursuant to any Requirement of Law or any such Contractual Obligation (other than the Liens created by the Security Documents), except to the extent, in this clause (b), such violation would not reasonably be expected to have a Material Adverse Effect.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the Company, threatened by or against the Company or any of its Subsidiaries or against any of their respective properties or revenues (a) with respect to any of the Loan Documents or any of the transactions contemplated hereby or thereby, or (b) that would reasonably be expected to have a Material Adverse Effect.</w:t>
      </w:r>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No Default</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ind w:firstLine="656"/>
        <w:spacing w:after="0" w:line="260" w:lineRule="auto"/>
        <w:tabs>
          <w:tab w:leader="none" w:pos="109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is in default under or with respect to any of its Contractual Obligations in any respect that would reasonably be expected to have a Material Adverse Effect.</w:t>
      </w:r>
    </w:p>
    <w:p>
      <w:pPr>
        <w:spacing w:after="0" w:line="16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has occurred and is continuing.</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Ownership of Property</w:t>
      </w:r>
      <w:r>
        <w:rPr>
          <w:rFonts w:ascii="Times New Roman" w:cs="Times New Roman" w:eastAsia="Times New Roman" w:hAnsi="Times New Roman"/>
          <w:sz w:val="20"/>
          <w:szCs w:val="20"/>
          <w:color w:val="auto"/>
        </w:rPr>
        <w:t>. Each of the Company and its Subsidiaries (other than Foreign Subsidiaries, as to which no representation is made) has title in fee simple to, or a valid leasehold interest in, all its material real property, including the Mortgaged Properties, and good title to, or a valid leasehold interest in, all its other property and rights, except where such failure would not, in the aggregate, reasonably be expected to have a Material Adverse Effect.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The Company and each of its Subsidiaries owns, or has a license or right to use, all Intellectual Property necessary for the conduct of its business as currently conducted, and no claim has been asserted and is pending, or, to the knowledge of the Company, threatened in writing, by any Person challenging or questioning the use of any such Intellectual Property or the validity of any such Intellectual Property owned by the Company or any of its Subsidiaries, nor does the Company know of any valid basis for any such claim, except, in each of the foregoing cases, as would not, in the aggregate, reasonably be expected to result in a Material Adverse Effect. To the Knowledge of the Company, no use of Intellectual Property by the Company and its Subsidiaries infringes, misappropriates or otherwise violates the valid and enforceable Intellectual Property rights of any Person, except where such use would not, individually or in the aggregate, reasonably be expected to result in a Material Adverse Effect.</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4.10.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Except as would not be expected to result in a Material Adverse Effect, each of the Company and each of its Subsidiaries has filed or caused to be filed all Federal, state and other tax returns that are required to be filed and has paid all Taxes (whether or not shown to be due and payable on said returns) or on any assessments made against it or any of its property and all other Taxes imposed on it or any of its property by any Governmental Authority (other than any amount or validity of which are currently being contested in good faith by appropriate proceedings and with respect to which reserves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41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color w:val="auto"/>
        </w:rPr>
        <w:t>conformity with GAAP have been provided on the books of the Company or such Subsidiary, as the case may be).</w:t>
      </w:r>
    </w:p>
    <w:p>
      <w:pPr>
        <w:spacing w:after="0" w:line="24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Federal Regulations</w:t>
      </w:r>
      <w:r>
        <w:rPr>
          <w:rFonts w:ascii="Times New Roman" w:cs="Times New Roman" w:eastAsia="Times New Roman" w:hAnsi="Times New Roman"/>
          <w:sz w:val="20"/>
          <w:szCs w:val="20"/>
          <w:color w:val="auto"/>
        </w:rPr>
        <w:t>. No part of the proceeds of any Loans or Letters of Credit will be used for “buying” or “carrying” any “margin stock” within the respective meanings of each of the quoted terms under Regulation U as now and from time to time hereafter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 or for any purpose that violates the provisions of the Regulations of the Board.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Labor Matters</w:t>
      </w:r>
      <w:r>
        <w:rPr>
          <w:rFonts w:ascii="Times New Roman" w:cs="Times New Roman" w:eastAsia="Times New Roman" w:hAnsi="Times New Roman"/>
          <w:sz w:val="20"/>
          <w:szCs w:val="20"/>
          <w:color w:val="auto"/>
        </w:rPr>
        <w:t>. Except as, in the aggregate, would not reasonably be expected to have a Material Adverse Effect: (a) there are no strikes or other labor disputes against the Company or any of its Subsidiaries pending or, to the Knowledge of the Company, threatened and (b) hours worked by and payment made to employees of the Company and its Subsidiaries have not been in violation of the Fair Labor Standards Act or any other applicable Requirement of Law dealing with such matters.</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4.13. </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During the five-year period prior to the date on which this representation is made, except as would not reasonably be expected to have a Material Adverse Effect, (a) neither a Reportable Event nor an “accumulated funding deficiency” or “failure to meet the minimum funding standards” (within the meaning of Section 412 of the Code or Section 302 of ERISA) has occurred with respect to any Single Employer Plan, (b) each Single Employer Plan has complied with the applicable provisions of ERISA and the Code, (c) no termination of a Single Employer Plan under Section 4041(c) of ERISA has occurred, and (d) no Lien in favor of the PBGC or a Plan has arisen.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Single Employer Plan allocable to such accrued benefits by an amount which would reasonably be expected to have a Material Adverse Effect. Neither the Company nor any Commonly Controlled Entity has had a complete or partial withdrawal from any Multiemployer Plan that has resulted or would reasonably be expected to result in a Material Adverse Effect. Except as would not reasonably be expected to result in a Material Adverse Effect to the Loan Parties, no such Multiemployer Plan is Insolvent.</w:t>
      </w:r>
    </w:p>
    <w:p>
      <w:pPr>
        <w:spacing w:after="0" w:line="200" w:lineRule="exact"/>
        <w:rPr>
          <w:sz w:val="20"/>
          <w:szCs w:val="20"/>
          <w:color w:val="auto"/>
        </w:rPr>
      </w:pP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Investment Company Act; Other Regulations</w:t>
      </w:r>
      <w:r>
        <w:rPr>
          <w:rFonts w:ascii="Times New Roman" w:cs="Times New Roman" w:eastAsia="Times New Roman" w:hAnsi="Times New Roman"/>
          <w:sz w:val="20"/>
          <w:szCs w:val="20"/>
          <w:color w:val="auto"/>
        </w:rPr>
        <w:t>. No Loan Party is required to register as an “investment company” within the meaning of the Investment Company Act of 1940, as amended.</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4.15. </w:t>
      </w:r>
      <w:r>
        <w:rPr>
          <w:rFonts w:ascii="Times New Roman" w:cs="Times New Roman" w:eastAsia="Times New Roman" w:hAnsi="Times New Roman"/>
          <w:sz w:val="20"/>
          <w:szCs w:val="20"/>
          <w:u w:val="single" w:color="auto"/>
          <w:color w:val="auto"/>
        </w:rPr>
        <w:t>Subsidiaries</w:t>
      </w:r>
      <w:r>
        <w:rPr>
          <w:rFonts w:ascii="Times New Roman" w:cs="Times New Roman" w:eastAsia="Times New Roman" w:hAnsi="Times New Roman"/>
          <w:sz w:val="20"/>
          <w:szCs w:val="20"/>
          <w:color w:val="auto"/>
        </w:rPr>
        <w:t>. Schedule 4.15 sets forth the name and jurisdiction of formation of each Subsidiary and, as to each such Subsidiary, the percentage of each class of Capital Stock owned by the Company or any Subsidiary, in each case, on the Closing Date.</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4.16.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Revolving Loans shall be used to finance the working capital needs, capital expenditures and general corporate purposes of the Company and its Subsidiaries or for any other purpose not prohibited under this Agreement. The proceeds of the Swingline Loans and the Letters of Credit shall be used for general corporate purposes or for any other purpose not prohibited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17" w:name="page118"/>
    <w:bookmarkEnd w:id="117"/>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4.17.</w:t>
      </w:r>
      <w:r>
        <w:rPr>
          <w:sz w:val="20"/>
          <w:szCs w:val="20"/>
          <w:color w:val="auto"/>
        </w:rPr>
        <w:tab/>
      </w:r>
      <w:r>
        <w:rPr>
          <w:rFonts w:ascii="Times New Roman" w:cs="Times New Roman" w:eastAsia="Times New Roman" w:hAnsi="Times New Roman"/>
          <w:sz w:val="19"/>
          <w:szCs w:val="19"/>
          <w:u w:val="single" w:color="auto"/>
          <w:color w:val="auto"/>
        </w:rPr>
        <w:t>Environmental Matters</w:t>
      </w:r>
      <w:r>
        <w:rPr>
          <w:rFonts w:ascii="Times New Roman" w:cs="Times New Roman" w:eastAsia="Times New Roman" w:hAnsi="Times New Roman"/>
          <w:sz w:val="19"/>
          <w:szCs w:val="19"/>
          <w:color w:val="auto"/>
        </w:rPr>
        <w:t>. Except as, in the aggregate, would not reasonably be expected to have a Material Adverse Effect:</w:t>
      </w:r>
    </w:p>
    <w:p>
      <w:pPr>
        <w:spacing w:after="0" w:line="28" w:lineRule="exact"/>
        <w:rPr>
          <w:sz w:val="20"/>
          <w:szCs w:val="20"/>
          <w:color w:val="auto"/>
        </w:rPr>
      </w:pPr>
    </w:p>
    <w:p>
      <w:pPr>
        <w:jc w:val="both"/>
        <w:ind w:firstLine="656"/>
        <w:spacing w:after="0" w:line="253" w:lineRule="auto"/>
        <w:tabs>
          <w:tab w:leader="none" w:pos="108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facilities and real properties owned, leased or operated by the Company or any of its Subsidiaries (the “</w:t>
      </w:r>
      <w:r>
        <w:rPr>
          <w:rFonts w:ascii="Times New Roman" w:cs="Times New Roman" w:eastAsia="Times New Roman" w:hAnsi="Times New Roman"/>
          <w:sz w:val="20"/>
          <w:szCs w:val="20"/>
          <w:b w:val="1"/>
          <w:bCs w:val="1"/>
          <w:color w:val="auto"/>
        </w:rPr>
        <w:t>Properties</w:t>
      </w:r>
      <w:r>
        <w:rPr>
          <w:rFonts w:ascii="Times New Roman" w:cs="Times New Roman" w:eastAsia="Times New Roman" w:hAnsi="Times New Roman"/>
          <w:sz w:val="20"/>
          <w:szCs w:val="20"/>
          <w:color w:val="auto"/>
        </w:rPr>
        <w:t>”) do not contain any Materials of Environmental Concern under circumstances that constitute a violation of, or would reasonably be expected to give rise to liability under, any Environmental Law;</w:t>
      </w:r>
    </w:p>
    <w:p>
      <w:pPr>
        <w:spacing w:after="0" w:line="175" w:lineRule="exact"/>
        <w:rPr>
          <w:rFonts w:ascii="Times New Roman" w:cs="Times New Roman" w:eastAsia="Times New Roman" w:hAnsi="Times New Roman"/>
          <w:sz w:val="20"/>
          <w:szCs w:val="20"/>
          <w:color w:val="auto"/>
        </w:rPr>
      </w:pPr>
    </w:p>
    <w:p>
      <w:pPr>
        <w:jc w:val="both"/>
        <w:ind w:firstLine="656"/>
        <w:spacing w:after="0" w:line="268" w:lineRule="auto"/>
        <w:tabs>
          <w:tab w:leader="none" w:pos="1087"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has received any written notice of violation, alleged violation, non-compliance, liability or potential liability regarding Environmental Laws with regard to any of the Properties or the business operated by the Company or any of its Subsidiaries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nor does the Company have Knowledge of any such threatened notice;</w:t>
      </w:r>
    </w:p>
    <w:p>
      <w:pPr>
        <w:spacing w:after="0" w:line="161" w:lineRule="exact"/>
        <w:rPr>
          <w:rFonts w:ascii="Times New Roman" w:cs="Times New Roman" w:eastAsia="Times New Roman" w:hAnsi="Times New Roman"/>
          <w:sz w:val="20"/>
          <w:szCs w:val="20"/>
          <w:color w:val="auto"/>
        </w:rPr>
      </w:pPr>
    </w:p>
    <w:p>
      <w:pPr>
        <w:jc w:val="both"/>
        <w:ind w:firstLine="656"/>
        <w:spacing w:after="0" w:line="258" w:lineRule="auto"/>
        <w:tabs>
          <w:tab w:leader="none" w:pos="106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Materials of Environmental Concern have not been transported or disposed of from the Properties in violation of, or in a manner or to a location that would be reasonably expected to give rise to liability under, any Environmental Law, nor have any Materials of Environmental Concern been generated, treated, stored or disposed of at, on or under any of the Properties in violation of, or in a manner that would reasonably be expected to give rise to liability under, any Environmental Law;</w:t>
      </w:r>
    </w:p>
    <w:p>
      <w:pPr>
        <w:spacing w:after="0" w:line="185" w:lineRule="exact"/>
        <w:rPr>
          <w:rFonts w:ascii="Times New Roman" w:cs="Times New Roman" w:eastAsia="Times New Roman" w:hAnsi="Times New Roman"/>
          <w:sz w:val="20"/>
          <w:szCs w:val="20"/>
          <w:color w:val="auto"/>
        </w:rPr>
      </w:pPr>
    </w:p>
    <w:p>
      <w:pPr>
        <w:jc w:val="both"/>
        <w:ind w:firstLine="656"/>
        <w:spacing w:after="0" w:line="254" w:lineRule="auto"/>
        <w:tabs>
          <w:tab w:leader="none" w:pos="11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judicial proceeding or governmental or administrative action is pending or, to the Knowledge of the Company, threatened, under any Environmental Law to which the Company or any Subsidiary is or, to the knowledge of the Company, will be named as a party with respect to the Properties or the Business, nor are there any consent decrees or other decrees, consent orders or administrative orders or other orders in effect under any Environmental Law with respect to the Properties or the Business;</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has been no release or threatened release of Materials of Environmental Concern at or from the Properties, or arising from or related to the operations of the Company or any Subsidiary in connection with the Properties or otherwise in connection with the Business, in violation of or in amounts or in a manner that could give rise to liability under Environmental Laws; and</w:t>
      </w:r>
    </w:p>
    <w:p>
      <w:pPr>
        <w:spacing w:after="0" w:line="181"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the Subsidiaries are, and have in the last five years been in compliance, with all applicable Environmental</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Laws.</w:t>
      </w:r>
    </w:p>
    <w:p>
      <w:pPr>
        <w:spacing w:after="0" w:line="20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4.18.</w:t>
      </w:r>
      <w:r>
        <w:rPr>
          <w:sz w:val="20"/>
          <w:szCs w:val="20"/>
          <w:color w:val="auto"/>
        </w:rPr>
        <w:tab/>
      </w:r>
      <w:r>
        <w:rPr>
          <w:rFonts w:ascii="Times New Roman" w:cs="Times New Roman" w:eastAsia="Times New Roman" w:hAnsi="Times New Roman"/>
          <w:sz w:val="19"/>
          <w:szCs w:val="19"/>
          <w:u w:val="single" w:color="auto"/>
          <w:color w:val="auto"/>
        </w:rPr>
        <w:t>Accuracy of Information, etc.</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49" w:lineRule="auto"/>
        <w:tabs>
          <w:tab w:leader="none" w:pos="111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Written factual information, other than the Projections, forward-looking statements, estimates and information of a general economic or industry specific nature (the “</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that has been made available to the Administrative Agent or the Arrangers in connection with the transactions contemplated by this Agreement, concerning the Company, its Subsidiaries and the transactions contemplated by this Agreement, when taken as a whole, does not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and (ii) the Projections have been prepared in good faith based upon assumptions believed by the Company to be reasonable at the time furnished (it being recognized that such Projections are not to be viewed as facts and are subject to significant uncertainties and contingencies many of which are beyond the Company’s control and that actual results during the period or periods covered by any such Projections may differ from the projected results, and such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413" w:right="339" w:bottom="1440" w:gutter="0" w:footer="0" w:header="0"/>
        </w:sectPr>
      </w:pPr>
    </w:p>
    <w:bookmarkStart w:id="118" w:name="page119"/>
    <w:bookmarkEnd w:id="118"/>
    <w:p>
      <w:pPr>
        <w:jc w:val="both"/>
        <w:ind w:firstLine="656"/>
        <w:spacing w:after="0" w:line="261" w:lineRule="auto"/>
        <w:tabs>
          <w:tab w:leader="none" w:pos="12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to the best Knowledge of the Company, the information included in the Beneficial Ownership Certification and any Declaration of Beneficiaries and Controlling Parties provided on or prior to the Closing Date to any Lender in connection with this Agreement is true and correct in all material respects.</w:t>
      </w:r>
    </w:p>
    <w:p>
      <w:pPr>
        <w:spacing w:after="0" w:line="18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4.19.</w:t>
      </w:r>
      <w:r>
        <w:rPr>
          <w:sz w:val="20"/>
          <w:szCs w:val="20"/>
          <w:color w:val="auto"/>
        </w:rPr>
        <w:tab/>
      </w:r>
      <w:r>
        <w:rPr>
          <w:rFonts w:ascii="Times New Roman" w:cs="Times New Roman" w:eastAsia="Times New Roman" w:hAnsi="Times New Roman"/>
          <w:sz w:val="19"/>
          <w:szCs w:val="19"/>
          <w:u w:val="single" w:color="auto"/>
          <w:color w:val="auto"/>
        </w:rPr>
        <w:t>Security Documents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63" w:lineRule="auto"/>
        <w:tabs>
          <w:tab w:leader="none" w:pos="1075"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Collateral Agreement is effective to create in favor of the Collateral Agent, for the benefit of the Administrative Agent and the Lenders, a legal, valid and enforceable (except as enforceability may be limited by applicable bankruptcy, insolvency, reorganization, moratorium or similar laws affecting the enforcement of creditors’ rights generally) security interest in the Collateral described therein and proceeds thereof. In the case of the Pledged Stock, when the Administrative Agent (or its designee or agent) obtains control of stock certificates representing such Pledged Stock, in the case of the other Collateral described in the Collateral Agreement (other than any Intellectual Property constituting Collateral), when financing statements and other filings specified on Schedule 4.19(a) in appropriate form are or have been filed in the offices specified on Schedule 4.19(a), and, in the case of Intellectual Property constituting Collateral, when financing statements and other filings specified on Schedule 4.19(a) in appropriate form are or have been filed in the appropriate offices and, to the extent UCC filings are insufficient under applicable Law to perfect the security interest therein appropriate filings have been filed with the United States Patent and Trademark Office or United States Copyright Office, as applicable, the Collateral Agreement shall constitute a fully perfected Lien on, and security interest in, all right, title and interest of the Loan Parties party thereto in such Collateral and the proceeds thereof to the extent a security interest can be perfected by filings or other action required thereunder as security for the Obligations (as defined in the Collateral Agreement), in each case prior and superior in right to any other Person (except, Liens permitted by Section 7.3).</w:t>
      </w:r>
    </w:p>
    <w:p>
      <w:pPr>
        <w:spacing w:after="0" w:line="173" w:lineRule="exact"/>
        <w:rPr>
          <w:rFonts w:ascii="Times New Roman" w:cs="Times New Roman" w:eastAsia="Times New Roman" w:hAnsi="Times New Roman"/>
          <w:sz w:val="19"/>
          <w:szCs w:val="19"/>
          <w:color w:val="auto"/>
        </w:rPr>
      </w:pPr>
    </w:p>
    <w:p>
      <w:pPr>
        <w:ind w:left="1080" w:hanging="424"/>
        <w:spacing w:after="0"/>
        <w:tabs>
          <w:tab w:leader="none" w:pos="10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656"/>
        <w:spacing w:after="0" w:line="251" w:lineRule="auto"/>
        <w:tabs>
          <w:tab w:leader="none" w:pos="107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Mortgages is effective to create in favor of the Collateral Agent, for the benefit of the Administrative Agent and the Secured Parties, a legal, valid and enforceable Lien on the Mortgaged Properties described therein and proceeds thereof, and when the Mortgages are or have been filed or recorded in the appropriate offices,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subject only to permitted Liens described in Section 7.3 hereof. As of the Closing Date, Schedule 1.1B lists each of the real properties in the United States owned in fee simple by the Company or any of its Subsidiaries having a value, in the reasonable opinion of the Company, in excess of $10,000,000.</w:t>
      </w:r>
    </w:p>
    <w:p>
      <w:pPr>
        <w:spacing w:after="0" w:line="19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4.20.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As of the Closing Date, each Loan Party is, and after giving effect to the incurrence of all Indebtedness and obligations being incurred in connection herewith will be, Solvent.</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4.21. </w:t>
      </w:r>
      <w:r>
        <w:rPr>
          <w:rFonts w:ascii="Times New Roman" w:cs="Times New Roman" w:eastAsia="Times New Roman" w:hAnsi="Times New Roman"/>
          <w:sz w:val="20"/>
          <w:szCs w:val="20"/>
          <w:u w:val="single" w:color="auto"/>
          <w:color w:val="auto"/>
        </w:rPr>
        <w:t>Anti-Corruption Laws; Sanctions and Patriot Act</w:t>
      </w:r>
      <w:r>
        <w:rPr>
          <w:rFonts w:ascii="Times New Roman" w:cs="Times New Roman" w:eastAsia="Times New Roman" w:hAnsi="Times New Roman"/>
          <w:sz w:val="20"/>
          <w:szCs w:val="20"/>
          <w:color w:val="auto"/>
        </w:rPr>
        <w:t>. The Company has implemented and maintains in effect policies and procedures reasonably designed to promote compliance by the Company, its Subsidiaries and their respective directors, officers, employees and agents with Anti-Corruption Laws and applicable Sanctions, and the Company, its Subsidiaries and, to the Knowledge of the Company, its directors, officers, employees and agents, acting in their capacity as such, are in compliance with Anti-Corruption Laws and applicable Sanctions in all material respects. None of (a) the Company, any Subsidiary or, to the Knowledge of the Company, any of the Company’s directors, officers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19" w:name="page120"/>
    <w:bookmarkEnd w:id="119"/>
    <w:p>
      <w:pPr>
        <w:jc w:val="both"/>
        <w:spacing w:after="0" w:line="258" w:lineRule="auto"/>
        <w:rPr>
          <w:sz w:val="20"/>
          <w:szCs w:val="20"/>
          <w:color w:val="auto"/>
        </w:rPr>
      </w:pPr>
      <w:r>
        <w:rPr>
          <w:rFonts w:ascii="Times New Roman" w:cs="Times New Roman" w:eastAsia="Times New Roman" w:hAnsi="Times New Roman"/>
          <w:sz w:val="20"/>
          <w:szCs w:val="20"/>
          <w:color w:val="auto"/>
        </w:rPr>
        <w:t>or (b) to the Knowledge of the Company, any agent of the Company or any Subsidiary that will act in any capacity in connection with or benefit from the credit facilities established hereby, is a Sanctioned Person. No Loan or Letter of Credit, direct or, to any Borrower’s Knowledge, indirect use of proceeds, or other transaction by any Borrower contemplated by this Agreement will violate the Patriot Act, Anti-Corruption Laws or applicable Sanctions.</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4.22.</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spacing w:after="0" w:line="200" w:lineRule="exact"/>
        <w:rPr>
          <w:sz w:val="20"/>
          <w:szCs w:val="20"/>
          <w:color w:val="auto"/>
        </w:rPr>
      </w:pPr>
    </w:p>
    <w:p>
      <w:pPr>
        <w:spacing w:after="0" w:line="25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color w:val="auto"/>
        </w:rPr>
        <w:t>CONDITIONS PRECEDENT</w:t>
      </w:r>
    </w:p>
    <w:p>
      <w:pPr>
        <w:spacing w:after="0" w:line="20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u w:val="single" w:color="auto"/>
          <w:color w:val="auto"/>
        </w:rPr>
        <w:t>[Reserved].</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Conditions to the Closing Date</w:t>
      </w:r>
      <w:r>
        <w:rPr>
          <w:rFonts w:ascii="Times New Roman" w:cs="Times New Roman" w:eastAsia="Times New Roman" w:hAnsi="Times New Roman"/>
          <w:sz w:val="20"/>
          <w:szCs w:val="20"/>
          <w:color w:val="auto"/>
        </w:rPr>
        <w:t>. The agreement of each Lender to make extensions of credit hereunder is subject to the prior or concurrent satisfaction of the following conditions precedent:</w:t>
      </w:r>
    </w:p>
    <w:p>
      <w:pPr>
        <w:ind w:left="1080" w:hanging="424"/>
        <w:spacing w:after="0"/>
        <w:tabs>
          <w:tab w:leader="none" w:pos="10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Documents and Certificates</w:t>
      </w:r>
      <w:r>
        <w:rPr>
          <w:rFonts w:ascii="Times New Roman" w:cs="Times New Roman" w:eastAsia="Times New Roman" w:hAnsi="Times New Roman"/>
          <w:sz w:val="20"/>
          <w:szCs w:val="20"/>
          <w:color w:val="auto"/>
        </w:rPr>
        <w:t>. The Administrative Agent shall have received the following, each dated the Closing Date:</w:t>
      </w:r>
    </w:p>
    <w:p>
      <w:pPr>
        <w:spacing w:after="0" w:line="207" w:lineRule="exact"/>
        <w:rPr>
          <w:rFonts w:ascii="Times New Roman" w:cs="Times New Roman" w:eastAsia="Times New Roman" w:hAnsi="Times New Roman"/>
          <w:sz w:val="20"/>
          <w:szCs w:val="20"/>
          <w:color w:val="auto"/>
        </w:rPr>
      </w:pPr>
    </w:p>
    <w:p>
      <w:pPr>
        <w:ind w:left="1820" w:hanging="516"/>
        <w:spacing w:after="0"/>
        <w:tabs>
          <w:tab w:leader="none" w:pos="182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counterparts of this Agreement executed by each of the Lenders and a Responsible Officer of the Company and</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Remitly;</w:t>
      </w:r>
    </w:p>
    <w:p>
      <w:pPr>
        <w:spacing w:after="0" w:line="20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Guarantee Agreement, executed and delivered by each Loan Party and the Administrative Agent;</w:t>
      </w:r>
    </w:p>
    <w:p>
      <w:pPr>
        <w:spacing w:after="0" w:line="229" w:lineRule="exact"/>
        <w:rPr>
          <w:rFonts w:ascii="Times New Roman" w:cs="Times New Roman" w:eastAsia="Times New Roman" w:hAnsi="Times New Roman"/>
          <w:sz w:val="20"/>
          <w:szCs w:val="20"/>
          <w:color w:val="auto"/>
        </w:rPr>
      </w:pPr>
    </w:p>
    <w:p>
      <w:pPr>
        <w:ind w:left="1880" w:hanging="576"/>
        <w:spacing w:after="0"/>
        <w:tabs>
          <w:tab w:leader="none" w:pos="1880"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Collateral Agreement, executed and delivered by each Loan Party, the Administrative Agent and the Collateral</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Agent; and</w:t>
      </w:r>
    </w:p>
    <w:p>
      <w:pPr>
        <w:spacing w:after="0" w:line="207"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48"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a certificate of a Responsible Officer of the Company certifying satisfaction of the conditions set forth in Sections 5.2(f), (j) and (k) and (B) a certificate of each Loan Party, dated as of the Closing Date, executed by a secretary, assistant secretary or other senior officer (as the case may be) thereof, which shall (I) certify that attached thereto is a true and complete copy of the resolutions or written consents of its shareholders, board of directors, board of managers, members or other governing body authorizing the entry into the Loan Documents to which it is a party and, in the case of the Borrower, the borrowings, and that such resolutions or written consents have not been modified, rescinded or amended and are in full force and effect, (II) identify by name and title and bear the signatures of the officers, managers, directors or authorized signatories of such Loan Party authorized to sign the Loan Documents to which it is a party on the Closing Date, (III) certify (x) that attached thereto is a true and complete copy of the certificate or articles of incorporation or organization (or memorandum of association or other equivalent thereof) of such Loan Party (or articles of association or other equivalent thereof) and a true and correct copy of its by-laws or operating, management, partnership or similar agreement and (y) that such documents or agreements have not been amended (except as otherwise attached to such certificate and certified therein as being the only amendments thereto as of such date) and (IV) attach a recent good standing certificate (or the equivalent in the jurisdiction of organization of such Loan Party) with respect to such Loan Party.</w:t>
      </w:r>
    </w:p>
    <w:p>
      <w:pPr>
        <w:spacing w:after="0" w:line="193" w:lineRule="exact"/>
        <w:rPr>
          <w:rFonts w:ascii="Times New Roman" w:cs="Times New Roman" w:eastAsia="Times New Roman" w:hAnsi="Times New Roman"/>
          <w:sz w:val="20"/>
          <w:szCs w:val="20"/>
          <w:color w:val="auto"/>
        </w:rPr>
      </w:pPr>
    </w:p>
    <w:p>
      <w:pPr>
        <w:ind w:firstLine="656"/>
        <w:spacing w:after="0" w:line="269" w:lineRule="auto"/>
        <w:tabs>
          <w:tab w:leader="none" w:pos="107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Legal Opinion</w:t>
      </w:r>
      <w:r>
        <w:rPr>
          <w:rFonts w:ascii="Times New Roman" w:cs="Times New Roman" w:eastAsia="Times New Roman" w:hAnsi="Times New Roman"/>
          <w:sz w:val="20"/>
          <w:szCs w:val="20"/>
          <w:color w:val="auto"/>
        </w:rPr>
        <w:t>. The Administrative Agent shall have received the executed legal opinions, each in a form reasonably acceptable to the Administrative Agent of (i) Davis Polk &amp; Wardwell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20" w:name="page121"/>
    <w:bookmarkEnd w:id="120"/>
    <w:p>
      <w:pPr>
        <w:spacing w:after="0" w:line="283" w:lineRule="auto"/>
        <w:rPr>
          <w:sz w:val="20"/>
          <w:szCs w:val="20"/>
          <w:color w:val="auto"/>
        </w:rPr>
      </w:pPr>
      <w:r>
        <w:rPr>
          <w:rFonts w:ascii="Times New Roman" w:cs="Times New Roman" w:eastAsia="Times New Roman" w:hAnsi="Times New Roman"/>
          <w:sz w:val="20"/>
          <w:szCs w:val="20"/>
          <w:color w:val="auto"/>
        </w:rPr>
        <w:t>LLP, special New York counsel to the Loan Parties and (ii) Morris, Nichols, Arsht &amp; Tunnell LLP, Delaware counsel to the applicable Loan Parties.</w:t>
      </w:r>
    </w:p>
    <w:p>
      <w:pPr>
        <w:spacing w:after="0" w:line="146" w:lineRule="exact"/>
        <w:rPr>
          <w:sz w:val="20"/>
          <w:szCs w:val="20"/>
          <w:color w:val="auto"/>
        </w:rPr>
      </w:pPr>
    </w:p>
    <w:p>
      <w:pPr>
        <w:jc w:val="both"/>
        <w:ind w:firstLine="656"/>
        <w:spacing w:after="0" w:line="252" w:lineRule="auto"/>
        <w:tabs>
          <w:tab w:leader="none" w:pos="125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KYC</w:t>
      </w:r>
      <w:r>
        <w:rPr>
          <w:rFonts w:ascii="Times New Roman" w:cs="Times New Roman" w:eastAsia="Times New Roman" w:hAnsi="Times New Roman"/>
          <w:sz w:val="20"/>
          <w:szCs w:val="20"/>
          <w:color w:val="auto"/>
        </w:rPr>
        <w:t>. (A) The Administrative Agent shall have received, at least three Business Days prior to the Closing Date, all documentation and other information as has been reasonably requested in writing at least ten Business Days prior to the Closing Date by the Administrative Agent or the Lenders that they reasonably determine is required by regulatory authorities under applicable “know your customer” and anti-money laundering rules and regulations, including the Patriot Act and the Beneficial Ownership Regulation and (B) to the extent any Borrower qualifies as a “legal entity customer” under the Beneficial Ownership Regulation, at least three Business Days prior to the Closing Date, any Lender that has requested, in a written notice to the Borrowers at least ten Business Days prior to the Closing Date, a Beneficial Ownership Certification in relation to any Borrower shall have received such Beneficial Ownership Certification (provided that, upon the execution and delivery by such Lender of its signature page to this Agreement, the condition set forth in this clause (B) shall be deemed to be satisfied).</w:t>
      </w:r>
    </w:p>
    <w:p>
      <w:pPr>
        <w:spacing w:after="0" w:line="18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Administrative Agent shall have received all fees, interest and other amounts due and payable as of the Closing Date to the Administrative Agent and the Lenders under the Loan Documents and pursuant to any fee or similar letters (including the Fee Letter) executed by the Company in connection herewith shall be paid, including reimbursement or payment of all out-of-pocket expenses required thereunder to be reimbursed or paid by the Company and its subsidiaries, in each case solely to the extent invoiced in writing to the Company in reasonable detail at least three business days prior to the Closing.</w:t>
      </w:r>
    </w:p>
    <w:p>
      <w:pPr>
        <w:spacing w:after="0" w:line="191" w:lineRule="exact"/>
        <w:rPr>
          <w:rFonts w:ascii="Times New Roman" w:cs="Times New Roman" w:eastAsia="Times New Roman" w:hAnsi="Times New Roman"/>
          <w:sz w:val="20"/>
          <w:szCs w:val="20"/>
          <w:color w:val="auto"/>
        </w:rPr>
      </w:pPr>
    </w:p>
    <w:p>
      <w:pPr>
        <w:jc w:val="both"/>
        <w:ind w:firstLine="656"/>
        <w:spacing w:after="0" w:line="251" w:lineRule="auto"/>
        <w:tabs>
          <w:tab w:leader="none" w:pos="117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Historical Financial Statements</w:t>
      </w:r>
      <w:r>
        <w:rPr>
          <w:rFonts w:ascii="Times New Roman" w:cs="Times New Roman" w:eastAsia="Times New Roman" w:hAnsi="Times New Roman"/>
          <w:sz w:val="20"/>
          <w:szCs w:val="20"/>
          <w:color w:val="auto"/>
        </w:rPr>
        <w:t>. The Administrative Agent shall have received (i) audited consolidated balance sheets and related statements of income (loss), convertible preferred shares and shareholder equity and cash flows of the Company and its subsidiaries for the three most recently completed fiscal years ended at least 90 days prior to the Closing Date and (ii) unaudited consolidated balance sheets and related statements of income (loss), convertible preferred shares and shareholder equity and cash flows of the Company and its subsidiaries for each subsequent fiscal quarter ended at least 45 days prior to the Closing Date if such period is one of the first three fiscal quarters of a fiscal year.</w:t>
      </w:r>
    </w:p>
    <w:p>
      <w:pPr>
        <w:spacing w:after="0" w:line="190" w:lineRule="exact"/>
        <w:rPr>
          <w:rFonts w:ascii="Times New Roman" w:cs="Times New Roman" w:eastAsia="Times New Roman" w:hAnsi="Times New Roman"/>
          <w:sz w:val="20"/>
          <w:szCs w:val="20"/>
          <w:color w:val="auto"/>
        </w:rPr>
      </w:pPr>
    </w:p>
    <w:p>
      <w:pPr>
        <w:ind w:firstLine="656"/>
        <w:spacing w:after="0" w:line="283" w:lineRule="auto"/>
        <w:tabs>
          <w:tab w:leader="none" w:pos="105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Since December 31, 2024, there has not occurred any change, development or event that, individually or in the aggregate, has had or would reasonably be expected to have a Material Adverse Effect.</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Except to the extent set forth in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all documents and instruments necessary to create and perfect a first priority security interest (subject to liens permitted under the Loan Documents) in the Collateral shall have been delivered by the Loan Parties.</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1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Payoff Letter</w:t>
      </w:r>
      <w:r>
        <w:rPr>
          <w:rFonts w:ascii="Times New Roman" w:cs="Times New Roman" w:eastAsia="Times New Roman" w:hAnsi="Times New Roman"/>
          <w:sz w:val="20"/>
          <w:szCs w:val="20"/>
          <w:color w:val="auto"/>
        </w:rPr>
        <w:t>. Prior to or substantially concurrently with the Closing Date, the Existing Credit Agreement Refinancing shall occur, and the Administrative Agent shall have received customary evidence thereof.</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14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dated as of the Closing Date in substantially the form of Exhibit E from a Responsible Officer of the Company (or, at the option of the Borrower, a third party opinion as to the solvency of the Borrowers and their subsidiaries on a consolidated basis issued by a nationally recognized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21" w:name="page122"/>
    <w:bookmarkEnd w:id="121"/>
    <w:p>
      <w:pPr>
        <w:jc w:val="both"/>
        <w:ind w:firstLine="656"/>
        <w:spacing w:after="0" w:line="253" w:lineRule="auto"/>
        <w:tabs>
          <w:tab w:leader="none" w:pos="10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the representations and warranties made by any Loan Party in or pursuant to the Loan Documents shall be true and correct in all material respects (and in all respects if any such representation and warranty is qualified by materiality) on and as of the Closing Date (except to the extent any such representation and warranty expressly relates to an earlier date, in which case it was true and correct in all material respects (and in all respects if any such representation and warranty is qualified by materiality) as of such earlier date.</w:t>
      </w:r>
    </w:p>
    <w:p>
      <w:pPr>
        <w:spacing w:after="0" w:line="19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shall have occurred and be continuing on the Closing Date.</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Conditions to Extensions of Credit</w:t>
      </w:r>
      <w:r>
        <w:rPr>
          <w:rFonts w:ascii="Times New Roman" w:cs="Times New Roman" w:eastAsia="Times New Roman" w:hAnsi="Times New Roman"/>
          <w:sz w:val="20"/>
          <w:szCs w:val="20"/>
          <w:color w:val="auto"/>
        </w:rPr>
        <w:t>. The agreement of each Lender to make any extension of credit requested to be made by it on any date (other than the Closing Date) is subject to the satisfaction of the following conditions precedent:</w:t>
      </w:r>
    </w:p>
    <w:p>
      <w:pPr>
        <w:spacing w:after="0" w:line="1" w:lineRule="exact"/>
        <w:rPr>
          <w:sz w:val="20"/>
          <w:szCs w:val="20"/>
          <w:color w:val="auto"/>
        </w:rPr>
      </w:pPr>
    </w:p>
    <w:p>
      <w:pPr>
        <w:jc w:val="both"/>
        <w:ind w:firstLine="656"/>
        <w:spacing w:after="0" w:line="249" w:lineRule="auto"/>
        <w:tabs>
          <w:tab w:leader="none" w:pos="1079"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Each of the representations and warranties made by any Loan Party in or pursuant to the Loan Documents shall be true and correct in all material respects (and in all respects if any such representation and warranty is qualified by materiality) on and as of such date as if made on and as of such date (except to the extent any such representation and warranty expressly relates to an earlier date, in which case it was true and correct in all material respects (and in all respects if any such representation and warranty is qualified by materiality) as of such earlier date.</w:t>
      </w:r>
    </w:p>
    <w:p>
      <w:pPr>
        <w:spacing w:after="0" w:line="195" w:lineRule="exact"/>
        <w:rPr>
          <w:rFonts w:ascii="Times New Roman" w:cs="Times New Roman" w:eastAsia="Times New Roman" w:hAnsi="Times New Roman"/>
          <w:sz w:val="20"/>
          <w:szCs w:val="20"/>
          <w:color w:val="auto"/>
        </w:rPr>
      </w:pPr>
    </w:p>
    <w:p>
      <w:pPr>
        <w:ind w:firstLine="656"/>
        <w:spacing w:after="0" w:line="269" w:lineRule="auto"/>
        <w:tabs>
          <w:tab w:leader="none" w:pos="114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No Default or Event of Default shall have occurred and be continuing on such date or after giving effect to the extensions of credit requested to be made on such date.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Each borrowing by any Borrower of Revolving Loans and each issuance of a Letter of Credit on behalf of any Borrower hereunder shall constitute a representation and warranty by such Borrower as of the date of such extension of credit that the conditions contained in this Section 5.3 have been satisfied.</w:t>
      </w:r>
    </w:p>
    <w:p>
      <w:pPr>
        <w:spacing w:after="0" w:line="18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6.</w:t>
      </w:r>
      <w:r>
        <w:rPr>
          <w:sz w:val="20"/>
          <w:szCs w:val="20"/>
          <w:color w:val="auto"/>
        </w:rPr>
        <w:tab/>
      </w:r>
      <w:r>
        <w:rPr>
          <w:rFonts w:ascii="Times New Roman" w:cs="Times New Roman" w:eastAsia="Times New Roman" w:hAnsi="Times New Roman"/>
          <w:sz w:val="19"/>
          <w:szCs w:val="19"/>
          <w:color w:val="auto"/>
        </w:rPr>
        <w:t>AFFIRMATIVE COVENANTS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From and after the Closing Date, the Company hereby agrees that, so long as the Commitments remain in effect, any Letter of Credit remains outstanding (other than Letters of Credit that are cash collateralized or backstopped on terms reasonably satisfactory to the applicable Issuing Bank) or any Loan or other amount is due and owing to any Lender or the Administrative Agent hereunder, the Company shall and shall cause each of its Subsidiaries to:</w:t>
      </w:r>
    </w:p>
    <w:p>
      <w:pPr>
        <w:spacing w:after="0" w:line="18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19"/>
          <w:szCs w:val="19"/>
          <w:u w:val="single" w:color="auto"/>
          <w:color w:val="auto"/>
        </w:rPr>
        <w:t>Financial Statements</w:t>
      </w:r>
      <w:r>
        <w:rPr>
          <w:rFonts w:ascii="Times New Roman" w:cs="Times New Roman" w:eastAsia="Times New Roman" w:hAnsi="Times New Roman"/>
          <w:sz w:val="19"/>
          <w:szCs w:val="19"/>
          <w:color w:val="auto"/>
        </w:rPr>
        <w:t>. Furnish to the Administrative Agent and each Lender:</w:t>
      </w:r>
    </w:p>
    <w:p>
      <w:pPr>
        <w:spacing w:after="0" w:line="22" w:lineRule="exact"/>
        <w:rPr>
          <w:sz w:val="20"/>
          <w:szCs w:val="20"/>
          <w:color w:val="auto"/>
        </w:rPr>
      </w:pPr>
    </w:p>
    <w:p>
      <w:pPr>
        <w:jc w:val="both"/>
        <w:ind w:firstLine="656"/>
        <w:spacing w:after="0" w:line="249" w:lineRule="auto"/>
        <w:tabs>
          <w:tab w:leader="none" w:pos="1121"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available, but in any event within 90 days after the end of each fiscal year of the Company, a copy of the audited consolidated balance sheet of the Company and its consolidated subsidiaries as at the end of such year and the related audited consolidated statements of income and of cash flows for such year, setting forth in each case in comparative form the figures for the previous year, reported on without a “going concern” or like qualification or exception, or qualification arising out of the scope of the audit (other than any such exception, explanatory paragraph or qualification, that is expressly solely with respect to, or expressly resulting solely from, (i) an upcoming maturity date under Indebtedness permitted to be incurred under Section 7.2 that is scheduled to occur within one year from the time such audit report is delivered, (ii) any actual or potential inability to satisfy the Financial Covenant or (iii) the activities, operations, financial results, assets or liabilities of any Unrestricted Subsidiary), by PricewaterhouseCoopers LLP or other independent certified public accountants of nationally recognized standing;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656"/>
        <w:spacing w:after="0" w:line="269" w:lineRule="auto"/>
        <w:tabs>
          <w:tab w:leader="none" w:pos="1103"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available, but in any event not later than 45 days after the end of each fiscal quarter of the Company (other than the fourth fiscal quarter of any fiscal year), the unaudited consolidated or combined, as applicable, balance sheet of the Company and its consolidated or combined, as applicable, subsidiaries as at the end of such fiscal quarter and the related unaudited consolidated or combined, as applicable, statements of income and of cash flows for such quarter and the portion of the fiscal year through the end of such quarter, setting forth in each case in comparative form the figures for the previous year, certified by a Responsible Officer as fairly presenting in all material respects the financial condition of the Company and its subsidiaries (subject to normal year-end audit adjustments).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such financial statements shall be prepared in reasonable detail and in accordance in all material respects with GAAP applied consistently throughout the periods reflected therein and with prior periods (except as approved by such accountants or officer, as the case may be, and disclosed therein).</w:t>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Financial statements and reports required to be delivered pursuant to this Section 6.1 and Section 6.2(d) shall be deemed to have been delivered on the date on which (a) such financial statements or reports have been included in the Company’s annual report on Form 10-K or quarterly report on Form 10-Q, as filed with the SEC, and such report has been posted on the SEC website on the Internet at sec.gov/edaux/searches.htm (or any successor website), on the Company’s IntraLinks site at intralinks.com or on the Company’s website or</w:t>
      </w:r>
    </w:p>
    <w:p>
      <w:pPr>
        <w:jc w:val="both"/>
        <w:ind w:firstLine="8"/>
        <w:spacing w:after="0" w:line="253" w:lineRule="auto"/>
        <w:tabs>
          <w:tab w:leader="none" w:pos="28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provides notice to the Administrative Agent (which notice the Administrative Agent shall promptly provide to the Lenders) that such financial statement or report has been posted at another relevant website identified in such notice and accessible by the Lenders without charge.</w:t>
      </w:r>
    </w:p>
    <w:p>
      <w:pPr>
        <w:spacing w:after="0" w:line="18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u w:val="single" w:color="auto"/>
          <w:color w:val="auto"/>
        </w:rPr>
        <w:t>Certificates; Other Information</w:t>
      </w:r>
      <w:r>
        <w:rPr>
          <w:rFonts w:ascii="Times New Roman" w:cs="Times New Roman" w:eastAsia="Times New Roman" w:hAnsi="Times New Roman"/>
          <w:sz w:val="19"/>
          <w:szCs w:val="19"/>
          <w:color w:val="auto"/>
        </w:rPr>
        <w:t>. Furnish to the Administrative Agent and each Lender:</w:t>
      </w:r>
    </w:p>
    <w:p>
      <w:pPr>
        <w:spacing w:after="0" w:line="22" w:lineRule="exact"/>
        <w:rPr>
          <w:sz w:val="20"/>
          <w:szCs w:val="20"/>
          <w:color w:val="auto"/>
        </w:rPr>
      </w:pPr>
    </w:p>
    <w:p>
      <w:pPr>
        <w:jc w:val="both"/>
        <w:ind w:firstLine="656"/>
        <w:spacing w:after="0" w:line="249" w:lineRule="auto"/>
        <w:tabs>
          <w:tab w:leader="none" w:pos="1073"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simultaneously with the delivery of each set of consolidated financial statements referred to in Section 6.1(a) and Section 6.1(b) above, the related consolidating financial information (which may be unaudited) reflecting adjustments necessary to eliminate the accounts of Unrestricted Subsidiaries (if any) from such consolidated financial statements;</w:t>
      </w:r>
    </w:p>
    <w:p>
      <w:pPr>
        <w:spacing w:after="0" w:line="193" w:lineRule="exact"/>
        <w:rPr>
          <w:rFonts w:ascii="Times New Roman" w:cs="Times New Roman" w:eastAsia="Times New Roman" w:hAnsi="Times New Roman"/>
          <w:sz w:val="20"/>
          <w:szCs w:val="20"/>
          <w:color w:val="auto"/>
        </w:rPr>
      </w:pPr>
    </w:p>
    <w:p>
      <w:pPr>
        <w:jc w:val="both"/>
        <w:ind w:firstLine="656"/>
        <w:spacing w:after="0" w:line="258" w:lineRule="auto"/>
        <w:tabs>
          <w:tab w:leader="none" w:pos="108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five (5) Business Days of the date that any financial statements are required to be delivered pursuant to Section 6.1, (i) a certificate of a Responsible Officer stating that such Responsible Officer has obtained no knowledge of any Default or Event of Default except as specified in such certificate and (ii) in the case of quarterly or annual financial statements, a Compliance Certificate as of the last day of the fiscal quarter or fiscal year of the Company, as the case may be;</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67"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upon the mailing thereof, copies of all financial statements and reports (except to the extent previously delivered pursuant to Section 6.1) that the Company sends to the holders of any class of its debt securities or public equity securities and, within five days after the same are filed, copies of all financial statements and reports that the Company may make to, or file with, the SEC;</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6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following any reasonable request therefor, information and documentation reasonably requested by the Administrative Agent or any Lender for purposes of compliance with applicable “know your customer” regulations and anti-money laundering rules and regulations, including the Patriot Act and the Beneficial Ownership Regulation;</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16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financial information as any Lender (through the Administrative Agent) may from time to time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413" w:right="339" w:bottom="1440" w:gutter="0" w:footer="0" w:header="0"/>
        </w:sectPr>
      </w:pPr>
    </w:p>
    <w:bookmarkStart w:id="123" w:name="page124"/>
    <w:bookmarkEnd w:id="123"/>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Pay, discharge or otherwise satisfy at or before maturity or before they become delinquent, as the case may be, all Tax obligations, except where the amount or validity thereof is currently being contested in good faith by appropriate proceedings and reserves in conformity with GAAP with respect thereto have been provided on the books of the Company or its Subsidiaries, as the case may be, or except where such failure would not, in the aggregate, reasonably be expected to result in a Material Adverse Effect.</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Maintenance of Existence; Compliance</w:t>
      </w:r>
      <w:r>
        <w:rPr>
          <w:rFonts w:ascii="Times New Roman" w:cs="Times New Roman" w:eastAsia="Times New Roman" w:hAnsi="Times New Roman"/>
          <w:sz w:val="20"/>
          <w:szCs w:val="20"/>
          <w:color w:val="auto"/>
        </w:rPr>
        <w:t>. (a) (i) Preserve, renew and keep in full force and effect its corporate or other organizational existence and (ii) take all reasonable action to maintain all rights, privileges and franchises necessary or desirable in the normal conduct of the Business, except, in each case, as otherwise permitted by Section 7.4 and except, in the case of each of clause (i) (other than with respect to the existence of the Borrowers) and (ii) above, to the extent that failure to do so would not, in the aggregate, reasonably be expected to have a Material Adverse Effect, (b) comply with all Contractual Obligations and Requirements of Law (including the Outbound Investment Rules) except to the extent that failure to comply therewith would not, in the aggregate, reasonably be expected to have a Material Adverse Effect and (c) maintain in effect and apply policies and procedures reasonably designed to ensure compliance in all material respects by the Company, its Subsidiaries and their respective directors, officers, employees and agents with Anti-Corruption Laws and applicable Sanctions.</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Maintenance of Property; Insurance</w:t>
      </w:r>
      <w:r>
        <w:rPr>
          <w:rFonts w:ascii="Times New Roman" w:cs="Times New Roman" w:eastAsia="Times New Roman" w:hAnsi="Times New Roman"/>
          <w:sz w:val="20"/>
          <w:szCs w:val="20"/>
          <w:color w:val="auto"/>
        </w:rPr>
        <w:t>. (a) Keep all property useful and necessary in its business in good working order and condition, ordinary wear and tear excepted, except where such failure would not, in the aggregate, reasonably be expected to result in a Material Adverse Effect, (b) maintain with financially sound and reputable insurance companies insurance on all its property in at least such amounts and against at least such risks (but including in any event public liability, product liability and business interruption) as are customarily insured against in the same general area by companies engaged in the same or a similar business and (c) if any portion of any improved Mortgaged Property is at any time located in an area identified as a special flood hazard area with respect to which flood insurance has been made available under the Flood Laws, then the Borrowers shall, or shall cause the applicable Loan Party to, (i) maintain, or cause to be maintained, with a financially sound and reputable insurer, flood insurance in an amount and otherwise sufficient to comply with all applicable rules and regulations promulgated pursuant to the Flood Laws and (ii) deliver to the Administrative evidence of such compliance in form and substance reasonably acceptable to the Administrative Agent.</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Inspection of Property; Books and Records; Discussions</w:t>
      </w:r>
      <w:r>
        <w:rPr>
          <w:rFonts w:ascii="Times New Roman" w:cs="Times New Roman" w:eastAsia="Times New Roman" w:hAnsi="Times New Roman"/>
          <w:sz w:val="20"/>
          <w:szCs w:val="20"/>
          <w:color w:val="auto"/>
        </w:rPr>
        <w:t>. (a) Keep proper books of records and accounts in conformity in all material respects with GAAP and (b) permit representatives of the Administrative Agent (which, following the occurrence and during the continuance of an Event of Default, may be accompanied by representatives of any Lender), upon reasonable prior written notice, to make reasonable visits to and inspections of any of its properties and examine and make abstracts from any of its books and records at any reasonable time and as often as may reasonably be desired and to discuss the business, operations, properties and financial condition of the Company and its Subsidiaries with officers of the Company and its Subsidiaries; provided that with respect to clause (b), prior to the occurrence and continuation of an Event of Default, no more than one such visit shall be made per year.</w:t>
      </w:r>
    </w:p>
    <w:p>
      <w:pPr>
        <w:spacing w:after="0" w:line="200" w:lineRule="exact"/>
        <w:rPr>
          <w:sz w:val="20"/>
          <w:szCs w:val="20"/>
          <w:color w:val="auto"/>
        </w:rPr>
      </w:pPr>
    </w:p>
    <w:p>
      <w:pPr>
        <w:spacing w:after="0" w:line="23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Promptly give notice to the Administrative Agent and each Lender of:</w:t>
      </w:r>
    </w:p>
    <w:p>
      <w:pPr>
        <w:spacing w:after="0" w:line="22" w:lineRule="exact"/>
        <w:rPr>
          <w:sz w:val="20"/>
          <w:szCs w:val="20"/>
          <w:color w:val="auto"/>
        </w:rPr>
      </w:pPr>
    </w:p>
    <w:p>
      <w:pPr>
        <w:ind w:left="1080" w:hanging="424"/>
        <w:spacing w:after="0"/>
        <w:tabs>
          <w:tab w:leader="none" w:pos="108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 or Event of Default upon obtaining Knowledge thereof;</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0"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413" w:right="339" w:bottom="1440" w:gutter="0" w:footer="0" w:header="0"/>
        </w:sectPr>
      </w:pPr>
    </w:p>
    <w:bookmarkStart w:id="124" w:name="page125"/>
    <w:bookmarkEnd w:id="124"/>
    <w:p>
      <w:pPr>
        <w:jc w:val="both"/>
        <w:ind w:firstLine="656"/>
        <w:spacing w:after="0" w:line="261" w:lineRule="auto"/>
        <w:tabs>
          <w:tab w:leader="none" w:pos="1167"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default or event of default under any Contractual Obligation of the Company or any of its Subsidiaries that, would reasonably be expected to have a Material Adverse Effect or (ii) litigation, investigation or proceeding affecting the Company or any of its Subsidiaries that would reasonably be expected to have a Material Adverse Effect;</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7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events, as soon as possible and in any event within 30 days after the Company has Knowledge: (i) the occurrence of any Reportable Event with respect to any Plan, a failure to make any required contribution to a Plan, the creation of any Lien in favor of the PBGC or a Plan or any withdrawal from, or the termination or Insolvency of, any Multiemployer Plan or (ii) the institution of proceedings or the taking of any other action by the PBGC or the Company or any Commonly Controlled Entity or any Multiemployer Plan with respect to the withdrawal from, or the termination or Insolvency of, any Plan; provided, that in each case of clauses (i) and (ii), except as would not reasonably be expected to have a Material Adverse Effect; and</w:t>
      </w:r>
    </w:p>
    <w:p>
      <w:pPr>
        <w:spacing w:after="0" w:line="17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development or event that has had or would reasonably be expected to have a Material Adverse Effect.</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Each notice pursuant to this Section 6.7 shall be accompanied by a statement of a Responsible Officer setting forth details of the occurrence referred to therein and stating what action the Company or the relevant Subsidiary proposes to take with respect thereto.</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Comply with, and take commercially reasonable steps to ensure compliance in all material respects by all tenants and subtenants, if any, with, all applicable Environmental Laws, and obtain and comply with and maintain, and take commercially reasonable steps to ensure that all tenants and subtenants obtain and comply in all material respects with and maintain, any and all licenses, approvals, notifications, registrations or permits required by applicable Environmental Laws, except, in each case with respect to this Section 6.8, to the extent the failure to do so would not reasonably be expected to have, individually or in the aggregate, a Material Adverse Effect.</w:t>
      </w:r>
    </w:p>
    <w:p>
      <w:pPr>
        <w:spacing w:after="0" w:line="200" w:lineRule="exact"/>
        <w:rPr>
          <w:sz w:val="20"/>
          <w:szCs w:val="20"/>
          <w:color w:val="auto"/>
        </w:rPr>
      </w:pPr>
    </w:p>
    <w:p>
      <w:pPr>
        <w:spacing w:after="0" w:line="23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u w:val="single" w:color="auto"/>
          <w:color w:val="auto"/>
        </w:rPr>
        <w:t>Additional Collateral, etc.</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64" w:lineRule="auto"/>
        <w:tabs>
          <w:tab w:leader="none" w:pos="1088"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any property or rights acquired after the Closing Date by the Company or any of its Subsidiaries that is a Loan Party (or is required to be a Loan Party pursuant to the terms of this Agreement and the other Loan Documents) (other than any property described in paragraph (b), (c) or (d) below) as to which the Collateral Agent, for the benefit of the Administrative Agent and the Lenders, does not have a perfected Lien, promptly (and, in any event within 60 days following such acquisition)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security interest in such property and (ii) take all actions as the Administrative Agent or Collateral Agent reasonably request to grant to the Collateral Agent, for the benefit of the Administrative Agent and the Lenders, a perfected first priority security interest in such property, including the filing of Uniform Commercial Code or other applicable financing statements in such jurisdictions as may be required by the Collateral Agreement or by law or as may be reasonably requested by the Administrative Agent or the Collateral Agent.</w:t>
      </w:r>
    </w:p>
    <w:p>
      <w:pPr>
        <w:spacing w:after="0" w:line="166" w:lineRule="exact"/>
        <w:rPr>
          <w:rFonts w:ascii="Times New Roman" w:cs="Times New Roman" w:eastAsia="Times New Roman" w:hAnsi="Times New Roman"/>
          <w:sz w:val="19"/>
          <w:szCs w:val="19"/>
          <w:color w:val="auto"/>
        </w:rPr>
      </w:pPr>
    </w:p>
    <w:p>
      <w:pPr>
        <w:jc w:val="both"/>
        <w:ind w:firstLine="656"/>
        <w:spacing w:after="0" w:line="261" w:lineRule="auto"/>
        <w:tabs>
          <w:tab w:leader="none" w:pos="120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(i) any fee interest in any real property having a value (together with improvements thereof) of at least $10,000,000 acquired after the Closing Date by the Company or any of its Subsidiaries that is a Loan Party (or is required to be a Loan Party pursuant to the terms of this Agreement and the other Loan Documents) and (ii) any real property listed in part (b) of Schedule 1.1B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52" w:lineRule="auto"/>
        <w:rPr>
          <w:sz w:val="20"/>
          <w:szCs w:val="20"/>
          <w:color w:val="auto"/>
        </w:rPr>
      </w:pPr>
      <w:r>
        <w:rPr>
          <w:rFonts w:ascii="Times New Roman" w:cs="Times New Roman" w:eastAsia="Times New Roman" w:hAnsi="Times New Roman"/>
          <w:sz w:val="20"/>
          <w:szCs w:val="20"/>
          <w:color w:val="auto"/>
        </w:rPr>
        <w:t>that becomes a Mortgaged Property pursuant to the definition thereof, promptly (and in any event within 90 days following such acquisition or such real property becoming a Mortgaged Property) deliver the documents required for Mortgaged Properties pursuant to Section 6.11. Notwithstanding the foregoing, the Collateral Agent shall not enter into any Mortgage in respect of any real property acquired by any Loan Party after the Closing Date until the date that is (a) if such real property is not located in a “special flood hazard area”, thirty (30) days or (b) if such real property is located in a “special flood hazard area”, thirty (30) days, after the Administrative Agent has delivered to the Lenders the following documents in respect of such real property: (i) a completed flood hazard determination from a third party vendor; (ii) if such real property is located in a “special flood hazard area”, (A) a notification to the applicable Loan Parties of that fact and (if applicable) notification to the applicable Loan Parties that flood insurance coverage is not available and (B) evidence of the receipt by the applicable Loan Parties of such notice; and (iii) if required by Flood Laws, evidence of required flood insurance.</w:t>
      </w:r>
    </w:p>
    <w:p>
      <w:pPr>
        <w:spacing w:after="0" w:line="176" w:lineRule="exact"/>
        <w:rPr>
          <w:sz w:val="20"/>
          <w:szCs w:val="20"/>
          <w:color w:val="auto"/>
        </w:rPr>
      </w:pPr>
    </w:p>
    <w:p>
      <w:pPr>
        <w:jc w:val="both"/>
        <w:ind w:firstLine="656"/>
        <w:spacing w:after="0" w:line="250" w:lineRule="auto"/>
        <w:tabs>
          <w:tab w:leader="none" w:pos="110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Subsidiary (other than any Excluded Subsidiary) (which, for the purposes of this paragraph (c), shall include any existing Subsidiary that ceases to be an Excluded Subsidiary (to the extent not a Loan Party)), promptly (and, in any event within 60 days after the acquisition or formation thereof or the cessation to be an Excluded Subsidiary)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perfected first priority security interest in the Capital Stock of such new Subsidiary that is owned by the Company or any of its Subsidiaries that is a Loan Party (or is required to be a Loan Party pursuant to the terms of this Agreement and the other Loan Documents), (ii) deliver to the Collateral Agent the certificates representing such Capital Stock, together with undated stock powers, in blank, executed and delivered by a duly authorized officer of the Company or such Subsidiary, as the case may be, and take such other action as may be required or the Administrative Agent reasonably requests to perfect the Collateral Agent’s security interest therein, (iii) cause such new Subsidiary to become a party to the Guarantee Agreement and the Collateral Agreement and (iv) if reasonably requested by the Administrative Agent or the Collateral Agent, deliver to the Administrative Agent and the Collateral Agent legal opinions relating to the matters described above, which opinions shall be in form and substance, and from counsel, reasonably satisfactory to the Administrative Agent and the Collateral Agent.</w:t>
      </w:r>
    </w:p>
    <w:p>
      <w:pPr>
        <w:spacing w:after="0" w:line="196" w:lineRule="exact"/>
        <w:rPr>
          <w:rFonts w:ascii="Times New Roman" w:cs="Times New Roman" w:eastAsia="Times New Roman" w:hAnsi="Times New Roman"/>
          <w:sz w:val="20"/>
          <w:szCs w:val="20"/>
          <w:color w:val="auto"/>
        </w:rPr>
      </w:pPr>
    </w:p>
    <w:p>
      <w:pPr>
        <w:jc w:val="both"/>
        <w:ind w:firstLine="656"/>
        <w:spacing w:after="0" w:line="250" w:lineRule="auto"/>
        <w:tabs>
          <w:tab w:leader="none" w:pos="118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new CFC or CFC Holding Company (other than any Excluded Foreign Subsidiary (as defined in the Collateral Agreement)) of a Loan Party created or acquired after the Closing Date by the Company or any other Loan Party, promptly (and, in any event within 60 days after the creation or acquisition thereof) (i) execute and deliver to the Administrative Agent and the Collateral Agent such amendments to the Collateral Agreement or such other documents as the Administrative Agent or the Collateral Agent reasonably request to grant to the Collateral Agent, for the benefit of the Administrative Agent and the Lenders, a perfected first priority security interest in the Capital Stock of such new Subsidiary (provided that in no event shall more than 65% of the total outstanding Capital Stock of any such new Subsidiary that is a CFC or a CFC Holding Company be required to be so pledged); provided, further, that no Loan Party shall be obligated to pledge the Capital Stock of a Foreign Subsidiary to the extent such pledge would violate the laws of the jurisdiction of such Foreign Subsidiary’s organization, (ii) deliver to the Collateral Agent the certificates representing such Capital Stock, together with undated stock powers, in blank, executed and delivered by a duly authorized officer of such Loan Party, as the case may be, and take such other action as may be necessary or, in the opinion of the Administrative Agent or the Collateral Agent, desirable to perfect the Collateral Agent’s security interest therein and (iii) if reasonably requested by the Administrative Agent or the Collateral Agent, deliver to the Administrative Agent and the Collateral Agent legal opinions relating to the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413" w:right="339" w:bottom="1440" w:gutter="0" w:footer="0" w:header="0"/>
        </w:sectPr>
      </w:pPr>
    </w:p>
    <w:bookmarkStart w:id="126" w:name="page127"/>
    <w:bookmarkEnd w:id="126"/>
    <w:p>
      <w:pPr>
        <w:spacing w:after="0" w:line="283" w:lineRule="auto"/>
        <w:rPr>
          <w:sz w:val="20"/>
          <w:szCs w:val="20"/>
          <w:color w:val="auto"/>
        </w:rPr>
      </w:pPr>
      <w:r>
        <w:rPr>
          <w:rFonts w:ascii="Times New Roman" w:cs="Times New Roman" w:eastAsia="Times New Roman" w:hAnsi="Times New Roman"/>
          <w:sz w:val="20"/>
          <w:szCs w:val="20"/>
          <w:color w:val="auto"/>
        </w:rPr>
        <w:t>described above, which opinions shall be in form and substance, and from counsel, reasonably satisfactory to the Administrative Agent and the Collateral Agent.</w:t>
      </w:r>
    </w:p>
    <w:p>
      <w:pPr>
        <w:spacing w:after="0" w:line="146" w:lineRule="exact"/>
        <w:rPr>
          <w:sz w:val="20"/>
          <w:szCs w:val="20"/>
          <w:color w:val="auto"/>
        </w:rPr>
      </w:pPr>
    </w:p>
    <w:p>
      <w:pPr>
        <w:jc w:val="both"/>
        <w:ind w:firstLine="656"/>
        <w:spacing w:after="0" w:line="258" w:lineRule="auto"/>
        <w:tabs>
          <w:tab w:leader="none" w:pos="106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within 60 days of the Closing Date, the Company shall deliver to the Administrative Agent and the Collateral Agent insurance certificates and endorsements naming the Collateral Agent as additional insured or mortgagee and loss payee (in accordance with customary practice in the jurisdiction where the applicable insurance policy is maintained) under the insurance policies of the Company and its Subsidiaries in accordance with the Collateral Agreement.</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052"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references in this Section 6.9 to any asset, property, right or Capital Stock of any Subsidiary created or acquired after the Closing Date do not include Excluded Assets (as defined in the Collateral Agreement).</w:t>
      </w:r>
    </w:p>
    <w:p>
      <w:pPr>
        <w:spacing w:after="0" w:line="17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the right to extend any of the time periods set forth in this Section 6.9 in its reasonable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discretion.</w:t>
      </w:r>
    </w:p>
    <w:p>
      <w:pPr>
        <w:spacing w:after="0" w:line="207" w:lineRule="exact"/>
        <w:rPr>
          <w:rFonts w:ascii="Times New Roman" w:cs="Times New Roman" w:eastAsia="Times New Roman" w:hAnsi="Times New Roman"/>
          <w:sz w:val="20"/>
          <w:szCs w:val="20"/>
          <w:color w:val="auto"/>
        </w:rPr>
      </w:pPr>
    </w:p>
    <w:p>
      <w:pPr>
        <w:jc w:val="both"/>
        <w:ind w:firstLine="656"/>
        <w:spacing w:after="0" w:line="250" w:lineRule="auto"/>
        <w:tabs>
          <w:tab w:leader="none" w:pos="1099"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any Loan Document, no Loan Party shall be required, nor shall the Administrative Agent be authorized, (A) to perfect any pledge, security interest or mortgage by any means other than through (x) any filing pursuant to the UCC in the office of the secretary of state (or similar central filing office) of the relevant State(s) or pursuant to any applicable real estate records in the United States with respect to any Mortgaged Property or any fixture relating to any Mortgaged Property, (y) any filing in the United Stated Copyright Office or the United States Patent and Trademark Office with respect to intellectual property or (z) delivery to the Administrative Agent to be held in its possession of all Collateral consisting of stock certificates of the Company and its wholly-owned pledged subsidiaries and certain instruments with a fair market value in excess of $5,000,000, (B) to enter into any account control agreement or lockbox or similar arrangement with respect to any deposit account, securities account or commodities account, (C) to take any action in or required by a jurisdiction other than the United States or with respect to any asset located or titled outside of the United States (and there shall be no guarantee, security agreement or pledge agreement governed by the laws of any jurisdiction other than a state in the United States).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6.10. </w:t>
      </w:r>
      <w:r>
        <w:rPr>
          <w:rFonts w:ascii="Times New Roman" w:cs="Times New Roman" w:eastAsia="Times New Roman" w:hAnsi="Times New Roman"/>
          <w:sz w:val="20"/>
          <w:szCs w:val="20"/>
          <w:u w:val="single" w:color="auto"/>
          <w:color w:val="auto"/>
        </w:rPr>
        <w:t>Designation of Subsidiaries</w:t>
      </w:r>
      <w:r>
        <w:rPr>
          <w:rFonts w:ascii="Times New Roman" w:cs="Times New Roman" w:eastAsia="Times New Roman" w:hAnsi="Times New Roman"/>
          <w:sz w:val="20"/>
          <w:szCs w:val="20"/>
          <w:color w:val="auto"/>
        </w:rPr>
        <w:t>. The Company may at any time designate any Subsidiary (other than Remitly) as an Unrestricted Subsidiary or any Unrestricted Subsidiary as a Subsidiary by delivering to the Administrative Agent a certificate of a Responsible Officer of the Company specifying such designation and certifying that the conditions to such designation set forth in this Section 6.10 are satisfied; provided that:</w:t>
      </w:r>
    </w:p>
    <w:p>
      <w:pPr>
        <w:ind w:firstLine="656"/>
        <w:spacing w:after="0" w:line="253" w:lineRule="auto"/>
        <w:tabs>
          <w:tab w:leader="none" w:pos="106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immediately before and immediately after any such designation, no Event of Default shall have occurred and be continuing or would result therefrom;</w:t>
      </w:r>
    </w:p>
    <w:p>
      <w:pPr>
        <w:spacing w:after="0" w:line="188" w:lineRule="exact"/>
        <w:rPr>
          <w:rFonts w:ascii="Times New Roman" w:cs="Times New Roman" w:eastAsia="Times New Roman" w:hAnsi="Times New Roman"/>
          <w:sz w:val="20"/>
          <w:szCs w:val="20"/>
          <w:color w:val="auto"/>
        </w:rPr>
      </w:pPr>
    </w:p>
    <w:p>
      <w:pPr>
        <w:ind w:right="20" w:firstLine="656"/>
        <w:spacing w:after="0" w:line="283" w:lineRule="auto"/>
        <w:tabs>
          <w:tab w:leader="none" w:pos="116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designation of a Subsidiary as an Unrestricted Subsidiary, each subsidiary of such Subsidiary has been, or concurrently therewith will be, designated as an Unrestricted Subsidiary in accordance with this Section 6.10; and</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1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shall any Subsidiary be designated an Unrestricted Subsidiary if such Subsidiary or any subsidiary of such Subsidiary owns (i) any Equity Interest of any Borrower or any Subsidiary or (ii) any Material IP.</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The designation of any Subsidiary as an Unrestricted Subsidiary shall constitute an Investment by the Company in such Subsidiary on the date of designation in an amount equal to the fair market value of the Company’s or its Subsidiary’s (as applicable) Investment therein (as determined reasonably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413" w:right="339" w:bottom="1440" w:gutter="0" w:footer="0" w:header="0"/>
        </w:sectPr>
      </w:pPr>
    </w:p>
    <w:bookmarkStart w:id="127" w:name="page128"/>
    <w:bookmarkEnd w:id="127"/>
    <w:p>
      <w:pPr>
        <w:jc w:val="both"/>
        <w:spacing w:after="0" w:line="283" w:lineRule="auto"/>
        <w:rPr>
          <w:sz w:val="20"/>
          <w:szCs w:val="20"/>
          <w:color w:val="auto"/>
        </w:rPr>
      </w:pPr>
      <w:r>
        <w:rPr>
          <w:rFonts w:ascii="Times New Roman" w:cs="Times New Roman" w:eastAsia="Times New Roman" w:hAnsi="Times New Roman"/>
          <w:sz w:val="20"/>
          <w:szCs w:val="20"/>
          <w:color w:val="auto"/>
        </w:rPr>
        <w:t>good faith by a Responsible Officer of the Company). The designation of any Unrestricted Subsidiary as a Subsidiary shall constitute the incurrence at the time of designation of any Investment, Indebtedness or Liens of such Subsidiary existing at such time.</w:t>
      </w:r>
    </w:p>
    <w:p>
      <w:pPr>
        <w:spacing w:after="0" w:line="14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6.11. </w:t>
      </w:r>
      <w:r>
        <w:rPr>
          <w:rFonts w:ascii="Times New Roman" w:cs="Times New Roman" w:eastAsia="Times New Roman" w:hAnsi="Times New Roman"/>
          <w:sz w:val="20"/>
          <w:szCs w:val="20"/>
          <w:u w:val="single" w:color="auto"/>
          <w:color w:val="auto"/>
        </w:rPr>
        <w:t>Post-Closing Real Estate Deliverables</w:t>
      </w:r>
      <w:r>
        <w:rPr>
          <w:rFonts w:ascii="Times New Roman" w:cs="Times New Roman" w:eastAsia="Times New Roman" w:hAnsi="Times New Roman"/>
          <w:sz w:val="20"/>
          <w:szCs w:val="20"/>
          <w:color w:val="auto"/>
        </w:rPr>
        <w:t>. No later than 120 days after the Closing Date (or such later date selected by the Administrative Agent in its reasonable discretion) the Company shall cause to be delivered to the Administrative Agent and the Collateral Agent:</w:t>
      </w:r>
    </w:p>
    <w:p>
      <w:pPr>
        <w:spacing w:after="0" w:line="1" w:lineRule="exact"/>
        <w:rPr>
          <w:sz w:val="20"/>
          <w:szCs w:val="20"/>
          <w:color w:val="auto"/>
        </w:rPr>
      </w:pPr>
    </w:p>
    <w:p>
      <w:pPr>
        <w:jc w:val="both"/>
        <w:ind w:firstLine="656"/>
        <w:spacing w:after="0" w:line="251" w:lineRule="auto"/>
        <w:tabs>
          <w:tab w:leader="none" w:pos="1065"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A Mortgage encumbering each Mortgaged Property listed on Schedule 1.1B in favor of the Collateral Agent, for the benefit of the Administrative Agent and the Secured Parties, duly executed and acknowledged by each Loan Party that is the owner of or holder of any interest in such Mortgaged Property, and otherwise in form for recording in the recording office of each applicable political subdivision where each such Mortgaged Property is situated, together with such certificates, affidavits, questionnaires or returns as shall be required in connection with the recording or filing thereof to create a lien under applicable Requirements of Law, and such financing statements and any other instruments necessary to grant a mortgage lien under the laws of any applicable jurisdiction, all of which shall be in form and substance reasonably satisfactory to Collateral Agent;</w:t>
      </w:r>
    </w:p>
    <w:p>
      <w:pPr>
        <w:spacing w:after="0" w:line="17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1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Title Insurance Policies</w:t>
      </w:r>
      <w:r>
        <w:rPr>
          <w:rFonts w:ascii="Times New Roman" w:cs="Times New Roman" w:eastAsia="Times New Roman" w:hAnsi="Times New Roman"/>
          <w:sz w:val="20"/>
          <w:szCs w:val="20"/>
          <w:color w:val="auto"/>
        </w:rPr>
        <w:t>. With respect to each Mortgage, (i) a policy of title insurance (or marked up unconditional title insurance commitment having the effect of a policy of title insurance) issued by a nationally recognized and financially stable title insurance company reasonably acceptable to the Administrative Agent (the “</w:t>
      </w:r>
      <w:r>
        <w:rPr>
          <w:rFonts w:ascii="Times New Roman" w:cs="Times New Roman" w:eastAsia="Times New Roman" w:hAnsi="Times New Roman"/>
          <w:sz w:val="20"/>
          <w:szCs w:val="20"/>
          <w:b w:val="1"/>
          <w:bCs w:val="1"/>
          <w:color w:val="auto"/>
        </w:rPr>
        <w:t>Title Company</w:t>
      </w:r>
      <w:r>
        <w:rPr>
          <w:rFonts w:ascii="Times New Roman" w:cs="Times New Roman" w:eastAsia="Times New Roman" w:hAnsi="Times New Roman"/>
          <w:sz w:val="20"/>
          <w:szCs w:val="20"/>
          <w:color w:val="auto"/>
        </w:rPr>
        <w:t>”) insuring the Lien of such Mortgage as a valid first mortgage Lien on the Mortgaged Property in an amount not less than the fair market value of such Mortgaged Property determined in the reasonable opinion of the Company, which policy (or such marked up unconditional title insurance commitment) (each, a “</w:t>
      </w:r>
      <w:r>
        <w:rPr>
          <w:rFonts w:ascii="Times New Roman" w:cs="Times New Roman" w:eastAsia="Times New Roman" w:hAnsi="Times New Roman"/>
          <w:sz w:val="20"/>
          <w:szCs w:val="20"/>
          <w:b w:val="1"/>
          <w:bCs w:val="1"/>
          <w:color w:val="auto"/>
        </w:rPr>
        <w:t>Title Policy</w:t>
      </w:r>
      <w:r>
        <w:rPr>
          <w:rFonts w:ascii="Times New Roman" w:cs="Times New Roman" w:eastAsia="Times New Roman" w:hAnsi="Times New Roman"/>
          <w:sz w:val="20"/>
          <w:szCs w:val="20"/>
          <w:color w:val="auto"/>
        </w:rPr>
        <w:t>”) shall (x) to the extent necessary, include such co-insurance and reinsurance arrangements (with provisions for direct access, if necessary) as shall be reasonably acceptable to the Administrative Agent, (y) have been supplemented by such endorsements as shall be reasonably requested by the Administrative Agent, and (z) contain no exceptions to title other than Liens permitted pursuant to Section 7.3; (ii) evidence reasonably acceptable to the Collateral Agent of payment by applicable Borrower of all Title Policy premiums, search and examination charges, escrow charges and related charges, mortgage recording taxes, fees, charges, costs and expenses required for the recording of the Mortgages and issuance of the Title Policies; and (iii) such affidavits, certificates, information (including financial data) and instruments of indemnification (including a so-called “gap” indemnification) as shall be required to induce the Title Company to issue the Title Policies and endorsements;</w:t>
      </w:r>
    </w:p>
    <w:p>
      <w:pPr>
        <w:spacing w:after="0" w:line="193" w:lineRule="exact"/>
        <w:rPr>
          <w:rFonts w:ascii="Times New Roman" w:cs="Times New Roman" w:eastAsia="Times New Roman" w:hAnsi="Times New Roman"/>
          <w:sz w:val="20"/>
          <w:szCs w:val="20"/>
          <w:color w:val="auto"/>
        </w:rPr>
      </w:pPr>
    </w:p>
    <w:p>
      <w:pPr>
        <w:jc w:val="both"/>
        <w:ind w:firstLine="656"/>
        <w:spacing w:after="0" w:line="250" w:lineRule="auto"/>
        <w:tabs>
          <w:tab w:leader="none" w:pos="1133"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Surveys</w:t>
      </w:r>
      <w:r>
        <w:rPr>
          <w:rFonts w:ascii="Times New Roman" w:cs="Times New Roman" w:eastAsia="Times New Roman" w:hAnsi="Times New Roman"/>
          <w:sz w:val="20"/>
          <w:szCs w:val="20"/>
          <w:color w:val="auto"/>
        </w:rPr>
        <w:t>. A survey of the applicable Mortgaged Property for which all necessary fees (where applicable) have been paid (a) prepared by a surveyor reasonably acceptable to the Collateral Agent, (b) dated or re-certificated not earlier than three months prior to the date of such delivery or such other date as may be reasonably satisfactory to the Administrative Agent in its sole discretion, (c) for Mortgaged Property situated in the United States, certified to the Collateral Agent, and the Title Company, which certification shall be reasonably acceptable to the Collateral Agent and (d) in such form as shall be required by the title company to issue the so-called comprehensive and other survey-related endorsements and to remove the standard survey exceptions from the Title Policies and endorsements provided, however, that a new survey shall not be required to the extent that (x) an existing survey together with an “affidavit of no change” is delivered to the Collateral Agent and the Title Company and (y) the Title Policy for such Mortgaged Property does not contain the standard survey exception and includes customary survey related endorsements and other coverages in the applicable Title Policy (including, but not limited to public road access, survey, contiguity and so-called comprehensive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413" w:right="339" w:bottom="1440" w:gutter="0" w:footer="0" w:header="0"/>
        </w:sectPr>
      </w:pPr>
    </w:p>
    <w:bookmarkStart w:id="128" w:name="page129"/>
    <w:bookmarkEnd w:id="128"/>
    <w:p>
      <w:pPr>
        <w:jc w:val="both"/>
        <w:ind w:firstLine="656"/>
        <w:spacing w:after="0" w:line="253" w:lineRule="auto"/>
        <w:tabs>
          <w:tab w:leader="none" w:pos="114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Opinions</w:t>
      </w:r>
      <w:r>
        <w:rPr>
          <w:rFonts w:ascii="Times New Roman" w:cs="Times New Roman" w:eastAsia="Times New Roman" w:hAnsi="Times New Roman"/>
          <w:sz w:val="20"/>
          <w:szCs w:val="20"/>
          <w:color w:val="auto"/>
        </w:rPr>
        <w:t>. Favorable written opinions, addressed to the Administrative Agent, the Collateral Agent and the Lenders, of local counsel to the Loan Parties in each jurisdiction (i) where a Mortgaged Property is located and (ii) where the applicable Loan Party granting the Mortgage on said Mortgaged Property is organized, regarding the due authority, execution, delivery, perfection and enforceability of each such Mortgage, the corporate formation, existence and good standing of the applicable Loan Party, and such other matters as may be reasonably requested by the Administrative Agent, each in form and substance reasonably satisfactory to the Collateral Agent;</w:t>
      </w:r>
    </w:p>
    <w:p>
      <w:pPr>
        <w:spacing w:after="0" w:line="191" w:lineRule="exact"/>
        <w:rPr>
          <w:rFonts w:ascii="Times New Roman" w:cs="Times New Roman" w:eastAsia="Times New Roman" w:hAnsi="Times New Roman"/>
          <w:sz w:val="20"/>
          <w:szCs w:val="20"/>
          <w:color w:val="auto"/>
        </w:rPr>
      </w:pPr>
    </w:p>
    <w:p>
      <w:pPr>
        <w:jc w:val="both"/>
        <w:ind w:firstLine="656"/>
        <w:spacing w:after="0" w:line="250" w:lineRule="auto"/>
        <w:tabs>
          <w:tab w:leader="none" w:pos="1187"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Flood Insurance</w:t>
      </w:r>
      <w:r>
        <w:rPr>
          <w:rFonts w:ascii="Times New Roman" w:cs="Times New Roman" w:eastAsia="Times New Roman" w:hAnsi="Times New Roman"/>
          <w:sz w:val="20"/>
          <w:szCs w:val="20"/>
          <w:color w:val="auto"/>
        </w:rPr>
        <w:t>. (a) “Life-of-Loan” Federal Emergency Management Agency Standard Flood Hazard Determination with respect to each Mortgaged Property; and (b) in the event any such property is located in an area identified by the Federal Emergency Management Agency (or any successor agency) as a “special flood hazard area,” (x) a notice about special flood hazard area status and flood disaster assistance, duly executed by the Company, (y) evidence of flood insurance with a financially sound and reputable insurer, naming the Collateral Agent, as mortgagee, in an amount and otherwise in form and substance reasonably satisfactory to the Collateral Agent, Agent and otherwise in compliance with the Flood Laws and (z) evidence of the payment of premiums in respect thereof in form and substance reasonably satisfactory to the Collateral Agent (provided that, notwithstanding the foregoing, the Collateral Agent shall not enter into any Mortgage in respect of any Mortgaged Property listed on Schedule 1.1B until the date that is (a) if such real property is not located in a “special flood hazard area”, thirty (30) days or (b) if such real property is located in a “special flood hazard area”, one hundred twenty (120) days, after the Collateral Agent has delivered to the Lenders the following documents in respect of such real property: (i) a completed flood hazard determination from a third party vendor; (ii) if such real property is located in a “special flood hazard area”, (A) a notification to the applicable Loan Parties of that fact and (if applicable) notification to the applicable Loan Parties that flood insurance coverage is not available and (B) evidence of the receipt by the applicable Loan Parties of such notice; and (iii) if required by Flood Laws, evidence of required flood insurance); and</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u w:val="single" w:color="auto"/>
          <w:color w:val="auto"/>
        </w:rPr>
        <w:t>Post-Closing Obligations</w:t>
      </w:r>
      <w:r>
        <w:rPr>
          <w:rFonts w:ascii="Times New Roman" w:cs="Times New Roman" w:eastAsia="Times New Roman" w:hAnsi="Times New Roman"/>
          <w:sz w:val="20"/>
          <w:szCs w:val="20"/>
          <w:color w:val="auto"/>
        </w:rPr>
        <w:t>. The Company and each applicable Loan Party shall comply with each requirement set forth on Schedule 6.12 on or before the date specified for such requirement (or such later date as the Administrative Agent may agree in its reasonable discretion); provided that this Section 6.12 shall be deemed to qualify the representations, warranties, covenants and other agreements in the Loan Documents such that no inaccuracy or breach thereof shall arise in respect of the matters set forth on Schedule 6.12 prior to the time by which such actions are required to be taken.</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6.13. </w:t>
      </w:r>
      <w:r>
        <w:rPr>
          <w:rFonts w:ascii="Times New Roman" w:cs="Times New Roman" w:eastAsia="Times New Roman" w:hAnsi="Times New Roman"/>
          <w:sz w:val="20"/>
          <w:szCs w:val="20"/>
          <w:u w:val="single" w:color="auto"/>
          <w:color w:val="auto"/>
        </w:rPr>
        <w:t>Holding Company Reorganization</w:t>
      </w:r>
      <w:r>
        <w:rPr>
          <w:rFonts w:ascii="Times New Roman" w:cs="Times New Roman" w:eastAsia="Times New Roman" w:hAnsi="Times New Roman"/>
          <w:sz w:val="20"/>
          <w:szCs w:val="20"/>
          <w:color w:val="auto"/>
        </w:rPr>
        <w:t>. The Company at any time may consummate a Holding Company Reorganization, provided that (i) immediately after giving effect thereto, no Default or Event of Default shall exist or shall have occurred and be continuing,</w:t>
      </w:r>
    </w:p>
    <w:p>
      <w:pPr>
        <w:jc w:val="both"/>
        <w:ind w:firstLine="8"/>
        <w:spacing w:after="0" w:line="249" w:lineRule="auto"/>
        <w:tabs>
          <w:tab w:leader="none" w:pos="31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cause the Holding Company to (A) become a party to the Guarantee Agreement as a Guarantor, (B) deliver to the Administrative Agent any certificates representing the Collateral consisting of all Capital Stock owned by the Holding Company (other than Excluded Assets) and such joinder agreements, amendments and supplements to the applicable Security Documents or such other documents as the Administrative Agent shall deem necessary or advisable to grant to the Administrative Agent, for the benefit of the Credit Parties, a Lien on all Collateral owned by the Holding Company (other than Excluded Assets) and take all such actions necessary to cause such Lien to be duly perfected to the extent required by the Security Documents and (C) expressly assume all obligations of the Company under this Agreement and the other Loan Documents pursuant to supplements hereto and thereto or other documents or instruments, in each case in form and substance reasonably satisfactory to the Administrative Agent, and shall take all actions as may be required to preserve the enforceability of the Loan Documents, (iii) each Guarantor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413" w:right="339" w:bottom="1440" w:gutter="0" w:footer="0" w:header="0"/>
        </w:sectPr>
      </w:pPr>
    </w:p>
    <w:bookmarkStart w:id="129" w:name="page130"/>
    <w:bookmarkEnd w:id="129"/>
    <w:p>
      <w:pPr>
        <w:jc w:val="both"/>
        <w:spacing w:after="0" w:line="251" w:lineRule="auto"/>
        <w:rPr>
          <w:sz w:val="20"/>
          <w:szCs w:val="20"/>
          <w:color w:val="auto"/>
        </w:rPr>
      </w:pPr>
      <w:r>
        <w:rPr>
          <w:rFonts w:ascii="Times New Roman" w:cs="Times New Roman" w:eastAsia="Times New Roman" w:hAnsi="Times New Roman"/>
          <w:sz w:val="20"/>
          <w:szCs w:val="20"/>
          <w:color w:val="auto"/>
        </w:rPr>
        <w:t>confirmed in writing that its Guarantee shall apply to the Obligations of the Borrowers notwithstanding the occurrence of the Holding Company Reorganization, (iv) the Administrative Agent shall have received such officers’ certificates and opinions of counsel as it may reasonably request in connection with such transaction, (v) the direct or indirect holders of the Capital Stock of the Holding Company immediately following such Holding Company Reorganization are substantially the same as the holders of the Company’s Capital Stock immediately prior to such Holding Company Reorganization, (vi) the revised organizational structure of the Holding Company, the Company and the Subsidiaries shall be reasonably satisfactory to Administrative Agent and (vii) the Administrative Agent and each Lender shall receive all documentation and other information required by regulatory authorities under applicable “know your customer” and anti-money laundering rules and regulations, including the Patriot Act and the Beneficial Ownership Regulation.</w:t>
      </w:r>
    </w:p>
    <w:p>
      <w:pPr>
        <w:spacing w:after="0" w:line="200" w:lineRule="exact"/>
        <w:rPr>
          <w:sz w:val="20"/>
          <w:szCs w:val="20"/>
          <w:color w:val="auto"/>
        </w:rPr>
      </w:pPr>
    </w:p>
    <w:p>
      <w:pPr>
        <w:spacing w:after="0" w:line="225"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7.</w:t>
      </w:r>
      <w:r>
        <w:rPr>
          <w:sz w:val="20"/>
          <w:szCs w:val="20"/>
          <w:color w:val="auto"/>
        </w:rPr>
        <w:tab/>
      </w:r>
      <w:r>
        <w:rPr>
          <w:rFonts w:ascii="Times New Roman" w:cs="Times New Roman" w:eastAsia="Times New Roman" w:hAnsi="Times New Roman"/>
          <w:sz w:val="19"/>
          <w:szCs w:val="19"/>
          <w:color w:val="auto"/>
        </w:rPr>
        <w:t>NEGATIVE COVENANTS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From and after the Closing Date, the Company hereby agrees that, so long as any Loan or other amount is due and owing to any Lender or the Administrative Agent hereunder, any Commitment remains in effect or any Letter of Credit remains outstanding (other than Letters of Credit that are cash collateralized or backstopped on terms reasonably satisfactory to the applicable Issuing Bank), the Company shall not, and shall not permit any of its Subsidiaries to, directly or indirectly:</w:t>
      </w:r>
    </w:p>
    <w:p>
      <w:pPr>
        <w:spacing w:after="0" w:line="18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9"/>
          <w:szCs w:val="19"/>
          <w:color w:val="auto"/>
        </w:rPr>
        <w:t xml:space="preserve">7.1. </w:t>
      </w:r>
      <w:r>
        <w:rPr>
          <w:rFonts w:ascii="Times New Roman" w:cs="Times New Roman" w:eastAsia="Times New Roman" w:hAnsi="Times New Roman"/>
          <w:sz w:val="19"/>
          <w:szCs w:val="19"/>
          <w:u w:val="single" w:color="auto"/>
          <w:color w:val="auto"/>
        </w:rPr>
        <w:t>Financial Covenant</w:t>
      </w:r>
      <w:r>
        <w:rPr>
          <w:rFonts w:ascii="Times New Roman" w:cs="Times New Roman" w:eastAsia="Times New Roman" w:hAnsi="Times New Roman"/>
          <w:sz w:val="19"/>
          <w:szCs w:val="19"/>
          <w:color w:val="auto"/>
        </w:rPr>
        <w:t xml:space="preserve">. Permit the Total Net Leverage Ratio as at the last day of any Test Period to exceed 4.50 to 1.00, commencing with the Test Period for which the last fiscal quarter is the first fiscal quarter ending after the Closing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Borrowers shall be permitted, solely in connection with a Qualified Acquisition, to elect to increase such maximum Total Net Leverage Ratio by 0.50:1.00 (to 5.00:1.00) for the fiscal quarter during which such Qualified Acquisition is consummated and for the three (3) fiscal quarters immediately thereafter (such period of four consecutive fiscal quarters, the “</w:t>
      </w:r>
      <w:r>
        <w:rPr>
          <w:rFonts w:ascii="Times New Roman" w:cs="Times New Roman" w:eastAsia="Times New Roman" w:hAnsi="Times New Roman"/>
          <w:sz w:val="19"/>
          <w:szCs w:val="19"/>
          <w:b w:val="1"/>
          <w:bCs w:val="1"/>
          <w:color w:val="auto"/>
        </w:rPr>
        <w:t>Total Net Leverage Ratio Step Up Period</w:t>
      </w:r>
      <w:r>
        <w:rPr>
          <w:rFonts w:ascii="Times New Roman" w:cs="Times New Roman" w:eastAsia="Times New Roman" w:hAnsi="Times New Roman"/>
          <w:sz w:val="19"/>
          <w:szCs w:val="19"/>
          <w:color w:val="auto"/>
        </w:rPr>
        <w:t>”); provided that (i) the maximum Total Net Leverage Ratio shall revert to 4.50:1.00 at the end of such Total Net Leverage Ratio Step Up Period, (ii) subsequent to any Total Net Leverage Ratio Step Up Period, the Borrowers may not designate another acquisition as a Qualified Acquisition unless the maximum Total Net Leverage Ratio required to be maintained pursuant to this Section 7.1 has been 4.50:1.00 for at least one (1) full fiscal quarter and (iii) there shall only be two (2) Total Net Leverage Ratio Step Up Periods during the term of this Agreement.</w:t>
      </w:r>
    </w:p>
    <w:p>
      <w:pPr>
        <w:spacing w:after="0" w:line="19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19"/>
          <w:szCs w:val="19"/>
          <w:u w:val="single" w:color="auto"/>
          <w:color w:val="auto"/>
        </w:rPr>
        <w:t>Indebtedness</w:t>
      </w:r>
      <w:r>
        <w:rPr>
          <w:rFonts w:ascii="Times New Roman" w:cs="Times New Roman" w:eastAsia="Times New Roman" w:hAnsi="Times New Roman"/>
          <w:sz w:val="19"/>
          <w:szCs w:val="19"/>
          <w:color w:val="auto"/>
        </w:rPr>
        <w:t>. Create, issue, incur, assume, become liable in respect of or suffer to exist any Indebtedness, except:</w:t>
      </w:r>
    </w:p>
    <w:p>
      <w:pPr>
        <w:spacing w:after="0" w:line="28" w:lineRule="exact"/>
        <w:rPr>
          <w:sz w:val="20"/>
          <w:szCs w:val="20"/>
          <w:color w:val="auto"/>
        </w:rPr>
      </w:pPr>
    </w:p>
    <w:p>
      <w:pPr>
        <w:ind w:left="1080" w:hanging="424"/>
        <w:spacing w:after="0"/>
        <w:tabs>
          <w:tab w:leader="none" w:pos="108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any Loan Party pursuant to any Loan Document;</w:t>
      </w:r>
    </w:p>
    <w:p>
      <w:pPr>
        <w:spacing w:after="0" w:line="227" w:lineRule="exact"/>
        <w:rPr>
          <w:rFonts w:ascii="Times New Roman" w:cs="Times New Roman" w:eastAsia="Times New Roman" w:hAnsi="Times New Roman"/>
          <w:sz w:val="20"/>
          <w:szCs w:val="20"/>
          <w:color w:val="auto"/>
        </w:rPr>
      </w:pPr>
    </w:p>
    <w:p>
      <w:pPr>
        <w:jc w:val="both"/>
        <w:ind w:firstLine="656"/>
        <w:spacing w:after="0" w:line="268" w:lineRule="auto"/>
        <w:tabs>
          <w:tab w:leader="none" w:pos="112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Company to any of its Subsidiaries and of any Subsidiary to the Company or any other Subsidiary of the Company; provided that any Indebtedness of any Subsidiary that is not a Loan Party to the Company or to any of its Subsidiaries that are Loan Parties is permitted pursuant to Section 7.7 (other than Sections 7.7(c)(i) and 7.7(cc));</w:t>
      </w:r>
    </w:p>
    <w:p>
      <w:pPr>
        <w:spacing w:after="0" w:line="161" w:lineRule="exact"/>
        <w:rPr>
          <w:rFonts w:ascii="Times New Roman" w:cs="Times New Roman" w:eastAsia="Times New Roman" w:hAnsi="Times New Roman"/>
          <w:sz w:val="20"/>
          <w:szCs w:val="20"/>
          <w:color w:val="auto"/>
        </w:rPr>
      </w:pPr>
    </w:p>
    <w:p>
      <w:pPr>
        <w:ind w:right="20" w:firstLine="656"/>
        <w:spacing w:after="0" w:line="283" w:lineRule="auto"/>
        <w:tabs>
          <w:tab w:leader="none" w:pos="108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existing on the Closing Date (or which may have been incurred pursuant to commitments existing on the Closing Date) listed, to the extent in excess of $5,000,000 on Schedule 7.2(c) and any Permitted Refinancing in respect thereof;</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182"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Capital Lease Obligations) secured by Liens permitted by Section 7.3(i) in an aggregate principal amount not to exceed the greater of (x) $53,000,000 and (y) 30% of Consolidated EBITDA for the most recently ended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413" w:right="339" w:bottom="1440" w:gutter="0" w:footer="0" w:header="0"/>
        </w:sectPr>
      </w:pPr>
    </w:p>
    <w:bookmarkStart w:id="130" w:name="page131"/>
    <w:bookmarkEnd w:id="130"/>
    <w:p>
      <w:pPr>
        <w:ind w:left="1080" w:hanging="424"/>
        <w:spacing w:after="0"/>
        <w:tabs>
          <w:tab w:leader="none" w:pos="10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Hedge Agreements as long as such agreements are not entered into for speculative purposes;</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0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Incremental Equivalent Debt; provided that the aggregate principal amount of such Indebtedness incurred pursuant to this clause (i) by Subsidiaries that are not Loan Parties, together with the aggregate amount of Incurred Acquisition Debt and Ratio Debt incurred by Subsidiaries that are not Loan Parties, shall not exceed the greater of (x) $44,250,000 and (y) 25% of Consolidated EBITDA for the most recently ended Test Period and (ii) any Permitted Refinancing in respect thereof;</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additional Indebtedness of the Company or any of its Subsidiaries in an aggregate principal amount (for all incurrences by the Company and all Subsidiaries pursuant to this clause (g)) which when incurred does not exceed the greater of (x) $71,000,000 and (y) 40% of Consolidated EBITDA for the most recently ended Test Period and (ii) any Permitted Refinancing in respect thereof;</w:t>
      </w:r>
    </w:p>
    <w:p>
      <w:pPr>
        <w:spacing w:after="0" w:line="18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 Obligations arising from Permitted Sale/Leasebacks;</w:t>
      </w:r>
    </w:p>
    <w:p>
      <w:pPr>
        <w:spacing w:after="0" w:line="211" w:lineRule="exact"/>
        <w:rPr>
          <w:rFonts w:ascii="Times New Roman" w:cs="Times New Roman" w:eastAsia="Times New Roman" w:hAnsi="Times New Roman"/>
          <w:sz w:val="20"/>
          <w:szCs w:val="20"/>
          <w:color w:val="auto"/>
        </w:rPr>
      </w:pPr>
    </w:p>
    <w:p>
      <w:pPr>
        <w:jc w:val="both"/>
        <w:ind w:firstLine="656"/>
        <w:spacing w:after="0" w:line="254" w:lineRule="auto"/>
        <w:tabs>
          <w:tab w:leader="none" w:pos="1118"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of the Company or any Subsidiary (“</w:t>
      </w:r>
      <w:r>
        <w:rPr>
          <w:rFonts w:ascii="Times New Roman" w:cs="Times New Roman" w:eastAsia="Times New Roman" w:hAnsi="Times New Roman"/>
          <w:sz w:val="20"/>
          <w:szCs w:val="20"/>
          <w:b w:val="1"/>
          <w:bCs w:val="1"/>
          <w:color w:val="auto"/>
        </w:rPr>
        <w:t>Ratio Debt</w:t>
      </w:r>
      <w:r>
        <w:rPr>
          <w:rFonts w:ascii="Times New Roman" w:cs="Times New Roman" w:eastAsia="Times New Roman" w:hAnsi="Times New Roman"/>
          <w:sz w:val="20"/>
          <w:szCs w:val="20"/>
          <w:color w:val="auto"/>
        </w:rPr>
        <w:t xml:space="preserve">”) in an aggregate principal amount not to exceed (A) the Shared Incremental Amount plus (B) an unlimited amount equal to the Ratio Based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requirement set forth in Sections 2.25(a)(iv) and (v) (except with respect to any Ratio Debt consisting of a customary bridge facility so long as, subject to customary conditions, such bridge facility automatically converts into long-term debt satisfying the requirements set forth in Sections 2.25(a)(iv) and (v)) as applicable, shall apply mutatis mutandis as if such Ratio Debt were Incremental Facilities and (ii) the aggregate amount of Indebtedness incurred by Subsidiaries that are not Loan Parties under this clause (i), together with the aggregate amount of Incurred Acquisition Debt and Incremental Equivalent Debt incurred by Subsidiaries that are not Loan Parties, shall not exceed the greater of (x) $44,250,000 and (y) 25% of Consolidated EBITDA for the most recently ended Test Period and (ii) any Permitted Refinancing thereof;</w:t>
      </w:r>
    </w:p>
    <w:p>
      <w:pPr>
        <w:spacing w:after="0" w:line="176" w:lineRule="exact"/>
        <w:rPr>
          <w:rFonts w:ascii="Times New Roman" w:cs="Times New Roman" w:eastAsia="Times New Roman" w:hAnsi="Times New Roman"/>
          <w:sz w:val="20"/>
          <w:szCs w:val="20"/>
          <w:color w:val="auto"/>
        </w:rPr>
      </w:pPr>
    </w:p>
    <w:p>
      <w:pPr>
        <w:ind w:firstLine="656"/>
        <w:spacing w:after="0" w:line="283" w:lineRule="auto"/>
        <w:tabs>
          <w:tab w:leader="none" w:pos="1176"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Cash Management Obligations, or guarantees thereof, including the guarantee set forth in the Guarantee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310" w:lineRule="auto"/>
        <w:tabs>
          <w:tab w:leader="none" w:pos="1107"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additional Indebtedness of Subsidiaries that are not Loan Parties in an aggregate principal amount not to exceed the greater of (x) $44,250,000 and (y) 25% of Consolidated EBITDA for the most recently ended Test Period and (ii) any Permitted Refinancing thereof;</w:t>
      </w:r>
    </w:p>
    <w:p>
      <w:pPr>
        <w:spacing w:after="0" w:line="124" w:lineRule="exact"/>
        <w:rPr>
          <w:rFonts w:ascii="Times New Roman" w:cs="Times New Roman" w:eastAsia="Times New Roman" w:hAnsi="Times New Roman"/>
          <w:sz w:val="19"/>
          <w:szCs w:val="19"/>
          <w:color w:val="auto"/>
        </w:rPr>
      </w:pPr>
    </w:p>
    <w:p>
      <w:pPr>
        <w:jc w:val="both"/>
        <w:ind w:firstLine="656"/>
        <w:spacing w:after="0" w:line="288" w:lineRule="auto"/>
        <w:tabs>
          <w:tab w:leader="none" w:pos="103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 Obligations by the Company of Indebtedness otherwise permitted hereunder of any Subsidiary and by any Subsidiary of Indebtedness otherwise permitted hereunder of the Company or any other Subsidiary; provided that any guarantee by any Loan Party of any Indebtedness of any Subsidiary that is not a Loan Party is permitted pursuant to Section 7.7 (other than Sections 7.7(c)(i) and 7.7(cc));</w:t>
      </w:r>
    </w:p>
    <w:p>
      <w:pPr>
        <w:spacing w:after="0" w:line="140" w:lineRule="exact"/>
        <w:rPr>
          <w:rFonts w:ascii="Times New Roman" w:cs="Times New Roman" w:eastAsia="Times New Roman" w:hAnsi="Times New Roman"/>
          <w:sz w:val="19"/>
          <w:szCs w:val="19"/>
          <w:color w:val="auto"/>
        </w:rPr>
      </w:pPr>
    </w:p>
    <w:p>
      <w:pPr>
        <w:jc w:val="both"/>
        <w:ind w:firstLine="656"/>
        <w:spacing w:after="0" w:line="254" w:lineRule="auto"/>
        <w:tabs>
          <w:tab w:leader="none" w:pos="115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incurred in connection with any acquisition or other Investment permitted hereunder (“</w:t>
      </w:r>
      <w:r>
        <w:rPr>
          <w:rFonts w:ascii="Times New Roman" w:cs="Times New Roman" w:eastAsia="Times New Roman" w:hAnsi="Times New Roman"/>
          <w:sz w:val="20"/>
          <w:szCs w:val="20"/>
          <w:b w:val="1"/>
          <w:bCs w:val="1"/>
          <w:color w:val="auto"/>
        </w:rPr>
        <w:t>Incurred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Debt</w:t>
      </w:r>
      <w:r>
        <w:rPr>
          <w:rFonts w:ascii="Times New Roman" w:cs="Times New Roman" w:eastAsia="Times New Roman" w:hAnsi="Times New Roman"/>
          <w:sz w:val="20"/>
          <w:szCs w:val="20"/>
          <w:color w:val="auto"/>
        </w:rPr>
        <w:t>”) in an amount not to exceed (A) the Shared Incremental Amount plus (B) an unlimited amount equal to the Ratio Based Amount;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requirement set forth in Sections 2.25(a)(iv) and (v) (except with respect to any Incurred Acquisition Debt consisting of a customary bridge facility so long as, subject to customary conditions, such bridge facility automatically converts into long-term debt satisfying the requirements set forth in Sections 2.25(a)(iv) and (v)), as applicable shall apply mutatis mutandis as if such Incurred Acquisition Debt were Incremental Facilities and (ii) the aggregate amount of Indebtedness incurred by Subsidiaries that are not Loan Parties under this clause (m), together with the aggregate amount of Ratio Debt and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283" w:lineRule="auto"/>
        <w:rPr>
          <w:sz w:val="20"/>
          <w:szCs w:val="20"/>
          <w:color w:val="auto"/>
        </w:rPr>
      </w:pPr>
      <w:r>
        <w:rPr>
          <w:rFonts w:ascii="Times New Roman" w:cs="Times New Roman" w:eastAsia="Times New Roman" w:hAnsi="Times New Roman"/>
          <w:sz w:val="20"/>
          <w:szCs w:val="20"/>
          <w:color w:val="auto"/>
        </w:rPr>
        <w:t>Equivalent Debt incurred by Subsidiaries that are not Loan Parties, shall not exceed the greater of (x) $44,250,000 and (y) 25% of Consolidated EBITDA for the most recently ended Test Period and (ii) any Permitted Refinancing thereof;</w:t>
      </w:r>
    </w:p>
    <w:p>
      <w:pPr>
        <w:spacing w:after="0" w:line="146" w:lineRule="exact"/>
        <w:rPr>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a Permitted Receivables Financing;</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2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Indebtedness, obligations (including reimbursement obligations with respect to guaranties, letters of credit or other similar obligations) in respect of tenders, statutory obligations, leases, governmental contracts, stay, performance bid, customs, appeal and surety bonds and performance and/or return of money bonds and completion guarantees or other obligations of a like nature issued for the account of, or provided by, the Company and its Subsidiaries in the ordinary course of business;</w:t>
      </w:r>
    </w:p>
    <w:p>
      <w:pPr>
        <w:spacing w:after="0" w:line="172"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a Special Purpose Finance Subsidiary;</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109"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Credit Agreement Refinancing Indebtedness (including successive Permitted Refinancings thereof) and Guarantee Obligations by the Guarantors in respect thereof;</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06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agreements providing for indemnification, purchase price adjustments or similar obligations incurred by the Company or its Subsidiaries in connection with any acquisition or Disposition in each case permitted by this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261" w:lineRule="auto"/>
        <w:tabs>
          <w:tab w:leader="none" w:pos="121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of the Company or any Subsidiary under deferred compensation (e.g., earn-outs, indemnifications, incentive non-competes and other contingent or deferred obligations) or other similar arrangements incurred by such Person in connection with any acquisition or other Investment in each case permitted under Section 7.7 (other than Section 7.7(cc));</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33"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a Person which becomes a Subsidiary or is merged into any Subsidiary after the Closing Date in each case to the extent such acquisition or merger is permitted under this Agreement; provided that (i) such Indebtedness was in existence on the date such Person became a Subsidiary of, or merged into, such Subsidiary, (ii) such Indebtedness was not created in contemplation of such Person becoming a Subsidiary, (iii) such Indebtedness is not guaranteed in any respect by or secured by the assets of the Company or any of its Subsidiaries (other than by any such person that so becomes a Subsidiary) and (iv) immediately after giving effect to the acquisition of or merger with such Person by such Subsidiary, no Event of Default shall have occurred and be continuing;</w:t>
      </w:r>
    </w:p>
    <w:p>
      <w:pPr>
        <w:spacing w:after="0" w:line="178" w:lineRule="exact"/>
        <w:rPr>
          <w:rFonts w:ascii="Times New Roman" w:cs="Times New Roman" w:eastAsia="Times New Roman" w:hAnsi="Times New Roman"/>
          <w:sz w:val="20"/>
          <w:szCs w:val="20"/>
          <w:color w:val="auto"/>
        </w:rPr>
      </w:pPr>
    </w:p>
    <w:p>
      <w:pPr>
        <w:jc w:val="both"/>
        <w:ind w:firstLine="656"/>
        <w:spacing w:after="0" w:line="257" w:lineRule="auto"/>
        <w:tabs>
          <w:tab w:leader="none" w:pos="10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the Company or its Subsidiaries in respect of banker’s acceptances, bank guarantees, letters of credit, warehouse receipts or similar instruments entered into in the ordinary course of business, including in respect of workers compensation claims, health, disability or other employee benefits or property, casualty or liability insurance or self-insurance, or other Indebtedness with respect to reimbursement type obligations regarding workers compensation claims, in each case in the ordinary course of business or consistent with past practice;</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30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 the financing of insurance premiums, (ii) take-or-pay obligations contained in supply arrangements, (iii) obligations to reacquire assets or inventory in connection with customer financing arrangements or (iv) obligations owing under supply, customer, distribution, license, lease or similar agreements, in each case with respect to clauses (i) through (iv),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413" w:right="339" w:bottom="1440" w:gutter="0" w:footer="0" w:header="0"/>
        </w:sectPr>
      </w:pPr>
    </w:p>
    <w:bookmarkStart w:id="132" w:name="page133"/>
    <w:bookmarkEnd w:id="132"/>
    <w:p>
      <w:pPr>
        <w:jc w:val="both"/>
        <w:ind w:firstLine="656"/>
        <w:spacing w:after="0" w:line="261" w:lineRule="auto"/>
        <w:tabs>
          <w:tab w:leader="none" w:pos="120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supported by a letter of credit issued by any Person (other than the Company or any of its Affiliates) for the account of the Company or any of its Subsidiaries pursuant to another clause of this Section 7.2, the availability of which is subject to a stated quantum in a principal amount not in excess of the stated amount of such letter of credit;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158"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related to any letter of credit issued in the ordinary course of business or created by or for the account of the Company or any of its Subsidiaries, in an aggregate principal amount not in excess of the greater of (x) $35,500,000 and (y) 20% of Consolidated EBITDA for the most recently ended Test Period;</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0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in the ordinary course of business or consistent with past practice under travel and expense cards, corporate purchasing cards and car leasing programs, and Guarantee Obligations of the Company and its Subsidiaries with respect to any such Indebtedness;</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11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the Company or any Subsidiary as an account party in respect of trade letters of credit issued in the ordinary course of business;</w:t>
      </w:r>
    </w:p>
    <w:p>
      <w:pPr>
        <w:spacing w:after="0" w:line="160" w:lineRule="exact"/>
        <w:rPr>
          <w:sz w:val="20"/>
          <w:szCs w:val="20"/>
          <w:color w:val="auto"/>
        </w:rPr>
      </w:pPr>
    </w:p>
    <w:p>
      <w:pPr>
        <w:ind w:firstLine="656"/>
        <w:spacing w:after="0" w:line="269" w:lineRule="auto"/>
        <w:tabs>
          <w:tab w:leader="none" w:pos="122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(other than debt for borrowed money) of the Company and/or any Subsidiary consisting of obligations owing under incentive, supply, license or similar agreements entered into in the ordinary course of business or consistent with past practice;</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2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endorsement of instruments or other payment items for collection or deposit in the ordinary course of business or consistent with past practice;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unfunded pension fund and other employee benefit plan obligations and liabilities incurred by the Company and/or any Subsidiary in the ordinary course of business or consistent with past practice to the extent that the unfunded amounts would not otherwise cause an Event of Default under Section 8(g);</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5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deposits and advance payments received in the ordinary course of business or consistent with past practice from customers for goods and services purchased in the ordinary course of business;</w:t>
      </w:r>
    </w:p>
    <w:p>
      <w:pPr>
        <w:spacing w:after="0" w:line="172"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18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letters of support, guarantees or similar obligations issued, made or incurred for the benefit of the Company or any Subsidiary to the extent required by law or in connection with any statutory filing or the delivery of audit opinions performed in jurisdictions other than within the United States;</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31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premiums, interest (including post-petition interest), fees, expenses, charges and additional or contingent interest on obligations described in this Section 7.2; and</w:t>
      </w:r>
    </w:p>
    <w:p>
      <w:pPr>
        <w:spacing w:after="0" w:line="146" w:lineRule="exact"/>
        <w:rPr>
          <w:rFonts w:ascii="Times New Roman" w:cs="Times New Roman" w:eastAsia="Times New Roman" w:hAnsi="Times New Roman"/>
          <w:sz w:val="20"/>
          <w:szCs w:val="20"/>
          <w:color w:val="auto"/>
        </w:rPr>
      </w:pPr>
    </w:p>
    <w:p>
      <w:pPr>
        <w:jc w:val="both"/>
        <w:ind w:firstLine="656"/>
        <w:spacing w:after="0" w:line="268" w:lineRule="auto"/>
        <w:tabs>
          <w:tab w:leader="none" w:pos="130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Customer Guarantees to the extent permitted pursuant to Section 7.7(k) or Section 7.7(mm); provided that, notwithstanding anything in this Agreement to the contrary, Indebtedness consisting of Customer Guarantees may only be incurred pursuant to this Section 7.2(hh).</w:t>
      </w:r>
    </w:p>
    <w:p>
      <w:pPr>
        <w:spacing w:after="0" w:line="161"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Create, incur, assume or suffer to exist any Lien upon any of its property, whether now owned or hereafter acquired, except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656"/>
        <w:spacing w:after="0" w:line="258" w:lineRule="auto"/>
        <w:tabs>
          <w:tab w:leader="none" w:pos="1074"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not yet due or that are being contested in good faith by appropriate proceedings; provided that adequate reserves with respect thereto are maintained on the books of any Loan Party or any Excluded Subsidiary, as the case may be, in conformity with GAAP or in the case of a Subsidiary located outside of the United States, general accounting principles in effect from time to time in its jurisdiction of incorporation;</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12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statutory liens of landlords and carriers, warehousemen, mechanics, materialmen, repairmen or other like Liens arising in the ordinary course of business that are not overdue for a period of more than 60 days or that are being contested in good faith by appropriate proceedings;</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in connection with workers’ compensation, unemployment insurance and other social security legislation;</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87"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(other than for borrowed money), leases, statutory obligations, governmental contracts, customs, stay, surety and appeal bonds, performance and/or return of money bonds and completion guarantees or other obligations of a like nature (including those to secure health, safety and environmental obligations) incurred in the ordinary course of business;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25"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that are or would be reflected on a survey or by inspection of any real property or that, in the aggregate, are not substantial in amount and that do not in the aggregate materially detract from the value of the property subject thereto or materially interfere with the ordinary conduct of the business of the Company or any of its Subsidiaries taken as a whole;</w:t>
      </w:r>
    </w:p>
    <w:p>
      <w:pPr>
        <w:spacing w:after="0" w:line="185"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in existence on the Closing Date, to the extent the obligations secured by such Liens are in excess of $5,000,000, listed on Schedule 7.3(f) securing Indebtedness permitted by Section 7.2(c) or other obligations not prohibited hereunder and (ii) Liens replacing the Liens set forth on Schedule 7.3(f) securing a refinancing, refunding, renewal or extension of Indebtedness that is permitted pursuant to Section 7.2(c) or such other obligations; provided that such Lien shall not encumber any additional property after the Closing Date unless otherwise permitted by another provision of this Section 7.3 (in which case, for the avoidance of doubt, such Lien encumbering any additional property shall be incurred in reliance on such other provision of this Section 7.3) and that the amount of Indebtedness or such other obligation secured thereby is not increased;</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4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to secure Indebtedness permitted under Sections 7.2(i) or 7.2(m); provided that an Other Debt Representative acting on behalf of the holders of such Indebtedness shall have become party to (i) if such Indebtedness is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the Collateral that is junior to the Liens securing the Obligations, a Junior Lien Intercreditor Agreement as a “Junior Priority Representative” (or similar term, in each case, to be defined in the Junior Lien Intercreditor Agreement);</w:t>
      </w:r>
    </w:p>
    <w:p>
      <w:pPr>
        <w:spacing w:after="0" w:line="178" w:lineRule="exact"/>
        <w:rPr>
          <w:rFonts w:ascii="Times New Roman" w:cs="Times New Roman" w:eastAsia="Times New Roman" w:hAnsi="Times New Roman"/>
          <w:sz w:val="20"/>
          <w:szCs w:val="20"/>
          <w:color w:val="auto"/>
        </w:rPr>
      </w:pPr>
    </w:p>
    <w:p>
      <w:pPr>
        <w:ind w:right="20" w:firstLine="656"/>
        <w:spacing w:after="0" w:line="283" w:lineRule="auto"/>
        <w:tabs>
          <w:tab w:leader="none" w:pos="1100"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solely by virtue of any contractual, statutory or common law provisions related to banker’s liens, rights of set-off or similar rights and remedies as to deposit accounts and securities accounts;</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05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of the Company or any Subsidiary incurred pursuant to Section 7.2(d) to finance the acquisition of fixed or capital assets; provided that (i) such Liens do not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413" w:right="339" w:bottom="1440" w:gutter="0" w:footer="0" w:header="0"/>
        </w:sectPr>
      </w:pPr>
    </w:p>
    <w:bookmarkStart w:id="134" w:name="page135"/>
    <w:bookmarkEnd w:id="134"/>
    <w:p>
      <w:pPr>
        <w:jc w:val="both"/>
        <w:spacing w:after="0" w:line="261" w:lineRule="auto"/>
        <w:rPr>
          <w:sz w:val="20"/>
          <w:szCs w:val="20"/>
          <w:color w:val="auto"/>
        </w:rPr>
      </w:pPr>
      <w:r>
        <w:rPr>
          <w:rFonts w:ascii="Times New Roman" w:cs="Times New Roman" w:eastAsia="Times New Roman" w:hAnsi="Times New Roman"/>
          <w:sz w:val="20"/>
          <w:szCs w:val="20"/>
          <w:color w:val="auto"/>
        </w:rPr>
        <w:t>any time encumber any property other than the property financed by such Indebtedness (other than after-acquired property that is affixed or incorporated into the property covered by such Lien or financed by Indebtedness permitted under Section 7.2(d)) and (ii) the amount of Indebtedness secured thereby is not increased;</w:t>
      </w:r>
    </w:p>
    <w:p>
      <w:pPr>
        <w:spacing w:after="0" w:line="181" w:lineRule="exact"/>
        <w:rPr>
          <w:sz w:val="20"/>
          <w:szCs w:val="20"/>
          <w:color w:val="auto"/>
        </w:rPr>
      </w:pPr>
    </w:p>
    <w:p>
      <w:pPr>
        <w:ind w:left="1040" w:hanging="384"/>
        <w:spacing w:after="0"/>
        <w:tabs>
          <w:tab w:leader="none" w:pos="10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Security Documents;</w:t>
      </w:r>
    </w:p>
    <w:p>
      <w:pPr>
        <w:spacing w:after="0" w:line="215" w:lineRule="exact"/>
        <w:rPr>
          <w:rFonts w:ascii="Times New Roman" w:cs="Times New Roman" w:eastAsia="Times New Roman" w:hAnsi="Times New Roman"/>
          <w:sz w:val="20"/>
          <w:szCs w:val="20"/>
          <w:color w:val="auto"/>
        </w:rPr>
      </w:pPr>
    </w:p>
    <w:p>
      <w:pPr>
        <w:jc w:val="both"/>
        <w:ind w:firstLine="656"/>
        <w:spacing w:after="0" w:line="268" w:lineRule="auto"/>
        <w:tabs>
          <w:tab w:leader="none" w:pos="109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judgment or judicial attachment Liens and Liens securing contingent obligations on appeal and other bonds in connection with court proceedings, settlements or judgments; provided that (i) such Liens would not result in the occurrence of an Event of Default hereunder and (ii) such Liens are being contested in good faith by appropriate proceedings;</w:t>
      </w:r>
    </w:p>
    <w:p>
      <w:pPr>
        <w:spacing w:after="0" w:line="16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57"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consisting of any (i) interest or title of a lessor, sub-lessor, licensor or sub-licensor under any lease, license, sublicense or similar arrangement of real estate or other property (including Intellectual Property) permitted hereunder, (ii) landlord lien arising by law or permitted by the terms of any lease, sub-lease, license, sub-license or similar arrangement, (iii) restriction or encumbrance to which the interest or title of such lessor, sub-lessor, licensor or sub-licensor may be subject, (iv) subordination of the interest of the lessee, sub-lessee, licensee or sub-licensee under such lease, sub-lease, license, sub-license or similar arrangement to any restriction or encumbrance referred to in the preceding clause (iii) or (v) deposit of cash with the owner or lessor of premises leased and operated by the Company or any Subsidiary in the ordinary course of business or consistent with past practice to secure the performance of obligations under the terms of the lease for such premises;</w:t>
      </w:r>
    </w:p>
    <w:p>
      <w:pPr>
        <w:spacing w:after="0" w:line="195"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subject to a Permitted Receivables Financing securing such Permitted Receivables Financing;</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Liens so long as the aggregate outstanding principal amount of the obligations secured thereby at the time such Lien is incurred does not exceed the greater of (x) $71,000,000 and (y) 40% of Consolidated EBITDA for the most recently ended Test Period; provided that if any such Liens encumber Collateral, such Liens shall be junior to the Liens securing the Obligations and an Other Debt Representative acting on behalf of the holders of such obligations shall have become a party to a Junior Lien Intercreditor Agreement as a “Junior Priority Representative” (or similar term, in each case, to be defined in the Junior Lien Intercreditor Agreement);</w:t>
      </w:r>
    </w:p>
    <w:p>
      <w:pPr>
        <w:spacing w:after="0" w:line="178" w:lineRule="exact"/>
        <w:rPr>
          <w:rFonts w:ascii="Times New Roman" w:cs="Times New Roman" w:eastAsia="Times New Roman" w:hAnsi="Times New Roman"/>
          <w:sz w:val="20"/>
          <w:szCs w:val="20"/>
          <w:color w:val="auto"/>
        </w:rPr>
      </w:pPr>
    </w:p>
    <w:p>
      <w:pPr>
        <w:jc w:val="both"/>
        <w:ind w:firstLine="656"/>
        <w:spacing w:after="0" w:line="253" w:lineRule="auto"/>
        <w:tabs>
          <w:tab w:leader="none" w:pos="1111"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securing Incremental Equivalent Debt; provided that an Other Debt Representative acting on behalf of the holders of such Indebtedness shall have become party to (i) if such Indebtedness by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a Lien on the Collateral that is junior to the Liens securing the Obligations, a Junior Lien Intercreditor Agreement as a “Junior Priority Representative” (or similar term, in each case, to be defined in the Junior Lien Intercreditor Agreement);</w:t>
      </w:r>
    </w:p>
    <w:p>
      <w:pPr>
        <w:spacing w:after="0" w:line="19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Cash Equivalents, deposit accounts and similar items of Subsidiaries that are not Loan Parties securing Cash Management Obligations of Subsidiaries that are not Loan Parties, and guarantees by any Subsidiary that is not a Loan Party of such Cash Management Obligations of other Subsidiaries that are not Loan Parties or such similar obligations of other Subsidiaries that are not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413" w:right="339" w:bottom="1440" w:gutter="0" w:footer="0" w:header="0"/>
        </w:sectPr>
      </w:pPr>
    </w:p>
    <w:bookmarkStart w:id="135" w:name="page136"/>
    <w:bookmarkEnd w:id="135"/>
    <w:p>
      <w:pPr>
        <w:jc w:val="both"/>
        <w:ind w:firstLine="656"/>
        <w:spacing w:after="0" w:line="261" w:lineRule="auto"/>
        <w:tabs>
          <w:tab w:leader="none" w:pos="128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Subsidiaries that are not Loan Parties (including Capital Stock owned by such Persons) securing Indebtedness or other obligations of Subsidiaries that are not Loan Parties permitted pursuant to Section 7.2 (or not prohibited under this Agreement);</w:t>
      </w:r>
    </w:p>
    <w:p>
      <w:pPr>
        <w:spacing w:after="0" w:line="181"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Company Stock;</w:t>
      </w:r>
    </w:p>
    <w:p>
      <w:pPr>
        <w:spacing w:after="0" w:line="215"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assets of a Special Purpose Finance Subsidiary to secure Indebtedness incurred by such Special Purpose Finance</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Subsidiary;</w:t>
      </w:r>
    </w:p>
    <w:p>
      <w:pPr>
        <w:spacing w:after="0" w:line="213" w:lineRule="exact"/>
        <w:rPr>
          <w:rFonts w:ascii="Times New Roman" w:cs="Times New Roman" w:eastAsia="Times New Roman" w:hAnsi="Times New Roman"/>
          <w:sz w:val="20"/>
          <w:szCs w:val="20"/>
          <w:color w:val="auto"/>
        </w:rPr>
      </w:pPr>
    </w:p>
    <w:p>
      <w:pPr>
        <w:ind w:firstLine="656"/>
        <w:spacing w:after="0" w:line="269" w:lineRule="auto"/>
        <w:tabs>
          <w:tab w:leader="none" w:pos="109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matters expressly listed as exceptions to title or subordinate matters in the Administrative Agent’s title insurance policies for such Mortgaged Properties;</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20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Collateral securing obligations in respect of Credit Agreement Refinancing Indebtedness and any Permitted Refinancing in respect thereof, and any Guarantee Obligations by the Guarantors in respect thereof; provided that an Other Debt Representative acting on behalf of the holders of such Indebtedness shall have become party to (i) if such Indebtedness is secured by a Lien on the Collateral that is pari passu (but without regard to the control of remedies) with the Liens securing the Obligations, a First Lien Intercreditor Agreement as a “Senior Representative” (or similar term, in each case, to be defined in the First Lien Intercreditor Agreement) or (ii) if such Indebtedness is secured by a Lien on the Collateral that is junior to the Liens securing the Obligations, a Junior Lien Intercreditor Agreement as a “Junior Priority Representative” (or similar term, in each case, to be defined in the Junior Lien Intercreditor Agreement);</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08"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 favor of customs and revenue authorities arising as a matter of law to secure payment of customs duties in connection with the importation of goods in the ordinary course of business or consistent with past practice or (ii) on specific items of inventory or other goods and proceeds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78" w:lineRule="exact"/>
        <w:rPr>
          <w:rFonts w:ascii="Times New Roman" w:cs="Times New Roman" w:eastAsia="Times New Roman" w:hAnsi="Times New Roman"/>
          <w:sz w:val="20"/>
          <w:szCs w:val="20"/>
          <w:color w:val="auto"/>
        </w:rPr>
      </w:pPr>
    </w:p>
    <w:p>
      <w:pPr>
        <w:jc w:val="both"/>
        <w:ind w:firstLine="656"/>
        <w:spacing w:after="0" w:line="258" w:lineRule="auto"/>
        <w:tabs>
          <w:tab w:leader="none" w:pos="113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cash or Cash Equivalents advanced in favor of the seller of any property to be acquired in an Investment permitted pursuant to Section 7.7 to be applied against the purchase price for such Investment or (ii) consisting of an agreement to Dispose of any property in a Disposition permitted under Section 7.5 (or, to dispose of any property in a transaction not constituting a Disposition hereunder to the extent such transaction is otherwise permitted under this Agreement);</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17"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or assets acquired by a Loan Party or on property or assets of any Person which becomes a Subsidiary of a Loan Party, in any such case existing at the time of the acquisition thereof (including acquisition through merger or consolidation) and not incurred in contemplation of such acquisition;</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3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on any real property as a result of any eminent domain, condemnation or similar proceeding being commenced with respect to such real property;</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on the Capital Stock of a Joint Venture securing obligations of such Joint Venture that are otherwise permitted under this Agreement and (ii) customary options, put and call arrangements, rights of first refusal and similar rights relating to such Joint Venture under its joint venture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413" w:right="339" w:bottom="1440" w:gutter="0" w:footer="0" w:header="0"/>
        </w:sectPr>
      </w:pPr>
    </w:p>
    <w:bookmarkStart w:id="136" w:name="page137"/>
    <w:bookmarkEnd w:id="136"/>
    <w:p>
      <w:pPr>
        <w:jc w:val="both"/>
        <w:ind w:firstLine="656"/>
        <w:spacing w:after="0" w:line="261" w:lineRule="auto"/>
        <w:tabs>
          <w:tab w:leader="none" w:pos="122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deposits made or other security provided to secure liabilities to insurance brokers, insurance carriers under insurance or self-insurance arrangements in the ordinary course of business or consistent with past practice and (ii) Liens on insurance policies and the proceeds thereof securing the financing of insurance premiums with respect thereto to the extent permitted hereunder;</w:t>
      </w:r>
    </w:p>
    <w:p>
      <w:pPr>
        <w:spacing w:after="0" w:line="181" w:lineRule="exact"/>
        <w:rPr>
          <w:rFonts w:ascii="Times New Roman" w:cs="Times New Roman" w:eastAsia="Times New Roman" w:hAnsi="Times New Roman"/>
          <w:sz w:val="20"/>
          <w:szCs w:val="20"/>
          <w:color w:val="auto"/>
        </w:rPr>
      </w:pPr>
    </w:p>
    <w:p>
      <w:pPr>
        <w:jc w:val="both"/>
        <w:ind w:firstLine="656"/>
        <w:spacing w:after="0" w:line="249" w:lineRule="auto"/>
        <w:tabs>
          <w:tab w:leader="none" w:pos="119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that are contractual rights of set-off or netting or pledge relating to (A) the establishment of depositary relations with banks or other financial institutions not granted in connection with the issuance of Indebtedness, (B) pooled deposit or sweep accounts of the Company and/or any Subsidiary to permit satisfaction of overdraft or similar obligations incurred in the ordinary course of business or consistent with past practice of the Company and/or any Subsidiary, (C) purchase orders and other agreements entered into with customers of the Company and/or any Subsidiary in the ordinary course of business or consistent with past practice and (D) commodity trading or other brokerage accounts incurred in the ordinary course of business, (ii) Liens encumbering reasonable customary initial deposits and margin deposits, (iii) bankers Liens and rights and remedies as to deposit accounts or similar accounts, (iv) Liens of a collection bank arising under Section 4-208 or Section 4-210 of the UCC (or any similar Requirement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permitted hereunder incurred in connection with any transaction permitted hereunder,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25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favor of any Governmental Authority to secure progress, advance or other payments pursuant to any contract or provision of any statute;</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22"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connection with a Permitted Sale/Leaseback; provided that any such Lien shall encumber only the property interest subject to such Permitted Sale/Leaseback; and</w:t>
      </w:r>
    </w:p>
    <w:p>
      <w:pPr>
        <w:spacing w:after="0" w:line="15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79"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(other than obligations representing Indebtedness for borrowed money) under operating, reciprocal easement or similar agreements entered into in the ordinary course of business or consistent with past practice of the Company and/or its Subsidiaries;</w:t>
      </w:r>
    </w:p>
    <w:p>
      <w:pPr>
        <w:spacing w:after="0" w:line="167" w:lineRule="exact"/>
        <w:rPr>
          <w:rFonts w:ascii="Times New Roman" w:cs="Times New Roman" w:eastAsia="Times New Roman" w:hAnsi="Times New Roman"/>
          <w:sz w:val="20"/>
          <w:szCs w:val="20"/>
          <w:color w:val="auto"/>
        </w:rPr>
      </w:pPr>
    </w:p>
    <w:p>
      <w:pPr>
        <w:ind w:firstLine="656"/>
        <w:spacing w:after="0" w:line="283" w:lineRule="auto"/>
        <w:tabs>
          <w:tab w:leader="none" w:pos="1217"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securities or other assets that are the subject of repurchase agreements constituting Investments permitted under Section 7.7 arising out of such repurchase transaction;</w:t>
      </w:r>
    </w:p>
    <w:p>
      <w:pPr>
        <w:spacing w:after="0" w:line="159" w:lineRule="exact"/>
        <w:rPr>
          <w:rFonts w:ascii="Times New Roman" w:cs="Times New Roman" w:eastAsia="Times New Roman" w:hAnsi="Times New Roman"/>
          <w:sz w:val="20"/>
          <w:szCs w:val="20"/>
          <w:color w:val="auto"/>
        </w:rPr>
      </w:pPr>
    </w:p>
    <w:p>
      <w:pPr>
        <w:ind w:right="20" w:firstLine="656"/>
        <w:spacing w:after="0" w:line="269" w:lineRule="auto"/>
        <w:tabs>
          <w:tab w:leader="none" w:pos="133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obligations in respect of letters of credit, bank guaranties, surety bonds, performance bonds or similar instruments permitted under Sections 7.2(o) and (u);</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7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 out of conditional sale, title retention, consignment or similar arrangements for the sale of any assets or property and bailee arrangements in the ordinary course of business and permitted by this Agreement or (ii) by operation of law under Article 2 of the UCC (or any similar Requirement of Law of any jurisdiction);</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088"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in favor of any Loan Party and/or (ii) granted by any Subsidiary that is not a Loan Party in favor of any Subsidiary that is not a Loan Party, in the case of each of clauses (i)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413" w:right="339" w:bottom="1440" w:gutter="0" w:footer="0" w:header="0"/>
        </w:sectPr>
      </w:pPr>
    </w:p>
    <w:bookmarkStart w:id="137" w:name="page138"/>
    <w:bookmarkEnd w:id="137"/>
    <w:p>
      <w:pPr>
        <w:spacing w:after="0" w:line="283" w:lineRule="auto"/>
        <w:rPr>
          <w:sz w:val="20"/>
          <w:szCs w:val="20"/>
          <w:color w:val="auto"/>
        </w:rPr>
      </w:pPr>
      <w:r>
        <w:rPr>
          <w:rFonts w:ascii="Times New Roman" w:cs="Times New Roman" w:eastAsia="Times New Roman" w:hAnsi="Times New Roman"/>
          <w:sz w:val="20"/>
          <w:szCs w:val="20"/>
          <w:color w:val="auto"/>
        </w:rPr>
        <w:t>securing intercompany Indebtedness permitted under Section 7.2 or Section 7.7 or securing other intercompany obligations not prohibited hereunder;</w:t>
      </w:r>
    </w:p>
    <w:p>
      <w:pPr>
        <w:spacing w:after="0" w:line="146" w:lineRule="exact"/>
        <w:rPr>
          <w:sz w:val="20"/>
          <w:szCs w:val="20"/>
          <w:color w:val="auto"/>
        </w:rPr>
      </w:pPr>
    </w:p>
    <w:p>
      <w:pPr>
        <w:ind w:left="1100" w:hanging="444"/>
        <w:spacing w:after="0"/>
        <w:tabs>
          <w:tab w:leader="none" w:pos="11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cash or Cash Equivalents arising in connection with the defeasance, discharge or redemption of Indebtedness;</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9"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spacing w:after="0" w:line="172" w:lineRule="exact"/>
        <w:rPr>
          <w:rFonts w:ascii="Times New Roman" w:cs="Times New Roman" w:eastAsia="Times New Roman" w:hAnsi="Times New Roman"/>
          <w:sz w:val="20"/>
          <w:szCs w:val="20"/>
          <w:color w:val="auto"/>
        </w:rPr>
      </w:pPr>
    </w:p>
    <w:p>
      <w:pPr>
        <w:ind w:left="1100" w:hanging="444"/>
        <w:spacing w:after="0"/>
        <w:tabs>
          <w:tab w:leader="none" w:pos="110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security given to a public or private utility or any Governmental Authority as required in the ordinary course of business;</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9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progress payments and advances from customers in the ordinary course of business or consistent with past practice to the extent the same creates a Lien on the related inventory and proceeds;</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222"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property or assets of Subsidiaries that are not Loan Parties securing Indebtedness of Subsidiaries that are not Loan Parties incurred pursuant to Section 7.2(k);</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29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 the nature of the right of setoff in favor of counterparties to contractual agreements with the Company or any Subsidiary in the ordinary course of business; and</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20"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solely in connection with rights of dissenting equity holders pursuant to any Requirement of Law in respect of any acquisition or other similar Investment permitted hereunder.</w:t>
      </w:r>
    </w:p>
    <w:p>
      <w:pPr>
        <w:spacing w:after="0" w:line="16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Fundamental Changes</w:t>
      </w:r>
      <w:r>
        <w:rPr>
          <w:rFonts w:ascii="Times New Roman" w:cs="Times New Roman" w:eastAsia="Times New Roman" w:hAnsi="Times New Roman"/>
          <w:sz w:val="20"/>
          <w:szCs w:val="20"/>
          <w:color w:val="auto"/>
        </w:rPr>
        <w:t>. Enter into any merger, consolidation or amalgamation, or liquidate, wind up or dissolve itself (or suffer any liquidation or dissolution) or Dispose of all or substantially all of its property or business, except that:</w:t>
      </w:r>
    </w:p>
    <w:p>
      <w:pPr>
        <w:spacing w:after="0" w:line="1" w:lineRule="exact"/>
        <w:rPr>
          <w:sz w:val="20"/>
          <w:szCs w:val="20"/>
          <w:color w:val="auto"/>
        </w:rPr>
      </w:pPr>
    </w:p>
    <w:p>
      <w:pPr>
        <w:jc w:val="both"/>
        <w:ind w:firstLine="656"/>
        <w:spacing w:after="0" w:line="249" w:lineRule="auto"/>
        <w:tabs>
          <w:tab w:leader="none" w:pos="112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Subsidiary of the Company (other than Remitly) may be merged or consolidated with or into the Company (provided that the Company shall be the continuing or surviving corporation) or with or into any other Subsidiary of the Company; provided that if any such transaction is between a Guarantor and a Subsidiary that is not a Guarantor, such Guarantor shall be the continuing or surviving entity and (ii) Remitly may be merged or consolidated with or into any other Subsidiary; provided that Remitly shall be the continuing or surviving entity.</w:t>
      </w:r>
    </w:p>
    <w:p>
      <w:pPr>
        <w:spacing w:after="0" w:line="195"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Subsidiary of the Company may Dispose of all or substantially all of its assets (upon voluntary liquidation or otherwise) to the Company or any other Loan Party, (ii) any Subsidiary that is not a Loan Party may Dispose of all or substantially all of its assets upon voluntary liquidation or otherwise to the Company or any Subsidiary and (iii) any Subsidiary of the Company may Dispose of all or substantially all of its assets pursuant to a Disposition permitted by Section 7.5 (other than pursuant to Section 7.5(c)); provided that, for the avoidance of doubt, any Subsidiary of the Company that only holds Capital Stock of other Subsidiaries of the Company (a “</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Holding Company</w:t>
      </w:r>
      <w:r>
        <w:rPr>
          <w:rFonts w:ascii="Times New Roman" w:cs="Times New Roman" w:eastAsia="Times New Roman" w:hAnsi="Times New Roman"/>
          <w:sz w:val="20"/>
          <w:szCs w:val="20"/>
          <w:color w:val="auto"/>
        </w:rPr>
        <w:t>”) may consummate any sale of all or substantially all of its assets that would be permitted under this Section 7.4(b)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each such Subsidiary or Subsidiaries held by such Subsidiary Holding Company;</w:t>
      </w:r>
    </w:p>
    <w:p>
      <w:pPr>
        <w:spacing w:after="0" w:line="192" w:lineRule="exact"/>
        <w:rPr>
          <w:rFonts w:ascii="Times New Roman" w:cs="Times New Roman" w:eastAsia="Times New Roman" w:hAnsi="Times New Roman"/>
          <w:sz w:val="20"/>
          <w:szCs w:val="20"/>
          <w:color w:val="auto"/>
        </w:rPr>
      </w:pPr>
    </w:p>
    <w:p>
      <w:pPr>
        <w:ind w:right="20" w:firstLine="656"/>
        <w:spacing w:after="0" w:line="269" w:lineRule="auto"/>
        <w:tabs>
          <w:tab w:leader="none" w:pos="122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(other than Remitly) may be liquidated as long as the proceeds of such liquidation (after satisfying all Contractual Obligations of such Subsidiary) are distributed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413" w:right="339" w:bottom="1440" w:gutter="0" w:footer="0" w:header="0"/>
        </w:sectPr>
      </w:pPr>
    </w:p>
    <w:bookmarkStart w:id="138" w:name="page139"/>
    <w:bookmarkEnd w:id="138"/>
    <w:p>
      <w:pPr>
        <w:ind w:right="20"/>
        <w:spacing w:after="0" w:line="283" w:lineRule="auto"/>
        <w:rPr>
          <w:sz w:val="20"/>
          <w:szCs w:val="20"/>
          <w:color w:val="auto"/>
        </w:rPr>
      </w:pPr>
      <w:r>
        <w:rPr>
          <w:rFonts w:ascii="Times New Roman" w:cs="Times New Roman" w:eastAsia="Times New Roman" w:hAnsi="Times New Roman"/>
          <w:sz w:val="20"/>
          <w:szCs w:val="20"/>
          <w:color w:val="auto"/>
        </w:rPr>
        <w:t>of the Capital Stock of such Subsidiary on an approximately ratable basis (based on their respective equity ownership interests in such Subsidiary); and</w:t>
      </w:r>
    </w:p>
    <w:p>
      <w:pPr>
        <w:spacing w:after="0" w:line="146"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the Company may consummate a Holding Company Reorganization.</w:t>
      </w:r>
    </w:p>
    <w:p>
      <w:pPr>
        <w:spacing w:after="0" w:line="22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19"/>
          <w:szCs w:val="19"/>
          <w:u w:val="single" w:color="auto"/>
          <w:color w:val="auto"/>
        </w:rPr>
        <w:t>Disposition of Property</w:t>
      </w:r>
      <w:r>
        <w:rPr>
          <w:rFonts w:ascii="Times New Roman" w:cs="Times New Roman" w:eastAsia="Times New Roman" w:hAnsi="Times New Roman"/>
          <w:sz w:val="19"/>
          <w:szCs w:val="19"/>
          <w:color w:val="auto"/>
        </w:rPr>
        <w:t>. Dispose of any of its property or rights, whether now owned or hereafter acquired, except:</w:t>
      </w:r>
    </w:p>
    <w:p>
      <w:pPr>
        <w:spacing w:after="0" w:line="22" w:lineRule="exact"/>
        <w:rPr>
          <w:sz w:val="20"/>
          <w:szCs w:val="20"/>
          <w:color w:val="auto"/>
        </w:rPr>
      </w:pPr>
    </w:p>
    <w:p>
      <w:pPr>
        <w:ind w:left="1080" w:hanging="424"/>
        <w:spacing w:after="0"/>
        <w:tabs>
          <w:tab w:leader="none" w:pos="10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unnecessary, obsolete or worn out property ;</w:t>
      </w:r>
    </w:p>
    <w:p>
      <w:pPr>
        <w:spacing w:after="0" w:line="20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of inventory or goods held for sale in the ordinary course of business;</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0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permitted by Section 7.4(b), and Dispositions to effect Restricted Payments and Investments permitted pursuant to Section 7.6 (other than Section 7.6(h)) or 7.7 (other than Section 7.7(y) and (cc)), respectively; provided that no Subsidiary may make a Disposition of any Material IP to any Unrestricted Subsidiary pursuant to this Section 7.5(c) unless such Disposition is to effect an Investment permitted pursuant to Section 7.7(bb);</w:t>
      </w:r>
    </w:p>
    <w:p>
      <w:pPr>
        <w:spacing w:after="0" w:line="187"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non-exclusive licensing or sublicensing of Intellectual Property in the ordinary course of business;</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Permitted Receivables Financing;</w:t>
      </w:r>
    </w:p>
    <w:p>
      <w:pPr>
        <w:spacing w:after="0" w:line="215"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listed and described, to the extent in excess of $5,000,000, on Schedule 7.5 as in effect on the Closing Date;</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090"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assets (i) from one Loan Party to another Loan Party, (ii) from a Subsidiary to a Loan Party or (iii) from one Subsidiary that is not a Loan Party to another Subsidiary that is not a Loan Party;</w:t>
      </w:r>
    </w:p>
    <w:p>
      <w:pPr>
        <w:spacing w:after="0" w:line="172" w:lineRule="exact"/>
        <w:rPr>
          <w:rFonts w:ascii="Times New Roman" w:cs="Times New Roman" w:eastAsia="Times New Roman" w:hAnsi="Times New Roman"/>
          <w:sz w:val="20"/>
          <w:szCs w:val="20"/>
          <w:color w:val="auto"/>
        </w:rPr>
      </w:pPr>
    </w:p>
    <w:p>
      <w:pPr>
        <w:jc w:val="both"/>
        <w:ind w:firstLine="656"/>
        <w:spacing w:after="0" w:line="249" w:lineRule="auto"/>
        <w:tabs>
          <w:tab w:leader="none" w:pos="1124"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other property not described in clauses (a)-(g) above or (i)-(ff) below for not less than fair market value as long as at least 75% of the consideration consists of cash and cash equivalents (provided that such minimum cash/cash equivalent requirement shall not apply to any Disposition or series of related Dispositions of property having a fair market value of not more than the greater of $26,500,000 and 15% of Consolidated EBITDA for the most recently ended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purposes of such minimum cash/cash equivalent requirement, (v) the amount of any Indebtedness or other liabilities (other than Indebtedness or other liabilities that are subordinated to the Obligations or that are owed to the Company or any Subsidiary) of the Company or any Subsidiary (as shown on such Person’s most recent balance sheet (or in the notes thereto), or if the incurrence of such Indebtedness or other liability took place after the date of such balance sheet, that would have been shown on such balance sheet or in the notes thereto, as determined in good faith by the Company) that are (i) assumed by the transferee of any such assets and for which the Company and/or its applicable Subsidiary have been validly released by all relevant creditors in writing or (ii) otherwise cancelled or terminated in connection with such Disposition,</w:t>
      </w:r>
    </w:p>
    <w:p>
      <w:pPr>
        <w:spacing w:after="0" w:line="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trade-in value applied to the purchase price of any replacement assets acquired in connection with such Disposition,</w:t>
      </w:r>
    </w:p>
    <w:p>
      <w:pPr>
        <w:spacing w:after="0" w:line="6"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securities or other obligations or assets received by the Company or any Subsidiary from such transferee (including earn-outs or</w:t>
      </w:r>
    </w:p>
    <w:p>
      <w:pPr>
        <w:spacing w:after="0" w:line="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similar obligations) that are converted by such Person into cash or Cash Equivalents, or by their terms are required to be satisfied for cash or Cash Equivalents (to the extent of the cash or cash equivalents received) within 180 days following the closing of the applicable Disposition and (y) any Designated Non-Cash Consideration received in respect of such Disposition having an aggregate fair market value, taken together with all other Designated Non-Cash Consideration received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413" w:right="339" w:bottom="1440" w:gutter="0" w:footer="0" w:header="0"/>
        </w:sectPr>
      </w:pPr>
    </w:p>
    <w:bookmarkStart w:id="139" w:name="page140"/>
    <w:bookmarkEnd w:id="139"/>
    <w:p>
      <w:pPr>
        <w:spacing w:after="0" w:line="283" w:lineRule="auto"/>
        <w:rPr>
          <w:sz w:val="20"/>
          <w:szCs w:val="20"/>
          <w:color w:val="auto"/>
        </w:rPr>
      </w:pP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that is at that time outstanding, not in excess of the greater of $17,500,000 and 10% of Consolidated EBITDA for the most recently ended Test Period, shall be deemed cash for purposes hereof);</w:t>
      </w:r>
    </w:p>
    <w:p>
      <w:pPr>
        <w:spacing w:after="0" w:line="146" w:lineRule="exact"/>
        <w:rPr>
          <w:sz w:val="20"/>
          <w:szCs w:val="20"/>
          <w:color w:val="auto"/>
        </w:rPr>
      </w:pPr>
    </w:p>
    <w:p>
      <w:pPr>
        <w:jc w:val="both"/>
        <w:ind w:firstLine="656"/>
        <w:spacing w:after="0" w:line="261" w:lineRule="auto"/>
        <w:tabs>
          <w:tab w:leader="none" w:pos="104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of its Subsidiaries may transfer or contribute ownership of the Capital Stock of any Subsidiary that is not a Loan Party or Joint Venture or the assets of any Subsidiary that is not a Loan Party or Joint Venture to the Company or a Subsidiary of the Company;</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05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and/or Cash Equivalents or other assets that were cash and/or Cash Equivalents when the relevant original Investment was made;</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may sell property pursuant to Permitted Sale/Leasebacks;</w:t>
      </w:r>
    </w:p>
    <w:p>
      <w:pPr>
        <w:spacing w:after="0" w:line="229" w:lineRule="exact"/>
        <w:rPr>
          <w:rFonts w:ascii="Times New Roman" w:cs="Times New Roman" w:eastAsia="Times New Roman" w:hAnsi="Times New Roman"/>
          <w:sz w:val="20"/>
          <w:szCs w:val="20"/>
          <w:color w:val="auto"/>
        </w:rPr>
      </w:pPr>
    </w:p>
    <w:p>
      <w:pPr>
        <w:ind w:right="20" w:firstLine="656"/>
        <w:spacing w:after="0" w:line="269" w:lineRule="auto"/>
        <w:tabs>
          <w:tab w:leader="none" w:pos="104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Investments in Joint Ventures to the extent required by, or made pursuant to, buy/sell arrangement between joint venture or similar parties set forth in the relevant joint venture arrangements or similar binding agreements;</w:t>
      </w:r>
    </w:p>
    <w:p>
      <w:pPr>
        <w:spacing w:after="0" w:line="172" w:lineRule="exact"/>
        <w:rPr>
          <w:rFonts w:ascii="Times New Roman" w:cs="Times New Roman" w:eastAsia="Times New Roman" w:hAnsi="Times New Roman"/>
          <w:sz w:val="20"/>
          <w:szCs w:val="20"/>
          <w:color w:val="auto"/>
        </w:rPr>
      </w:pPr>
    </w:p>
    <w:p>
      <w:pPr>
        <w:ind w:left="1140" w:hanging="484"/>
        <w:spacing w:after="0"/>
        <w:tabs>
          <w:tab w:leader="none" w:pos="114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of the Capital Stock or assets of any Immaterial Subsidiary;</w:t>
      </w:r>
    </w:p>
    <w:p>
      <w:pPr>
        <w:spacing w:after="0" w:line="22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by the Company and its Subsidiaries of bills of exchange of the Company and its Subsidiaries;</w:t>
      </w:r>
    </w:p>
    <w:p>
      <w:pPr>
        <w:spacing w:after="0" w:line="215" w:lineRule="exact"/>
        <w:rPr>
          <w:rFonts w:ascii="Times New Roman" w:cs="Times New Roman" w:eastAsia="Times New Roman" w:hAnsi="Times New Roman"/>
          <w:sz w:val="20"/>
          <w:szCs w:val="20"/>
          <w:color w:val="auto"/>
        </w:rPr>
      </w:pPr>
    </w:p>
    <w:p>
      <w:pPr>
        <w:jc w:val="both"/>
        <w:ind w:firstLine="656"/>
        <w:spacing w:after="0" w:line="258" w:lineRule="auto"/>
        <w:tabs>
          <w:tab w:leader="none" w:pos="114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non-core assets, in each case acquired in any acquisition or other Investment permitted hereunder, including such Dispositions (x) made in order to obtain the approval of any anti-trust authority or otherwise necessary or advisable in the good faith determination of the Company to consummate any acquisition or other Investment permitted hereunder or (y) which are being held for sale and not for the continued operation of the Company or any of its Subsidiaries or any of their respective businesses;</w:t>
      </w:r>
    </w:p>
    <w:p>
      <w:pPr>
        <w:spacing w:after="0" w:line="185" w:lineRule="exact"/>
        <w:rPr>
          <w:rFonts w:ascii="Times New Roman" w:cs="Times New Roman" w:eastAsia="Times New Roman" w:hAnsi="Times New Roman"/>
          <w:sz w:val="20"/>
          <w:szCs w:val="20"/>
          <w:color w:val="auto"/>
        </w:rPr>
      </w:pPr>
    </w:p>
    <w:p>
      <w:pPr>
        <w:ind w:right="20" w:firstLine="656"/>
        <w:spacing w:after="0" w:line="269" w:lineRule="auto"/>
        <w:tabs>
          <w:tab w:leader="none" w:pos="109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Disposition; provided that the aggregate fair market value of all Dispositions pursuant to this Section 7.5(p) does not exceed the greater of (x) $44,250,000 and (y) 25% of Consolidated EBITDA for the most recently ended Test Period;</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of its Subsidiaries may transfer or contribute ownership of the Capital Stock of any Subsidiary that is not a Loan Party formed or organized under the laws of (a) any European country or (b) any state, province, district or other subdivision of any such country, in each case to a Subsidiary that is not a Loan Party that is a European holding company;</w:t>
      </w:r>
    </w:p>
    <w:p>
      <w:pPr>
        <w:spacing w:after="0" w:line="167"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Company Stock;</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4"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exchanges or swaps, including transactions covered by Section 1031 of the Code (or any comparable provision of any foreign jurisdiction), of property or assets so long as any such exchange or swap is made for fair value (as determined by the Company in good faith) for like property or assets or property, assets or services of greater value or usefulness to the business of the Borrowers and their Subsidiaries as a whole, as determined in good faith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consummation of any such exchange or swap by any Loan Party, to the extent the property received does not constitute an Excluded Asset, the Administrative Agent has a perfected Lien with the same priority as the Lien held on the property or assets so exchanged or swapped;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413" w:right="339" w:bottom="1440" w:gutter="0" w:footer="0" w:header="0"/>
        </w:sectPr>
      </w:pPr>
    </w:p>
    <w:bookmarkStart w:id="140" w:name="page141"/>
    <w:bookmarkEnd w:id="140"/>
    <w:p>
      <w:pPr>
        <w:ind w:firstLine="656"/>
        <w:spacing w:after="0" w:line="283" w:lineRule="auto"/>
        <w:tabs>
          <w:tab w:leader="none" w:pos="1066"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accounts receivable in connection with the collection or compromise thereof in the ordinary course of business or consistent with past practice (which, for the avoidance of doubt, shall exclude receivable financing);</w:t>
      </w:r>
    </w:p>
    <w:p>
      <w:pPr>
        <w:spacing w:after="0" w:line="146" w:lineRule="exact"/>
        <w:rPr>
          <w:rFonts w:ascii="Times New Roman" w:cs="Times New Roman" w:eastAsia="Times New Roman" w:hAnsi="Times New Roman"/>
          <w:sz w:val="20"/>
          <w:szCs w:val="20"/>
          <w:color w:val="auto"/>
        </w:rPr>
      </w:pPr>
    </w:p>
    <w:p>
      <w:pPr>
        <w:ind w:left="1160" w:hanging="504"/>
        <w:spacing w:after="0"/>
        <w:tabs>
          <w:tab w:leader="none" w:pos="116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Transfers of property subject to a casualty event and Dispositions constituting expropriations or takings by a Governmental</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Authority;</w:t>
      </w:r>
    </w:p>
    <w:p>
      <w:pPr>
        <w:spacing w:after="0" w:line="200"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unwinding of Hedge Agreements permitted hereunder pursuant to their terms;</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11"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assets that do not constitute Collateral having a fair market value of not more than, in any fiscal year, the greater of $44,250,000 and 25% of Consolidated EBITDA for the most recently ended Test Period, which amount if not used in the fiscal year for which it is permitted may be carried forward to the immediately succeeding two fiscal years;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0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in-plant maintenance, repair and operating and perishable tooling operations to third parties in connection with the outsourcing of such operations;</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abandonments, cancellations or lapses of Intellectual Property or other Intellectual Property rights, including issuances or registrations thereof, or applications for issuances or registrations thereof, in the ordinary course of business or consistent with past practice or which, in the good faith determination of the Company, are not necessary to the conduct of the business of the Company or its Subsidiaries or are obsolete, no longer economical to maintain or otherwise not material in the conduct of business of the Company or any of its Subsidiaries;</w:t>
      </w:r>
    </w:p>
    <w:p>
      <w:pPr>
        <w:spacing w:after="0" w:line="19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any Intellectual Property in accordance with any statutory term that is not subject to renewal;</w:t>
      </w:r>
    </w:p>
    <w:p>
      <w:pPr>
        <w:spacing w:after="0" w:line="229" w:lineRule="exact"/>
        <w:rPr>
          <w:sz w:val="20"/>
          <w:szCs w:val="20"/>
          <w:color w:val="auto"/>
        </w:rPr>
      </w:pPr>
    </w:p>
    <w:p>
      <w:pPr>
        <w:ind w:left="1160" w:hanging="504"/>
        <w:spacing w:after="0"/>
        <w:tabs>
          <w:tab w:leader="none" w:pos="11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Capital Stock of, or sales of Indebtedness or other securities of, Unrestricted Subsidiaries;</w:t>
      </w:r>
    </w:p>
    <w:p>
      <w:pPr>
        <w:spacing w:after="0" w:line="215" w:lineRule="exact"/>
        <w:rPr>
          <w:rFonts w:ascii="Times New Roman" w:cs="Times New Roman" w:eastAsia="Times New Roman" w:hAnsi="Times New Roman"/>
          <w:sz w:val="20"/>
          <w:szCs w:val="20"/>
          <w:color w:val="auto"/>
        </w:rPr>
      </w:pPr>
    </w:p>
    <w:p>
      <w:pPr>
        <w:ind w:left="1200" w:hanging="544"/>
        <w:spacing w:after="0"/>
        <w:tabs>
          <w:tab w:leader="none" w:pos="1200" w:val="left"/>
        </w:tabs>
        <w:numPr>
          <w:ilvl w:val="0"/>
          <w:numId w:val="1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Dispositions made to comply with any order or other directive of any Governmental Authority or any applicable Requirement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Law;</w:t>
      </w:r>
    </w:p>
    <w:p>
      <w:pPr>
        <w:spacing w:after="0" w:line="200" w:lineRule="exact"/>
        <w:rPr>
          <w:sz w:val="20"/>
          <w:szCs w:val="20"/>
          <w:color w:val="auto"/>
        </w:rPr>
      </w:pPr>
    </w:p>
    <w:p>
      <w:pPr>
        <w:ind w:left="1160" w:hanging="504"/>
        <w:spacing w:after="0"/>
        <w:tabs>
          <w:tab w:leader="none" w:pos="116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of motor vehicles and information technology equipment purchased at the end of an operating lease and resold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thereafter;</w:t>
      </w:r>
    </w:p>
    <w:p>
      <w:pPr>
        <w:spacing w:after="0" w:line="207" w:lineRule="exact"/>
        <w:rPr>
          <w:rFonts w:ascii="Times New Roman" w:cs="Times New Roman" w:eastAsia="Times New Roman" w:hAnsi="Times New Roman"/>
          <w:sz w:val="20"/>
          <w:szCs w:val="20"/>
          <w:color w:val="auto"/>
        </w:rPr>
      </w:pPr>
    </w:p>
    <w:p>
      <w:pPr>
        <w:jc w:val="both"/>
        <w:ind w:firstLine="656"/>
        <w:spacing w:after="0" w:line="261" w:lineRule="auto"/>
        <w:tabs>
          <w:tab w:leader="none" w:pos="1243"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 and</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32"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netting arrangement of accounts receivable between or among the Company and its Subsidiaries or among Subsidiaries of the Company made in the ordinary course of business.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Simultaneously with any transfer described in Section 7.5 (to the extent such transfer is to a Person that is not a Loan Party) of this Agreement, the Lien on and security interest created by the Loan Documents in the Capital Stock of the Subsidiaries so transferred or contributed will be automatically released and the Administrative Agent and the Collateral Agent shall take any action reasonably requested in writing by the Company to evidence such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413" w:right="339" w:bottom="1440" w:gutter="0" w:footer="0" w:header="0"/>
        </w:sectPr>
      </w:pPr>
    </w:p>
    <w:bookmarkStart w:id="141" w:name="page142"/>
    <w:bookmarkEnd w:id="141"/>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Restricted Payments</w:t>
      </w:r>
      <w:r>
        <w:rPr>
          <w:rFonts w:ascii="Times New Roman" w:cs="Times New Roman" w:eastAsia="Times New Roman" w:hAnsi="Times New Roman"/>
          <w:sz w:val="20"/>
          <w:szCs w:val="20"/>
          <w:color w:val="auto"/>
        </w:rPr>
        <w:t>. Declare or pay any dividend (other than dividends payable solely in common stock or other applicable common equity interests of the Person making such dividend) on, or make any payment on account of, or set apart assets for a sinking or other analogous fund for, the purchase, redemption, defeasance, retirement or other acquisition of, any Capital Stock (but excluding any of the foregoing with respect to any debt security that is convertible into, or exchangeable for, Capital Stock) of the Company or any Subsidiary, whether now or hereafter outstanding, or make any other distribution in respect thereof, either directly or indirectly, whether in cash or property or in obligations of the Company or any Subsidiary (collectively, “</w:t>
      </w:r>
      <w:r>
        <w:rPr>
          <w:rFonts w:ascii="Times New Roman" w:cs="Times New Roman" w:eastAsia="Times New Roman" w:hAnsi="Times New Roman"/>
          <w:sz w:val="20"/>
          <w:szCs w:val="20"/>
          <w:b w:val="1"/>
          <w:bCs w:val="1"/>
          <w:color w:val="auto"/>
        </w:rPr>
        <w:t>Restricted Payments</w:t>
      </w:r>
      <w:r>
        <w:rPr>
          <w:rFonts w:ascii="Times New Roman" w:cs="Times New Roman" w:eastAsia="Times New Roman" w:hAnsi="Times New Roman"/>
          <w:sz w:val="20"/>
          <w:szCs w:val="20"/>
          <w:color w:val="auto"/>
        </w:rPr>
        <w:t>”), except that:</w:t>
      </w:r>
    </w:p>
    <w:p>
      <w:pPr>
        <w:spacing w:after="0" w:line="3" w:lineRule="exact"/>
        <w:rPr>
          <w:sz w:val="20"/>
          <w:szCs w:val="20"/>
          <w:color w:val="auto"/>
        </w:rPr>
      </w:pPr>
    </w:p>
    <w:p>
      <w:pPr>
        <w:ind w:firstLine="656"/>
        <w:spacing w:after="0" w:line="253" w:lineRule="auto"/>
        <w:tabs>
          <w:tab w:leader="none" w:pos="1108"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make Restricted Payments to the Company, any Subsidiary or to any other Person (ratably based on such other Person’s equity ownership in such Subsidiary) which owns Capital Stock of such Subsidiary;</w:t>
      </w:r>
    </w:p>
    <w:p>
      <w:pPr>
        <w:spacing w:after="0" w:line="188" w:lineRule="exact"/>
        <w:rPr>
          <w:rFonts w:ascii="Times New Roman" w:cs="Times New Roman" w:eastAsia="Times New Roman" w:hAnsi="Times New Roman"/>
          <w:sz w:val="20"/>
          <w:szCs w:val="20"/>
          <w:color w:val="auto"/>
        </w:rPr>
      </w:pPr>
    </w:p>
    <w:p>
      <w:pPr>
        <w:jc w:val="both"/>
        <w:ind w:firstLine="656"/>
        <w:spacing w:after="0" w:line="253" w:lineRule="auto"/>
        <w:tabs>
          <w:tab w:leader="none" w:pos="1147"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the Company may purchase the Company’s common stock held by any Permitted Payee upon the death, disability or termination of employment of such officer or employee; provided that the aggregate amount of Restricted Payments under this paragraph (b) in any fiscal year shall not exceed the lesser of (i) $10,000,000 and (y) the sum of $5,000,000 plus the amount of Restricted Payments permitted to be made pursuant to this paragraph (b) in any previous fiscal year but not so made as a Restricted Payment pursuant to this paragraph (b) in any previous fiscal year;</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7"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Restricted Payments if, after giving effect thereto, the Total Net Leverage Ratio calculated on the date of incurrence thereof on a Pro Forma Basis would be less than 3.00 to 1.00 (it being understood that any Restricted Payment permitted at the time it was made shall be deemed to be permitted notwithstanding that the conditions specified in this paragraph (c) for such Restricted Payment may no longer be satisfied thereafter); provided that no Event of Default shall have occurred and be continuing or would result therefrom);</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161" w:val="left"/>
        </w:tabs>
        <w:numPr>
          <w:ilvl w:val="1"/>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withhold shares of Capital Stock of the Company from, and pay personal payroll taxes of employees in respect of vested restricted shares of, options to purchase and other equity incentive awards in respect of, the Capital Stock of the Company;</w:t>
      </w:r>
    </w:p>
    <w:p>
      <w:pPr>
        <w:spacing w:after="0" w:line="172" w:lineRule="exact"/>
        <w:rPr>
          <w:rFonts w:ascii="Times New Roman" w:cs="Times New Roman" w:eastAsia="Times New Roman" w:hAnsi="Times New Roman"/>
          <w:sz w:val="20"/>
          <w:szCs w:val="20"/>
          <w:color w:val="auto"/>
        </w:rPr>
      </w:pPr>
    </w:p>
    <w:p>
      <w:pPr>
        <w:jc w:val="both"/>
        <w:ind w:firstLine="656"/>
        <w:spacing w:after="0" w:line="267" w:lineRule="auto"/>
        <w:tabs>
          <w:tab w:leader="none" w:pos="1070" w:val="left"/>
        </w:tabs>
        <w:numPr>
          <w:ilvl w:val="1"/>
          <w:numId w:val="1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may make additional Restricted Payments in an amount not to exceed the portion, if any, of the Available Amount on such date that the Company elects to apply to this clause (e); provided that (x) with respect to the use of the portion of the Available Amount set forth in (a)(ii) of the definition thereof, no Event of Default shall have occurred and be continuing or would result therefrom and</w:t>
      </w:r>
    </w:p>
    <w:p>
      <w:pPr>
        <w:spacing w:after="0" w:line="1" w:lineRule="exact"/>
        <w:rPr>
          <w:rFonts w:ascii="Times New Roman" w:cs="Times New Roman" w:eastAsia="Times New Roman" w:hAnsi="Times New Roman"/>
          <w:sz w:val="19"/>
          <w:szCs w:val="19"/>
          <w:color w:val="auto"/>
        </w:rPr>
      </w:pPr>
    </w:p>
    <w:p>
      <w:pPr>
        <w:ind w:firstLine="8"/>
        <w:spacing w:after="0" w:line="253" w:lineRule="auto"/>
        <w:tabs>
          <w:tab w:leader="none" w:pos="317"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use of each other portion of the Available Amount, no Specified Event of Default shall have occurred and be continuing or would result therefrom;</w:t>
      </w:r>
    </w:p>
    <w:p>
      <w:pPr>
        <w:spacing w:after="0" w:line="188" w:lineRule="exact"/>
        <w:rPr>
          <w:rFonts w:ascii="Times New Roman" w:cs="Times New Roman" w:eastAsia="Times New Roman" w:hAnsi="Times New Roman"/>
          <w:sz w:val="20"/>
          <w:szCs w:val="20"/>
          <w:color w:val="auto"/>
        </w:rPr>
      </w:pPr>
    </w:p>
    <w:p>
      <w:pPr>
        <w:jc w:val="both"/>
        <w:ind w:firstLine="656"/>
        <w:spacing w:after="0" w:line="261" w:lineRule="auto"/>
        <w:tabs>
          <w:tab w:leader="none" w:pos="1092"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additional Restricted Payments in an aggregate amount, together with the amount of Restricted Debt Payments made pursuant to Section 7.13(f), not to exceed the greater of $62,000,000 and 35% of Consolidated EBITDA for the most recently ended Test Period;</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089" w:val="left"/>
        </w:tabs>
        <w:numPr>
          <w:ilvl w:val="1"/>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repurchase, redeem, acquire or retire Capital Stock upon (or make provisions for withholdings in connection with) (or make provisions for withholdings in connection with),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 as part of a “cashless”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1900" w:h="16838" w:orient="portrait"/>
          <w:cols w:equalWidth="0" w:num="1">
            <w:col w:w="11240"/>
          </w:cols>
          <w:pgMar w:left="320" w:top="1413" w:right="339" w:bottom="1440" w:gutter="0" w:footer="0" w:header="0"/>
        </w:sectPr>
      </w:pPr>
    </w:p>
    <w:bookmarkStart w:id="142" w:name="page143"/>
    <w:bookmarkEnd w:id="142"/>
    <w:p>
      <w:pPr>
        <w:ind w:firstLine="656"/>
        <w:spacing w:after="0" w:line="283" w:lineRule="auto"/>
        <w:tabs>
          <w:tab w:leader="none" w:pos="1095"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 Restricted Payment, the Company may consummate any transaction permitted by Section 7.5 (other than Sections 7.5(c)) and Section 7.7 (other than Section 7.7(y) and 7.7(cc));</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pay 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the provisions of this Section 7.6;</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102"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has occurred and is continuing or would result therefrom, the company may make additional Restricted Payments in an aggregate amount not to exceed 7.00% of the Total Market Cap at the time such Restricted Payment is made;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6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a distribution, by dividend or otherwise, of the Capital Stock of any Unrestricted Subsidiary (or a Subsidiary that owns one or more Unrestricted Subsidiaries; provided that such Subsidiary owns no assets other than Capital Stock of one or more Unrestricted Subsidiaries and immaterial assets incidental to the ownership thereof);</w:t>
      </w:r>
    </w:p>
    <w:p>
      <w:pPr>
        <w:spacing w:after="0" w:line="181" w:lineRule="exact"/>
        <w:rPr>
          <w:rFonts w:ascii="Times New Roman" w:cs="Times New Roman" w:eastAsia="Times New Roman" w:hAnsi="Times New Roman"/>
          <w:sz w:val="20"/>
          <w:szCs w:val="20"/>
          <w:color w:val="auto"/>
        </w:rPr>
      </w:pPr>
    </w:p>
    <w:p>
      <w:pPr>
        <w:jc w:val="both"/>
        <w:ind w:firstLine="656"/>
        <w:spacing w:after="0" w:line="254" w:lineRule="auto"/>
        <w:tabs>
          <w:tab w:leader="none" w:pos="106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payments and distributions to satisfy dissenters’ rights (including in connection with, or as a result of, the exercise of appraisal rights and the settlement of any claims or actions (whether actual, contingent or potential)), pursuant to or in connection with any acquisition, merger, consolidation, amalgamation or Disposition that complies with Section 7.5 or any other transaction permitted hereunder;</w:t>
      </w:r>
    </w:p>
    <w:p>
      <w:pPr>
        <w:spacing w:after="0" w:line="18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41"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make a Restricted Payment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 and</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9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taxable period for which the Company and/or any of its Subsidiaries are members of a consolidated, combined, unitary or similar group for any federal, state, or local income tax purposes, the Company may pay any federal, state or local income taxes, or any franchise taxes imposed in lieu thereof, to any parent of any consolidated, combined, unitary or similar group that includes the Company or any of its Subsidiaries or joint ventures in respect of any consolidated, combined, unitary or similar income tax return that includes the Company or any of its Subsidiaries or joint ventures to the extent attributable to the income of the Company and/or its Subsidiaries or joint ventures determined as if the Company and its Subsidiaries or joint ventures filed a consolidated, combined, unitary or similar return separately from any other members of the group.</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Make any advance, loan, extension of credit (by way of guaranty or otherwise) or capital contribution to, or purchase any Capital Stock, bonds, notes, debentures or other debt securities of, or any assets constituting a business unit of, or make any other investment in, any Person (all of the foregoing, “</w:t>
      </w:r>
      <w:r>
        <w:rPr>
          <w:rFonts w:ascii="Times New Roman" w:cs="Times New Roman" w:eastAsia="Times New Roman" w:hAnsi="Times New Roman"/>
          <w:sz w:val="20"/>
          <w:szCs w:val="20"/>
          <w:b w:val="1"/>
          <w:bCs w:val="1"/>
          <w:color w:val="auto"/>
        </w:rPr>
        <w:t>Investments</w:t>
      </w:r>
      <w:r>
        <w:rPr>
          <w:rFonts w:ascii="Times New Roman" w:cs="Times New Roman" w:eastAsia="Times New Roman" w:hAnsi="Times New Roman"/>
          <w:sz w:val="20"/>
          <w:szCs w:val="20"/>
          <w:color w:val="auto"/>
        </w:rPr>
        <w:t>”), except:</w:t>
      </w:r>
    </w:p>
    <w:p>
      <w:pPr>
        <w:spacing w:after="0" w:line="1"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extensions of trade credit in the ordinary course of business or consistent with past practice;</w:t>
      </w:r>
    </w:p>
    <w:p>
      <w:pPr>
        <w:spacing w:after="0" w:line="200"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ectPr>
          <w:pgSz w:w="11900" w:h="16838" w:orient="portrait"/>
          <w:cols w:equalWidth="0" w:num="1">
            <w:col w:w="11240"/>
          </w:cols>
          <w:pgMar w:left="320" w:top="1413" w:right="339" w:bottom="1440" w:gutter="0" w:footer="0" w:header="0"/>
        </w:sectPr>
      </w:pPr>
    </w:p>
    <w:bookmarkStart w:id="143" w:name="page144"/>
    <w:bookmarkEnd w:id="143"/>
    <w:p>
      <w:pPr>
        <w:ind w:firstLine="656"/>
        <w:spacing w:after="0" w:line="283" w:lineRule="auto"/>
        <w:tabs>
          <w:tab w:leader="none" w:pos="109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Guarantee Obligations permitted by Section 7.2 and (ii) Guarantee Obligations arising in the ordinary course of business or consistent with past practice with respect to other obligations that do not constitute Indebtedness;</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6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employees of the Company or any Subsidiary of the Company in the ordinary course of business or consistent with past practice (including for travel, entertainment and relocation expenses) in an aggregate amount for the Company or any Subsidiary of the Company not to exceed the greater of (x) $17,500,000 and (y) 10% of Consolidated EBITDA for the most recently ended Test Period at any one time outstanding;</w:t>
      </w:r>
    </w:p>
    <w:p>
      <w:pPr>
        <w:spacing w:after="0" w:line="185" w:lineRule="exact"/>
        <w:rPr>
          <w:rFonts w:ascii="Times New Roman" w:cs="Times New Roman" w:eastAsia="Times New Roman" w:hAnsi="Times New Roman"/>
          <w:sz w:val="20"/>
          <w:szCs w:val="20"/>
          <w:color w:val="auto"/>
        </w:rPr>
      </w:pPr>
    </w:p>
    <w:p>
      <w:pPr>
        <w:jc w:val="both"/>
        <w:ind w:firstLine="656"/>
        <w:spacing w:after="0" w:line="253" w:lineRule="auto"/>
        <w:tabs>
          <w:tab w:leader="none" w:pos="120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by any Loan Party of Indebtedness of any Subsidiary that is not a Loan Party; provided that the aggregate amount of such Guarantee Obligations, together with the aggregate amount of Investments by Loan Parties made pursuant to the proviso to Section 7.7(f) and the aggregate amount of Investments by Loan Parties in Subsidiaries that are not Loan Parties under Section 7.7(q), shall not exceed the greater of (x) $177,000,000 and (y) 100% of Consolidated EBITDA for the most recently ended Test Period at any one time outstanding;</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87"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Investments by the Company or any of its Subsidiaries in the Company or any Person that, prior to such investment, is a Subsidiary; provided that the aggregate amount of Investments by Loan Parties in Subsidiaries that are not Loan Parties under this clause (f), together with the aggregate amount of Guarantee Obligations pursuant to Section 7.7(e) and the aggregate amount of Investments by Loan Parties in Subsidiaries that are not Loan Parties under Section 7.7(q), shall not exceed the greater of (x) $177,000,000 and (y) 100% of Consolidated EBITDA for the most recently ended Test Period at any one time outstanding;</w:t>
      </w:r>
    </w:p>
    <w:p>
      <w:pPr>
        <w:spacing w:after="0" w:line="19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3"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Joint Ventures or in any Person who, prior to the Investment, is not a Subsidiary and who becomes, as a result of the Investment, a Subsidiary that is not a Wholly Owned Subsidiary or in any other Subsidiary that is not a Loan Party in an aggregate amount not to exceed in any fiscal year the greater of (x) $71,000,000 and (y) 40% of Consolidated EBITDA for the most recently ended Test Period at any one time outstanding plus, in each case, all dividends, distributions, interest, payments, returns of capital, repayments of other amounts received in cash, by the Loan Parties from Joint Ventures and Persons who become a Subsidiary as a result of such Investment or from such other Subsidiaries that are not Loan Parties; provided, that any such amount not so invested in the fiscal year for which it is permitted may be carried over for investment in the immediately succeeding fiscal year;</w:t>
      </w:r>
    </w:p>
    <w:p>
      <w:pPr>
        <w:spacing w:after="0" w:line="192" w:lineRule="exact"/>
        <w:rPr>
          <w:rFonts w:ascii="Times New Roman" w:cs="Times New Roman" w:eastAsia="Times New Roman" w:hAnsi="Times New Roman"/>
          <w:sz w:val="20"/>
          <w:szCs w:val="20"/>
          <w:color w:val="auto"/>
        </w:rPr>
      </w:pPr>
    </w:p>
    <w:p>
      <w:pPr>
        <w:ind w:right="20" w:firstLine="656"/>
        <w:spacing w:after="0" w:line="269" w:lineRule="auto"/>
        <w:tabs>
          <w:tab w:leader="none" w:pos="1092"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existence on the Closing Date listed, to the extent in excess of $5,000,000, on Schedule 7.7(h); provided that no such Investment is increased except as permitted by the other provisions of this Section 7.7;</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12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Finance Subsidiary may execute and deliver one or more promissory notes (having terms customary for similar notes issued in transactions similar to a Permitted Receivables Financing) to the Company and its Subsidiaries representing the purchase price of Permitted Receivables Assets sold to such Finance Subsidiary in a Permitted Receivables Financing, and the Company and its Subsidiaries may contribute Permitted Receivables Assets and other assets of the type referred to in the definition of “Permitted Receivables Financing” to the capital of any Finance Subsidiary in connection with a Permitted Receivables Financing;</w:t>
      </w:r>
    </w:p>
    <w:p>
      <w:pPr>
        <w:spacing w:after="0" w:line="19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ectPr>
          <w:pgSz w:w="11900" w:h="16838" w:orient="portrait"/>
          <w:cols w:equalWidth="0" w:num="1">
            <w:col w:w="11240"/>
          </w:cols>
          <w:pgMar w:left="320" w:top="1413" w:right="339" w:bottom="1440" w:gutter="0" w:footer="0" w:header="0"/>
        </w:sectPr>
      </w:pPr>
    </w:p>
    <w:bookmarkStart w:id="144" w:name="page145"/>
    <w:bookmarkEnd w:id="144"/>
    <w:p>
      <w:pPr>
        <w:jc w:val="both"/>
        <w:ind w:firstLine="656"/>
        <w:spacing w:after="0" w:line="258" w:lineRule="auto"/>
        <w:tabs>
          <w:tab w:leader="none" w:pos="113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if, after giving effect thereto, the Total Net Leverage Ratio calculated on the date of incurrence thereof on a Pro Forma Basis would be less than 3.50 to 1.00 (it being understood that any Investment permitted at the time it was made shall be deemed to be permitted notwithstanding that the conditions specified in this paragraph (k) for such Investment may no longer be satisfied thereafter); provided that no Specified Event of Default shall have occurred and be continuing or would result therefrom;</w:t>
      </w:r>
    </w:p>
    <w:p>
      <w:pPr>
        <w:spacing w:after="0" w:line="172" w:lineRule="exact"/>
        <w:rPr>
          <w:rFonts w:ascii="Times New Roman" w:cs="Times New Roman" w:eastAsia="Times New Roman" w:hAnsi="Times New Roman"/>
          <w:sz w:val="20"/>
          <w:szCs w:val="20"/>
          <w:color w:val="auto"/>
        </w:rPr>
      </w:pPr>
    </w:p>
    <w:p>
      <w:pPr>
        <w:jc w:val="both"/>
        <w:ind w:firstLine="656"/>
        <w:spacing w:after="0" w:line="268" w:lineRule="auto"/>
        <w:tabs>
          <w:tab w:leader="none" w:pos="1039"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the Company and/or any of its Subsidiaries in an aggregate outstanding amount not to exceed the portion, if any, of the Available Amount on such date that the Company elects to apply to this clause (l); provided that no Specified Event of Default shall have occurred and be continuing or would result therefrom;</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13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non-cash consideration received, to the extent permitted by the Loan Documents, in connection with the disposition of property permitted by this Agreement;</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13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notes receivable arising from the grant of trade credit, and guarantees for the benefit of existing or potential suppliers, customers, distributors, licensors, licensees, lessees and lessors, in each case in the ordinary course of business or consistent with past practice, and Investments received in satisfaction or partial satisfaction thereof from financially troubled account debtors;</w:t>
      </w:r>
    </w:p>
    <w:p>
      <w:pPr>
        <w:spacing w:after="0" w:line="185"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Hedge Agreements entered into not for speculative purposes;</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20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accounts and securities accounts maintained in the ordinary course of business, and to the extent constituting an Investment, Cash Management Obligations;</w:t>
      </w:r>
    </w:p>
    <w:p>
      <w:pPr>
        <w:spacing w:after="0" w:line="15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12"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Investments by the Company or any of its Subsidiaries in an aggregate amount (valued at cost) (for all Investments by the Company and all Subsidiaries pursuant to this clause (q)) not to exceed the greater of (x) $88,500,000 and (y) 50% of Consolidated EBITDA for the most recently ended Test Period at any one time outstanding; provided that the aggregate amount of Investments by Loan Parties in Subsidiaries that are not Loan Parties under this clause (q), together with the aggregate amount of Guarantee Obligations pursuant to Section 7.7(e) and the aggregate amount of Investments by Loan Parties in Subsidiaries that are not Loan Parties under Section 7.7(f), shall not exceed the greater of (x) $177,000,000 and (y) 100% of Consolidated EBITDA for the most recently ended Test Period at any one time outstanding;</w:t>
      </w:r>
    </w:p>
    <w:p>
      <w:pPr>
        <w:spacing w:after="0" w:line="192" w:lineRule="exact"/>
        <w:rPr>
          <w:rFonts w:ascii="Times New Roman" w:cs="Times New Roman" w:eastAsia="Times New Roman" w:hAnsi="Times New Roman"/>
          <w:sz w:val="20"/>
          <w:szCs w:val="20"/>
          <w:color w:val="auto"/>
        </w:rPr>
      </w:pPr>
    </w:p>
    <w:p>
      <w:pPr>
        <w:jc w:val="both"/>
        <w:ind w:firstLine="656"/>
        <w:spacing w:after="0" w:line="253" w:lineRule="auto"/>
        <w:tabs>
          <w:tab w:leader="none" w:pos="106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that is acquired and becomes a Subsidiary or of a Person merged or amalgamated or consolidated into any Subsidiary, in each case after the Closing Date and which acquisition, merger, amalgamation or consolidation is permitted in accordance with another provision of this Section 7.7, to the extent that such Investments held by such Person were not made in contemplation of or in connection with such acquisition, merger, amalgamation or consolidation, and were in existence on the date of such acquisition, merger, amalgamation or consolidation;</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170"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in a Joint Venture to the extent such Investment is substantially contemporaneously repaid in full with a dividend or other distribution from such Joint Venture;</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43"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they constitute Investments, purchases and acquisitions of inventory, supplies, materials or equipment or purchases, acquisitions, licenses, sublicenses (or other grants or rights to use or exploit) or leases of other assets, Intellectual Property, or other rights, in each case in the ordinary course of business or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1900" w:h="16838" w:orient="portrait"/>
          <w:cols w:equalWidth="0" w:num="1">
            <w:col w:w="11240"/>
          </w:cols>
          <w:pgMar w:left="320" w:top="1413" w:right="339" w:bottom="1440" w:gutter="0" w:footer="0" w:header="0"/>
        </w:sectPr>
      </w:pPr>
    </w:p>
    <w:bookmarkStart w:id="145" w:name="page146"/>
    <w:bookmarkEnd w:id="145"/>
    <w:p>
      <w:pPr>
        <w:ind w:left="1060" w:hanging="424"/>
        <w:spacing w:after="0"/>
        <w:tabs>
          <w:tab w:leader="none" w:pos="10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maintained in connection with any Loan Party’s deferred compensation plan in the ordinary course of business;</w:t>
      </w:r>
    </w:p>
    <w:p>
      <w:pPr>
        <w:spacing w:after="0" w:line="229" w:lineRule="exact"/>
        <w:rPr>
          <w:rFonts w:ascii="Times New Roman" w:cs="Times New Roman" w:eastAsia="Times New Roman" w:hAnsi="Times New Roman"/>
          <w:sz w:val="20"/>
          <w:szCs w:val="20"/>
          <w:color w:val="auto"/>
        </w:rPr>
      </w:pPr>
    </w:p>
    <w:p>
      <w:pPr>
        <w:ind w:left="-20" w:firstLine="656"/>
        <w:spacing w:after="0" w:line="269" w:lineRule="auto"/>
        <w:tabs>
          <w:tab w:leader="none" w:pos="108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rebates and extensions of credit in the nature of accounts receivable or notes receivable arising from the grant of trade credit in the ordinary course of business or consistent with past practice;</w:t>
      </w:r>
    </w:p>
    <w:p>
      <w:pPr>
        <w:spacing w:after="0" w:line="172" w:lineRule="exact"/>
        <w:rPr>
          <w:rFonts w:ascii="Times New Roman" w:cs="Times New Roman" w:eastAsia="Times New Roman" w:hAnsi="Times New Roman"/>
          <w:sz w:val="20"/>
          <w:szCs w:val="20"/>
          <w:color w:val="auto"/>
        </w:rPr>
      </w:pPr>
    </w:p>
    <w:p>
      <w:pPr>
        <w:ind w:left="1100" w:hanging="464"/>
        <w:spacing w:after="0"/>
        <w:tabs>
          <w:tab w:leader="none" w:pos="110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Investments acquired by the Company or any of its Subsidiaries:</w:t>
      </w:r>
    </w:p>
    <w:p>
      <w:pPr>
        <w:spacing w:after="0" w:line="215" w:lineRule="exact"/>
        <w:rPr>
          <w:rFonts w:ascii="Times New Roman" w:cs="Times New Roman" w:eastAsia="Times New Roman" w:hAnsi="Times New Roman"/>
          <w:sz w:val="20"/>
          <w:szCs w:val="20"/>
          <w:color w:val="auto"/>
        </w:rPr>
      </w:pPr>
    </w:p>
    <w:p>
      <w:pPr>
        <w:jc w:val="both"/>
        <w:ind w:left="640" w:firstLine="644"/>
        <w:spacing w:after="0" w:line="268" w:lineRule="auto"/>
        <w:tabs>
          <w:tab w:leader="none" w:pos="1682"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exchange for any other Investment or accounts receivable held by the Company or any such Subsidiary in connection with or as a result of a bankruptcy, workout, reorganization or recapitalization of, or settlement or delinquent accounts and disputes with or judgments against, the issuer of such Investment or accounts receivable;</w:t>
      </w:r>
    </w:p>
    <w:p>
      <w:pPr>
        <w:spacing w:after="0" w:line="161" w:lineRule="exact"/>
        <w:rPr>
          <w:rFonts w:ascii="Times New Roman" w:cs="Times New Roman" w:eastAsia="Times New Roman" w:hAnsi="Times New Roman"/>
          <w:sz w:val="20"/>
          <w:szCs w:val="20"/>
          <w:color w:val="auto"/>
        </w:rPr>
      </w:pPr>
    </w:p>
    <w:p>
      <w:pPr>
        <w:ind w:left="640" w:firstLine="644"/>
        <w:spacing w:after="0" w:line="283" w:lineRule="auto"/>
        <w:tabs>
          <w:tab w:leader="none" w:pos="1764"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a foreclosure by the Company or any of its Subsidiaries with respect to any secured Investment or other transfer of title with respect to any secured Investment in default;</w:t>
      </w:r>
    </w:p>
    <w:p>
      <w:pPr>
        <w:spacing w:after="0" w:line="146" w:lineRule="exact"/>
        <w:rPr>
          <w:rFonts w:ascii="Times New Roman" w:cs="Times New Roman" w:eastAsia="Times New Roman" w:hAnsi="Times New Roman"/>
          <w:sz w:val="20"/>
          <w:szCs w:val="20"/>
          <w:color w:val="auto"/>
        </w:rPr>
      </w:pPr>
    </w:p>
    <w:p>
      <w:pPr>
        <w:ind w:left="640" w:right="20" w:firstLine="644"/>
        <w:spacing w:after="0" w:line="283" w:lineRule="auto"/>
        <w:tabs>
          <w:tab w:leader="none" w:pos="1805"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settlement, compromise or resolution of litigation, arbitration or other disputes with Persons who are not Affiliates; or</w:t>
      </w:r>
    </w:p>
    <w:p>
      <w:pPr>
        <w:spacing w:after="0" w:line="159" w:lineRule="exact"/>
        <w:rPr>
          <w:rFonts w:ascii="Times New Roman" w:cs="Times New Roman" w:eastAsia="Times New Roman" w:hAnsi="Times New Roman"/>
          <w:sz w:val="20"/>
          <w:szCs w:val="20"/>
          <w:color w:val="auto"/>
        </w:rPr>
      </w:pPr>
    </w:p>
    <w:p>
      <w:pPr>
        <w:ind w:left="1760" w:hanging="476"/>
        <w:spacing w:after="0"/>
        <w:tabs>
          <w:tab w:leader="none" w:pos="1760"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settlement of debts created in the ordinary course of business;</w:t>
      </w:r>
    </w:p>
    <w:p>
      <w:pPr>
        <w:spacing w:after="0" w:line="215" w:lineRule="exact"/>
        <w:rPr>
          <w:rFonts w:ascii="Times New Roman" w:cs="Times New Roman" w:eastAsia="Times New Roman" w:hAnsi="Times New Roman"/>
          <w:sz w:val="20"/>
          <w:szCs w:val="20"/>
          <w:color w:val="auto"/>
        </w:rPr>
      </w:pPr>
    </w:p>
    <w:p>
      <w:pPr>
        <w:ind w:left="-20" w:firstLine="656"/>
        <w:spacing w:after="0" w:line="283" w:lineRule="auto"/>
        <w:tabs>
          <w:tab w:leader="none" w:pos="122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prepaid expenses, negotiable instruments held for collection and lease, utility and works compensation, performance and similar deposits in each case entered into as a result of the operations of the business in the ordinary course;</w:t>
      </w:r>
    </w:p>
    <w:p>
      <w:pPr>
        <w:spacing w:after="0" w:line="146" w:lineRule="exact"/>
        <w:rPr>
          <w:rFonts w:ascii="Times New Roman" w:cs="Times New Roman" w:eastAsia="Times New Roman" w:hAnsi="Times New Roman"/>
          <w:sz w:val="20"/>
          <w:szCs w:val="20"/>
          <w:color w:val="auto"/>
        </w:rPr>
      </w:pPr>
    </w:p>
    <w:p>
      <w:pPr>
        <w:ind w:left="-20" w:firstLine="656"/>
        <w:spacing w:after="0" w:line="283" w:lineRule="auto"/>
        <w:tabs>
          <w:tab w:leader="none" w:pos="1096"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notes receivables payable to the Company or any Subsidiary by the purchasers of assets purchased pursuant to Dispositions permitted in accordance with Section 7.5;</w:t>
      </w:r>
    </w:p>
    <w:p>
      <w:pPr>
        <w:spacing w:after="0" w:line="159" w:lineRule="exact"/>
        <w:rPr>
          <w:rFonts w:ascii="Times New Roman" w:cs="Times New Roman" w:eastAsia="Times New Roman" w:hAnsi="Times New Roman"/>
          <w:sz w:val="20"/>
          <w:szCs w:val="20"/>
          <w:color w:val="auto"/>
        </w:rPr>
      </w:pPr>
    </w:p>
    <w:p>
      <w:pPr>
        <w:ind w:left="1060" w:hanging="424"/>
        <w:spacing w:after="0"/>
        <w:tabs>
          <w:tab w:leader="none" w:pos="106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6" w:lineRule="exact"/>
        <w:rPr>
          <w:sz w:val="20"/>
          <w:szCs w:val="20"/>
          <w:color w:val="auto"/>
        </w:rPr>
      </w:pPr>
    </w:p>
    <w:p>
      <w:pPr>
        <w:ind w:left="-20" w:firstLine="656"/>
        <w:spacing w:after="0" w:line="283" w:lineRule="auto"/>
        <w:tabs>
          <w:tab w:leader="none" w:pos="1151"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they constitute Investments, any letters of credit issued or created by the Company or its Subsidiaries pursuant to Sections 7.2(x) or 7.3(bb);</w:t>
      </w:r>
    </w:p>
    <w:p>
      <w:pPr>
        <w:spacing w:after="0" w:line="146" w:lineRule="exact"/>
        <w:rPr>
          <w:rFonts w:ascii="Times New Roman" w:cs="Times New Roman" w:eastAsia="Times New Roman" w:hAnsi="Times New Roman"/>
          <w:sz w:val="20"/>
          <w:szCs w:val="20"/>
          <w:color w:val="auto"/>
        </w:rPr>
      </w:pPr>
    </w:p>
    <w:p>
      <w:pPr>
        <w:jc w:val="both"/>
        <w:ind w:left="-20" w:firstLine="656"/>
        <w:spacing w:after="0" w:line="257" w:lineRule="auto"/>
        <w:tabs>
          <w:tab w:leader="none" w:pos="115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Unrestricted Subsidiaries in an aggregate amount not to exceed in any fiscal year the greater of (x) $71,000,000 and (y) 40% of Consolidated EBITDA for the most recently ended Test Period plus, in each case, all dividends, distributions, interest, payments, returns of capital, repayments of other amounts received in cash, by the Loan Parties from Unrestricted Subsidiaries; provided, that any such amount not so invested in the fiscal year for which it is permitted may be carried over for investment in the immediately succeeding fiscal year;</w:t>
      </w:r>
    </w:p>
    <w:p>
      <w:pPr>
        <w:spacing w:after="0" w:line="172" w:lineRule="exact"/>
        <w:rPr>
          <w:rFonts w:ascii="Times New Roman" w:cs="Times New Roman" w:eastAsia="Times New Roman" w:hAnsi="Times New Roman"/>
          <w:sz w:val="20"/>
          <w:szCs w:val="20"/>
          <w:color w:val="auto"/>
        </w:rPr>
      </w:pPr>
    </w:p>
    <w:p>
      <w:pPr>
        <w:jc w:val="both"/>
        <w:ind w:left="-20" w:firstLine="656"/>
        <w:spacing w:after="0" w:line="261" w:lineRule="auto"/>
        <w:tabs>
          <w:tab w:leader="none" w:pos="1210"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(or resulting from) Indebtedness permitted under Section 7.2, Liens permitted under Section 7.3, Restricted Payments permitted under Section 7.6 (other than Section 7.6(h)), Restricted Debt Payments permitted by Section 7.13 and Dispositions permitted by Section 7.5 (other than Section 7.5(c));</w:t>
      </w:r>
    </w:p>
    <w:p>
      <w:pPr>
        <w:spacing w:after="0" w:line="181" w:lineRule="exact"/>
        <w:rPr>
          <w:rFonts w:ascii="Times New Roman" w:cs="Times New Roman" w:eastAsia="Times New Roman" w:hAnsi="Times New Roman"/>
          <w:sz w:val="20"/>
          <w:szCs w:val="20"/>
          <w:color w:val="auto"/>
        </w:rPr>
      </w:pPr>
    </w:p>
    <w:p>
      <w:pPr>
        <w:ind w:left="-20" w:firstLine="656"/>
        <w:spacing w:after="0" w:line="283" w:lineRule="auto"/>
        <w:tabs>
          <w:tab w:leader="none" w:pos="1272"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 vendors, suppliers, licensors, sublicensors, licensees and sublicensees;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1900" w:h="16838" w:orient="portrait"/>
          <w:cols w:equalWidth="0" w:num="1">
            <w:col w:w="11220"/>
          </w:cols>
          <w:pgMar w:left="340" w:top="1413" w:right="339" w:bottom="1440" w:gutter="0" w:footer="0" w:header="0"/>
        </w:sectPr>
      </w:pPr>
    </w:p>
    <w:bookmarkStart w:id="146" w:name="page147"/>
    <w:bookmarkEnd w:id="146"/>
    <w:p>
      <w:pPr>
        <w:jc w:val="both"/>
        <w:ind w:firstLine="656"/>
        <w:spacing w:after="0" w:line="253" w:lineRule="auto"/>
        <w:tabs>
          <w:tab w:leader="none" w:pos="130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Guarantees of leases or subleases (in each case other than Finance Leases) or of other obligations not constituting Indebtedness, (ii) Guarantees of the lease obligations of suppliers, customers, franchisees and licensees of the Company and/or its Subsidiaries, in each case, in the ordinary course of business or consistent with past practice and (iii) Investments consisting of guarantees of any supplier’s obligations in respect of commodity contracts solely to the extent such commodities related to the materials or products to be purchased by the Company or any Subsidiary;</w:t>
      </w:r>
    </w:p>
    <w:p>
      <w:pPr>
        <w:spacing w:after="0" w:line="191"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firstLine="656"/>
        <w:spacing w:after="0" w:line="269" w:lineRule="auto"/>
        <w:tabs>
          <w:tab w:leader="none" w:pos="126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unfunded pension fund and other employee benefit plan obligations and liabilities to the extent that they are permitted to remain unfunded under applicable Requirements of Law;</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95"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the licensing, sublicensing or contribution of any Intellectual Property or other Intellectual Property rights pursuant to joint marketing, collaboration or other similar arrangements with other Persons;</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Company or any of its Subsidiaries;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73"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earnest money deposits required in connection with purchase agreements or other acquisitions or Investments otherwise permitted under this Section 7.7 and any other pledges or deposits permitted by Section 7.3;</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Loans repurchased by the Company or a Subsidiary pursuant to and subject to immediate cancellation in accordance with this Agreement;</w:t>
      </w:r>
    </w:p>
    <w:p>
      <w:pPr>
        <w:spacing w:after="0" w:line="146" w:lineRule="exact"/>
        <w:rPr>
          <w:rFonts w:ascii="Times New Roman" w:cs="Times New Roman" w:eastAsia="Times New Roman" w:hAnsi="Times New Roman"/>
          <w:sz w:val="20"/>
          <w:szCs w:val="20"/>
          <w:color w:val="auto"/>
        </w:rPr>
      </w:pPr>
    </w:p>
    <w:p>
      <w:pPr>
        <w:jc w:val="both"/>
        <w:ind w:right="20" w:firstLine="656"/>
        <w:spacing w:after="0" w:line="261" w:lineRule="auto"/>
        <w:tabs>
          <w:tab w:leader="none" w:pos="117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 Obligations of the Company or any Subsidiary in respect of letters of support, guarantees or similar obligations issued, made or incurred for the benefit of any Subsidiary of the Company to the extent required by law or in connection with any statutory filing or the delivery of audit opinions performed in jurisdictions other than within the United States; and</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361"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Customer Advances and/or Customer Guarantees; provided that (i) if the last day of the most recently ended Test Period is a Testing Date, then the increase in Aggregate Customer Outstandings between the most recent day that was not a Testing Date and such Testing Date shall not exceed the greater of (x) $354,000,000 and (y) 200% of Consolidated EBITDA for the most recently ended Test Period and (ii) notwithstanding anything in this Agreement to the contrary, Investments in the form of Customer Guarantees or Customer Advances may only be incurred pursuant to Section 7.7(k) and this Section 7.7(mm).</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Any Investment that when made complies with the requirements of the definition of the term “Cash Equivalents” may continue to be held notwithstanding that such Investment if made thereafter would not comply with such requirements.</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Notwithstanding the foregoing, except with respect to the Company’s or any Subsidiary’s ability to non-exclusively license Intellectual Property to Unrestricted Subsidiaries in the ordinary course of business, no Investment constituting of or resulting from any transfer or other Disposition of any Material IP by the Company or any Subsidiary may be made to an Unrestricted Subsidiary, except pursuant to Section 7.7(bb).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ectPr>
          <w:pgSz w:w="11900" w:h="16838" w:orient="portrait"/>
          <w:cols w:equalWidth="0" w:num="1">
            <w:col w:w="11240"/>
          </w:cols>
          <w:pgMar w:left="320" w:top="1413" w:right="339" w:bottom="1440" w:gutter="0" w:footer="0" w:header="0"/>
        </w:sectPr>
      </w:pPr>
    </w:p>
    <w:bookmarkStart w:id="147" w:name="page148"/>
    <w:bookmarkEnd w:id="147"/>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Enter into or suffer to exist any transaction, including any purchase, sale, lease or exchange of property, the rendering of any service or the payment of any management, advisory or similar fees with any Affiliate involving aggregate payments or consideration in excess of $10,000,000; provided that the foregoing restriction shall not apply to:</w:t>
      </w:r>
    </w:p>
    <w:p>
      <w:pPr>
        <w:spacing w:after="0" w:line="1" w:lineRule="exact"/>
        <w:rPr>
          <w:sz w:val="20"/>
          <w:szCs w:val="20"/>
          <w:color w:val="auto"/>
        </w:rPr>
      </w:pPr>
    </w:p>
    <w:p>
      <w:pPr>
        <w:ind w:left="1080" w:hanging="424"/>
        <w:spacing w:after="0"/>
        <w:tabs>
          <w:tab w:leader="none" w:pos="10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or agreements between the Company and/or its Subsidiaries;</w:t>
      </w:r>
    </w:p>
    <w:p>
      <w:pPr>
        <w:spacing w:after="0" w:line="229" w:lineRule="exact"/>
        <w:rPr>
          <w:rFonts w:ascii="Times New Roman" w:cs="Times New Roman" w:eastAsia="Times New Roman" w:hAnsi="Times New Roman"/>
          <w:sz w:val="20"/>
          <w:szCs w:val="20"/>
          <w:color w:val="auto"/>
        </w:rPr>
      </w:pPr>
    </w:p>
    <w:p>
      <w:pPr>
        <w:jc w:val="both"/>
        <w:ind w:firstLine="656"/>
        <w:spacing w:after="0" w:line="258" w:lineRule="auto"/>
        <w:tabs>
          <w:tab w:leader="none" w:pos="112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 effect on the Closing Date listed, to the extent in excess of $5,000,000, on Schedule 7.8 and any amendment, modification or extension to the agreements governing such transactions to the extent such amendment, modification or extension, taken as a whole, is not materially (i) adverse to the Lenders or (ii) more disadvantageous to the Lenders than the relevant transaction in existence on the Closing Date;</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09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that (a) are upon fair and reasonable terms not materially less favorable to the Company or such Subsidiary, as the case may be, than it would obtain in a comparable arm’s length transaction with a Person that is not an Affiliate or (b) if in the good faith judgment of the board of directors of the Company no comparable transaction is available with which to compare such transaction, such transaction is fair to the Company or such Subsidiary from a financial point of view;</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100"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Company or any Subsidiary;</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10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collective bargaining, employment, indemnification, expense reimbursement or severance agreement or compensatory (including profit sharing) arrangement entered into by the Company or any of its Subsidiaries with any Permitted Payee, (ii) any subscription agreement or similar agreement pertaining to the repurchase of Capital Stock pursuant to put/call rights or similar rights with any Permitted Payee and (iii)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spacing w:after="0" w:line="190" w:lineRule="exact"/>
        <w:rPr>
          <w:rFonts w:ascii="Times New Roman" w:cs="Times New Roman" w:eastAsia="Times New Roman" w:hAnsi="Times New Roman"/>
          <w:sz w:val="20"/>
          <w:szCs w:val="20"/>
          <w:color w:val="auto"/>
        </w:rPr>
      </w:pPr>
    </w:p>
    <w:p>
      <w:pPr>
        <w:ind w:firstLine="656"/>
        <w:spacing w:after="0" w:line="310" w:lineRule="auto"/>
        <w:tabs>
          <w:tab w:leader="none" w:pos="1096"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Guarantees permitted by Section 7.2, Restricted Payments permitted under Section 7.6 (other than Section 7.6(h)), Investments permitted under Section 7.7 (other than Section 7.7(y) and Section 7.7(cc)) and Restricted Debt Payments permitted by Section 7.13);</w:t>
      </w:r>
    </w:p>
    <w:p>
      <w:pPr>
        <w:spacing w:after="0" w:line="124" w:lineRule="exact"/>
        <w:rPr>
          <w:rFonts w:ascii="Times New Roman" w:cs="Times New Roman" w:eastAsia="Times New Roman" w:hAnsi="Times New Roman"/>
          <w:sz w:val="19"/>
          <w:szCs w:val="19"/>
          <w:color w:val="auto"/>
        </w:rPr>
      </w:pPr>
    </w:p>
    <w:p>
      <w:pPr>
        <w:jc w:val="both"/>
        <w:ind w:firstLine="656"/>
        <w:spacing w:after="0" w:line="258" w:lineRule="auto"/>
        <w:tabs>
          <w:tab w:leader="none" w:pos="122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formation of a joint venture or similar entity (and Investments permitted in connection therewith), which would constitute a transaction with an Affiliate solely as a result of the Company or any Subsidiary owning Capital Stock of, or otherwise controlling, such joint venture or similar entity and (ii) transactions with any Person that is an Affiliate solely because a director or officer of such Person is a director or officer of the Company or any Subsidiary;</w:t>
      </w:r>
    </w:p>
    <w:p>
      <w:pPr>
        <w:spacing w:after="0" w:line="185" w:lineRule="exact"/>
        <w:rPr>
          <w:rFonts w:ascii="Times New Roman" w:cs="Times New Roman" w:eastAsia="Times New Roman" w:hAnsi="Times New Roman"/>
          <w:sz w:val="20"/>
          <w:szCs w:val="20"/>
          <w:color w:val="auto"/>
        </w:rPr>
      </w:pPr>
    </w:p>
    <w:p>
      <w:pPr>
        <w:jc w:val="both"/>
        <w:ind w:firstLine="656"/>
        <w:spacing w:after="0" w:line="261" w:lineRule="auto"/>
        <w:tabs>
          <w:tab w:leader="none" w:pos="1089"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Company and/or any of its Subsidiaries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ectPr>
          <w:pgSz w:w="11900" w:h="16838" w:orient="portrait"/>
          <w:cols w:equalWidth="0" w:num="1">
            <w:col w:w="11240"/>
          </w:cols>
          <w:pgMar w:left="320" w:top="1413" w:right="339" w:bottom="1440" w:gutter="0" w:footer="0" w:header="0"/>
        </w:sectPr>
      </w:pPr>
    </w:p>
    <w:bookmarkStart w:id="148" w:name="page149"/>
    <w:bookmarkEnd w:id="148"/>
    <w:p>
      <w:pPr>
        <w:jc w:val="both"/>
        <w:ind w:firstLine="656"/>
        <w:spacing w:after="0" w:line="253" w:lineRule="auto"/>
        <w:tabs>
          <w:tab w:leader="none" w:pos="1033"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transaction in respect of which the Company delivers to the Administrative Agent a letter addressed to the board of directors (or equivalent governing body) of the Company from an accounting, appraisal or investment banking firm of nationally recognized standing stating that such transaction is fair to the Company or such Subsidiary from a financial point of view or stating that the terms, when taken as a whole, are not substantially less favorable to the Company or the applicable Subsidiary than might be obtained at the time in a comparable arm’s length transaction from a Person who is not an Affiliate;</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0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by Affiliates in securities or other Indebtedness of the Company or any Subsidiary (and payment of reasonable out-of-pocket expenses incurred by such Affiliates in connection therewith) so long as the Investment is being offered by the Company or such Subsidiary generally to other investors on the same or more favorable terms and (ii) payments to Affiliates in respect of securities or other Indebtedness of the Company or any Subsidiary contemplated in the foregoing subclause (i) or that were acquired from Persons other than the Company and the Subsidiaries, in each case, in accordance with the terms of such securities or other Indebtedness;</w:t>
      </w:r>
    </w:p>
    <w:p>
      <w:pPr>
        <w:spacing w:after="0" w:line="191" w:lineRule="exact"/>
        <w:rPr>
          <w:rFonts w:ascii="Times New Roman" w:cs="Times New Roman" w:eastAsia="Times New Roman" w:hAnsi="Times New Roman"/>
          <w:sz w:val="20"/>
          <w:szCs w:val="20"/>
          <w:color w:val="auto"/>
        </w:rPr>
      </w:pPr>
    </w:p>
    <w:p>
      <w:pPr>
        <w:ind w:left="1040" w:hanging="384"/>
        <w:spacing w:after="0"/>
        <w:tabs>
          <w:tab w:leader="none" w:pos="1040"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licenses or sublicenses by the Company or any of its Subsidiaries of Intellectual Property in the ordinary course of business; and</w:t>
      </w:r>
    </w:p>
    <w:p>
      <w:pPr>
        <w:spacing w:after="0" w:line="240" w:lineRule="exact"/>
        <w:rPr>
          <w:rFonts w:ascii="Times New Roman" w:cs="Times New Roman" w:eastAsia="Times New Roman" w:hAnsi="Times New Roman"/>
          <w:sz w:val="19"/>
          <w:szCs w:val="19"/>
          <w:color w:val="auto"/>
        </w:rPr>
      </w:pPr>
    </w:p>
    <w:p>
      <w:pPr>
        <w:ind w:firstLine="656"/>
        <w:spacing w:after="0" w:line="269" w:lineRule="auto"/>
        <w:tabs>
          <w:tab w:leader="none" w:pos="126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undertaken in the ordinary course of business or consistent with past practice pursuant to membership in a purchasing consortium.</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u w:val="single" w:color="auto"/>
          <w:color w:val="auto"/>
        </w:rPr>
        <w:t>Sales and Leasebacks</w:t>
      </w:r>
      <w:r>
        <w:rPr>
          <w:rFonts w:ascii="Times New Roman" w:cs="Times New Roman" w:eastAsia="Times New Roman" w:hAnsi="Times New Roman"/>
          <w:sz w:val="20"/>
          <w:szCs w:val="20"/>
          <w:color w:val="auto"/>
        </w:rPr>
        <w:t>. Enter into or suffer to exist any arrangement with any Person providing for the leasing by the Company or any Subsidiary of real or personal property that has been or is to be sold or transferred in a related transaction by the Company or such Subsidiary to such Person or to any other Person to whom funds have been or are to be advanced by such Person on the security of such property or rental obligations of the Company or such Subsidiary; provided that any such transaction shall be permitted so long as (i) such transaction is on an arm’s length basis and (ii) the resulting Indebtedness is permitted by Section 7.2; provided that no Event of Default shall have occurred and be continuing or would result therefrom and such sale/leaseback shall be for no less than the fair market value of such property at the time of such sale/leaseback as determined by the Company in good faith (collectively, the “</w:t>
      </w:r>
      <w:r>
        <w:rPr>
          <w:rFonts w:ascii="Times New Roman" w:cs="Times New Roman" w:eastAsia="Times New Roman" w:hAnsi="Times New Roman"/>
          <w:sz w:val="20"/>
          <w:szCs w:val="20"/>
          <w:b w:val="1"/>
          <w:bCs w:val="1"/>
          <w:color w:val="auto"/>
        </w:rPr>
        <w:t>Permitted Sale/Leasebacks</w:t>
      </w:r>
      <w:r>
        <w:rPr>
          <w:rFonts w:ascii="Times New Roman" w:cs="Times New Roman" w:eastAsia="Times New Roman" w:hAnsi="Times New Roman"/>
          <w:sz w:val="20"/>
          <w:szCs w:val="20"/>
          <w:color w:val="auto"/>
        </w:rPr>
        <w:t>”) (the Company agreeing that all Permitted Sale/Leasebacks shall be Dispositions and any Lien on or security interests in any such property created by the Loan Documents shall be automatically released upon consummation of such Permitted Sale/Leasebacks and the Collateral Agent shall take any action reasonably requested by the Company to evidence such release).</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 xml:space="preserve">7.10. </w:t>
      </w:r>
      <w:r>
        <w:rPr>
          <w:rFonts w:ascii="Times New Roman" w:cs="Times New Roman" w:eastAsia="Times New Roman" w:hAnsi="Times New Roman"/>
          <w:sz w:val="19"/>
          <w:szCs w:val="19"/>
          <w:u w:val="single" w:color="auto"/>
          <w:color w:val="auto"/>
        </w:rPr>
        <w:t>Changes in Fiscal Periods</w:t>
      </w:r>
      <w:r>
        <w:rPr>
          <w:rFonts w:ascii="Times New Roman" w:cs="Times New Roman" w:eastAsia="Times New Roman" w:hAnsi="Times New Roman"/>
          <w:sz w:val="19"/>
          <w:szCs w:val="19"/>
          <w:color w:val="auto"/>
        </w:rPr>
        <w:t xml:space="preserve">. Permit the fiscal year of the Company to end on a day other than December 31 of each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Company may, upon written notice to the Administrative Agent, change the financial reporting convention above to (</w:t>
      </w:r>
      <w:r>
        <w:rPr>
          <w:rFonts w:ascii="Times New Roman" w:cs="Times New Roman" w:eastAsia="Times New Roman" w:hAnsi="Times New Roman"/>
          <w:sz w:val="19"/>
          <w:szCs w:val="19"/>
          <w:u w:val="single" w:color="auto"/>
          <w:color w:val="auto"/>
        </w:rPr>
        <w:t>x</w:t>
      </w:r>
      <w:r>
        <w:rPr>
          <w:rFonts w:ascii="Times New Roman" w:cs="Times New Roman" w:eastAsia="Times New Roman" w:hAnsi="Times New Roman"/>
          <w:sz w:val="19"/>
          <w:szCs w:val="19"/>
          <w:color w:val="auto"/>
        </w:rPr>
        <w:t>) a calendar year-end convention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any other financial reporting convention reasonably acceptable to the Administrative Agent, in which case, the Company and the Administrative Agent will, and are hereby authorized by the Lenders to, make any amendments to this Agreement that are necessary, in the reasonable judgment of the Administrative Agent and the Company, to reflect such change in fiscal year.</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u w:val="single" w:color="auto"/>
          <w:color w:val="auto"/>
        </w:rPr>
        <w:t>Negative Pledge Clauses</w:t>
      </w:r>
      <w:r>
        <w:rPr>
          <w:rFonts w:ascii="Times New Roman" w:cs="Times New Roman" w:eastAsia="Times New Roman" w:hAnsi="Times New Roman"/>
          <w:sz w:val="20"/>
          <w:szCs w:val="20"/>
          <w:color w:val="auto"/>
        </w:rPr>
        <w:t>. Enter into or suffer to exist or become effective any agreement that prohibits or limits the ability of the Company or any of its Subsidiaries (other than Excluded Subsidiaries (except to the extent any Subsidiary is an Excluded Subsidiary solely pursuant to clause (iii) of the definition thereof)) to create, incur, assume or suffer to exist any Lien upon any of its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ectPr>
          <w:pgSz w:w="11900" w:h="16838" w:orient="portrait"/>
          <w:cols w:equalWidth="0" w:num="1">
            <w:col w:w="11240"/>
          </w:cols>
          <w:pgMar w:left="320" w:top="1413" w:right="339" w:bottom="1440" w:gutter="0" w:footer="0" w:header="0"/>
        </w:sectPr>
      </w:pPr>
    </w:p>
    <w:bookmarkStart w:id="149" w:name="page150"/>
    <w:bookmarkEnd w:id="149"/>
    <w:p>
      <w:pPr>
        <w:spacing w:after="0" w:line="258" w:lineRule="auto"/>
        <w:rPr>
          <w:sz w:val="20"/>
          <w:szCs w:val="20"/>
          <w:color w:val="auto"/>
        </w:rPr>
      </w:pPr>
      <w:r>
        <w:rPr>
          <w:rFonts w:ascii="Times New Roman" w:cs="Times New Roman" w:eastAsia="Times New Roman" w:hAnsi="Times New Roman"/>
          <w:sz w:val="20"/>
          <w:szCs w:val="20"/>
          <w:color w:val="auto"/>
        </w:rPr>
        <w:t>(other than Company Stock and other Excluded Assets) or revenues, whether now owned or hereafter acquired, to secure its obligations under the Loan Documents to which it is a party other than:</w:t>
      </w:r>
    </w:p>
    <w:p>
      <w:pPr>
        <w:ind w:left="1080" w:hanging="424"/>
        <w:spacing w:after="0"/>
        <w:tabs>
          <w:tab w:leader="none" w:pos="108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w:t>
      </w:r>
    </w:p>
    <w:p>
      <w:pPr>
        <w:spacing w:after="0" w:line="207" w:lineRule="exact"/>
        <w:rPr>
          <w:rFonts w:ascii="Times New Roman" w:cs="Times New Roman" w:eastAsia="Times New Roman" w:hAnsi="Times New Roman"/>
          <w:sz w:val="20"/>
          <w:szCs w:val="20"/>
          <w:color w:val="auto"/>
        </w:rPr>
      </w:pPr>
    </w:p>
    <w:p>
      <w:pPr>
        <w:jc w:val="both"/>
        <w:ind w:firstLine="656"/>
        <w:spacing w:after="0" w:line="261" w:lineRule="auto"/>
        <w:tabs>
          <w:tab w:leader="none" w:pos="1141"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agreements governing secured Indebtedness permitted hereby (in which case, any prohibition or limitation shall only be effective against the assets securing such Indebtedness) or Permitted Receivables Financings (in which case, any prohibition or limitation shall only be effective against the assets included in such Permitted Receivables Financing);</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73"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by reason of customary provisions restricting assignments, subletting, licensing, sublicensing or other transfers (including the granting of any Lien) contained in leases, subleases, licenses, sublicenses, joint venture agreements, asset sale agreements, trading, netting, operating, construction, service, supply, purchase, sale or other agreements entered into in the ordinary course of business or consistent with past practice (each of the foregoing, a “</w:t>
      </w:r>
      <w:r>
        <w:rPr>
          <w:rFonts w:ascii="Times New Roman" w:cs="Times New Roman" w:eastAsia="Times New Roman" w:hAnsi="Times New Roman"/>
          <w:sz w:val="20"/>
          <w:szCs w:val="20"/>
          <w:b w:val="1"/>
          <w:bCs w:val="1"/>
          <w:color w:val="auto"/>
        </w:rPr>
        <w:t>Covered Agreement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are limited to the relevant Covered Agreement and/or the property or assets secured by such Liens or the property or assets subject to such Covered Agreement);</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12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on the creation of Liens on any property or assets arising under a security agreement governing a Lien permitted under this Agreement;</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122"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contained in agreements relating to the sale of a Subsidiary or any assets pending such sale; provided such restrictions and conditions apply only to the Subsidiary or assets that are to be sold and such sale is permitted hereunder;</w:t>
      </w:r>
    </w:p>
    <w:p>
      <w:pPr>
        <w:spacing w:after="0" w:line="172" w:lineRule="exact"/>
        <w:rPr>
          <w:rFonts w:ascii="Times New Roman" w:cs="Times New Roman" w:eastAsia="Times New Roman" w:hAnsi="Times New Roman"/>
          <w:sz w:val="20"/>
          <w:szCs w:val="20"/>
          <w:color w:val="auto"/>
        </w:rPr>
      </w:pPr>
    </w:p>
    <w:p>
      <w:pPr>
        <w:ind w:left="1060" w:hanging="404"/>
        <w:spacing w:after="0"/>
        <w:tabs>
          <w:tab w:leader="none" w:pos="1060"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in Intellectual Property license agreements;</w:t>
      </w:r>
    </w:p>
    <w:p>
      <w:pPr>
        <w:spacing w:after="0" w:line="229" w:lineRule="exact"/>
        <w:rPr>
          <w:rFonts w:ascii="Times New Roman" w:cs="Times New Roman" w:eastAsia="Times New Roman" w:hAnsi="Times New Roman"/>
          <w:sz w:val="20"/>
          <w:szCs w:val="20"/>
          <w:color w:val="auto"/>
        </w:rPr>
      </w:pPr>
    </w:p>
    <w:p>
      <w:pPr>
        <w:jc w:val="both"/>
        <w:ind w:firstLine="656"/>
        <w:spacing w:after="0" w:line="254" w:lineRule="auto"/>
        <w:tabs>
          <w:tab w:leader="none" w:pos="1131"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assumed in connection with an acquisition of the property or Capital Stock of any Person, so long as such encumbrance or restriction relates solely to the Person and its subsidiaries (including the Capital Stock of the relevant Person or Persons) and/or property so acquired (or to the Person or Persons (and its or their subsidiaries) bound thereby) and was not created in contemplation of such acquisition;</w:t>
      </w:r>
    </w:p>
    <w:p>
      <w:pPr>
        <w:spacing w:after="0" w:line="187" w:lineRule="exact"/>
        <w:rPr>
          <w:rFonts w:ascii="Times New Roman" w:cs="Times New Roman" w:eastAsia="Times New Roman" w:hAnsi="Times New Roman"/>
          <w:sz w:val="20"/>
          <w:szCs w:val="20"/>
          <w:color w:val="auto"/>
        </w:rPr>
      </w:pPr>
    </w:p>
    <w:p>
      <w:pPr>
        <w:jc w:val="both"/>
        <w:ind w:firstLine="656"/>
        <w:spacing w:after="0" w:line="254" w:lineRule="auto"/>
        <w:tabs>
          <w:tab w:leader="none" w:pos="1134" w:val="left"/>
        </w:tabs>
        <w:numPr>
          <w:ilvl w:val="1"/>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customary provisions in partnership agreements, limited liability company organizational governance documents, joint venture agreements and other similar agreements (i) relating to the transfer of the assets of, or ownership interests in, the relevant partnership, limited liability company, joint venture or any similar Person (or any “shell company” Company with respect thereto),</w:t>
      </w:r>
    </w:p>
    <w:p>
      <w:pPr>
        <w:ind w:left="300" w:hanging="292"/>
        <w:spacing w:after="0"/>
        <w:tabs>
          <w:tab w:leader="none" w:pos="30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relating to such joint venture or its members and/or (iii) otherwise entered into in the ordinary course of business;</w:t>
      </w:r>
    </w:p>
    <w:p>
      <w:pPr>
        <w:spacing w:after="0" w:line="200" w:lineRule="exact"/>
        <w:rPr>
          <w:rFonts w:ascii="Times New Roman" w:cs="Times New Roman" w:eastAsia="Times New Roman" w:hAnsi="Times New Roman"/>
          <w:sz w:val="20"/>
          <w:szCs w:val="20"/>
          <w:color w:val="auto"/>
        </w:rPr>
      </w:pPr>
    </w:p>
    <w:p>
      <w:pPr>
        <w:jc w:val="both"/>
        <w:ind w:firstLine="656"/>
        <w:spacing w:after="0" w:line="261" w:lineRule="auto"/>
        <w:tabs>
          <w:tab w:leader="none" w:pos="1175"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permitted under Section 7.3 and/or 7.7 and any net worth or similar requirements, including such restrictions or requirements imposed by Persons under contracts entered into in the ordinary course of business or for whose benefit such cash or other deposits or net worth requirements exist;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39"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 set forth in documents which exist on the Closing Date or (ii) which are contemplated as of the Closing Date and, in the case of this clause (ii), to the extent the assets or property subject to such restriction are in excess of $5,000,000, set forth on Schedule 7.11;</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084"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arising under or as a result of applicable Requirements of Law or the terms of any license, authorization, concession or permit issued or granted by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ectPr>
          <w:pgSz w:w="11900" w:h="16838" w:orient="portrait"/>
          <w:cols w:equalWidth="0" w:num="1">
            <w:col w:w="11240"/>
          </w:cols>
          <w:pgMar w:left="320" w:top="1413" w:right="339" w:bottom="1440" w:gutter="0" w:footer="0" w:header="0"/>
        </w:sectPr>
      </w:pPr>
    </w:p>
    <w:bookmarkStart w:id="150" w:name="page151"/>
    <w:bookmarkEnd w:id="150"/>
    <w:p>
      <w:pPr>
        <w:jc w:val="both"/>
        <w:ind w:firstLine="656"/>
        <w:spacing w:after="0" w:line="253" w:lineRule="auto"/>
        <w:tabs>
          <w:tab w:leader="none" w:pos="1155"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with respect to any Subsidiary that was previously an Unrestricted Subsidiary, pursuant to or by reason of an agreement that such Subsidiary is a party to or entered into before the date on which such Subsidiary became a Subsidiary; provided that such agreement was not entered into in anticipation of such Subsidiary or such Unrestricted Subsidiary becoming a Subsidiary and any such restriction does not extend to any assets or property of the Company or any other Subsidiary other than the assets and property of such Subsidiary;</w:t>
      </w:r>
    </w:p>
    <w:p>
      <w:pPr>
        <w:spacing w:after="0" w:line="19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40"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7.11;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amendment, modification, restatement, renewal, increase, supplement, refunding, replacement or refinancing is, in the good faith judgment of the Company,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u w:val="single" w:color="auto"/>
          <w:color w:val="auto"/>
        </w:rPr>
        <w:t>Lines of Business</w:t>
      </w:r>
      <w:r>
        <w:rPr>
          <w:rFonts w:ascii="Times New Roman" w:cs="Times New Roman" w:eastAsia="Times New Roman" w:hAnsi="Times New Roman"/>
          <w:sz w:val="20"/>
          <w:szCs w:val="20"/>
          <w:color w:val="auto"/>
        </w:rPr>
        <w:t>. Enter into any material business, either directly or through any Subsidiary, except for those businesses substantially similar to the businesses in which the Company and its Subsidiaries are engaged on the Closing Date or that are reasonably related, complementary, synergistic or ancillary thereto or reasonable extensions thereof.</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u w:val="single" w:color="auto"/>
          <w:color w:val="auto"/>
        </w:rPr>
        <w:t>Optional Payments and Modifications of Subordinated Indebtedness</w:t>
      </w:r>
      <w:r>
        <w:rPr>
          <w:rFonts w:ascii="Times New Roman" w:cs="Times New Roman" w:eastAsia="Times New Roman" w:hAnsi="Times New Roman"/>
          <w:sz w:val="20"/>
          <w:szCs w:val="20"/>
          <w:color w:val="auto"/>
        </w:rPr>
        <w:t>. (i) Make or agree to pay or make, directly or indirectly, any payment or other distribution (whether in cash, securities or other property) of or in respect of principal of or interest on any Subordinated Indebtedness, or any payment or other distribution (whether in cash, securities or other property), including any sinking fund or similar deposit, on account of the purchase, redemption, retirement, acquisition, defeasance, cancelation or termination of such Subordinated Indebtedness (collectively, “</w:t>
      </w:r>
      <w:r>
        <w:rPr>
          <w:rFonts w:ascii="Times New Roman" w:cs="Times New Roman" w:eastAsia="Times New Roman" w:hAnsi="Times New Roman"/>
          <w:sz w:val="20"/>
          <w:szCs w:val="20"/>
          <w:b w:val="1"/>
          <w:bCs w:val="1"/>
          <w:color w:val="auto"/>
        </w:rPr>
        <w:t>Restricted Debt Payments</w:t>
      </w:r>
      <w:r>
        <w:rPr>
          <w:rFonts w:ascii="Times New Roman" w:cs="Times New Roman" w:eastAsia="Times New Roman" w:hAnsi="Times New Roman"/>
          <w:sz w:val="20"/>
          <w:szCs w:val="20"/>
          <w:color w:val="auto"/>
        </w:rPr>
        <w:t>”), or (ii) amend, modify, waive or otherwise change, or consent or agree to any amendment, modification, waiver or other change to, any of the terms of any agreement, instrument or other document evidencing Subordinated Indebtedness (other than any such amendment, modification, waiver or other change that is not in the reasonable judgment of the Company materially adverse to the Lenders); provided that so long as no Event of Default has occurred and is continuing, the Company may:</w:t>
      </w:r>
    </w:p>
    <w:p>
      <w:pPr>
        <w:spacing w:after="0" w:line="6" w:lineRule="exact"/>
        <w:rPr>
          <w:sz w:val="20"/>
          <w:szCs w:val="20"/>
          <w:color w:val="auto"/>
        </w:rPr>
      </w:pPr>
    </w:p>
    <w:p>
      <w:pPr>
        <w:ind w:firstLine="656"/>
        <w:spacing w:after="0" w:line="253" w:lineRule="auto"/>
        <w:tabs>
          <w:tab w:leader="none" w:pos="1101"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regularly scheduled interest and principal payments as and when due in respect of any Subordinated Indebtedness, other than payments prohibited by the subordination provisions thereof;</w:t>
      </w:r>
    </w:p>
    <w:p>
      <w:pPr>
        <w:spacing w:after="0" w:line="188"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refinance Subordinated Indebtedness with the Net Cash Proceeds of a Permitted Refinancing;</w:t>
      </w:r>
    </w:p>
    <w:p>
      <w:pPr>
        <w:spacing w:after="0" w:line="215" w:lineRule="exact"/>
        <w:rPr>
          <w:rFonts w:ascii="Times New Roman" w:cs="Times New Roman" w:eastAsia="Times New Roman" w:hAnsi="Times New Roman"/>
          <w:sz w:val="20"/>
          <w:szCs w:val="20"/>
          <w:color w:val="auto"/>
        </w:rPr>
      </w:pPr>
    </w:p>
    <w:p>
      <w:pPr>
        <w:ind w:firstLine="656"/>
        <w:spacing w:after="0" w:line="283" w:lineRule="auto"/>
        <w:tabs>
          <w:tab w:leader="none" w:pos="1142"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payments of or in respect of Subordinated Indebtedness made solely with the Net Cash Proceeds of Qualified Capital Stock issued by the Company after the Closing Date;</w:t>
      </w:r>
    </w:p>
    <w:p>
      <w:pPr>
        <w:spacing w:after="0" w:line="159" w:lineRule="exact"/>
        <w:rPr>
          <w:rFonts w:ascii="Times New Roman" w:cs="Times New Roman" w:eastAsia="Times New Roman" w:hAnsi="Times New Roman"/>
          <w:sz w:val="20"/>
          <w:szCs w:val="20"/>
          <w:color w:val="auto"/>
        </w:rPr>
      </w:pPr>
    </w:p>
    <w:p>
      <w:pPr>
        <w:ind w:firstLine="656"/>
        <w:spacing w:after="0" w:line="269" w:lineRule="auto"/>
        <w:tabs>
          <w:tab w:leader="none" w:pos="1143"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convert any Subordinated Indebtedness into Qualified Capital Stock and (B) to the extent constituting a Restricted Debt Payment, pay payment-in-kind interest with respect to any Indebtedness that is permitted under Section 7.2;</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076"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Restricted Debt Payments in an aggregate amount not to exceed the portion, if any, of the Available Amount on such date that the Company elects to apply to this clause (e); provided that no Specified Event of Default shall have occurred and be continuing or would result therefrom;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ectPr>
          <w:pgSz w:w="11900" w:h="16838" w:orient="portrait"/>
          <w:cols w:equalWidth="0" w:num="1">
            <w:col w:w="11240"/>
          </w:cols>
          <w:pgMar w:left="320" w:top="1413" w:right="339" w:bottom="1440" w:gutter="0" w:footer="0" w:header="0"/>
        </w:sectPr>
      </w:pPr>
    </w:p>
    <w:bookmarkStart w:id="151" w:name="page152"/>
    <w:bookmarkEnd w:id="151"/>
    <w:p>
      <w:pPr>
        <w:jc w:val="both"/>
        <w:ind w:firstLine="656"/>
        <w:spacing w:after="0" w:line="261" w:lineRule="auto"/>
        <w:tabs>
          <w:tab w:leader="none" w:pos="1077"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additional payments of or in respect of Subordinated Indebtedness; provided that the aggregate principal amount of such payments pursuant to this clause (f), together with the amount of Restricted Payments made pursuant to Section 7.6(f), may not exceed the greater of $62,000,000 and 35% of Consolidated EBITDA for the most recently ended Test Period;</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3"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unlimited Restricted Debt Payments at any time the Total Net Leverage Ratio is equal to or less than 3.25 to 1.00 calculated on the date of incurrence thereof on a Pro Forma Basis after giving effect to such payment (it being understood and agreed that any fee, premium or expense paid or payable in connection with such payment shall not be subject to or included within the calculation of such amount); and</w:t>
      </w:r>
    </w:p>
    <w:p>
      <w:pPr>
        <w:spacing w:after="0" w:line="172" w:lineRule="exact"/>
        <w:rPr>
          <w:rFonts w:ascii="Times New Roman" w:cs="Times New Roman" w:eastAsia="Times New Roman" w:hAnsi="Times New Roman"/>
          <w:sz w:val="20"/>
          <w:szCs w:val="20"/>
          <w:color w:val="auto"/>
        </w:rPr>
      </w:pPr>
    </w:p>
    <w:p>
      <w:pPr>
        <w:ind w:left="1220" w:hanging="564"/>
        <w:spacing w:after="0"/>
        <w:tabs>
          <w:tab w:leader="none" w:pos="122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payments as part of, or to enable another Person to make, an “applicable high yield discount obligation” catch-up</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Request any Loan or Letter of Credit, or use, and the Company shall use commercially reasonable efforts to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 (b) for the purpose of directly or, to the Company’s Knowledge, indirectly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spacing w:after="0" w:line="200" w:lineRule="exact"/>
        <w:rPr>
          <w:sz w:val="20"/>
          <w:szCs w:val="20"/>
          <w:color w:val="auto"/>
        </w:rPr>
      </w:pPr>
    </w:p>
    <w:p>
      <w:pPr>
        <w:spacing w:after="0" w:line="22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8.</w:t>
      </w:r>
      <w:r>
        <w:rPr>
          <w:sz w:val="20"/>
          <w:szCs w:val="20"/>
          <w:color w:val="auto"/>
        </w:rPr>
        <w:tab/>
      </w:r>
      <w:r>
        <w:rPr>
          <w:rFonts w:ascii="Times New Roman" w:cs="Times New Roman" w:eastAsia="Times New Roman" w:hAnsi="Times New Roman"/>
          <w:sz w:val="19"/>
          <w:szCs w:val="19"/>
          <w:color w:val="auto"/>
        </w:rPr>
        <w:t>EVENTS OF DEFAULT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shall occur and be continuing:</w:t>
      </w:r>
    </w:p>
    <w:p>
      <w:pPr>
        <w:spacing w:after="0" w:line="229" w:lineRule="exact"/>
        <w:rPr>
          <w:sz w:val="20"/>
          <w:szCs w:val="20"/>
          <w:color w:val="auto"/>
        </w:rPr>
      </w:pPr>
    </w:p>
    <w:p>
      <w:pPr>
        <w:jc w:val="both"/>
        <w:ind w:firstLine="656"/>
        <w:spacing w:after="0" w:line="258" w:lineRule="auto"/>
        <w:tabs>
          <w:tab w:leader="none" w:pos="1090"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Borrower shall fail to pay any principal of any Loan or Reimbursement Obligation when due in accordance with the terms hereof; or any Borrower shall fail to pay any interest on any Loan or Reimbursement Obligation, or any other amount payable hereunder or under any other Loan Document, within three Business Days (or in the case of any technical or administrative error, five Business Days) after any such interest or other amount becomes due in accordance with the terms hereof; or</w:t>
      </w:r>
    </w:p>
    <w:p>
      <w:pPr>
        <w:spacing w:after="0" w:line="172" w:lineRule="exact"/>
        <w:rPr>
          <w:rFonts w:ascii="Times New Roman" w:cs="Times New Roman" w:eastAsia="Times New Roman" w:hAnsi="Times New Roman"/>
          <w:sz w:val="20"/>
          <w:szCs w:val="20"/>
          <w:color w:val="auto"/>
        </w:rPr>
      </w:pPr>
    </w:p>
    <w:p>
      <w:pPr>
        <w:jc w:val="both"/>
        <w:ind w:firstLine="656"/>
        <w:spacing w:after="0" w:line="253" w:lineRule="auto"/>
        <w:tabs>
          <w:tab w:leader="none" w:pos="1203"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or any certificate, statement, report or other document required to be delivered pursuant to this Agreement or any other Loan Document shall prove to have been inaccurate in any material respect on or as of the date made or deemed made and, to the extent capable of being corrected, such inaccuracy is not corrected on or prior to 30 days from the earlier of (x) the first date a Responsible Officer of the Company has Knowledge of such inaccuracy and (y) the date on which the Company received notice thereof from the Administrative Agent or the Required Lenders of such misrepresentation; or</w:t>
      </w:r>
    </w:p>
    <w:p>
      <w:pPr>
        <w:spacing w:after="0" w:line="192" w:lineRule="exact"/>
        <w:rPr>
          <w:rFonts w:ascii="Times New Roman" w:cs="Times New Roman" w:eastAsia="Times New Roman" w:hAnsi="Times New Roman"/>
          <w:sz w:val="20"/>
          <w:szCs w:val="20"/>
          <w:color w:val="auto"/>
        </w:rPr>
      </w:pPr>
    </w:p>
    <w:p>
      <w:pPr>
        <w:jc w:val="both"/>
        <w:ind w:firstLine="656"/>
        <w:spacing w:after="0" w:line="254" w:lineRule="auto"/>
        <w:tabs>
          <w:tab w:leader="none" w:pos="1085"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default in the observance or performance of any agreement contained in clause (i) or (ii) of Section 6.4(a) (in each case with respect to legal existence of any Borrower and the Company only), Section 6.7(a), Section 6.12 or Section 7 of this Agreement; provided that notwithstanding this clause (c), (x) no breach or default by any Loan Party under Section 7.1 will constitute an Event of Default with respect to any Term Loans unless and until the Required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1900" w:h="16838" w:orient="portrait"/>
          <w:cols w:equalWidth="0" w:num="1">
            <w:col w:w="11240"/>
          </w:cols>
          <w:pgMar w:left="320" w:top="1413" w:right="339" w:bottom="1440" w:gutter="0" w:footer="0" w:header="0"/>
        </w:sectPr>
      </w:pPr>
    </w:p>
    <w:bookmarkStart w:id="152" w:name="page153"/>
    <w:bookmarkEnd w:id="152"/>
    <w:p>
      <w:pPr>
        <w:spacing w:after="0" w:line="283" w:lineRule="auto"/>
        <w:rPr>
          <w:sz w:val="20"/>
          <w:szCs w:val="20"/>
          <w:color w:val="auto"/>
        </w:rPr>
      </w:pPr>
      <w:r>
        <w:rPr>
          <w:rFonts w:ascii="Times New Roman" w:cs="Times New Roman" w:eastAsia="Times New Roman" w:hAnsi="Times New Roman"/>
          <w:sz w:val="20"/>
          <w:szCs w:val="20"/>
          <w:color w:val="auto"/>
        </w:rPr>
        <w:t>Lenders have declared all outstanding obligations under the Revolving Facility to be immediately due and payable and terminated the commitments under the Revolving Facility and have not rescinded such declaration and termination; or</w:t>
      </w:r>
    </w:p>
    <w:p>
      <w:pPr>
        <w:spacing w:after="0" w:line="146" w:lineRule="exact"/>
        <w:rPr>
          <w:sz w:val="20"/>
          <w:szCs w:val="20"/>
          <w:color w:val="auto"/>
        </w:rPr>
      </w:pPr>
    </w:p>
    <w:p>
      <w:pPr>
        <w:jc w:val="both"/>
        <w:ind w:firstLine="656"/>
        <w:spacing w:after="0" w:line="261" w:lineRule="auto"/>
        <w:tabs>
          <w:tab w:leader="none" w:pos="108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shall default in the observance or performance of any other agreement contained in this Agreement or any other Loan Document (other than as provided in paragraphs (a) through (c) of this Section), and such default shall continue unremedied for a period of 30 days after receipt of notice thereof by the Company from the Administrative Agent or the Required Lenders; or</w:t>
      </w:r>
    </w:p>
    <w:p>
      <w:pPr>
        <w:spacing w:after="0" w:line="181" w:lineRule="exact"/>
        <w:rPr>
          <w:rFonts w:ascii="Times New Roman" w:cs="Times New Roman" w:eastAsia="Times New Roman" w:hAnsi="Times New Roman"/>
          <w:sz w:val="20"/>
          <w:szCs w:val="20"/>
          <w:color w:val="auto"/>
        </w:rPr>
      </w:pPr>
    </w:p>
    <w:p>
      <w:pPr>
        <w:jc w:val="both"/>
        <w:ind w:firstLine="656"/>
        <w:spacing w:after="0" w:line="251" w:lineRule="auto"/>
        <w:tabs>
          <w:tab w:leader="none" w:pos="1086"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or any of its Subsidiaries shall (i) default in making any payment of any principal of any Indebtedness (including any Guarantee Obligation, but excluding the Loans and Reimbursement Obligations) on the scheduled or original due date with respect thereto or any interest on any such Indebtedness, in each case, beyond the period of grace, if any, provided in the instrument or agreement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in each case of clauses (i) or (ii) the effect of which default or other event or condition is to cause, or to permit the holder or beneficiary of such Indebtedness (or a trustee or agent on behalf of such holder or beneficiary) to cause, with the giving of notice if required, such Indebtedness to become due prior to its stated maturity or (in the case of any such Indebtedness constituting a Guarantee Obligation) to become payable;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 default, event or condition described in clause (i) or (ii) of this paragraph (e) shall not at any time constitute an Event of Default unless, at such time, one or more defaults, events or conditions of the type described in clauses (i) or (ii) of this paragraph (e) shall have occurred and be continuing with respect to Indebtedness the aggregate outstanding principal amount of which exceeds in the aggregate of $25,000,000 for the Company and its Subsidiaries; or</w:t>
      </w:r>
    </w:p>
    <w:p>
      <w:pPr>
        <w:spacing w:after="0" w:line="178" w:lineRule="exact"/>
        <w:rPr>
          <w:rFonts w:ascii="Times New Roman" w:cs="Times New Roman" w:eastAsia="Times New Roman" w:hAnsi="Times New Roman"/>
          <w:sz w:val="20"/>
          <w:szCs w:val="20"/>
          <w:color w:val="auto"/>
        </w:rPr>
      </w:pPr>
    </w:p>
    <w:p>
      <w:pPr>
        <w:jc w:val="both"/>
        <w:ind w:firstLine="656"/>
        <w:spacing w:after="0" w:line="249" w:lineRule="auto"/>
        <w:tabs>
          <w:tab w:leader="none" w:pos="114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the Company or any of its Significant Subsidiaries shall commence any case, proceeding or other action under (A)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freeze order or other relief with respect to it or its debts, except for any such case, proceeding or action in connection with any liquidation or dissolution otherwise permitted pursuant to Section 7.4 of this Agreement or (B) the Company or any of its Significant Subsidiaries shall make a general assignment for the benefit of creditors; or (ii) there shall be commenced against the Company or any of its Significant Subsidiaries any case, proceeding or other action of a nature referred to in clause (i) above that (A) results in the entry of an order for relief or any such adjudication or appointment or (B) remains undismissed, undischarged or unbonded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corporate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200" w:lineRule="exact"/>
        <w:rPr>
          <w:rFonts w:ascii="Times New Roman" w:cs="Times New Roman" w:eastAsia="Times New Roman" w:hAnsi="Times New Roman"/>
          <w:sz w:val="20"/>
          <w:szCs w:val="20"/>
          <w:color w:val="auto"/>
        </w:rPr>
      </w:pPr>
    </w:p>
    <w:p>
      <w:pPr>
        <w:ind w:right="20" w:firstLine="656"/>
        <w:spacing w:after="0" w:line="283" w:lineRule="auto"/>
        <w:tabs>
          <w:tab w:leader="none" w:pos="1111"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Person shall engage in any “prohibited transaction” (as defined in Section 406 of ERISA or Section 4975 of the Code) involving any Plan, (ii) any “accumulated funding deficiency”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ectPr>
          <w:pgSz w:w="11900" w:h="16838" w:orient="portrait"/>
          <w:cols w:equalWidth="0" w:num="1">
            <w:col w:w="11240"/>
          </w:cols>
          <w:pgMar w:left="320" w:top="1413" w:right="339" w:bottom="1440" w:gutter="0" w:footer="0" w:header="0"/>
        </w:sectPr>
      </w:pPr>
    </w:p>
    <w:bookmarkStart w:id="153" w:name="page154"/>
    <w:bookmarkEnd w:id="153"/>
    <w:p>
      <w:pPr>
        <w:jc w:val="both"/>
        <w:spacing w:after="0" w:line="252" w:lineRule="auto"/>
        <w:rPr>
          <w:sz w:val="20"/>
          <w:szCs w:val="20"/>
          <w:color w:val="auto"/>
        </w:rPr>
      </w:pPr>
      <w:r>
        <w:rPr>
          <w:rFonts w:ascii="Times New Roman" w:cs="Times New Roman" w:eastAsia="Times New Roman" w:hAnsi="Times New Roman"/>
          <w:sz w:val="20"/>
          <w:szCs w:val="20"/>
          <w:color w:val="auto"/>
        </w:rPr>
        <w:t>“failure to meet the minimum funding standards” (each as defined in Section 412 of the Code or 302 of ERISA), whether or not waived, shall exist with respect to any Single Employer Plan or any Lien in favor of the PBGC or a Plan shall arise on the assets of the Company or any Commonly Controlled Entity, (iii) a Reportable Event shall occur with respect to, or proceedings shall commence to have a trustee appointed, or a trustee shall be appointed, to administer or to terminate, any Single Employer Plan, which Reportable Event or commencement of proceedings or appointment of a trustee would reasonably be expected to result in the termination of such Plan for purposes of Title IV of ERISA, (iv) any Single Employer Plan shall terminate for purposes of Title IV of ERISA or (v) the Company or any Commonly Controlled Entity shall, or would reasonably be expected to, incur any liability in connection with a withdrawal from, or the Insolvency of, a Multiemployer Plan; and in each case in clauses (i) through (v) above, such event or condition, together with all other such events or conditions, if any, could be expected to have a Material Adverse Effect; or</w:t>
      </w:r>
    </w:p>
    <w:p>
      <w:pPr>
        <w:spacing w:after="0" w:line="176" w:lineRule="exact"/>
        <w:rPr>
          <w:sz w:val="20"/>
          <w:szCs w:val="20"/>
          <w:color w:val="auto"/>
        </w:rPr>
      </w:pPr>
    </w:p>
    <w:p>
      <w:pPr>
        <w:jc w:val="both"/>
        <w:ind w:firstLine="656"/>
        <w:spacing w:after="0" w:line="253" w:lineRule="auto"/>
        <w:tabs>
          <w:tab w:leader="none" w:pos="1081"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judgments or decrees shall be entered against the Company or any of its Subsidiaries involving in the aggregate for the Company and its Subsidiaries a liability (not covered by insurance as to which the relevant insurance company has not denied coverage) of $25,000,000 or more, and all such judgments or decrees shall not have been vacated, discharged, stayed or bonded pending appeal within 60 days from the entry thereof (it being understood that, notwithstanding the definition of “Default,” no “Default” shall be triggered solely by the rendering of a judgment or judgments prior to the lapse of such 60-day period so long as such judgments are capable of satisfaction by payment at any time); or</w:t>
      </w:r>
    </w:p>
    <w:p>
      <w:pPr>
        <w:spacing w:after="0" w:line="192" w:lineRule="exact"/>
        <w:rPr>
          <w:rFonts w:ascii="Times New Roman" w:cs="Times New Roman" w:eastAsia="Times New Roman" w:hAnsi="Times New Roman"/>
          <w:sz w:val="20"/>
          <w:szCs w:val="20"/>
          <w:color w:val="auto"/>
        </w:rPr>
      </w:pPr>
    </w:p>
    <w:p>
      <w:pPr>
        <w:jc w:val="both"/>
        <w:ind w:firstLine="656"/>
        <w:spacing w:after="0" w:line="251" w:lineRule="auto"/>
        <w:tabs>
          <w:tab w:leader="none" w:pos="109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of the Security Documents shall cease, for any reason, to be in full force and effect, or any Loan Party shall so assert in writing, or any Lien created by any of the Security Documents shall cease to be enforceable and of the same effect and priority purported to be created thereby on a material portion of the Collateral, except to the except (A) as a result of the release of a Loan Party or the sale, transfer or other disposition to a Person that is not a Loan Party or a Subsidiary of the applicable Collateral in each case, in a transaction permitted under the Loan Documents, (B) as a result of the Administrative Agent’s or any other Secured Party no longer having possession of any stock certificates, promissory notes or other instruments actually delivered to it under the Collateral Documents or (C) UCC continuation statements not being timely filed;</w:t>
      </w:r>
    </w:p>
    <w:p>
      <w:pPr>
        <w:spacing w:after="0" w:line="192" w:lineRule="exact"/>
        <w:rPr>
          <w:rFonts w:ascii="Times New Roman" w:cs="Times New Roman" w:eastAsia="Times New Roman" w:hAnsi="Times New Roman"/>
          <w:sz w:val="20"/>
          <w:szCs w:val="20"/>
          <w:color w:val="auto"/>
        </w:rPr>
      </w:pPr>
    </w:p>
    <w:p>
      <w:pPr>
        <w:ind w:firstLine="656"/>
        <w:spacing w:after="0" w:line="283" w:lineRule="auto"/>
        <w:tabs>
          <w:tab w:leader="none" w:pos="1033"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portion of the guarantees contained in the Guarantee Agreement, taken as a whole, shall cease, for any reason, to be in full force and effect (other than as permitted in a Loan Document or in accordance with its terms) or any Loan Party shall so assert; or</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shall occur,</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then, and in any such event, (A) if such event is an Event of Default specified in clause (i) or (ii) of paragraph (f) above with respect to the any Borrower, automatically the Revolving Commitments shall immediately terminate and the Loans hereunder (with accrued interest thereon), all other amounts owing under this Agreement and the other Loan Documents (including all amounts of LC Exposure, whether or not the beneficiaries of the then outstanding Letters of Credit shall have presented the documents required thereunder) shall immediately become due and payable, and (B) if such event is any other Event of Default, with the consent of the Required Lenders, the Administrative Agent may, or upon the request of the Required Lenders, the Administrative Agent shall, by notice to the Borrowers, declare the Revolving Commitments to be terminated forthwith, declare the Loans hereunder (with accrued interest thereon) and all other amounts owing under this Agreement and the other Loan Documents (including all amounts of LC Exposure, whether or not the beneficiaries of the then outstanding Letters of Credit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ectPr>
          <w:pgSz w:w="11900" w:h="16838" w:orient="portrait"/>
          <w:cols w:equalWidth="0" w:num="1">
            <w:col w:w="11240"/>
          </w:cols>
          <w:pgMar w:left="320" w:top="1413" w:right="339" w:bottom="1440" w:gutter="0" w:footer="0" w:header="0"/>
        </w:sectPr>
      </w:pPr>
    </w:p>
    <w:bookmarkStart w:id="154" w:name="page155"/>
    <w:bookmarkEnd w:id="154"/>
    <w:p>
      <w:pPr>
        <w:jc w:val="both"/>
        <w:spacing w:after="0" w:line="264" w:lineRule="auto"/>
        <w:rPr>
          <w:sz w:val="20"/>
          <w:szCs w:val="20"/>
          <w:color w:val="auto"/>
        </w:rPr>
      </w:pPr>
      <w:r>
        <w:rPr>
          <w:rFonts w:ascii="Times New Roman" w:cs="Times New Roman" w:eastAsia="Times New Roman" w:hAnsi="Times New Roman"/>
          <w:sz w:val="19"/>
          <w:szCs w:val="19"/>
          <w:color w:val="auto"/>
        </w:rPr>
        <w:t>presented the documents required thereunder) to be due and payable forthwith, whereupon the same shall immediately become due and payable; provided that solely in connection with an Event of Default under Section 8 (with respect to a breach or default of Section 7.1) that is uncured or unwaived, the Required Revolving Lenders may take the actions specified in clause (B) above in respect of the Revolving Commitments and the Revolving Loans. With respect to all Letters of Credit with respect to which presentment for honor shall not have occurred at the time of an acceleration pursuant to this paragraph, each applicable Borrower shall at such time deposit in a Collateral Account an amount equal to 103% of the aggregate then undrawn and unexpired amount of such Letters of Credit in accordance with Section 2.13(j).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other obligations of each such Borrowers hereunder and under the other Loan Documents. After all such Letters of Credit shall have expired or been fully drawn upon, all Reimbursement Obligations shall have been satisfied and all other obligations of the Borrowers hereunder and under the other Loan Documents shall have been paid in full, the balance, if any, in such cash collateral account shall be returned to the applicable Borrower(s) (or such other Person as may be lawfully entitled thereto). Except as expressly provided above in this Section, presentment, demand, protest and all other notices of any kind are hereby expressly waived by each Borrower.</w:t>
      </w:r>
    </w:p>
    <w:p>
      <w:pPr>
        <w:spacing w:after="0" w:line="183"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010000"/>
        </w:rPr>
        <w:t>SECTION 9.</w:t>
      </w:r>
      <w:r>
        <w:rPr>
          <w:sz w:val="20"/>
          <w:szCs w:val="20"/>
          <w:color w:val="auto"/>
        </w:rPr>
        <w:tab/>
      </w:r>
      <w:r>
        <w:rPr>
          <w:rFonts w:ascii="Times New Roman" w:cs="Times New Roman" w:eastAsia="Times New Roman" w:hAnsi="Times New Roman"/>
          <w:sz w:val="19"/>
          <w:szCs w:val="19"/>
          <w:color w:val="auto"/>
        </w:rPr>
        <w:t>THE AGENTS</w:t>
      </w:r>
    </w:p>
    <w:p>
      <w:pPr>
        <w:spacing w:after="0" w:line="216"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9.1.</w:t>
      </w:r>
      <w:r>
        <w:rPr>
          <w:sz w:val="20"/>
          <w:szCs w:val="20"/>
          <w:color w:val="auto"/>
        </w:rPr>
        <w:tab/>
      </w:r>
      <w:r>
        <w:rPr>
          <w:rFonts w:ascii="Times New Roman" w:cs="Times New Roman" w:eastAsia="Times New Roman" w:hAnsi="Times New Roman"/>
          <w:sz w:val="19"/>
          <w:szCs w:val="19"/>
          <w:u w:val="single" w:color="auto"/>
          <w:color w:val="auto"/>
        </w:rPr>
        <w:t>Appointment</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0" w:lineRule="auto"/>
        <w:tabs>
          <w:tab w:leader="none" w:pos="106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the Swingline Lender and each Issuing Bank hereby irrevocably designates and appoints the Administrative Agent as the agent of such Lender, Swingline Lender and Issuing Bank under this Agreement and the other Loan Documents, and each such Lender, Swingline Lender and Issuing Bank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Swingline Lender or Issuing Bank, and no implied covenants, functions, responsibilities, duties, obligations or liabilities shall be read into this Agreement or any other Loan Document or otherwise exist against the Administrative Agent.</w:t>
      </w:r>
    </w:p>
    <w:p>
      <w:pPr>
        <w:spacing w:after="0" w:line="177" w:lineRule="exact"/>
        <w:rPr>
          <w:rFonts w:ascii="Times New Roman" w:cs="Times New Roman" w:eastAsia="Times New Roman" w:hAnsi="Times New Roman"/>
          <w:sz w:val="20"/>
          <w:szCs w:val="20"/>
          <w:color w:val="auto"/>
        </w:rPr>
      </w:pPr>
    </w:p>
    <w:p>
      <w:pPr>
        <w:jc w:val="both"/>
        <w:ind w:right="20" w:firstLine="656"/>
        <w:spacing w:after="0" w:line="258" w:lineRule="auto"/>
        <w:tabs>
          <w:tab w:leader="none" w:pos="1165"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also act as the “collateral agent” under the Loan Documents, and each of the Lenders, the Swingline Lender and each Issuing Bank hereby irrevocably appoints and authorizes the Administrative Agent to act as the agent of such Lender, Swingline Lender and Issuing Bank for purposes of acquiring, holding and enforcing any and all Liens on Collateral granted by any of the Loan Parties to secure any of the Obligations, together with such powers and discretion as are reasonably incidental thereto.</w:t>
      </w:r>
    </w:p>
    <w:p>
      <w:pPr>
        <w:spacing w:after="0" w:line="185" w:lineRule="exact"/>
        <w:rPr>
          <w:rFonts w:ascii="Times New Roman" w:cs="Times New Roman" w:eastAsia="Times New Roman" w:hAnsi="Times New Roman"/>
          <w:sz w:val="20"/>
          <w:szCs w:val="20"/>
          <w:color w:val="auto"/>
        </w:rPr>
      </w:pPr>
    </w:p>
    <w:p>
      <w:pPr>
        <w:ind w:firstLine="656"/>
        <w:spacing w:after="0" w:line="269" w:lineRule="auto"/>
        <w:tabs>
          <w:tab w:leader="none" w:pos="121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motivations of the Administrative Agent are commercial in nature and not to invest in the general performance or operations of any Borrower.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Delegation of Duties</w:t>
      </w:r>
      <w:r>
        <w:rPr>
          <w:rFonts w:ascii="Times New Roman" w:cs="Times New Roman" w:eastAsia="Times New Roman" w:hAnsi="Times New Roman"/>
          <w:sz w:val="20"/>
          <w:szCs w:val="20"/>
          <w:color w:val="auto"/>
        </w:rPr>
        <w:t>. The Administrative Agent may execute any of its duties under this Agreement and the other Loan Documents by or through agents or attorneys-in-fact and shall be entitled to advice of counsel concerning all matters pertaining to such duties. The Administrative Agent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ectPr>
          <w:pgSz w:w="11900" w:h="16838" w:orient="portrait"/>
          <w:cols w:equalWidth="0" w:num="1">
            <w:col w:w="11240"/>
          </w:cols>
          <w:pgMar w:left="320" w:top="1413"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color w:val="auto"/>
        </w:rPr>
        <w:t>be responsible for the negligence or misconduct of any agents or attorneys-in-fact selected by it with reasonable care.</w:t>
      </w:r>
    </w:p>
    <w:p>
      <w:pPr>
        <w:spacing w:after="0" w:line="2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Exculpatory Provisions</w:t>
      </w:r>
      <w:r>
        <w:rPr>
          <w:rFonts w:ascii="Times New Roman" w:cs="Times New Roman" w:eastAsia="Times New Roman" w:hAnsi="Times New Roman"/>
          <w:sz w:val="20"/>
          <w:szCs w:val="20"/>
          <w:color w:val="auto"/>
        </w:rPr>
        <w:t xml:space="preserve">. Neither any Agent nor any of their respective officers, directors, employees, agents, attorneys-in-fact or affiliates shall be (i) liable for any action lawfully taken 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bad faith,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 Notwithstanding anything herein to the contrary, the Administrative Agent shall not be liable for, or be responsible for any Liabilities, costs or expenses suffered by any Borrower, any Subsidiary, any Lender or any Issuing Bank as a result of, any determination of the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Revolving Extensions of Credit</w:t>
      </w:r>
      <w:r>
        <w:rPr>
          <w:rFonts w:ascii="Times New Roman" w:cs="Times New Roman" w:eastAsia="Times New Roman" w:hAnsi="Times New Roman"/>
          <w:sz w:val="20"/>
          <w:szCs w:val="20"/>
          <w:color w:val="auto"/>
        </w:rPr>
        <w:t>, any of the component amounts thereof or any portion thereof attributable to each Lender or Issuing Bank, or any Dollar Equivalent.</w:t>
      </w:r>
    </w:p>
    <w:p>
      <w:pPr>
        <w:spacing w:after="0" w:line="20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9.4.</w:t>
      </w:r>
      <w:r>
        <w:rPr>
          <w:sz w:val="20"/>
          <w:szCs w:val="20"/>
          <w:color w:val="auto"/>
        </w:rPr>
        <w:tab/>
      </w:r>
      <w:r>
        <w:rPr>
          <w:rFonts w:ascii="Times New Roman" w:cs="Times New Roman" w:eastAsia="Times New Roman" w:hAnsi="Times New Roman"/>
          <w:sz w:val="20"/>
          <w:szCs w:val="20"/>
          <w:u w:val="single" w:color="auto"/>
          <w:color w:val="auto"/>
        </w:rPr>
        <w:t>Reliance by Administrative Agent</w:t>
      </w:r>
      <w:r>
        <w:rPr>
          <w:rFonts w:ascii="Times New Roman" w:cs="Times New Roman" w:eastAsia="Times New Roman" w:hAnsi="Times New Roman"/>
          <w:sz w:val="20"/>
          <w:szCs w:val="20"/>
          <w:color w:val="auto"/>
        </w:rPr>
        <w:t>. The Administrative Agent shall be entitled to rely, and shall be fully protected in relying,</w:t>
      </w:r>
    </w:p>
    <w:p>
      <w:pPr>
        <w:jc w:val="both"/>
        <w:spacing w:after="0" w:line="204" w:lineRule="auto"/>
        <w:rPr>
          <w:sz w:val="20"/>
          <w:szCs w:val="20"/>
          <w:color w:val="auto"/>
        </w:rPr>
      </w:pPr>
      <w:r>
        <w:rPr>
          <w:rFonts w:ascii="Times New Roman" w:cs="Times New Roman" w:eastAsia="Times New Roman" w:hAnsi="Times New Roman"/>
          <w:sz w:val="20"/>
          <w:szCs w:val="20"/>
          <w:color w:val="auto"/>
        </w:rPr>
        <w:t>upon any instrument, writing, resolution, notice, consent, certificate, affidavit, letter, telecopy, telex or teletype message, statement, order or other document or conversation believed by it to be genuine and correct and to have been signed, sent or made by the proper Person or</w:t>
      </w:r>
    </w:p>
    <w:p>
      <w:pPr>
        <w:spacing w:after="0" w:line="211" w:lineRule="auto"/>
        <w:rPr>
          <w:sz w:val="20"/>
          <w:szCs w:val="20"/>
          <w:color w:val="auto"/>
        </w:rPr>
      </w:pPr>
      <w:r>
        <w:rPr>
          <w:rFonts w:ascii="Times New Roman" w:cs="Times New Roman" w:eastAsia="Times New Roman" w:hAnsi="Times New Roman"/>
          <w:sz w:val="20"/>
          <w:szCs w:val="20"/>
          <w:color w:val="auto"/>
        </w:rPr>
        <w:t>Persons and upon advice and statements of legal counsel (including counsel to the Borrowers), independent accountants and other experts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selected by the Administrative Agent. The Administrative Agent may deem and treat the payee of any Note as the owner thereof for all purposes unless a written notice of assignment, negotiation or transfer thereof shall have been filed with the Administrative Agent. The</w:t>
      </w:r>
    </w:p>
    <w:p>
      <w:pPr>
        <w:spacing w:after="0" w:line="211" w:lineRule="auto"/>
        <w:rPr>
          <w:sz w:val="20"/>
          <w:szCs w:val="20"/>
          <w:color w:val="auto"/>
        </w:rPr>
      </w:pPr>
      <w:r>
        <w:rPr>
          <w:rFonts w:ascii="Times New Roman" w:cs="Times New Roman" w:eastAsia="Times New Roman" w:hAnsi="Times New Roman"/>
          <w:sz w:val="20"/>
          <w:szCs w:val="20"/>
          <w:color w:val="auto"/>
        </w:rPr>
        <w:t>Administrative Agent shall be fully justified in failing or refusing to take any action under this Agreement or any other Loan Document</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unless it shall first receive such advice or concurrence of the Required Lenders (or, if so specified by this Agreement, all Lenders) if the Administrative Agent believes in good faith that such action shall expose it to liability or it shall first be indemnified to its satisfaction by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Lenders against any and all liability and expense that may be incurred by it by reason of taking or continuing to take any such action. The Administrative Agent shall in all cases be fully protected in acting, or in refraining from acting, under this Agreement and the other Loan</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Documents in accordance with a request of the Required Lenders (or, if so specified by this Agreement, all Lenders), and such request and any action taken or failure to act pursuant thereto shall be binding upon all the Lenders and all future holders of the Loans.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9.5. </w:t>
      </w: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The Administrative Agent shall not be deemed to have knowledge or notice of the occurrence of any Default or Event of Default hereunder unless the Administrative Agent has received notice from a Lender or any Borrower referring to this Agreement, describing such Default or Event of Default, as applicable, and stating that such notice is a “notice of default” or a “notice of event of default”, as applicable.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as set forth in this Agreement (or, if so specified by this Agreement, all Lenders); provided that unless and until the Administrative Agent shall have received such directions, the Administrative Agent may (but shall not be obligated to) take such action, or refrain from taking such action,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ectPr>
          <w:pgSz w:w="11900" w:h="16838" w:orient="portrait"/>
          <w:cols w:equalWidth="0" w:num="1">
            <w:col w:w="11240"/>
          </w:cols>
          <w:pgMar w:left="320" w:top="1413" w:right="339" w:bottom="1440" w:gutter="0" w:footer="0" w:header="0"/>
        </w:sectPr>
      </w:pPr>
    </w:p>
    <w:bookmarkStart w:id="156" w:name="page157"/>
    <w:bookmarkEnd w:id="156"/>
    <w:p>
      <w:pPr>
        <w:jc w:val="both"/>
        <w:spacing w:after="0" w:line="258" w:lineRule="auto"/>
        <w:rPr>
          <w:sz w:val="20"/>
          <w:szCs w:val="20"/>
          <w:color w:val="auto"/>
        </w:rPr>
      </w:pPr>
      <w:r>
        <w:rPr>
          <w:rFonts w:ascii="Times New Roman" w:cs="Times New Roman" w:eastAsia="Times New Roman" w:hAnsi="Times New Roman"/>
          <w:sz w:val="20"/>
          <w:szCs w:val="20"/>
          <w:color w:val="auto"/>
        </w:rPr>
        <w:t>such Default or Event of Default, as applicable, as it shall deem advisable in the best interests of the Lenders and permitted by this Agreement.</w:t>
      </w: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9.6. </w:t>
      </w:r>
      <w:r>
        <w:rPr>
          <w:rFonts w:ascii="Times New Roman" w:cs="Times New Roman" w:eastAsia="Times New Roman" w:hAnsi="Times New Roman"/>
          <w:sz w:val="20"/>
          <w:szCs w:val="20"/>
          <w:u w:val="single" w:color="auto"/>
          <w:color w:val="auto"/>
        </w:rPr>
        <w:t>Non-Reliance on Agents and Other Lenders</w:t>
      </w:r>
      <w:r>
        <w:rPr>
          <w:rFonts w:ascii="Times New Roman" w:cs="Times New Roman" w:eastAsia="Times New Roman" w:hAnsi="Times New Roman"/>
          <w:sz w:val="20"/>
          <w:szCs w:val="20"/>
          <w:color w:val="auto"/>
        </w:rPr>
        <w:t>. Each Lender expressly acknowledges that neither the Agents nor any of their respective officers, directors, employees, agents, attorneys-in-fact or affiliates have made any representations or warranties to it and that no act by any Agent hereinafter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extensions of credit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w:t>
      </w:r>
    </w:p>
    <w:p>
      <w:pPr>
        <w:spacing w:after="0" w:line="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0"/>
          <w:szCs w:val="20"/>
          <w:color w:val="auto"/>
        </w:rPr>
        <w:t>The Lenders and Issuing Banks acknowledge that there may be a constant flow of information (including information which may be subject to confidentiality obligations in favor of the Loan Parties) between the Loan Parties and their Affiliates, on the one hand, and JPMorgan Chase Bank, N.A. and its Affiliates, on the other hand. Without limiting the foregoing, the Loan Parties or their Affiliates may provide information, including updates to previously provided information to JPMorgan Chase Bank, N.A. and/or its Affiliates acting in different capacities, including as Lender, lead bank, arranger or potential securities investor, independent of such entity’s role as administrative agent hereunder. The Lenders acknowledge that neither JPMorgan Chase Bank, N.A.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by the Administrative Agent herein or in any other Loan Document, the Administrative Agent shall not have any duty or responsibility to provide, and shall not be liable for the failure to provide, any Lender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officers, directors, employees, agents, attorneys-in-fact or Affiliates in any capacity, including any information obtained by the Administrative Agent in the course of communications among the Administrative Agent and any Loan Party, any Affiliate thereof or any other Person. Notwithstanding the foregoing, but subject to compliance with any confidentiality obligations set forth in any Loan Document, any such information may (but shall not be required to) be shared by the Administrative Agent with one or more Lenders, or any formal or informal committee or ad hoc group of such Lenders, including at the direction of a Loan Party.</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9.7. </w:t>
      </w:r>
      <w:r>
        <w:rPr>
          <w:rFonts w:ascii="Times New Roman" w:cs="Times New Roman" w:eastAsia="Times New Roman" w:hAnsi="Times New Roman"/>
          <w:sz w:val="20"/>
          <w:szCs w:val="20"/>
          <w:u w:val="single" w:color="auto"/>
          <w:color w:val="auto"/>
        </w:rPr>
        <w:t>Indemnification</w:t>
      </w:r>
      <w:r>
        <w:rPr>
          <w:rFonts w:ascii="Times New Roman" w:cs="Times New Roman" w:eastAsia="Times New Roman" w:hAnsi="Times New Roman"/>
          <w:sz w:val="20"/>
          <w:szCs w:val="20"/>
          <w:color w:val="auto"/>
        </w:rPr>
        <w:t xml:space="preserve">. The Lenders agree to severally indemnify each Agent in its capacity as such (to the extent not reimbursed by the Borrowers and without limiting the obligation of the Borrowers to do so), ratably according to their respective </w:t>
      </w:r>
      <w:r>
        <w:rPr>
          <w:rFonts w:ascii="Times New Roman" w:cs="Times New Roman" w:eastAsia="Times New Roman" w:hAnsi="Times New Roman"/>
          <w:sz w:val="20"/>
          <w:szCs w:val="20"/>
          <w:color w:val="FF0000"/>
          <w:strike w:val="1"/>
        </w:rPr>
        <w:t>Aggregate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Percentages in effect on the date on which indemnification is sought under this Section (or, if indemnification is sought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after the date upon which the Commitments shall have terminated and the Loans shall have been paid in full and no Letters of Credit shall be outstanding (other than Letters of Credit that are cash collateralized or backstopped on terms reasonably satisfactory to the applicable Issuing Bank), ratably in accordance with such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000000"/>
        </w:rPr>
        <w:t xml:space="preserve"> Percentages immediately prior to such date), from and against any and all liabilities, obligations, losses, damages, penalties, actions, judgments, suits, costs, expenses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ectPr>
          <w:pgSz w:w="11900" w:h="16838" w:orient="portrait"/>
          <w:cols w:equalWidth="0" w:num="1">
            <w:col w:w="11240"/>
          </w:cols>
          <w:pgMar w:left="320" w:top="1413" w:right="339" w:bottom="1440" w:gutter="0" w:footer="0" w:header="0"/>
        </w:sectPr>
      </w:pPr>
    </w:p>
    <w:bookmarkStart w:id="157" w:name="page158"/>
    <w:bookmarkEnd w:id="157"/>
    <w:p>
      <w:pPr>
        <w:jc w:val="both"/>
        <w:spacing w:after="0" w:line="253" w:lineRule="auto"/>
        <w:rPr>
          <w:sz w:val="20"/>
          <w:szCs w:val="20"/>
          <w:color w:val="auto"/>
        </w:rPr>
      </w:pPr>
      <w:r>
        <w:rPr>
          <w:rFonts w:ascii="Times New Roman" w:cs="Times New Roman" w:eastAsia="Times New Roman" w:hAnsi="Times New Roman"/>
          <w:sz w:val="20"/>
          <w:szCs w:val="20"/>
          <w:color w:val="auto"/>
        </w:rPr>
        <w:t>disbursements of any kind whatsoever that may at any time (whether before or after the payment of the Loans) be imposed on, incurred by or asserted against such Agent in any way relating to or arising out of, the Commitments, this Agreement, any of the other Loan Documents or any documents contemplated by or referred to herein or therein or the transactions contemplated hereby or thereby or any action taken or omitted by such Agent under or in connection with any of the foregoing; provided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bad faith, gross negligence or willful misconduct. The agreements in this Section 9.7 shall survive the payment of the Loans and all other amounts payable hereunder.</w:t>
      </w:r>
    </w:p>
    <w:p>
      <w:pPr>
        <w:spacing w:after="0" w:line="187"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9.8.</w:t>
      </w:r>
      <w:r>
        <w:rPr>
          <w:sz w:val="20"/>
          <w:szCs w:val="20"/>
          <w:color w:val="auto"/>
        </w:rPr>
        <w:tab/>
      </w:r>
      <w:r>
        <w:rPr>
          <w:rFonts w:ascii="Times New Roman" w:cs="Times New Roman" w:eastAsia="Times New Roman" w:hAnsi="Times New Roman"/>
          <w:sz w:val="20"/>
          <w:szCs w:val="20"/>
          <w:u w:val="single" w:color="auto"/>
          <w:color w:val="auto"/>
        </w:rPr>
        <w:t>Agent in Its Individual Capacity</w:t>
      </w:r>
      <w:r>
        <w:rPr>
          <w:rFonts w:ascii="Times New Roman" w:cs="Times New Roman" w:eastAsia="Times New Roman" w:hAnsi="Times New Roman"/>
          <w:sz w:val="20"/>
          <w:szCs w:val="20"/>
          <w:color w:val="auto"/>
        </w:rPr>
        <w:t>. Each Agent and its affiliates may make loans to, accept deposits from and generally engage</w:t>
      </w:r>
    </w:p>
    <w:p>
      <w:pPr>
        <w:jc w:val="both"/>
        <w:spacing w:after="0" w:line="204" w:lineRule="auto"/>
        <w:rPr>
          <w:sz w:val="20"/>
          <w:szCs w:val="20"/>
          <w:color w:val="auto"/>
        </w:rPr>
      </w:pPr>
      <w:r>
        <w:rPr>
          <w:rFonts w:ascii="Times New Roman" w:cs="Times New Roman" w:eastAsia="Times New Roman" w:hAnsi="Times New Roman"/>
          <w:sz w:val="20"/>
          <w:szCs w:val="20"/>
          <w:color w:val="auto"/>
        </w:rPr>
        <w:t>in any kind of business with any Loan Party as though such Agent was not an Agent. With respect to its Loans made or renewed by it and with respect to any Letter of Credit issued or participated in by it, each Agent shall have the same rights and powers under this Agreement</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20"/>
          <w:szCs w:val="20"/>
          <w:color w:val="auto"/>
        </w:rPr>
        <w:t>and the other Loan Documents as any Lender and may exercise the same as though it were not an Agent, and the terms “Lender” and “Lenders” shall include each Agent in its individual capacity.</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9.9. </w:t>
      </w:r>
      <w:r>
        <w:rPr>
          <w:rFonts w:ascii="Times New Roman" w:cs="Times New Roman" w:eastAsia="Times New Roman" w:hAnsi="Times New Roman"/>
          <w:sz w:val="20"/>
          <w:szCs w:val="20"/>
          <w:u w:val="single" w:color="auto"/>
          <w:color w:val="auto"/>
        </w:rPr>
        <w:t>Successor Administrative Agent</w:t>
      </w:r>
      <w:r>
        <w:rPr>
          <w:rFonts w:ascii="Times New Roman" w:cs="Times New Roman" w:eastAsia="Times New Roman" w:hAnsi="Times New Roman"/>
          <w:sz w:val="20"/>
          <w:szCs w:val="20"/>
          <w:color w:val="auto"/>
        </w:rPr>
        <w:t>. The Administrative Agent may resign as Administrative Agent upon 20 days’ notice to the Lenders and the Borrowers. If the Administrative Agent shall resign as Administrative Agent under this Agreement and the other Loan Documents, then the Required Lenders shall appoint from among the Lenders a successor agent for the Lenders, which successor agent shall (unless an Event of Default under Section 8(a) or Section 8(f) with respect to any Borrower shall have occurred and be continuing) be subject to approval by the Borrowers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20 days following a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(with the consent of the Borrowers (to the extent required by the immediately preceding sentence))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200"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0"/>
          <w:szCs w:val="20"/>
          <w:color w:val="auto"/>
        </w:rPr>
        <w:t xml:space="preserve">9.10. </w:t>
      </w:r>
      <w:r>
        <w:rPr>
          <w:rFonts w:ascii="Times New Roman" w:cs="Times New Roman" w:eastAsia="Times New Roman" w:hAnsi="Times New Roman"/>
          <w:sz w:val="20"/>
          <w:szCs w:val="20"/>
          <w:u w:val="single" w:color="auto"/>
          <w:color w:val="auto"/>
        </w:rPr>
        <w:t>Certain ERISA Matters</w:t>
      </w:r>
      <w:r>
        <w:rPr>
          <w:rFonts w:ascii="Times New Roman" w:cs="Times New Roman" w:eastAsia="Times New Roman" w:hAnsi="Times New Roman"/>
          <w:sz w:val="20"/>
          <w:szCs w:val="20"/>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 Party, that at least one of the following is and will be true:</w:t>
      </w:r>
    </w:p>
    <w:p>
      <w:pPr>
        <w:spacing w:after="0" w:line="180" w:lineRule="exact"/>
        <w:rPr>
          <w:sz w:val="20"/>
          <w:szCs w:val="20"/>
          <w:color w:val="auto"/>
        </w:rPr>
      </w:pPr>
    </w:p>
    <w:p>
      <w:pPr>
        <w:jc w:val="both"/>
        <w:ind w:left="660" w:firstLine="644"/>
        <w:spacing w:after="0" w:line="261" w:lineRule="auto"/>
        <w:tabs>
          <w:tab w:leader="none" w:pos="1760"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660" w:firstLine="644"/>
        <w:spacing w:after="0" w:line="253" w:lineRule="auto"/>
        <w:tabs>
          <w:tab w:leader="none" w:pos="1762"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831"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9" w:lineRule="exact"/>
        <w:rPr>
          <w:rFonts w:ascii="Times New Roman" w:cs="Times New Roman" w:eastAsia="Times New Roman" w:hAnsi="Times New Roman"/>
          <w:sz w:val="20"/>
          <w:szCs w:val="20"/>
          <w:color w:val="auto"/>
        </w:rPr>
      </w:pPr>
    </w:p>
    <w:p>
      <w:pPr>
        <w:ind w:left="660" w:firstLine="644"/>
        <w:spacing w:after="0" w:line="283" w:lineRule="auto"/>
        <w:tabs>
          <w:tab w:leader="none" w:pos="1802" w:val="left"/>
        </w:tabs>
        <w:numPr>
          <w:ilvl w:val="1"/>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656"/>
        <w:spacing w:after="0" w:line="251" w:lineRule="auto"/>
        <w:tabs>
          <w:tab w:leader="none" w:pos="1133"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9.11.</w:t>
      </w:r>
      <w:r>
        <w:rPr>
          <w:sz w:val="20"/>
          <w:szCs w:val="20"/>
          <w:color w:val="auto"/>
        </w:rPr>
        <w:tab/>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both"/>
        <w:ind w:firstLine="656"/>
        <w:spacing w:after="0" w:line="249" w:lineRule="auto"/>
        <w:tabs>
          <w:tab w:leader="none" w:pos="1159"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Arrangers or Agents (other than the Administrative Agent) identified in this Agreement shall have any rights, powers, obligations, liabilities, responsibilities or duties under this Agreement or any other Loan Document, except in its capacity, as applicable, as a Lender, the Swingline Lender or an Issuing Bank hereunder. Without limiting any other provision of this Section 9, no such Arranger or Agent in its capacity as such shall have or be deemed to have any fiduciary relationship with any Lender (including the Swingline Lender or any Issuing Bank) or any other Person by reason of this Agreement or any other Loan Document.</w:t>
      </w:r>
    </w:p>
    <w:p>
      <w:pPr>
        <w:spacing w:after="0" w:line="195" w:lineRule="exact"/>
        <w:rPr>
          <w:rFonts w:ascii="Times New Roman" w:cs="Times New Roman" w:eastAsia="Times New Roman" w:hAnsi="Times New Roman"/>
          <w:sz w:val="20"/>
          <w:szCs w:val="20"/>
          <w:color w:val="auto"/>
        </w:rPr>
      </w:pPr>
    </w:p>
    <w:p>
      <w:pPr>
        <w:jc w:val="both"/>
        <w:ind w:firstLine="656"/>
        <w:spacing w:after="0" w:line="281" w:lineRule="auto"/>
        <w:tabs>
          <w:tab w:leader="none" w:pos="1241" w:val="left"/>
        </w:tabs>
        <w:numPr>
          <w:ilvl w:val="0"/>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furtherance of the foregoing and not in limitation thereof, no arrangements in respect of Lender Cash Management Obligations and no Lender Hedge Agreements, will create (or be deemed to create) in favor of any Secured Party that is a party thereto any rights in connection with the management or release of any Collateral or of the obligations of any Loan Party under any Loan Document.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ectPr>
          <w:pgSz w:w="11900" w:h="16838" w:orient="portrait"/>
          <w:cols w:equalWidth="0" w:num="1">
            <w:col w:w="11240"/>
          </w:cols>
          <w:pgMar w:left="320" w:top="1413" w:right="339" w:bottom="1440" w:gutter="0" w:footer="0" w:header="0"/>
        </w:sectPr>
      </w:pPr>
    </w:p>
    <w:bookmarkStart w:id="159" w:name="page160"/>
    <w:bookmarkEnd w:id="159"/>
    <w:p>
      <w:pPr>
        <w:jc w:val="both"/>
        <w:spacing w:after="0" w:line="258" w:lineRule="auto"/>
        <w:rPr>
          <w:sz w:val="20"/>
          <w:szCs w:val="20"/>
          <w:color w:val="auto"/>
        </w:rPr>
      </w:pPr>
      <w:r>
        <w:rPr>
          <w:rFonts w:ascii="Times New Roman" w:cs="Times New Roman" w:eastAsia="Times New Roman" w:hAnsi="Times New Roman"/>
          <w:sz w:val="20"/>
          <w:szCs w:val="20"/>
          <w:color w:val="auto"/>
        </w:rPr>
        <w:t>accepting the benefits of the Collateral, each Secured Party that is a party to any such arrangement in respect of Lender Cash Management Obligations or Lender Hedge Agreements,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 xml:space="preserve">9.12. </w:t>
      </w:r>
      <w:r>
        <w:rPr>
          <w:rFonts w:ascii="Times New Roman" w:cs="Times New Roman" w:eastAsia="Times New Roman" w:hAnsi="Times New Roman"/>
          <w:sz w:val="19"/>
          <w:szCs w:val="19"/>
          <w:u w:val="single" w:color="auto"/>
          <w:color w:val="auto"/>
        </w:rPr>
        <w:t>Credit Bidding</w:t>
      </w:r>
      <w:r>
        <w:rPr>
          <w:rFonts w:ascii="Times New Roman" w:cs="Times New Roman" w:eastAsia="Times New Roman" w:hAnsi="Times New Roman"/>
          <w:sz w:val="19"/>
          <w:szCs w:val="19"/>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10.1),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ectPr>
          <w:pgSz w:w="11900" w:h="16838" w:orient="portrait"/>
          <w:cols w:equalWidth="0" w:num="1">
            <w:col w:w="11240"/>
          </w:cols>
          <w:pgMar w:left="320" w:top="1413" w:right="339" w:bottom="1440" w:gutter="0" w:footer="0" w:header="0"/>
        </w:sectPr>
      </w:pPr>
    </w:p>
    <w:bookmarkStart w:id="160" w:name="page161"/>
    <w:bookmarkEnd w:id="160"/>
    <w:p>
      <w:pPr>
        <w:spacing w:after="0" w:line="258" w:lineRule="auto"/>
        <w:rPr>
          <w:sz w:val="20"/>
          <w:szCs w:val="20"/>
          <w:color w:val="auto"/>
        </w:rPr>
      </w:pPr>
      <w:r>
        <w:rPr>
          <w:rFonts w:ascii="Times New Roman" w:cs="Times New Roman" w:eastAsia="Times New Roman" w:hAnsi="Times New Roman"/>
          <w:sz w:val="20"/>
          <w:szCs w:val="20"/>
          <w:color w:val="auto"/>
        </w:rPr>
        <w:t>by such acquisition vehicle) as the Administrative Agent may reasonably request in connection with the formation of any acquisition vehicle, the formulation or submission of any credit bid or the consummation of the transactions contemplated by such credit bid.</w:t>
      </w: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u w:val="single" w:color="auto"/>
          <w:color w:val="auto"/>
        </w:rPr>
        <w:t>Erroneous Payments</w:t>
      </w:r>
      <w:r>
        <w:rPr>
          <w:rFonts w:ascii="Times New Roman" w:cs="Times New Roman" w:eastAsia="Times New Roman" w:hAnsi="Times New Roman"/>
          <w:sz w:val="19"/>
          <w:szCs w:val="19"/>
          <w:color w:val="auto"/>
        </w:rPr>
        <w:t>.</w:t>
      </w:r>
    </w:p>
    <w:p>
      <w:pPr>
        <w:spacing w:after="0" w:line="207" w:lineRule="exact"/>
        <w:rPr>
          <w:sz w:val="20"/>
          <w:szCs w:val="20"/>
          <w:color w:val="auto"/>
        </w:rPr>
      </w:pPr>
    </w:p>
    <w:p>
      <w:pPr>
        <w:jc w:val="both"/>
        <w:ind w:firstLine="1304"/>
        <w:spacing w:after="0" w:line="250" w:lineRule="auto"/>
        <w:tabs>
          <w:tab w:leader="none" w:pos="1737"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 w:cs="Times New Roman" w:eastAsia="Times New Roman" w:hAnsi="Times New Roman"/>
          <w:sz w:val="20"/>
          <w:szCs w:val="20"/>
          <w:b w:val="1"/>
          <w:bCs w:val="1"/>
          <w:color w:val="auto"/>
        </w:rPr>
        <w:t>Payment</w:t>
      </w:r>
      <w:r>
        <w:rPr>
          <w:rFonts w:ascii="Times New Roman" w:cs="Times New Roman" w:eastAsia="Times New Roman" w:hAnsi="Times New Roman"/>
          <w:sz w:val="20"/>
          <w:szCs w:val="20"/>
          <w:color w:val="auto"/>
        </w:rPr>
        <w:t>”) were erroneously transmitted to such Lender (whether or not known to such Lender), and demands the return of such Payment (or a portion thereof), such Lender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9.13 shall be conclusive, absent manifest error.</w:t>
      </w:r>
    </w:p>
    <w:p>
      <w:pPr>
        <w:spacing w:after="0" w:line="183" w:lineRule="exact"/>
        <w:rPr>
          <w:rFonts w:ascii="Times New Roman" w:cs="Times New Roman" w:eastAsia="Times New Roman" w:hAnsi="Times New Roman"/>
          <w:sz w:val="20"/>
          <w:szCs w:val="20"/>
          <w:color w:val="auto"/>
        </w:rPr>
      </w:pPr>
    </w:p>
    <w:p>
      <w:pPr>
        <w:ind w:left="1780" w:hanging="476"/>
        <w:spacing w:after="0"/>
        <w:tabs>
          <w:tab w:leader="none" w:pos="1780"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hereby further agrees that if it receives a Payment from the Administrative Agent or any of its Affiliates</w:t>
      </w:r>
    </w:p>
    <w:p>
      <w:pPr>
        <w:spacing w:after="0" w:line="28" w:lineRule="exact"/>
        <w:rPr>
          <w:rFonts w:ascii="Times New Roman" w:cs="Times New Roman" w:eastAsia="Times New Roman" w:hAnsi="Times New Roman"/>
          <w:sz w:val="20"/>
          <w:szCs w:val="20"/>
          <w:color w:val="auto"/>
        </w:rPr>
      </w:pPr>
    </w:p>
    <w:p>
      <w:pPr>
        <w:jc w:val="both"/>
        <w:ind w:firstLine="8"/>
        <w:spacing w:after="0" w:line="249" w:lineRule="auto"/>
        <w:tabs>
          <w:tab w:leader="none" w:pos="29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is in a different amount than, or on a different date from, that specified in a notice of payment sent by the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(or such later date as the Administrative Agent, may, in its sole discretion, specify in writing), return to the Administrative Agent the amount of any such Payment (or portion thereof) as to which such a demand was made in same day funds, together with interest thereon (except to the extent waived in writing by the Administrative Agent)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722" w:val="left"/>
        </w:tabs>
        <w:numPr>
          <w:ilvl w:val="1"/>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 (y) an erroneous Payment shall not pay, prepay, repay, discharge or otherwise satisfy any Obligations owed by the Borrowers or any other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(c) shall not be interpreted to increase (or accelerate the due date for), or have the effect of increasing (or accelerating the due date for), any Obligations of the Loan Parties in respect of principal and interest hereunder relative to the amount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ectPr>
          <w:pgSz w:w="11900" w:h="16838" w:orient="portrait"/>
          <w:cols w:equalWidth="0" w:num="1">
            <w:col w:w="11240"/>
          </w:cols>
          <w:pgMar w:left="320" w:top="1413" w:right="339" w:bottom="1440" w:gutter="0" w:footer="0" w:header="0"/>
        </w:sectPr>
      </w:pPr>
    </w:p>
    <w:bookmarkStart w:id="161" w:name="page162"/>
    <w:bookmarkEnd w:id="161"/>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or timing for payment) of the Obligations of the Loan Parties in respect of principal and interest hereunder that would have been payable had such erroneous Payment not been made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for the avoidance of doubt, this clause (c) shall not apply to the extent any such Payment is, and solely with respect to the amount of such Payment that is, comprised of funds received by the Administrative Agent from the Borrowers or any other Loan Party for the purpose of making such Payment, satisfying Obligations or from the proceeds of Collateral.</w:t>
      </w:r>
    </w:p>
    <w:p>
      <w:pPr>
        <w:spacing w:after="0" w:line="192" w:lineRule="exact"/>
        <w:rPr>
          <w:sz w:val="20"/>
          <w:szCs w:val="20"/>
          <w:color w:val="auto"/>
        </w:rPr>
      </w:pPr>
    </w:p>
    <w:p>
      <w:pPr>
        <w:jc w:val="both"/>
        <w:ind w:firstLine="1304"/>
        <w:spacing w:after="0" w:line="261" w:lineRule="auto"/>
        <w:tabs>
          <w:tab w:leader="none" w:pos="1824"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party’s obligations under this Section 9.13 shall survive the resignation or replacement of the Administrative Agent or any transfer of rights or obligations by, or the replacement of, a Lender, the repayment, satisfaction or discharge of all Obligations under any Loan Document.</w:t>
      </w:r>
    </w:p>
    <w:p>
      <w:pPr>
        <w:spacing w:after="0" w:line="18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9.14.</w:t>
      </w:r>
      <w:r>
        <w:rPr>
          <w:sz w:val="20"/>
          <w:szCs w:val="20"/>
          <w:color w:val="auto"/>
        </w:rPr>
        <w:tab/>
      </w:r>
      <w:r>
        <w:rPr>
          <w:rFonts w:ascii="Times New Roman" w:cs="Times New Roman" w:eastAsia="Times New Roman" w:hAnsi="Times New Roman"/>
          <w:sz w:val="19"/>
          <w:szCs w:val="19"/>
          <w:u w:val="single" w:color="auto"/>
          <w:color w:val="auto"/>
        </w:rPr>
        <w:t>Posting of Communications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56" w:lineRule="auto"/>
        <w:tabs>
          <w:tab w:leader="none" w:pos="1094"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agree that the Administrative Agent may, but shall not be obligated to, make any Communications available to the Lenders and the Issuing Banks by posting the Communications on IntraLinks™, DebtDomain, SyndTrak, ClearPar or any other electronic platform chosen by the Administrative Agent to be its electronic transmission system (the “</w:t>
      </w:r>
      <w:r>
        <w:rPr>
          <w:rFonts w:ascii="Times New Roman" w:cs="Times New Roman" w:eastAsia="Times New Roman" w:hAnsi="Times New Roman"/>
          <w:sz w:val="20"/>
          <w:szCs w:val="20"/>
          <w:b w:val="1"/>
          <w:bCs w:val="1"/>
          <w:color w:val="auto"/>
        </w:rPr>
        <w:t>Approved Electronic Platform</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firstLine="656"/>
        <w:spacing w:after="0" w:line="252" w:lineRule="auto"/>
        <w:tabs>
          <w:tab w:leader="none" w:pos="125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Electronic Platform and its primary web portal are secured with generally-applicable security procedures and policies implemented or modified by the Administrative Agent from time to time (including,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each of the Borrowers hereby approves distribution of the Communications through the Approved Electronic Platform and understands and assumes the risks of such distribution.</w:t>
      </w:r>
    </w:p>
    <w:p>
      <w:pPr>
        <w:spacing w:after="0" w:line="175" w:lineRule="exact"/>
        <w:rPr>
          <w:rFonts w:ascii="Times New Roman" w:cs="Times New Roman" w:eastAsia="Times New Roman" w:hAnsi="Times New Roman"/>
          <w:sz w:val="20"/>
          <w:szCs w:val="20"/>
          <w:color w:val="auto"/>
        </w:rPr>
      </w:pPr>
    </w:p>
    <w:p>
      <w:pPr>
        <w:jc w:val="both"/>
        <w:ind w:firstLine="656"/>
        <w:spacing w:after="0" w:line="251" w:lineRule="auto"/>
        <w:tabs>
          <w:tab w:leader="none" w:pos="1183"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Times New Roman" w:cs="Times New Roman" w:eastAsia="Times New Roman" w:hAnsi="Times New Roman"/>
          <w:sz w:val="20"/>
          <w:szCs w:val="20"/>
          <w:b w:val="1"/>
          <w:bCs w:val="1"/>
          <w:color w:val="auto"/>
        </w:rPr>
        <w:t>APPLICABLE PARTIES</w:t>
      </w:r>
      <w:r>
        <w:rPr>
          <w:rFonts w:ascii="Times New Roman" w:cs="Times New Roman" w:eastAsia="Times New Roman" w:hAnsi="Times New Roman"/>
          <w:sz w:val="20"/>
          <w:szCs w:val="20"/>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ectPr>
          <w:pgSz w:w="11900" w:h="16838" w:orient="portrait"/>
          <w:cols w:equalWidth="0" w:num="1">
            <w:col w:w="11240"/>
          </w:cols>
          <w:pgMar w:left="320" w:top="1413"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0"/>
          <w:szCs w:val="20"/>
          <w:color w:val="auto"/>
        </w:rPr>
        <w:t>TRANSMISSION OF COMMUNICATIONS THROUGH THE INTERNET OR THE APPROVED ELECTRONIC PLATFORM.</w:t>
      </w:r>
    </w:p>
    <w:p>
      <w:pPr>
        <w:spacing w:after="0" w:line="225" w:lineRule="exact"/>
        <w:rPr>
          <w:sz w:val="20"/>
          <w:szCs w:val="20"/>
          <w:color w:val="auto"/>
        </w:rPr>
      </w:pPr>
    </w:p>
    <w:p>
      <w:pPr>
        <w:jc w:val="both"/>
        <w:ind w:firstLine="656"/>
        <w:spacing w:after="0" w:line="255" w:lineRule="auto"/>
        <w:tabs>
          <w:tab w:leader="none" w:pos="126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spacing w:after="0" w:line="187"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(1) to notify the Administrative Agent in writing (which could be in the form of electronic communication) from time to time of such Lender’s or Issuing Bank’s (as applicable) email address to which the foregoing notice may be sent by electronic transmission and (2) that the foregoing notice may be sent to such email address.</w:t>
      </w:r>
    </w:p>
    <w:p>
      <w:pPr>
        <w:spacing w:after="0" w:line="191" w:lineRule="exact"/>
        <w:rPr>
          <w:rFonts w:ascii="Times New Roman" w:cs="Times New Roman" w:eastAsia="Times New Roman" w:hAnsi="Times New Roman"/>
          <w:sz w:val="20"/>
          <w:szCs w:val="20"/>
          <w:color w:val="auto"/>
        </w:rPr>
      </w:pPr>
    </w:p>
    <w:p>
      <w:pPr>
        <w:jc w:val="both"/>
        <w:ind w:firstLine="656"/>
        <w:spacing w:after="0" w:line="261" w:lineRule="auto"/>
        <w:tabs>
          <w:tab w:leader="none" w:pos="10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each of the Issuing Banks and each of the Borrowers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077"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the Administrative Agent, any Lender or any Issuing Bank to give any notice or other communication pursuant to any Loan Document in any other manner specified in such Loan Document.</w:t>
      </w:r>
    </w:p>
    <w:p>
      <w:pPr>
        <w:spacing w:after="0" w:line="17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9.15.</w:t>
      </w:r>
      <w:r>
        <w:rPr>
          <w:sz w:val="20"/>
          <w:szCs w:val="20"/>
          <w:color w:val="auto"/>
        </w:rPr>
        <w:tab/>
      </w:r>
      <w:r>
        <w:rPr>
          <w:rFonts w:ascii="Times New Roman" w:cs="Times New Roman" w:eastAsia="Times New Roman" w:hAnsi="Times New Roman"/>
          <w:sz w:val="19"/>
          <w:szCs w:val="19"/>
          <w:u w:val="single" w:color="auto"/>
          <w:color w:val="auto"/>
        </w:rPr>
        <w:t>Borrower Communications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right="20" w:firstLine="656"/>
        <w:spacing w:after="0" w:line="253" w:lineRule="auto"/>
        <w:tabs>
          <w:tab w:leader="none" w:pos="107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the Lenders and the Issuing Banks agree that the Borrowers may, but shall not be obligated to, make any Borrower Communications to the Administrative Agent through an electronic platform chosen by the Administrative Agent to be its electronic transmission system (the “</w:t>
      </w:r>
      <w:r>
        <w:rPr>
          <w:rFonts w:ascii="Times New Roman" w:cs="Times New Roman" w:eastAsia="Times New Roman" w:hAnsi="Times New Roman"/>
          <w:sz w:val="20"/>
          <w:szCs w:val="20"/>
          <w:b w:val="1"/>
          <w:bCs w:val="1"/>
          <w:color w:val="auto"/>
        </w:rPr>
        <w:t>Approved Borrower Portal</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auto"/>
        </w:rPr>
      </w:pPr>
    </w:p>
    <w:p>
      <w:pPr>
        <w:jc w:val="both"/>
        <w:ind w:firstLine="656"/>
        <w:spacing w:after="0" w:line="251" w:lineRule="auto"/>
        <w:tabs>
          <w:tab w:leader="none" w:pos="1111"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Approved Borrower Portal and its primary web portal are secured with generally-applicable security procedures and policies implemented or modified by the Administrative Agent from time to time (including, as of the Closing Date, a user ID/password authorization system), each of the Lenders, each of the Issuing Banks and each of the Borrowers acknowledges and agrees that the distribution of material through an electronic medium is not necessarily secure, that the Administrative Agent is not responsible for approving or vetting the representatives or contacts of any Borrower that are added to the Approved Borrower Portal, and that there may be confidentiality and other risks associated with such distribution. Each of the Lenders, each of the Issuing Banks and each of the Borrowers hereby approves distribution of Borrower Communications through the Approved Borrower Portal and understands and assumes the risks of such distribution.</w:t>
      </w:r>
    </w:p>
    <w:p>
      <w:pPr>
        <w:spacing w:after="0" w:line="195" w:lineRule="exact"/>
        <w:rPr>
          <w:rFonts w:ascii="Times New Roman" w:cs="Times New Roman" w:eastAsia="Times New Roman" w:hAnsi="Times New Roman"/>
          <w:sz w:val="20"/>
          <w:szCs w:val="20"/>
          <w:color w:val="auto"/>
        </w:rPr>
      </w:pPr>
    </w:p>
    <w:p>
      <w:pPr>
        <w:jc w:val="both"/>
        <w:ind w:firstLine="656"/>
        <w:spacing w:after="0" w:line="253" w:lineRule="auto"/>
        <w:tabs>
          <w:tab w:leader="none" w:pos="1087"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APPROVED BORROWER PORTAL IS PROVIDED “AS IS” AND “AS AVAILABLE”. THE APPLICABLE PARTIES DO NOT WARRANT THE ACCURACY OR COMPLETENESS OF THE BORROWER COMMUNICATION, OR THE ADEQUACY OF THE APPROVED BORROWER PORTAL AND EXPRESSLY DISCLAIM LIABILITY FOR ERRORS OR OMISSIONS IN THE APPROVED BORROWER PORTAL AND THE BORROWER COMMUNICATIONS. NO WARRANTY OF ANY KIND, EXPRESS, IMPLIED OR STATUTORY,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ectPr>
          <w:pgSz w:w="11900" w:h="16838" w:orient="portrait"/>
          <w:cols w:equalWidth="0" w:num="1">
            <w:col w:w="11240"/>
          </w:cols>
          <w:pgMar w:left="320" w:top="1413" w:right="339" w:bottom="1440" w:gutter="0" w:footer="0" w:header="0"/>
        </w:sectPr>
      </w:pPr>
    </w:p>
    <w:bookmarkStart w:id="163" w:name="page164"/>
    <w:bookmarkEnd w:id="163"/>
    <w:p>
      <w:pPr>
        <w:jc w:val="both"/>
        <w:spacing w:after="0" w:line="251" w:lineRule="auto"/>
        <w:rPr>
          <w:sz w:val="20"/>
          <w:szCs w:val="20"/>
          <w:color w:val="auto"/>
        </w:rPr>
      </w:pPr>
      <w:r>
        <w:rPr>
          <w:rFonts w:ascii="Times New Roman" w:cs="Times New Roman" w:eastAsia="Times New Roman" w:hAnsi="Times New Roman"/>
          <w:sz w:val="20"/>
          <w:szCs w:val="20"/>
          <w:color w:val="auto"/>
        </w:rPr>
        <w:t>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ANY APPLICABLE PARTY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spacing w:after="0" w:line="191" w:lineRule="exact"/>
        <w:rPr>
          <w:sz w:val="20"/>
          <w:szCs w:val="20"/>
          <w:color w:val="auto"/>
        </w:rPr>
      </w:pPr>
    </w:p>
    <w:p>
      <w:pPr>
        <w:jc w:val="both"/>
        <w:ind w:firstLine="656"/>
        <w:spacing w:after="0" w:line="260" w:lineRule="auto"/>
        <w:tabs>
          <w:tab w:leader="none" w:pos="1171"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 Communications</w:t>
      </w:r>
      <w:r>
        <w:rPr>
          <w:rFonts w:ascii="Times New Roman" w:cs="Times New Roman" w:eastAsia="Times New Roman" w:hAnsi="Times New Roman"/>
          <w:sz w:val="20"/>
          <w:szCs w:val="20"/>
          <w:color w:val="auto"/>
        </w:rPr>
        <w:t>” 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any Borrower to the Administrative Agent through an Approved Borrower Portal.</w:t>
      </w:r>
    </w:p>
    <w:p>
      <w:pPr>
        <w:spacing w:after="0" w:line="168" w:lineRule="exact"/>
        <w:rPr>
          <w:rFonts w:ascii="Times New Roman" w:cs="Times New Roman" w:eastAsia="Times New Roman" w:hAnsi="Times New Roman"/>
          <w:sz w:val="20"/>
          <w:szCs w:val="20"/>
          <w:color w:val="auto"/>
        </w:rPr>
      </w:pPr>
    </w:p>
    <w:p>
      <w:pPr>
        <w:jc w:val="both"/>
        <w:ind w:firstLine="656"/>
        <w:spacing w:after="0" w:line="261" w:lineRule="auto"/>
        <w:tabs>
          <w:tab w:leader="none" w:pos="1167"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Lenders, each of the Issuing Banks and each of the Borrowers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spacing w:after="0" w:line="181" w:lineRule="exact"/>
        <w:rPr>
          <w:rFonts w:ascii="Times New Roman" w:cs="Times New Roman" w:eastAsia="Times New Roman" w:hAnsi="Times New Roman"/>
          <w:sz w:val="20"/>
          <w:szCs w:val="20"/>
          <w:color w:val="auto"/>
        </w:rPr>
      </w:pPr>
    </w:p>
    <w:p>
      <w:pPr>
        <w:ind w:right="20" w:firstLine="656"/>
        <w:spacing w:after="0" w:line="283" w:lineRule="auto"/>
        <w:tabs>
          <w:tab w:leader="none" w:pos="1142"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herein shall prejudice the right of any Borrower to give any notice or other communication pursuant to any Loan Document in any other manner specified in such Loan Document.</w:t>
      </w:r>
    </w:p>
    <w:p>
      <w:pPr>
        <w:spacing w:after="0" w:line="14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color w:val="010000"/>
        </w:rPr>
        <w:t>SECTION 10.</w:t>
      </w:r>
      <w:r>
        <w:rPr>
          <w:sz w:val="20"/>
          <w:szCs w:val="20"/>
          <w:color w:val="auto"/>
        </w:rPr>
        <w:tab/>
      </w:r>
      <w:r>
        <w:rPr>
          <w:rFonts w:ascii="Times New Roman" w:cs="Times New Roman" w:eastAsia="Times New Roman" w:hAnsi="Times New Roman"/>
          <w:sz w:val="19"/>
          <w:szCs w:val="19"/>
          <w:color w:val="auto"/>
        </w:rPr>
        <w:t>MISCELLANEOUS</w:t>
      </w:r>
    </w:p>
    <w:p>
      <w:pPr>
        <w:spacing w:after="0" w:line="229"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Amendments and Waivers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48" w:lineRule="auto"/>
        <w:tabs>
          <w:tab w:leader="none" w:pos="1065"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any other Loan Document, nor any terms hereof or thereof may be amended, supplemented or modified except in accordance with the provisions of this Section 10.1. The Required Lenders and each Loan Party that is a party to the relevant Loan Document may, or, with the written consent of the Required Lenders, the Administrative Agent and each Loan Party that is a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provided, however, that no such waiver and no such amendment, supplement or modification shall: (i) forgive or reduce the principal amount or extend the final scheduled date of maturity of any Loan or LC Disbursement or extend any Lender’s participation interest in any Issuing Banks’s obligations and rights under any Letter of Credit beyond the Revolving Termination Date, extend the scheduled date of any amortization payment in respect of any Term Loan, reduce the stated rate of any interest or fee payable hereunder (except (x) in connection with the waiver of applicability of any post-default increase in interest rates, (y) that any amendment or modification in the financial definitions in this Agreement shall not constitute a reduction in the rate of interest or commitment fee for purposes of this clause (i) and (z) in each case of this clause (i), waivers of, or consents or departures from, mandatory prepayments or mandatory reductions of commitments) or extend or postpone the scheduled date of any payment thereof or increase the amount or extend the expiration date of any Lender’s Commitment, in each case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ectPr>
          <w:pgSz w:w="11900" w:h="16838" w:orient="portrait"/>
          <w:cols w:equalWidth="0" w:num="1">
            <w:col w:w="11240"/>
          </w:cols>
          <w:pgMar w:left="320" w:top="1413" w:right="339" w:bottom="1440" w:gutter="0" w:footer="0" w:header="0"/>
        </w:sectPr>
      </w:pPr>
    </w:p>
    <w:bookmarkStart w:id="164" w:name="page165"/>
    <w:bookmarkEnd w:id="164"/>
    <w:p>
      <w:pPr>
        <w:jc w:val="both"/>
        <w:spacing w:after="0" w:line="248" w:lineRule="auto"/>
        <w:rPr>
          <w:sz w:val="20"/>
          <w:szCs w:val="20"/>
          <w:color w:val="auto"/>
        </w:rPr>
      </w:pPr>
      <w:r>
        <w:rPr>
          <w:rFonts w:ascii="Times New Roman" w:cs="Times New Roman" w:eastAsia="Times New Roman" w:hAnsi="Times New Roman"/>
          <w:sz w:val="20"/>
          <w:szCs w:val="20"/>
          <w:color w:val="auto"/>
        </w:rPr>
        <w:t>the consent of each Lender directly affected thereby; (ii) reduce any percentage specified in the definition of Required Lenders or Required Revolving Lenders or change any other provision of any Loan Document specifying the number or percentage of Lenders required to waive, amend or modify any term thereof, release all or substantially all of the Collateral (other than as otherwise permitted hereunder or in the other Loan Documents) under the Security Documents or release all or substantially all of the value of the guarantees (other than as otherwise permitted hereunder or in the other Loan Documents) under the Guarantee Agreement, in each case without the consent of all Lenders or reduce the percentage specified in the definition of Majority Facility Lenders with respect to any Facility without the consent of all Lenders under such Facility; (iii) amend or modify any provision of Section 5.03 of the Collateral Agreement without the consent of each Lender directly and adversely affected thereby; (iv) amend, modify or waive any provision of Section 2.17 in a manner that would alter the pro rata reduction of the Revolving Commitments or the pro rata sharing of payments or Section 10.7(a) without the consent of all Lenders, or amend, modify or waive any other provision of Section 2.17 without the consent of the Majority Facility Lenders in respect of each Facility adversely affected thereby; (v) amend, modify or waive any provision of Section 9 without the consent of the Administrative Agent; (vi) amend, modify or waive any provision of Section 2.9 without the consent of the Swingline Lender; (vii) amend, modify or waive any provision of Section 2.13 without the consent of each Issuing Bank; (viii) consent to the assignment or transfer by any Borrower of any of its rights and obligations under this Agreement and the other Loan Documents without the consent of each Lender directly affected thereby (other than as permitted by Section 10.6); or (ix) eliminate or reduce any voting rights under this Section 10.1 without the consent of each Lender directly affected thereby; (x) subordinate the Lien on a material portion of the Collateral, taken as a whole, securing the Obligations to the Lien securing any other Indebtedness, without the written consent of each Lender directly affected thereby (provided that no such Lender’s consent shall be required pursuant to this clause (x) if such Lender is offered a reasonable, bona fide opportunity to participate on a pro rata basis in any priming indebtedness (including any fees payable in connection therewith) permitted to be issued as a result of such waiver, amendment or modification (but, for the avoidance of doubt, the consent of Required Lenders shall still be required)) or (xi) subordinate the Obligations (or any Class thereof) in right of payment to any other Indebtedness, without the written consent of each Lender directly affected thereby (provided that no such Lender’s consent shall be required pursuant to this clause (xi) if such Lender is offered a reasonable, bona fide opportunity to participate on a pro rata basis in any priming indebtedness (including any fees payable in connection therewith) permitted to be issued as a result of such waiver, amendment or modification (but, for the avoidance of doubt, the consent of Required Lenders shall still be required)); provided that, notwithstanding the foregoing, any waiver or amendment of any condition precedent set forth in Section 5.2 as it pertains to any loans under the Revolving Facility shall require the written consent of only the Company and the Required Revolving Lenders (and not the Required Lenders).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waived shall be deemed to be cured and not continuing; but no such waiver shall extend to any subsequent or other Default, or impair any right consequent thereon.</w:t>
      </w:r>
    </w:p>
    <w:p>
      <w:pPr>
        <w:spacing w:after="0" w:line="207" w:lineRule="exact"/>
        <w:rPr>
          <w:sz w:val="20"/>
          <w:szCs w:val="20"/>
          <w:color w:val="auto"/>
        </w:rPr>
      </w:pPr>
    </w:p>
    <w:p>
      <w:pPr>
        <w:jc w:val="both"/>
        <w:ind w:left="660" w:firstLine="644"/>
        <w:spacing w:after="0" w:line="258" w:lineRule="auto"/>
        <w:tabs>
          <w:tab w:leader="none" w:pos="178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Company and the Administrative Agent may enter into any Incremental Facility Amendment in accordance with Section 2.25, any Extension Amendment in accordance with Section 2.24 and any Refinancing Term Amendment in accordance with Section 2.28 and such Extension Amendments, Incremental Facility Amendments and Refinancing Term Amendments shall be effective to amend the terms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ectPr>
          <w:pgSz w:w="11900" w:h="16838" w:orient="portrait"/>
          <w:cols w:equalWidth="0" w:num="1">
            <w:col w:w="11240"/>
          </w:cols>
          <w:pgMar w:left="320" w:top="1413" w:right="339" w:bottom="1440" w:gutter="0" w:footer="0" w:header="0"/>
        </w:sectPr>
      </w:pPr>
    </w:p>
    <w:bookmarkStart w:id="165" w:name="page166"/>
    <w:bookmarkEnd w:id="165"/>
    <w:p>
      <w:pPr>
        <w:ind w:left="660"/>
        <w:spacing w:after="0" w:line="283" w:lineRule="auto"/>
        <w:rPr>
          <w:sz w:val="20"/>
          <w:szCs w:val="20"/>
          <w:color w:val="auto"/>
        </w:rPr>
      </w:pPr>
      <w:r>
        <w:rPr>
          <w:rFonts w:ascii="Times New Roman" w:cs="Times New Roman" w:eastAsia="Times New Roman" w:hAnsi="Times New Roman"/>
          <w:sz w:val="20"/>
          <w:szCs w:val="20"/>
          <w:color w:val="auto"/>
        </w:rPr>
        <w:t>Agreement and the other applicable Loan Documents, in each case, without any further action or consent of any other party to any Loan Document; and</w:t>
      </w:r>
    </w:p>
    <w:p>
      <w:pPr>
        <w:spacing w:after="0" w:line="146" w:lineRule="exact"/>
        <w:rPr>
          <w:sz w:val="20"/>
          <w:szCs w:val="20"/>
          <w:color w:val="auto"/>
        </w:rPr>
      </w:pPr>
    </w:p>
    <w:p>
      <w:pPr>
        <w:jc w:val="both"/>
        <w:ind w:left="660" w:firstLine="644"/>
        <w:spacing w:after="0" w:line="261" w:lineRule="auto"/>
        <w:tabs>
          <w:tab w:leader="none" w:pos="180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may be amended with the written consent of only the Administrative Agent and the Borrowers to the extent necessary in order to evidence and implement the designation or removal of an additional borrower with respect to any Incremental Revolving Facility that is a separate Class in accordance with Section 2.24.</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270"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Administrative Agent, with the consent of the Borrowers, may amend, modify or supplement any Loan Document without the consent of any Lender or the Required Lenders in order to correct, amend or cure any ambiguity, inconsistency or defect or correct any typographical error or other manifest error in any Loan Document and such amendment shall become effective without any further action or consent of any other party to any Loan Document if the same is not objected to in writing by the Required Lenders within ten Business Days following receipt of notice thereof.</w:t>
      </w:r>
    </w:p>
    <w:p>
      <w:pPr>
        <w:spacing w:after="0" w:line="191" w:lineRule="exact"/>
        <w:rPr>
          <w:rFonts w:ascii="Times New Roman" w:cs="Times New Roman" w:eastAsia="Times New Roman" w:hAnsi="Times New Roman"/>
          <w:sz w:val="20"/>
          <w:szCs w:val="20"/>
          <w:color w:val="auto"/>
        </w:rPr>
      </w:pPr>
    </w:p>
    <w:p>
      <w:pPr>
        <w:jc w:val="both"/>
        <w:ind w:firstLine="656"/>
        <w:spacing w:after="0" w:line="252" w:lineRule="auto"/>
        <w:tabs>
          <w:tab w:leader="none" w:pos="110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only the consent of the Required Revolving Lenders shall be necessary to (i) amend, waive or modify the terms and provisions of Section 7.1 and the proviso to clause (B) of Section 8 (and related definitions as used in such Sections, but not as used in other Sections of this Agreement) and no such amendment, waiver or modification of any such terms or provisions (and related definitions as used in such Sections, but not as used in other Sections of this Agreement) shall be permitted without the consent of the Required Revolving Lenders, (ii) amend, modify or waive any condition precedent set forth in Section 5.3 with respect to the making of Revolving Loans or (iii) except for any amendment, waiver or modification that would require the consent of each Revolving Lender adversely affected thereby pursuant to the other provisions of this Section 10.1, amend, modify or waive any provision of this Agreement that solely affects the Revolving Lenders in respect of any Revolving Facility, including the final scheduled maturity, interest, fees, prepayment penalties and voting.</w:t>
      </w:r>
    </w:p>
    <w:p>
      <w:pPr>
        <w:spacing w:after="0" w:line="176"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10.2.</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50" w:lineRule="auto"/>
        <w:tabs>
          <w:tab w:leader="none" w:pos="1151"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and demands to or upon the respective parties hereto to be effective shall be in writing (including by telecopy or email), and, unless otherwise expressly provided herein (and subject to paragraph (b) below), shall be deemed to have been duly given or made when delivered, or three Business Days after being deposited in the mail, postage prepaid, or, in the case of telecopy notice, when received, addressed as follows in the case of the Company, any Borrower, the Administrative Agent, the Issuing Banks and the Swingline Lender, and as set forth in an Administrative Questionnaire delivered to the Administrative Agent in the case of the Lenders, or to such other address as may be hereafter notified by the respective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ectPr>
          <w:pgSz w:w="11900" w:h="16838" w:orient="portrait"/>
          <w:cols w:equalWidth="0" w:num="1">
            <w:col w:w="11240"/>
          </w:cols>
          <w:pgMar w:left="320" w:top="1413" w:right="339" w:bottom="1440" w:gutter="0" w:footer="0" w:header="0"/>
        </w:sectPr>
      </w:pPr>
    </w:p>
    <w:bookmarkStart w:id="166" w:name="page167"/>
    <w:bookmarkEnd w:id="166"/>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The Company or any Borrower: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Remitly,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401 Union Street, Suite 1000 Seattle, WA 98101, Attention: General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Counsel (email:legal@remitly.com)</w:t>
      </w:r>
    </w:p>
    <w:p>
      <w:pPr>
        <w:spacing w:after="0" w:line="200" w:lineRule="exact"/>
        <w:rPr>
          <w:sz w:val="20"/>
          <w:szCs w:val="20"/>
          <w:color w:val="auto"/>
        </w:rPr>
      </w:pPr>
    </w:p>
    <w:p>
      <w:pPr>
        <w:sectPr>
          <w:pgSz w:w="11900" w:h="16838" w:orient="portrait"/>
          <w:cols w:equalWidth="0" w:num="2">
            <w:col w:w="4980" w:space="720"/>
            <w:col w:w="5540"/>
          </w:cols>
          <w:pgMar w:left="320" w:top="1440" w:right="339" w:bottom="1440" w:gutter="0" w:footer="0" w:header="0"/>
        </w:sectPr>
      </w:pPr>
    </w:p>
    <w:p>
      <w:pPr>
        <w:spacing w:after="0" w:line="3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with a copy to (which copy shall not constitute notice):</w:t>
      </w:r>
    </w:p>
    <w:p>
      <w:pPr>
        <w:spacing w:after="0" w:line="2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9"/>
          <w:szCs w:val="19"/>
          <w:color w:val="auto"/>
        </w:rPr>
        <w:t>401 Union Street, Suite 1000 Seattle, WA 98101, Attention: Chief</w:t>
      </w:r>
    </w:p>
    <w:p>
      <w:pPr>
        <w:spacing w:after="0" w:line="1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Financial Officer (email:treasury@remitly.com)</w:t>
      </w:r>
    </w:p>
    <w:p>
      <w:pPr>
        <w:spacing w:after="0" w:line="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with a copy to (which copy shall not constitute notice):</w:t>
      </w:r>
    </w:p>
    <w:p>
      <w:pPr>
        <w:spacing w:after="0" w:line="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Davis, Polk and Wardwell LLP</w:t>
      </w:r>
    </w:p>
    <w:p>
      <w:pPr>
        <w:spacing w:after="0" w:line="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450 Lexington Avenue</w:t>
      </w:r>
    </w:p>
    <w:p>
      <w:pPr>
        <w:spacing w:after="0" w:line="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New York, NY 10017</w:t>
      </w:r>
    </w:p>
    <w:p>
      <w:pPr>
        <w:spacing w:after="0" w:line="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Attention: Robert Smith</w:t>
      </w:r>
    </w:p>
    <w:p>
      <w:pPr>
        <w:spacing w:after="0" w:line="1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Telephone: 212-450-3150</w:t>
      </w:r>
    </w:p>
    <w:p>
      <w:pPr>
        <w:spacing w:after="0" w:line="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color w:val="auto"/>
        </w:rPr>
        <w:t>Email: robert.smith@davispolk.com</w:t>
      </w:r>
    </w:p>
    <w:p>
      <w:pPr>
        <w:sectPr>
          <w:pgSz w:w="11900" w:h="16838" w:orient="portrait"/>
          <w:cols w:equalWidth="0" w:num="1">
            <w:col w:w="11240"/>
          </w:cols>
          <w:pgMar w:left="320" w:top="1440" w:right="339" w:bottom="1440" w:gutter="0" w:footer="0" w:header="0"/>
          <w:type w:val="continuous"/>
        </w:sectPr>
      </w:pP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The Administrative Agent from any Borrower:</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Administrative Agent from any Lender: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Any Issuing Bank: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The Swingline Lender:</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9"/>
          <w:szCs w:val="19"/>
          <w:color w:val="auto"/>
        </w:rPr>
        <w:t>To the address or addresses separately provided to the Borrowers To the address or addresses separately provided to the Lenders To the address or addresses separately provided to the Borrowers To the address or addresses separately provided to the Borrowers</w:t>
      </w:r>
    </w:p>
    <w:p>
      <w:pPr>
        <w:spacing w:after="0" w:line="1" w:lineRule="exact"/>
        <w:rPr>
          <w:sz w:val="20"/>
          <w:szCs w:val="20"/>
          <w:color w:val="auto"/>
        </w:rPr>
      </w:pPr>
    </w:p>
    <w:p>
      <w:pPr>
        <w:sectPr>
          <w:pgSz w:w="11900" w:h="16838" w:orient="portrait"/>
          <w:cols w:equalWidth="0" w:num="2">
            <w:col w:w="4920" w:space="720"/>
            <w:col w:w="5600"/>
          </w:cols>
          <w:pgMar w:left="320" w:top="144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9"/>
          <w:szCs w:val="19"/>
          <w:color w:val="auto"/>
        </w:rPr>
        <w:t>The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CIB DMO WLO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Mail code NY1-C413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 CMC, Brooklyn, NY, 11245-0001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United States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Email: ib.collateral.services@jpmchase.com</w:t>
      </w:r>
    </w:p>
    <w:p>
      <w:pPr>
        <w:spacing w:after="0" w:line="200" w:lineRule="exact"/>
        <w:rPr>
          <w:sz w:val="20"/>
          <w:szCs w:val="20"/>
          <w:color w:val="auto"/>
        </w:rPr>
      </w:pPr>
    </w:p>
    <w:p>
      <w:pPr>
        <w:sectPr>
          <w:pgSz w:w="11900" w:h="16838" w:orient="portrait"/>
          <w:cols w:equalWidth="0" w:num="2">
            <w:col w:w="4980" w:space="720"/>
            <w:col w:w="5540"/>
          </w:cols>
          <w:pgMar w:left="320" w:top="1440" w:right="339" w:bottom="1440" w:gutter="0" w:footer="0" w:header="0"/>
          <w:type w:val="continuous"/>
        </w:sectPr>
      </w:pP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provided that any notice, request or demand to or upon the Administrative Agent or the Lenders shall not be effective until received. Notices delivered through Approved Electronic Platforms or Approved Borrower Portals, to the extent provided in paragraph (b) below, shall be effective as provided in said paragraph (b).</w:t>
      </w:r>
    </w:p>
    <w:p>
      <w:pPr>
        <w:spacing w:after="0" w:line="168" w:lineRule="exact"/>
        <w:rPr>
          <w:sz w:val="20"/>
          <w:szCs w:val="20"/>
          <w:color w:val="auto"/>
        </w:rPr>
      </w:pPr>
    </w:p>
    <w:p>
      <w:pPr>
        <w:jc w:val="both"/>
        <w:ind w:firstLine="656"/>
        <w:spacing w:after="0" w:line="253" w:lineRule="auto"/>
        <w:tabs>
          <w:tab w:leader="none" w:pos="1149"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Notices and other communications to any Borrower, any Loan Party, the Lenders, the Administrative Agent and the Issuing Banks hereunder may be delivered or furnished by using Approved Electronic Platforms or Approved Borrower Portals (as applicable), in each case,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Section 2 unless otherwise agreed by the Administrative Agent and the applicable Lender. The Administrative Agent or the applicable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ectPr>
          <w:pgSz w:w="11900" w:h="16838" w:orient="portrait"/>
          <w:cols w:equalWidth="0" w:num="1">
            <w:col w:w="11240"/>
          </w:cols>
          <w:pgMar w:left="320" w:top="1440" w:right="339" w:bottom="1440" w:gutter="0" w:footer="0" w:header="0"/>
          <w:type w:val="continuous"/>
        </w:sectPr>
      </w:pPr>
    </w:p>
    <w:bookmarkStart w:id="167" w:name="page168"/>
    <w:bookmarkEnd w:id="167"/>
    <w:p>
      <w:pPr>
        <w:jc w:val="both"/>
        <w:ind w:firstLine="656"/>
        <w:spacing w:after="0" w:line="264" w:lineRule="auto"/>
        <w:tabs>
          <w:tab w:leader="none" w:pos="1099" w:val="left"/>
        </w:tabs>
        <w:numPr>
          <w:ilvl w:val="1"/>
          <w:numId w:val="1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w:t>
      </w:r>
    </w:p>
    <w:p>
      <w:pPr>
        <w:spacing w:after="0" w:line="1" w:lineRule="exact"/>
        <w:rPr>
          <w:rFonts w:ascii="Times New Roman" w:cs="Times New Roman" w:eastAsia="Times New Roman" w:hAnsi="Times New Roman"/>
          <w:sz w:val="19"/>
          <w:szCs w:val="19"/>
          <w:color w:val="auto"/>
        </w:rPr>
      </w:pPr>
    </w:p>
    <w:p>
      <w:pPr>
        <w:ind w:firstLine="8"/>
        <w:spacing w:after="0" w:line="267" w:lineRule="auto"/>
        <w:tabs>
          <w:tab w:leader="none" w:pos="24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61" w:lineRule="exact"/>
        <w:rPr>
          <w:rFonts w:ascii="Times New Roman" w:cs="Times New Roman" w:eastAsia="Times New Roman" w:hAnsi="Times New Roman"/>
          <w:sz w:val="20"/>
          <w:szCs w:val="20"/>
          <w:color w:val="auto"/>
        </w:rPr>
      </w:pPr>
    </w:p>
    <w:p>
      <w:pPr>
        <w:ind w:firstLine="656"/>
        <w:spacing w:after="0" w:line="283" w:lineRule="auto"/>
        <w:tabs>
          <w:tab w:leader="none" w:pos="1101"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telecopy number for notices and other communications hereunder by notice to the other parties hereto.</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u w:val="single" w:color="auto"/>
          <w:color w:val="auto"/>
        </w:rPr>
        <w:t>No Waiver; Cumulative Remedies</w:t>
      </w:r>
      <w:r>
        <w:rPr>
          <w:rFonts w:ascii="Times New Roman" w:cs="Times New Roman" w:eastAsia="Times New Roman" w:hAnsi="Times New Roman"/>
          <w:sz w:val="20"/>
          <w:szCs w:val="20"/>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10.4. </w:t>
      </w:r>
      <w:r>
        <w:rPr>
          <w:rFonts w:ascii="Times New Roman" w:cs="Times New Roman" w:eastAsia="Times New Roman" w:hAnsi="Times New Roman"/>
          <w:sz w:val="20"/>
          <w:szCs w:val="20"/>
          <w:u w:val="single" w:color="auto"/>
          <w:color w:val="auto"/>
        </w:rPr>
        <w:t>Survival of Representations and Warranties</w:t>
      </w:r>
      <w:r>
        <w:rPr>
          <w:rFonts w:ascii="Times New Roman" w:cs="Times New Roman" w:eastAsia="Times New Roman" w:hAnsi="Times New Roman"/>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until the respective maturity dates of the Facilities.</w:t>
      </w:r>
    </w:p>
    <w:p>
      <w:pPr>
        <w:spacing w:after="0" w:line="20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10.5.</w:t>
      </w:r>
      <w:r>
        <w:rPr>
          <w:sz w:val="20"/>
          <w:szCs w:val="20"/>
          <w:color w:val="auto"/>
        </w:rPr>
        <w:tab/>
      </w:r>
      <w:r>
        <w:rPr>
          <w:rFonts w:ascii="Times New Roman" w:cs="Times New Roman" w:eastAsia="Times New Roman" w:hAnsi="Times New Roman"/>
          <w:sz w:val="19"/>
          <w:szCs w:val="19"/>
          <w:u w:val="single" w:color="auto"/>
          <w:color w:val="auto"/>
        </w:rPr>
        <w:t>Expenses; Limitation of Liability; Indemnity, Etc.</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241"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Expenses</w:t>
      </w:r>
      <w:r>
        <w:rPr>
          <w:rFonts w:ascii="Times New Roman" w:cs="Times New Roman" w:eastAsia="Times New Roman" w:hAnsi="Times New Roman"/>
          <w:sz w:val="20"/>
          <w:szCs w:val="20"/>
          <w:color w:val="auto"/>
        </w:rPr>
        <w:t>. Each Borrower agrees (a) within 30 days following presentation of a summary statement, to reimburse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Administrative Agent for its reasonable and invoiced out-of-pocket expenses that have been incurred in connection with the development, preparation, execution, delivery and administration of, and any amendment, supplement, waiver or modification to, this Agreement and the other Loan Documents and the consummation of the transactions contemplated hereby and thereby (limited, in the case of legal fees, to the reasonable fees, charges and disbursements of one firm of counsel to the Administrative Agent and Lenders, as a whole, and of a single local counsel in each appropriate jurisdiction (which may include, a single special counsel acting in multiple jurisdictions) for the Administrative Agent and Lenders, as a whole (and, in the case of an actual or perceived conflict of interest, of another firm of counsel (and, if applicable, another local counsel in each appropriate jurisdiction) for all similarly affected persons)), (b) within 30 days following presentation of a summary statement, to pay or reimburse each Lender and the Administrative Agent for all its reasonable and invoiced out-of-pocket costs and expenses incurred in connection with the enforcement or preservation of any rights under this Agreement, the other Loan Documents and any such other documents, including all such reasonable out-of-pocket expenses incurred during any workout, restructuring or negotiations in respect of such Loans (limited, in the case of legal fees, to the reasonable fees, charges and disbursements of one firm of counsel to the Administrative Agent and Lenders, as a whole, and of a single local counsel in each appropriate jurisdiction (which may include, a single special counsel acting in multiple jurisdictions) for the Administrative Agent and Lenders, as a whole (and, in the case of an actual or perceived conflict of interest, of another firm of counsel (and, if applicable, another local counsel in each appropriate jurisdiction) for all similarly affected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ectPr>
          <w:pgSz w:w="11900" w:h="16838" w:orient="portrait"/>
          <w:cols w:equalWidth="0" w:num="1">
            <w:col w:w="11240"/>
          </w:cols>
          <w:pgMar w:left="320" w:top="1413" w:right="339" w:bottom="1440" w:gutter="0" w:footer="0" w:header="0"/>
        </w:sectPr>
      </w:pPr>
    </w:p>
    <w:bookmarkStart w:id="168" w:name="page169"/>
    <w:bookmarkEnd w:id="168"/>
    <w:p>
      <w:pPr>
        <w:jc w:val="both"/>
        <w:ind w:firstLine="656"/>
        <w:spacing w:after="0" w:line="251" w:lineRule="auto"/>
        <w:tabs>
          <w:tab w:leader="none" w:pos="1157"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Limitation of Liability</w:t>
      </w:r>
      <w:r>
        <w:rPr>
          <w:rFonts w:ascii="Times New Roman" w:cs="Times New Roman" w:eastAsia="Times New Roman" w:hAnsi="Times New Roman"/>
          <w:sz w:val="20"/>
          <w:szCs w:val="20"/>
          <w:color w:val="auto"/>
        </w:rPr>
        <w:t>. None of the Administrative Agent, any Arranger or any Lender, or any Related Party of any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foregoing Persons (each such Person being called a “</w:t>
      </w:r>
      <w:r>
        <w:rPr>
          <w:rFonts w:ascii="Times New Roman" w:cs="Times New Roman" w:eastAsia="Times New Roman" w:hAnsi="Times New Roman"/>
          <w:sz w:val="20"/>
          <w:szCs w:val="20"/>
          <w:b w:val="1"/>
          <w:bCs w:val="1"/>
          <w:color w:val="auto"/>
        </w:rPr>
        <w:t>Lender-Related Person</w:t>
      </w:r>
      <w:r>
        <w:rPr>
          <w:rFonts w:ascii="Times New Roman" w:cs="Times New Roman" w:eastAsia="Times New Roman" w:hAnsi="Times New Roman"/>
          <w:sz w:val="20"/>
          <w:szCs w:val="20"/>
          <w:color w:val="auto"/>
        </w:rPr>
        <w:t>”) shall be liable for any damages arising from the use by others of information or other materials obtained through electronic, telecommunications or other information transmission systems (including the Internet, any Approved Electronic Platform and any Approved Borrower Portal), except to the extent any such damages are found by a final and nonappealable decision of a court of competent jurisdiction to have resulted from the gross negligence, bad faith or willful misconduct of such Lender-Related Person. To the fullest extent permitted by applicable law, (i) each party hereto agrees that it shall not assert, and hereby waives, any claim against any other party hereto, the Company, any Lender-Related Person or any of their respective Related Parties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provided that the foregoing shall not limit the obligations of each Borrower under this Section 10.5 in respect of any such damages claimed against the Indemnitees by Persons other than Indemnitees.</w:t>
      </w:r>
    </w:p>
    <w:p>
      <w:pPr>
        <w:spacing w:after="0" w:line="178" w:lineRule="exact"/>
        <w:rPr>
          <w:rFonts w:ascii="Times New Roman" w:cs="Times New Roman" w:eastAsia="Times New Roman" w:hAnsi="Times New Roman"/>
          <w:sz w:val="20"/>
          <w:szCs w:val="20"/>
          <w:color w:val="auto"/>
        </w:rPr>
      </w:pPr>
    </w:p>
    <w:p>
      <w:pPr>
        <w:jc w:val="both"/>
        <w:ind w:firstLine="656"/>
        <w:spacing w:after="0" w:line="249" w:lineRule="auto"/>
        <w:tabs>
          <w:tab w:leader="none" w:pos="109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Indemnity</w:t>
      </w:r>
      <w:r>
        <w:rPr>
          <w:rFonts w:ascii="Times New Roman" w:cs="Times New Roman" w:eastAsia="Times New Roman" w:hAnsi="Times New Roman"/>
          <w:sz w:val="20"/>
          <w:szCs w:val="20"/>
          <w:color w:val="auto"/>
        </w:rPr>
        <w:t>. Each Borrower shall indemnify and hold harmless each Lender, each Agent and the Administrative Agent and their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respective Related Parties (each,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from and against, and hold each Indemnitee harmless from, any and all losses, claims (including intraparty claims), demands, damages and liabilities (“</w:t>
      </w:r>
      <w:r>
        <w:rPr>
          <w:rFonts w:ascii="Times New Roman" w:cs="Times New Roman" w:eastAsia="Times New Roman" w:hAnsi="Times New Roman"/>
          <w:sz w:val="20"/>
          <w:szCs w:val="20"/>
          <w:b w:val="1"/>
          <w:bCs w:val="1"/>
          <w:color w:val="auto"/>
        </w:rPr>
        <w:t>Liabilities</w:t>
      </w:r>
      <w:r>
        <w:rPr>
          <w:rFonts w:ascii="Times New Roman" w:cs="Times New Roman" w:eastAsia="Times New Roman" w:hAnsi="Times New Roman"/>
          <w:sz w:val="20"/>
          <w:szCs w:val="20"/>
          <w:color w:val="auto"/>
        </w:rPr>
        <w:t>”) to which any such Indemnitee may become subject arising out of or in connection with this Agreement,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any Loan Documents, the transactions contemplated hereby or thereby, or any actual or prospective claim, litigation, investigation, arbitration or proceeding relating to any of the foregoing (including in relation to enforcing the terms of this paragraph) (each,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regardless of whether any Indemnitee is a party thereto, whether or not such Proceedings are brought by the Company, its equity holders, Related Parties, Affiliates, creditors or any other person, and to reimburse each Indemnitee from time to time, within 30 days following the presentation of a summary statement, for any reasonable and invoiced out-of-pocket legal expenses of one firm of counsel for all such Indemnitees, taken as a whole, and of a single local counsel in each appropriate jurisdiction (which may include a single special counsel acting in multiple jurisdictions) for all such Indemnitees, taken as a whole (and, in the case of an actual or perceived conflict of interest, of another firm of counsel (and, if applicable, another firm of local counsel in each appropriate jurisdiction) for all similarly affected Indemnitees), in connection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indemnity will not, as to any Indemnitee, apply to Liabilities or related expenses to the extent they (i) are found by a final, non-appealable judgment of a court of competent jurisdiction to arise from the willful misconduct, bad faith or gross negligence of such Indemnitee or its Related Parties, (ii) are found by a final, non-appealable judgment of a court of competent jurisdiction to result from a material breach of the obligations of such Indemnitee or any such Indemnitee’s Related Parties under this Agreement or (iii) result from any Proceeding that does not involve an act or omission by the Company or its Affiliates and that is brought by an Indemnitee or Related Party against any other Indemnitee or Related Party (other than any claims against any Indemnitee in its capacity or in fulfilling its role as an agent or arranger or any similar role in connection with this Agreement). The agreements in this Section 10.5 shall survive repayment of the Loans and all other amounts payable hereunder and termination of this Agreement. This Section 10.5(c) shall not apply with respect to Taxes other than any Taxes that represent losses, claims or damages arising from any non-Tax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ectPr>
          <w:pgSz w:w="11900" w:h="16838" w:orient="portrait"/>
          <w:cols w:equalWidth="0" w:num="1">
            <w:col w:w="11240"/>
          </w:cols>
          <w:pgMar w:left="320" w:top="1409" w:right="339" w:bottom="1440" w:gutter="0" w:footer="0" w:header="0"/>
        </w:sectPr>
      </w:pPr>
    </w:p>
    <w:bookmarkStart w:id="169" w:name="page170"/>
    <w:bookmarkEnd w:id="169"/>
    <w:p>
      <w:pPr>
        <w:jc w:val="both"/>
        <w:ind w:firstLine="656"/>
        <w:spacing w:after="0" w:line="250" w:lineRule="auto"/>
        <w:tabs>
          <w:tab w:leader="none" w:pos="1238"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Lender Reimbursement</w:t>
      </w:r>
      <w:r>
        <w:rPr>
          <w:rFonts w:ascii="Times New Roman" w:cs="Times New Roman" w:eastAsia="Times New Roman" w:hAnsi="Times New Roman"/>
          <w:sz w:val="20"/>
          <w:szCs w:val="20"/>
          <w:color w:val="auto"/>
        </w:rPr>
        <w:t>. Each Lender severally agrees to pay any amount required to be paid by each Borrower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paragraphs (a), (b) or (c) of this Section 10.5 to the Administrative Agent, the Collateral Agent, the Swingline Lender, each Issuing Bank and each Related Party of any of the foregoing Persons (each, an “</w:t>
      </w:r>
      <w:r>
        <w:rPr>
          <w:rFonts w:ascii="Times New Roman" w:cs="Times New Roman" w:eastAsia="Times New Roman" w:hAnsi="Times New Roman"/>
          <w:sz w:val="20"/>
          <w:szCs w:val="20"/>
          <w:b w:val="1"/>
          <w:bCs w:val="1"/>
          <w:color w:val="auto"/>
        </w:rPr>
        <w:t>Agent-Related Person</w:t>
      </w:r>
      <w:r>
        <w:rPr>
          <w:rFonts w:ascii="Times New Roman" w:cs="Times New Roman" w:eastAsia="Times New Roman" w:hAnsi="Times New Roman"/>
          <w:sz w:val="20"/>
          <w:szCs w:val="20"/>
          <w:color w:val="auto"/>
        </w:rPr>
        <w:t xml:space="preserve">”) (to the extent not reimbursed by such Borrower and without limiting the obligation of such Borrower to do so), ratably according to their respective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auto"/>
        </w:rPr>
        <w:t xml:space="preserve"> Percentages on the date on which such payment is sought under this Section (or, if such payment is sought after the date upon which the Commitments shall have terminated and the Loans shall have been paid in full, ratably in accordance with their respective </w:t>
      </w:r>
      <w:r>
        <w:rPr>
          <w:rFonts w:ascii="Times New Roman" w:cs="Times New Roman" w:eastAsia="Times New Roman" w:hAnsi="Times New Roman"/>
          <w:sz w:val="20"/>
          <w:szCs w:val="20"/>
          <w:color w:val="FF0000"/>
          <w:strike w:val="1"/>
        </w:rPr>
        <w:t>Aggregate Exposure</w:t>
      </w:r>
      <w:r>
        <w:rPr>
          <w:rFonts w:ascii="Times New Roman" w:cs="Times New Roman" w:eastAsia="Times New Roman" w:hAnsi="Times New Roman"/>
          <w:sz w:val="20"/>
          <w:szCs w:val="20"/>
          <w:u w:val="single" w:color="auto"/>
          <w:color w:val="0070C0"/>
        </w:rPr>
        <w:t>Applicable</w:t>
      </w:r>
      <w:r>
        <w:rPr>
          <w:rFonts w:ascii="Times New Roman" w:cs="Times New Roman" w:eastAsia="Times New Roman" w:hAnsi="Times New Roman"/>
          <w:sz w:val="20"/>
          <w:szCs w:val="20"/>
          <w:color w:val="auto"/>
        </w:rPr>
        <w:t xml:space="preserve"> Percentages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the Loans,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unreimbursed expense or Liability or related expense, as the case may be, was incurred by or asserted against such Agent-Related Person in its capacity as such;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the payment of the Loans and all other amounts payable hereunder.</w:t>
      </w:r>
    </w:p>
    <w:p>
      <w:pPr>
        <w:spacing w:after="0" w:line="179" w:lineRule="exact"/>
        <w:rPr>
          <w:rFonts w:ascii="Times New Roman" w:cs="Times New Roman" w:eastAsia="Times New Roman" w:hAnsi="Times New Roman"/>
          <w:sz w:val="20"/>
          <w:szCs w:val="20"/>
          <w:color w:val="auto"/>
        </w:rPr>
      </w:pPr>
    </w:p>
    <w:p>
      <w:pPr>
        <w:ind w:left="1260" w:hanging="410"/>
        <w:spacing w:after="0"/>
        <w:tabs>
          <w:tab w:leader="none" w:pos="1260" w:val="left"/>
        </w:tabs>
        <w:numPr>
          <w:ilvl w:val="1"/>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Payments</w:t>
      </w:r>
      <w:r>
        <w:rPr>
          <w:rFonts w:ascii="Times New Roman" w:cs="Times New Roman" w:eastAsia="Times New Roman" w:hAnsi="Times New Roman"/>
          <w:sz w:val="20"/>
          <w:szCs w:val="20"/>
          <w:color w:val="auto"/>
        </w:rPr>
        <w:t>. All amounts due under this Section 10.5 shall be payable not later than 30 days after written demand therefor.</w:t>
      </w:r>
    </w:p>
    <w:p>
      <w:pPr>
        <w:spacing w:after="0" w:line="23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10.6.</w:t>
      </w:r>
      <w:r>
        <w:rPr>
          <w:sz w:val="20"/>
          <w:szCs w:val="20"/>
          <w:color w:val="auto"/>
        </w:rPr>
        <w:tab/>
      </w:r>
      <w:r>
        <w:rPr>
          <w:rFonts w:ascii="Times New Roman" w:cs="Times New Roman" w:eastAsia="Times New Roman" w:hAnsi="Times New Roman"/>
          <w:sz w:val="19"/>
          <w:szCs w:val="19"/>
          <w:u w:val="single" w:color="auto"/>
          <w:color w:val="auto"/>
        </w:rPr>
        <w:t>Successors and Assigns; Participations and Assignments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51" w:lineRule="auto"/>
        <w:tabs>
          <w:tab w:leader="none" w:pos="1135"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binding upon and inure to the benefit of the Borrowers, the Lenders, the Administrative Agent, all future holders of the Loans and their respective successors and assigns (including any Affiliate of an Issuing Bank that issues any Letter of Credit), except that no Borrower may assign or transfer any of its rights or obligations under this Agreement without the prior written consent of each Lender (except in a transaction permitted by Section 7.4).</w:t>
      </w:r>
    </w:p>
    <w:p>
      <w:pPr>
        <w:spacing w:after="0" w:line="190" w:lineRule="exact"/>
        <w:rPr>
          <w:rFonts w:ascii="Times New Roman" w:cs="Times New Roman" w:eastAsia="Times New Roman" w:hAnsi="Times New Roman"/>
          <w:sz w:val="20"/>
          <w:szCs w:val="20"/>
          <w:color w:val="auto"/>
        </w:rPr>
      </w:pPr>
    </w:p>
    <w:p>
      <w:pPr>
        <w:jc w:val="both"/>
        <w:ind w:firstLine="656"/>
        <w:spacing w:after="0" w:line="249" w:lineRule="auto"/>
        <w:tabs>
          <w:tab w:leader="none" w:pos="1101"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may, without the consent of any Borrower or the Administrative Agent, in accordance with applicable law, at any time sell to one or more banks, financial institutions or other entities other than an Ineligible Institution (each, a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participating interests in any Loan owing to such Lender, any Commitment of such Lender or any other interest or obligation of such Lender hereunder and under the other Loan Documents. In the event of any such sale by a Lender of a participating interest to a Participant, such Lender’s obligations under this Agreement to the other parties to this Agreement shall remain unchanged, such Lender shall remain solely responsible for the performance thereof, such Lender shall remain the holder of any such Loan or other obligation for all purposes under this Agreement and the other Loan Documents, the Participant will have no proprietary interest in the benefit of this Agreement or in any monies received by the Lender under or in relation to this Agreement (including in the bankruptcy or similar event of the Lender) and the Borrowers, the other Lenders and the Administrative Agent shall continue to deal solely and directly with such Lender in connection with such Lender’s rights and obligations under this Agreement and the other Loan Documents. In no event shall any Participant under any such participation have any right to approve any amendment or waiver of any provision of any Loan Document, or any consent to any departure by any Loan Party therefrom, except to the extent that such amendment, waiver or consent would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ectPr>
          <w:pgSz w:w="11900" w:h="16838" w:orient="portrait"/>
          <w:cols w:equalWidth="0" w:num="1">
            <w:col w:w="11240"/>
          </w:cols>
          <w:pgMar w:left="320" w:top="1409" w:right="339" w:bottom="1440" w:gutter="0" w:footer="0" w:header="0"/>
        </w:sectPr>
      </w:pPr>
    </w:p>
    <w:bookmarkStart w:id="170" w:name="page171"/>
    <w:bookmarkEnd w:id="170"/>
    <w:p>
      <w:pPr>
        <w:jc w:val="both"/>
        <w:spacing w:after="0" w:line="248" w:lineRule="auto"/>
        <w:rPr>
          <w:sz w:val="20"/>
          <w:szCs w:val="20"/>
          <w:color w:val="auto"/>
        </w:rPr>
      </w:pPr>
      <w:r>
        <w:rPr>
          <w:rFonts w:ascii="Times New Roman" w:cs="Times New Roman" w:eastAsia="Times New Roman" w:hAnsi="Times New Roman"/>
          <w:sz w:val="20"/>
          <w:szCs w:val="20"/>
          <w:color w:val="auto"/>
        </w:rPr>
        <w:t>principal of or interest on, the Loans, the LC Disbursements or any fees payable hereunder, postpone the date of any scheduled amortization payment or the final maturity of the Loans or LC Disbursements, in each case to the extent subject to such participation. Any agreement or instrument pursuant to which a Lender sells such a participation shall provide that such Lender shall retain the sole right to enforce this Agreement and the other Loan Documents and, other than as set forth in the preceding sentence, to approve any amendment, modification or waiver of any provision of this Agreement or any other Loan Document. Each Borrower also agrees that each Participant shall be entitled to the benefits of Sections 2.18, 2.19 and 2.20 (subject to the requirements and limitations in Section 2.19) with respect to its participation in the Commitments and the Loans outstanding from time to time as if it was a Lender; provided that such Participant (i) agrees to be subject to the provisions of Sections 2.21 and 2.22 as if it were an assignee under paragraph (c) of this Section and (ii) shall not be entitled to receive any greater amount pursuant to Section 2.18 or 2.19 than the transferor Lender would have been entitled to receive in respect of the amount of the participation transferred by such transferor Lender to such Participant had no such transfer occurred, except to the extent such entitlement to receive a greater amount results from a change in law that occurs after the Participant acquired the applicable participation. Each Lender that sells a participation, acting solely for this purpose as a non-fiduciary agent of the Borrowers, shall maintain a register on which it enters the name and address of each Participant and the principal amounts (and stated interest) of each Participant’s interest in the Loans, Letters of Credit or other obligations under this Agreement (the “</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and the proposed United States Treasury Regulations Section 1.163-5(b). The entries in the Participant Register shall be conclusive absent manifest error, and such Lender shall treat each person whose name is recorded in the Participant Register pursuant to the terms hereof as the owner of such participation for all purposes of this Agreement, notwithstanding notice to the contrary. For the avoidance of doubt, the Administrative Agent (in its capacity as Administrative Agent) shall have no responsibility for maintaining a Participant Register.</w:t>
      </w:r>
    </w:p>
    <w:p>
      <w:pPr>
        <w:spacing w:after="0" w:line="20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As used herein, “</w:t>
      </w:r>
      <w:r>
        <w:rPr>
          <w:rFonts w:ascii="Times New Roman" w:cs="Times New Roman" w:eastAsia="Times New Roman" w:hAnsi="Times New Roman"/>
          <w:sz w:val="20"/>
          <w:szCs w:val="20"/>
          <w:b w:val="1"/>
          <w:bCs w:val="1"/>
          <w:color w:val="auto"/>
        </w:rPr>
        <w:t>Ineligible Institution</w:t>
      </w:r>
      <w:r>
        <w:rPr>
          <w:rFonts w:ascii="Times New Roman" w:cs="Times New Roman" w:eastAsia="Times New Roman" w:hAnsi="Times New Roman"/>
          <w:sz w:val="20"/>
          <w:szCs w:val="20"/>
          <w:color w:val="auto"/>
        </w:rPr>
        <w:t>” means (a) a natural person, (b) a Disqualified Lender, (c) a holding company, investment vehicle or trust for, or owned and operated for the primary benefit of, a natural person or relative(s) thereof, (d) a Defaulting Lender or (e) any of the Company and its Subsidiaries and Affiliates.</w:t>
      </w:r>
    </w:p>
    <w:p>
      <w:pPr>
        <w:spacing w:after="0" w:line="175" w:lineRule="exact"/>
        <w:rPr>
          <w:sz w:val="20"/>
          <w:szCs w:val="20"/>
          <w:color w:val="auto"/>
        </w:rPr>
      </w:pPr>
    </w:p>
    <w:p>
      <w:pPr>
        <w:ind w:left="1060" w:hanging="404"/>
        <w:spacing w:after="0"/>
        <w:tabs>
          <w:tab w:leader="none" w:pos="1060" w:val="left"/>
        </w:tabs>
        <w:numPr>
          <w:ilvl w:val="1"/>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Lender (an “</w:t>
      </w:r>
      <w:r>
        <w:rPr>
          <w:rFonts w:ascii="Times New Roman" w:cs="Times New Roman" w:eastAsia="Times New Roman" w:hAnsi="Times New Roman"/>
          <w:sz w:val="19"/>
          <w:szCs w:val="19"/>
          <w:b w:val="1"/>
          <w:bCs w:val="1"/>
          <w:color w:val="auto"/>
        </w:rPr>
        <w:t>Assignor</w:t>
      </w:r>
      <w:r>
        <w:rPr>
          <w:rFonts w:ascii="Times New Roman" w:cs="Times New Roman" w:eastAsia="Times New Roman" w:hAnsi="Times New Roman"/>
          <w:sz w:val="19"/>
          <w:szCs w:val="19"/>
          <w:color w:val="auto"/>
        </w:rPr>
        <w:t>”) may, in accordance with applicable law, at any time and from time to time assign (subject to clause</w:t>
      </w:r>
    </w:p>
    <w:p>
      <w:pPr>
        <w:spacing w:after="0" w:line="37" w:lineRule="exact"/>
        <w:rPr>
          <w:rFonts w:ascii="Times New Roman" w:cs="Times New Roman" w:eastAsia="Times New Roman" w:hAnsi="Times New Roman"/>
          <w:sz w:val="19"/>
          <w:szCs w:val="19"/>
          <w:color w:val="auto"/>
        </w:rPr>
      </w:pPr>
    </w:p>
    <w:p>
      <w:pPr>
        <w:ind w:left="360" w:hanging="352"/>
        <w:spacing w:after="0"/>
        <w:tabs>
          <w:tab w:leader="none" w:pos="36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proviso below) to any other Lender, any Affiliate of any Lender or any Lender Affiliate (other than any Ineligible Institution) or,</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with the consent of the Borrowers and the Administrative Agent (which, in each case, shall not be unreasonably withheld or delayed), to an additional bank, financial institution or other entity other than an Ineligible Institution (an “</w:t>
      </w:r>
      <w:r>
        <w:rPr>
          <w:rFonts w:ascii="Times New Roman" w:cs="Times New Roman" w:eastAsia="Times New Roman" w:hAnsi="Times New Roman"/>
          <w:sz w:val="20"/>
          <w:szCs w:val="20"/>
          <w:b w:val="1"/>
          <w:bCs w:val="1"/>
          <w:color w:val="auto"/>
        </w:rPr>
        <w:t>Assignee</w:t>
      </w:r>
      <w:r>
        <w:rPr>
          <w:rFonts w:ascii="Times New Roman" w:cs="Times New Roman" w:eastAsia="Times New Roman" w:hAnsi="Times New Roman"/>
          <w:sz w:val="20"/>
          <w:szCs w:val="20"/>
          <w:color w:val="auto"/>
        </w:rPr>
        <w:t>”) all or any part of its rights and obligations under this Agreement pursuant to an Assignment and Assumption, executed by such Assignee, such Assignor and any other Person whose consent is required pursuant to this paragraph, and delivered to the Administrative Agent for its acceptance and recording in the Register; provided that (i) no such assignment to an Assignee (other than any Lender, any Affiliate of any Lender or any Lender Affiliate), unless otherwise agreed to by the Borrowers and Administrative Agent, shall be in an aggregate principal amount of less than $10,000,000 in the case of Revolving Commitments or $500,000 in the case of Term Loans (provided that assignments made by any Lender on the same day to an Assignee and its Affiliates (including any Lender Affiliates) and contemporaneous assignments by Lender Affiliates to a single Assignee may be treated as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ectPr>
          <w:pgSz w:w="11900" w:h="16838" w:orient="portrait"/>
          <w:cols w:equalWidth="0" w:num="1">
            <w:col w:w="11240"/>
          </w:cols>
          <w:pgMar w:left="320" w:top="1413" w:right="339" w:bottom="1440" w:gutter="0" w:footer="0" w:header="0"/>
        </w:sectPr>
      </w:pPr>
    </w:p>
    <w:bookmarkStart w:id="171" w:name="page172"/>
    <w:bookmarkEnd w:id="171"/>
    <w:p>
      <w:pPr>
        <w:jc w:val="both"/>
        <w:spacing w:after="0" w:line="249" w:lineRule="auto"/>
        <w:rPr>
          <w:sz w:val="20"/>
          <w:szCs w:val="20"/>
          <w:color w:val="auto"/>
        </w:rPr>
      </w:pPr>
      <w:r>
        <w:rPr>
          <w:rFonts w:ascii="Times New Roman" w:cs="Times New Roman" w:eastAsia="Times New Roman" w:hAnsi="Times New Roman"/>
          <w:sz w:val="20"/>
          <w:szCs w:val="20"/>
          <w:color w:val="auto"/>
        </w:rPr>
        <w:t>assignment for purposes of satisfying any such minimum assignment amount requirement (other than in the case of an assignment of all of a Lender’s interests under the applicable Facility)), (ii) [reserved], (iii) no Lender may assign any interest in the Revolving Facility (other than, with the consent of the Administrative Agent, not to be unreasonably withheld or delayed, to an Affiliate of such Lender or, to another Lender then holding Revolving Commitments) without the consent of the Administrative Agent, each Issuing Bank, the Swingline Lender and the Borrowers (not to be unreasonably withheld or delayed) and (iv) each Borrower shall be deemed to have consented to an assignment if it has not objected thereto by written notice to the Administrative Agent within ten Business Days of its receipt of notice thereof. For purposes of the proviso contained in the preceding sentence, the amount described therein shall be aggregated in respect of each Lender and its related Lender Affiliates, if any (other than in the case of an assignment of all of a Lender’s interests under this Agreement). Any such assignment need not be ratable as among the Facilities. Upon such execution, delivery, acceptance and recording, from and after the effective date determined pursuant to such Assignment and Assumption, (x) the Assignee thereunder shall be deemed a party hereto and, to the extent provided in such Assignment and Assumption, have the rights and obligations of a Lender hereunder with a Commitment and/or Loans as set forth therein, and (y) the Assignor thereunder shall, to the extent provided in such Assignment and Assumption, be released from its obligations under this Agreement (and, in the case of an Assignment and Assumption covering all of an Assignor’s rights and obligations under this Agreement, such Assignor shall cease to be a party hereto). Notwithstanding any provision of this Section 10.6, the consent of the Borrowers shall not be required for any assignment that occurs (I) when an Event of Default shall have occurred and be continuing or (II) in connection with the primary syndication of any Facility.</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the foregoing, the Borrowers may, in their sole discretion, withhold consent to any assignment to any Person that is not expressly a Disqualified Lender but is known by such Borrower to be an Affiliate of a Disqualified Lender without regard as to whether such Person is identifiable as an Affiliate of a Disqualified Lender on the basis of such Affiliate’s name.</w:t>
      </w:r>
    </w:p>
    <w:p>
      <w:pPr>
        <w:spacing w:after="0" w:line="168" w:lineRule="exact"/>
        <w:rPr>
          <w:sz w:val="20"/>
          <w:szCs w:val="20"/>
          <w:color w:val="auto"/>
        </w:rPr>
      </w:pPr>
    </w:p>
    <w:p>
      <w:pPr>
        <w:jc w:val="both"/>
        <w:ind w:firstLine="656"/>
        <w:spacing w:after="0" w:line="252" w:lineRule="auto"/>
        <w:tabs>
          <w:tab w:leader="none" w:pos="1103"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on behalf of the Borrowers, maintain at its address referred to in Section 10.2, a copy of each Assignment and Assumption delivered to it and a register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for the recordation of the names and addresses of the Lenders and the Commitment of, and the principal amount (and stated interest) of the Loans and LC Disbursements owing to, each Lender, the Issuing Banks from time to time. The entries in the Register shall be conclusive absent manifest error, and each Borrower, each other Loan Party, the Administrative Agent and the Lenders shall treat each Person whose name is recorded in the Register as the owner of the Loans and any Notes evidencing the Loans recorded therein for all purposes of this Agreement, notwithstanding notice to the contrary. Any assignment of any Loan, whether or not evidenced by a Note, shall be effective only upon appropriate entries with respect thereto being made in the Register (and each Note shall expressly so provide). The Register shall be available for inspection by any Lender at any reasonable time and from time to time upon reasonable prior notice.</w:t>
      </w:r>
    </w:p>
    <w:p>
      <w:pPr>
        <w:spacing w:after="0" w:line="189" w:lineRule="exact"/>
        <w:rPr>
          <w:rFonts w:ascii="Times New Roman" w:cs="Times New Roman" w:eastAsia="Times New Roman" w:hAnsi="Times New Roman"/>
          <w:sz w:val="20"/>
          <w:szCs w:val="20"/>
          <w:color w:val="auto"/>
        </w:rPr>
      </w:pPr>
    </w:p>
    <w:p>
      <w:pPr>
        <w:jc w:val="both"/>
        <w:ind w:firstLine="656"/>
        <w:spacing w:after="0" w:line="254" w:lineRule="auto"/>
        <w:tabs>
          <w:tab w:leader="none" w:pos="108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its receipt of an Assignment and Assumption executed by an Assignor, an Assignee and any other Person whose consent is required by Section 10.6(c), together with payment to the Administrative Agent of a registration and processing fee of $3,500 (which shall not be an obligation of the Borrowers), the Administrative Agent shall (i) promptly accept such Assignment and Assumption and (ii) record the information contained therein in the Register on the effective date determined pursuant thereto.</w:t>
      </w:r>
    </w:p>
    <w:p>
      <w:pPr>
        <w:spacing w:after="0" w:line="187" w:lineRule="exact"/>
        <w:rPr>
          <w:rFonts w:ascii="Times New Roman" w:cs="Times New Roman" w:eastAsia="Times New Roman" w:hAnsi="Times New Roman"/>
          <w:sz w:val="20"/>
          <w:szCs w:val="20"/>
          <w:color w:val="auto"/>
        </w:rPr>
      </w:pPr>
    </w:p>
    <w:p>
      <w:pPr>
        <w:ind w:firstLine="656"/>
        <w:spacing w:after="0" w:line="283" w:lineRule="auto"/>
        <w:tabs>
          <w:tab w:leader="none" w:pos="1044"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ectPr>
          <w:pgSz w:w="11900" w:h="16838" w:orient="portrait"/>
          <w:cols w:equalWidth="0" w:num="1">
            <w:col w:w="11240"/>
          </w:cols>
          <w:pgMar w:left="320" w:top="1413" w:right="339" w:bottom="1440" w:gutter="0" w:footer="0" w:header="0"/>
        </w:sectPr>
      </w:pPr>
    </w:p>
    <w:bookmarkStart w:id="172" w:name="page173"/>
    <w:bookmarkEnd w:id="172"/>
    <w:p>
      <w:pPr>
        <w:jc w:val="both"/>
        <w:spacing w:after="0" w:line="261" w:lineRule="auto"/>
        <w:rPr>
          <w:sz w:val="20"/>
          <w:szCs w:val="20"/>
          <w:color w:val="auto"/>
        </w:rPr>
      </w:pPr>
      <w:r>
        <w:rPr>
          <w:rFonts w:ascii="Times New Roman" w:cs="Times New Roman" w:eastAsia="Times New Roman" w:hAnsi="Times New Roman"/>
          <w:sz w:val="20"/>
          <w:szCs w:val="20"/>
          <w:color w:val="auto"/>
        </w:rPr>
        <w:t>syndicate-level information (which may contain material non-public information about the Company and its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1" w:lineRule="exact"/>
        <w:rPr>
          <w:sz w:val="20"/>
          <w:szCs w:val="20"/>
          <w:color w:val="auto"/>
        </w:rPr>
      </w:pPr>
    </w:p>
    <w:p>
      <w:pPr>
        <w:jc w:val="both"/>
        <w:ind w:firstLine="656"/>
        <w:spacing w:after="0" w:line="258" w:lineRule="auto"/>
        <w:tabs>
          <w:tab w:leader="none" w:pos="1228"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avoidance of doubt, the parties to this Agreement acknowledge that the provisions of this Section 10.6 concerning assignments of Loans and Notes relate only to absolute assignments and that such provisions do not prohibit assignments creating security interests, including any pledge or assignment by a Lender of any Loan or Note to any Federal Reserve Bank or other central banking authority having jurisdiction over such Lender in accordance with applicable law.</w:t>
      </w:r>
    </w:p>
    <w:p>
      <w:pPr>
        <w:spacing w:after="0" w:line="172" w:lineRule="exact"/>
        <w:rPr>
          <w:rFonts w:ascii="Times New Roman" w:cs="Times New Roman" w:eastAsia="Times New Roman" w:hAnsi="Times New Roman"/>
          <w:sz w:val="20"/>
          <w:szCs w:val="20"/>
          <w:color w:val="auto"/>
        </w:rPr>
      </w:pPr>
    </w:p>
    <w:p>
      <w:pPr>
        <w:ind w:right="20" w:firstLine="656"/>
        <w:spacing w:after="0" w:line="283" w:lineRule="auto"/>
        <w:tabs>
          <w:tab w:leader="none" w:pos="1092"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upon receipt of written notice from the relevant Lender, agrees to issue Notes to any Lender requiring Notes to facilitate transactions of the type described in paragraph (g) above.</w:t>
      </w:r>
    </w:p>
    <w:p>
      <w:pPr>
        <w:spacing w:after="0" w:line="146" w:lineRule="exact"/>
        <w:rPr>
          <w:rFonts w:ascii="Times New Roman" w:cs="Times New Roman" w:eastAsia="Times New Roman" w:hAnsi="Times New Roman"/>
          <w:sz w:val="20"/>
          <w:szCs w:val="20"/>
          <w:color w:val="auto"/>
        </w:rPr>
      </w:pPr>
    </w:p>
    <w:p>
      <w:pPr>
        <w:jc w:val="both"/>
        <w:ind w:right="20" w:firstLine="656"/>
        <w:spacing w:after="0" w:line="268" w:lineRule="auto"/>
        <w:tabs>
          <w:tab w:leader="none" w:pos="108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assignment or transfer by a Lender of rights or obligations under this Agreement that does not comply with this Section 10.6, whether or not such assignment or transfer is reflected in the Register, shall be treated for purposes of this Agreement as a sale by such Lender of a participation in such rights and obligations in accordance with paragraph (b) of this Section 10.6.</w:t>
      </w:r>
    </w:p>
    <w:p>
      <w:pPr>
        <w:spacing w:after="0" w:line="161" w:lineRule="exact"/>
        <w:rPr>
          <w:rFonts w:ascii="Times New Roman" w:cs="Times New Roman" w:eastAsia="Times New Roman" w:hAnsi="Times New Roman"/>
          <w:sz w:val="20"/>
          <w:szCs w:val="20"/>
          <w:color w:val="auto"/>
        </w:rPr>
      </w:pPr>
    </w:p>
    <w:p>
      <w:pPr>
        <w:jc w:val="both"/>
        <w:ind w:firstLine="656"/>
        <w:spacing w:after="0" w:line="262" w:lineRule="auto"/>
        <w:tabs>
          <w:tab w:leader="none" w:pos="1106" w:val="left"/>
        </w:tabs>
        <w:numPr>
          <w:ilvl w:val="1"/>
          <w:numId w:val="1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have the right (i) at the sole expense of any Lender that is a Disqualified Lender and/or the Person that assigned its Commitments and/or Loans to such Disqualified Lender or to any Lender to the extent any Borrower’s consent to an assignment to such Lender was requested pursuant to Section 10.6 and not obtained, to seek to replace or terminate such Disqualified Lender or other Lender as a Lender by causing such Lender to (and such Lender shall be obligated to) assign (without recourse) any or all of its Commitments and/or Loans and its rights and obligations under this Agreement to one or more assignees (which may, at the Company’s sole option, be or include the Company or any Subsidiary to the extent such assignment would be otherwise permitted pursuant to Section 10.6(k)); provided that (1) the Administrative Agent shall not have any obligation to the Company to find such a replacement Lender, (2) the Company shall not have any obligation to such Disqualified Lender or other Lender or any other Person to find such a replacement Lender or accept or consent to any such assignment to itself or any other Person and (3) the assignee (or, at its option, the Company) shall pay to such Disqualified Lender or other Lender concurrently with such assignment an amount (which payment shall be deemed payment in full) equal to the lesser of (x) the face principal amount of the Commitments and/or Loans so assigned and (y) solely with respect to any Disqualified Lender, the amount that such Disqualified Lender paid to acquire such Commitments and/or Loans, in each case without interest thereon (it being understood that if the effective date of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Company)), or</w:t>
      </w:r>
    </w:p>
    <w:p>
      <w:pPr>
        <w:spacing w:after="0" w:line="1" w:lineRule="exact"/>
        <w:rPr>
          <w:rFonts w:ascii="Times New Roman" w:cs="Times New Roman" w:eastAsia="Times New Roman" w:hAnsi="Times New Roman"/>
          <w:sz w:val="19"/>
          <w:szCs w:val="19"/>
          <w:color w:val="auto"/>
        </w:rPr>
      </w:pPr>
    </w:p>
    <w:p>
      <w:pPr>
        <w:jc w:val="both"/>
        <w:ind w:firstLine="8"/>
        <w:spacing w:after="0" w:line="251" w:lineRule="auto"/>
        <w:tabs>
          <w:tab w:leader="none" w:pos="293"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prepay any Loans held by such Disqualified Lender or other Lender, in whole or in part, by paying an amount (which payment shall be deemed payment in full) equal to the lesser of (x) the face principal amount of the Commitments and/or Loans so prepaid and (y) solely with respect to any Disqualified Lender, the amount that such Disqualified Lender paid to acquire such Loans (in each case without interest thereon) (it being understood that if the effective date of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Company)), and if applicable, terminate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ectPr>
          <w:pgSz w:w="11900" w:h="16838" w:orient="portrait"/>
          <w:cols w:equalWidth="0" w:num="1">
            <w:col w:w="11240"/>
          </w:cols>
          <w:pgMar w:left="320" w:top="1413" w:right="339" w:bottom="1440" w:gutter="0" w:footer="0" w:header="0"/>
        </w:sectPr>
      </w:pPr>
    </w:p>
    <w:bookmarkStart w:id="173" w:name="page174"/>
    <w:bookmarkEnd w:id="173"/>
    <w:p>
      <w:pPr>
        <w:jc w:val="both"/>
        <w:spacing w:after="0" w:line="249" w:lineRule="auto"/>
        <w:rPr>
          <w:sz w:val="20"/>
          <w:szCs w:val="20"/>
          <w:color w:val="auto"/>
        </w:rPr>
      </w:pPr>
      <w:r>
        <w:rPr>
          <w:rFonts w:ascii="Times New Roman" w:cs="Times New Roman" w:eastAsia="Times New Roman" w:hAnsi="Times New Roman"/>
          <w:sz w:val="20"/>
          <w:szCs w:val="20"/>
          <w:color w:val="auto"/>
        </w:rPr>
        <w:t>Commitments of such Disqualified Lender, in whole or in part. In connection with any such replacement, (1) if the Disqualified Lender does not execute and deliver to the Administrative Agent a duly completed Assignment and Assumption and/or any other documentation necessary or appropriate (in the good faith determination of the Administrative Agent or the Company, which determination shall be conclusive) to reflect such replacement by the later of (a) the date on which the replacement Lender executes and delivers such Assignment and Assumption and/or such other documentation and (b) the date as of which the Disqualified Lender shall be paid by the assignee Lender (or, at its option, the Company) the amount required pursuant to this Section 10.6(j), then such Disqualified Lender or other Lender shall be deemed to have executed and delivered such Assignment and Assumption and/or such other documentation as of such date and the Company shall be entitled (but not obligated) to execute and deliver such Assignment and Assumption and/or such other documentation on behalf of such Disqualified Lender or other Lender, and the Administrative Agent shall record such assignment in the Register, (2) each Lender (whether or not then a party hereto) agrees to disclose to the Company the amount that the applicable Disqualified Lender paid to acquire Commitments and/or Loans from such Lender and (3) each Lender that is a Disqualified Lender or other Lender agrees to disclose to the Company the amount it paid to acquire the Commitments and/or Loans held by it. The Disqualified Lenders List may be (i) posted to the Lenders on both the “Public Side Information” and the “Private Side Information” portions of the Approved Electronic Platform and (ii) made available to the Lenders upon written request to the Administrative Agent. The Borrowers hereby acknowledge and consent to the posting and/or distribution of the Disqualified Lenders List pursuant to the terms set forth in this Agreement. The Administrative Agent shall not be responsible or have any liability for, or have any duty to ascertain, inquire into, monitor or enforce, compliance with the provisions hereof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96" w:lineRule="exact"/>
        <w:rPr>
          <w:sz w:val="20"/>
          <w:szCs w:val="20"/>
          <w:color w:val="auto"/>
        </w:rPr>
      </w:pPr>
    </w:p>
    <w:p>
      <w:pPr>
        <w:jc w:val="both"/>
        <w:ind w:firstLine="656"/>
        <w:spacing w:after="0" w:line="270" w:lineRule="auto"/>
        <w:tabs>
          <w:tab w:leader="none" w:pos="1087" w:val="left"/>
        </w:tabs>
        <w:numPr>
          <w:ilvl w:val="0"/>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any Lender may, at any time, assign all or a portion of its rights and obligations under this Agreement in respect of its Term Loans to the Company, or any Subsidiary (each, an “</w:t>
      </w:r>
      <w:r>
        <w:rPr>
          <w:rFonts w:ascii="Times New Roman" w:cs="Times New Roman" w:eastAsia="Times New Roman" w:hAnsi="Times New Roman"/>
          <w:sz w:val="19"/>
          <w:szCs w:val="19"/>
          <w:b w:val="1"/>
          <w:bCs w:val="1"/>
          <w:color w:val="auto"/>
        </w:rPr>
        <w:t>Affiliated Lender</w:t>
      </w:r>
      <w:r>
        <w:rPr>
          <w:rFonts w:ascii="Times New Roman" w:cs="Times New Roman" w:eastAsia="Times New Roman" w:hAnsi="Times New Roman"/>
          <w:sz w:val="19"/>
          <w:szCs w:val="19"/>
          <w:color w:val="auto"/>
        </w:rPr>
        <w:t>”) through (x) Dutch auctions or other offers to purchase open to all Lenders on a pro rata basis in accordance with procedures to be established by the “auction agent” consistent with this Section 10.6(k) or (y) open market purchases on a non-pro rata basis (which purchases may be effected at any price as agreed between such Lender and such Affiliated Lender in their respective sole discretion); provided that:</w:t>
      </w:r>
    </w:p>
    <w:p>
      <w:pPr>
        <w:spacing w:after="0" w:line="175" w:lineRule="exact"/>
        <w:rPr>
          <w:rFonts w:ascii="Times New Roman" w:cs="Times New Roman" w:eastAsia="Times New Roman" w:hAnsi="Times New Roman"/>
          <w:sz w:val="19"/>
          <w:szCs w:val="19"/>
          <w:color w:val="auto"/>
        </w:rPr>
      </w:pPr>
    </w:p>
    <w:p>
      <w:pPr>
        <w:jc w:val="both"/>
        <w:ind w:left="660" w:firstLine="644"/>
        <w:spacing w:after="0" w:line="258" w:lineRule="auto"/>
        <w:tabs>
          <w:tab w:leader="none" w:pos="1705"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Term Loans acquired by any Affiliated Lender shall, to the extent permitted by applicable Requirements of Law, be retired and cancelled immediately upon the acquisition thereof; provided that upon any such retirement and cancellation, the aggregate outstanding principal amount of the Term Loans shall be deemed reduced by the full par value of the aggregate principal amount of the Term Loans so retired and cancelled;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10"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exists at the time of acceptance of bids for the Dutch Auction or the confirmation of such open market purchase, as applicable, and purchases of Term Loans pursuant to this Section 10.6(k) may not be funded with the proceeds of Revolving Loans; and</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28" w:val="left"/>
        </w:tabs>
        <w:numPr>
          <w:ilvl w:val="1"/>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Affiliated Lender shall be required to represent or warrant that it is not in possession of material non-public information with respect to the Borrowers and/or any subsidiary thereof and/or their respective securities in connection with any assignment permitted by this Section 10.6(k).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ectPr>
          <w:pgSz w:w="11900" w:h="16838" w:orient="portrait"/>
          <w:cols w:equalWidth="0" w:num="1">
            <w:col w:w="11240"/>
          </w:cols>
          <w:pgMar w:left="320" w:top="1413" w:right="339" w:bottom="1440" w:gutter="0" w:footer="0" w:header="0"/>
        </w:sectPr>
      </w:pPr>
    </w:p>
    <w:bookmarkStart w:id="174" w:name="page175"/>
    <w:bookmarkEnd w:id="174"/>
    <w:p>
      <w:pPr>
        <w:ind w:left="660"/>
        <w:spacing w:after="0"/>
        <w:tabs>
          <w:tab w:leader="none" w:pos="1220" w:val="left"/>
        </w:tabs>
        <w:rPr>
          <w:sz w:val="20"/>
          <w:szCs w:val="20"/>
          <w:color w:val="auto"/>
        </w:rPr>
      </w:pPr>
      <w:r>
        <w:rPr>
          <w:rFonts w:ascii="Times New Roman" w:cs="Times New Roman" w:eastAsia="Times New Roman" w:hAnsi="Times New Roman"/>
          <w:sz w:val="20"/>
          <w:szCs w:val="20"/>
          <w:color w:val="auto"/>
        </w:rPr>
        <w:t>10.7.</w:t>
      </w:r>
      <w:r>
        <w:rPr>
          <w:sz w:val="20"/>
          <w:szCs w:val="20"/>
          <w:color w:val="auto"/>
        </w:rPr>
        <w:tab/>
      </w:r>
      <w:r>
        <w:rPr>
          <w:rFonts w:ascii="Times New Roman" w:cs="Times New Roman" w:eastAsia="Times New Roman" w:hAnsi="Times New Roman"/>
          <w:sz w:val="19"/>
          <w:szCs w:val="19"/>
          <w:u w:val="single" w:color="auto"/>
          <w:color w:val="auto"/>
        </w:rPr>
        <w:t>Adjustments; Set-off</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13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to the extent that (i) this Agreement expressly provides for payments to be allocated to a particular Lender or to the Lenders under a particular Facility (including any payment obtained by a Lender as consideration for any permitted assignment of or permitted sale of a participation in any of its Loans or Commitments hereunder) or (ii) a payment is made in respect of obligations under Lender Hedge Agreements or Lender Cash Management Obligations, if any Lender (a “</w:t>
      </w:r>
      <w:r>
        <w:rPr>
          <w:rFonts w:ascii="Times New Roman" w:cs="Times New Roman" w:eastAsia="Times New Roman" w:hAnsi="Times New Roman"/>
          <w:sz w:val="20"/>
          <w:szCs w:val="20"/>
          <w:b w:val="1"/>
          <w:bCs w:val="1"/>
          <w:color w:val="auto"/>
        </w:rPr>
        <w:t>Benefitted Lender</w:t>
      </w:r>
      <w:r>
        <w:rPr>
          <w:rFonts w:ascii="Times New Roman" w:cs="Times New Roman" w:eastAsia="Times New Roman" w:hAnsi="Times New Roman"/>
          <w:sz w:val="20"/>
          <w:szCs w:val="20"/>
          <w:color w:val="auto"/>
        </w:rPr>
        <w:t>”) shall receive any payment of all or part of the Obligations owing to it, or receive any collateral in respect thereof (whether voluntarily or involuntarily, by set-off, pursuant to events or proceedings of the nature referred to in Section 8(f), or otherwise), in a greater proportion than any such payment to or collateral received by any other Secured Parties, if any, in respect of the Obligations owing to such other Secured Parties, such Benefitted Lender shall purchase for cash from the other Secured Parties a participating interest in such portion of the Obligations owing to each such other Secured Parties, or shall provide such other Secured Parties with the benefits of any such collateral, as shall be necessary to cause such Benefitted Lender to share the excess payment or benefits of such collateral ratably with each of the Secured Parties; provided, however, that if all or any portion of such excess payment or benefits is thereafter recovered from such Benefitted Lender, such purchase shall be rescinded, and the purchase price and benefits returned, to the extent of such recovery, but without interest; provided further, that to the extent prohibited by applicable law as described in the definition of “</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no amounts received from, or set off with respect to, any Guarantor shall be applied to any Excluded Swap Obligations of such Guarantor.</w:t>
      </w:r>
    </w:p>
    <w:p>
      <w:pPr>
        <w:spacing w:after="0" w:line="194" w:lineRule="exact"/>
        <w:rPr>
          <w:rFonts w:ascii="Times New Roman" w:cs="Times New Roman" w:eastAsia="Times New Roman" w:hAnsi="Times New Roman"/>
          <w:sz w:val="20"/>
          <w:szCs w:val="20"/>
          <w:color w:val="auto"/>
        </w:rPr>
      </w:pPr>
    </w:p>
    <w:p>
      <w:pPr>
        <w:jc w:val="both"/>
        <w:ind w:firstLine="656"/>
        <w:spacing w:after="0" w:line="251" w:lineRule="auto"/>
        <w:tabs>
          <w:tab w:leader="none" w:pos="1097"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rights and remedies of the Lenders provided by law, each Lender shall have the right, without prior notice to any Borrower, any such notice being expressly waived by each Borrower to the extent permitted by applicable law, upon the occurrence and during the continuance of an Event of Default,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Affiliate, branch or agency thereof to or for the credit or the account of the Borrower, as the case may be. Each Lender agrees promptly to notify each Borrower and the Administrative Agent after any such setoff and application made by such Lender provided that the failure to give such notice shall not affect the validity of such setoff and application.</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by one or more of the parties to this Agreement on any number of separate counterparts, and all of said counterparts taken together shall be deemed to constitute one and the same instrument. Delivery of an executed counterpart of a signature page of (x) this Agreement, (y) any other Loan Document and/or (z) any document, amendment, approval, consent, information, notice (including, for the avoidance of doubt, any notice delivered pursuant to Section 10.2), certificate, request, statement, disclosure or authorization related to this Agreement, any other Loan Document and/or the transactions contemplated hereby and/or thereby (each an “</w:t>
      </w:r>
      <w:r>
        <w:rPr>
          <w:rFonts w:ascii="Times New Roman" w:cs="Times New Roman" w:eastAsia="Times New Roman" w:hAnsi="Times New Roman"/>
          <w:sz w:val="20"/>
          <w:szCs w:val="20"/>
          <w:b w:val="1"/>
          <w:bCs w:val="1"/>
          <w:color w:val="auto"/>
        </w:rPr>
        <w:t>Ancillary Document</w:t>
      </w:r>
      <w:r>
        <w:rPr>
          <w:rFonts w:ascii="Times New Roman" w:cs="Times New Roman" w:eastAsia="Times New Roman" w:hAnsi="Times New Roman"/>
          <w:sz w:val="20"/>
          <w:szCs w:val="20"/>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nothing herein shall require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ectPr>
          <w:pgSz w:w="11900" w:h="16838" w:orient="portrait"/>
          <w:cols w:equalWidth="0" w:num="1">
            <w:col w:w="11240"/>
          </w:cols>
          <w:pgMar w:left="320" w:top="1413" w:right="339" w:bottom="1440" w:gutter="0" w:footer="0" w:header="0"/>
        </w:sectPr>
      </w:pPr>
    </w:p>
    <w:bookmarkStart w:id="175" w:name="page176"/>
    <w:bookmarkEnd w:id="175"/>
    <w:p>
      <w:pPr>
        <w:jc w:val="both"/>
        <w:spacing w:after="0" w:line="264" w:lineRule="auto"/>
        <w:rPr>
          <w:sz w:val="20"/>
          <w:szCs w:val="20"/>
          <w:color w:val="auto"/>
        </w:rPr>
      </w:pPr>
      <w:r>
        <w:rPr>
          <w:rFonts w:ascii="Times New Roman" w:cs="Times New Roman" w:eastAsia="Times New Roman" w:hAnsi="Times New Roman"/>
          <w:sz w:val="19"/>
          <w:szCs w:val="19"/>
          <w:color w:val="auto"/>
        </w:rPr>
        <w:t xml:space="preserve">Agent to accept Electronic Signatures in any form or format without its prior written consent and pursuant to procedures approved by it;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 xml:space="preserve"> further</w:t>
      </w:r>
      <w:r>
        <w:rPr>
          <w:rFonts w:ascii="Times New Roman" w:cs="Times New Roman" w:eastAsia="Times New Roman" w:hAnsi="Times New Roman"/>
          <w:sz w:val="19"/>
          <w:szCs w:val="19"/>
          <w:color w:val="auto"/>
        </w:rPr>
        <w:t>, without limiting the foregoing, (i) to the extent the Administrative Agent has agreed to accept any Electronic Signature,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Administrative Agent and each of the Lenders shall be entitled to rely on such Electronic Signature purportedly given by or on behalf of the Borrowers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Borrowers and each Loan Party hereby</w:t>
      </w:r>
    </w:p>
    <w:p>
      <w:pPr>
        <w:spacing w:after="0" w:line="4" w:lineRule="exact"/>
        <w:rPr>
          <w:sz w:val="20"/>
          <w:szCs w:val="20"/>
          <w:color w:val="auto"/>
        </w:rPr>
      </w:pPr>
    </w:p>
    <w:p>
      <w:pPr>
        <w:jc w:val="both"/>
        <w:ind w:firstLine="8"/>
        <w:spacing w:after="0" w:line="248" w:lineRule="auto"/>
        <w:tabs>
          <w:tab w:leader="none" w:pos="357"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for all purposes, including without limitation, in connection with any workout, restructuring, enforcement of remedies, bankruptcy proceedings or litigation among the Administrative Agent, the Lenders, the Borrowers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Borrowers and/or any Loan Party to use any available security measures in connection with the execution, delivery or transmission of any Electronic Signature.</w:t>
      </w:r>
    </w:p>
    <w:p>
      <w:pPr>
        <w:spacing w:after="0" w:line="20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This Agreement and the other Loan Documents represent the agreement of the Borrowers, the Administrative Agent and the Lenders with respect to the subject matter hereof, and there are no promises, undertakings, representations or warranties by the Administrative Agent or any Lender relative to subject matter hereof not expressly set forth or referred to herein or in the other Loan Documents.</w:t>
      </w:r>
    </w:p>
    <w:p>
      <w:pPr>
        <w:spacing w:after="0" w:line="19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RIGHTS AND OBLIGATIONS OF THE PARTIES UNDER THIS AGREEMENT AND THE OTHER LOAN DOCUMENTS AND ANY CLAIM, CONTROVERSY OR DISPUTE ARISING UNDER OR</w:t>
      </w:r>
    </w:p>
    <w:p>
      <w:pPr>
        <w:spacing w:after="0" w:line="212" w:lineRule="auto"/>
        <w:rPr>
          <w:sz w:val="20"/>
          <w:szCs w:val="20"/>
          <w:color w:val="auto"/>
        </w:rPr>
      </w:pPr>
      <w:r>
        <w:rPr>
          <w:rFonts w:ascii="Times New Roman" w:cs="Times New Roman" w:eastAsia="Times New Roman" w:hAnsi="Times New Roman"/>
          <w:sz w:val="20"/>
          <w:szCs w:val="20"/>
          <w:color w:val="auto"/>
        </w:rPr>
        <w:t>RELATED TO THIS AGREEMENT AND THE OTHER LOAN DOCUMENTS WHETHER IN TORT, CONTRACT (AT LAW OR IN</w:t>
      </w:r>
    </w:p>
    <w:p>
      <w:pPr>
        <w:spacing w:after="0" w:line="1"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EQUITY) OR OTHERWISE, SHALL BE GOVERNED BY, AND CONSTRUED AND INTERPRETED IN ACCORDANCE WITH, THE LAWS OF THE STATE OF NEW YORK.</w:t>
      </w:r>
    </w:p>
    <w:p>
      <w:pPr>
        <w:spacing w:after="0" w:line="17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10.12.</w:t>
      </w:r>
      <w:r>
        <w:rPr>
          <w:sz w:val="20"/>
          <w:szCs w:val="20"/>
          <w:color w:val="auto"/>
        </w:rPr>
        <w:tab/>
      </w:r>
      <w:r>
        <w:rPr>
          <w:rFonts w:ascii="Times New Roman" w:cs="Times New Roman" w:eastAsia="Times New Roman" w:hAnsi="Times New Roman"/>
          <w:sz w:val="19"/>
          <w:szCs w:val="19"/>
          <w:u w:val="single" w:color="auto"/>
          <w:color w:val="auto"/>
        </w:rPr>
        <w:t>Submission To Jurisdiction; Waivers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ind w:left="1080" w:hanging="424"/>
        <w:spacing w:after="0"/>
        <w:tabs>
          <w:tab w:leader="none" w:pos="108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and unconditionally:</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66" w:lineRule="exact"/>
        <w:rPr>
          <w:rFonts w:ascii="Times New Roman" w:cs="Times New Roman" w:eastAsia="Times New Roman" w:hAnsi="Times New Roman"/>
          <w:sz w:val="20"/>
          <w:szCs w:val="20"/>
          <w:color w:val="auto"/>
        </w:rPr>
      </w:pPr>
    </w:p>
    <w:p>
      <w:pPr>
        <w:ind w:left="54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150</w:t>
      </w:r>
    </w:p>
    <w:p>
      <w:pPr>
        <w:sectPr>
          <w:pgSz w:w="11900" w:h="16838" w:orient="portrait"/>
          <w:cols w:equalWidth="0" w:num="1">
            <w:col w:w="11240"/>
          </w:cols>
          <w:pgMar w:left="320" w:top="1413" w:right="339" w:bottom="1440" w:gutter="0" w:footer="0" w:header="0"/>
        </w:sectPr>
      </w:pPr>
    </w:p>
    <w:bookmarkStart w:id="176" w:name="page177"/>
    <w:bookmarkEnd w:id="176"/>
    <w:p>
      <w:pPr>
        <w:jc w:val="both"/>
        <w:ind w:left="660" w:firstLine="644"/>
        <w:spacing w:after="0" w:line="258" w:lineRule="auto"/>
        <w:tabs>
          <w:tab w:leader="none" w:pos="179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in New York County, the courts of the United States for the Southern District of New York in New York County, and appellate courts from any thereof;</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8" w:lineRule="auto"/>
        <w:tabs>
          <w:tab w:leader="none" w:pos="175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6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07"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service of process in any such action or proceeding may be effected by mailing a copy thereof by registered or certified mail (or any substantially similar form of mail), postage prepaid, to such party, as the case may be at its address set forth in Section 10.2 or at such other address of which the other parties shall have been notified pursuant thereto;</w:t>
      </w:r>
    </w:p>
    <w:p>
      <w:pPr>
        <w:spacing w:after="0" w:line="181"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5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nothing herein shall affect the right to effect service of process in any other manner permitted by law or shall limit the right to sue in any other jurisdiction; and</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7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10.12 any special, exemplary, punitive or consequential damages.</w:t>
      </w:r>
    </w:p>
    <w:p>
      <w:pPr>
        <w:spacing w:after="0" w:line="14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Nothing in this Agreement or in any other Loan Document shall (i) affect any right each party hereto may otherwise have to enforce any judgment in any action or proceeding relating to this Agreement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9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u w:val="single" w:color="auto"/>
          <w:color w:val="auto"/>
        </w:rPr>
        <w:t>Releases of Guarantees and Liens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237"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irrevocably agree that the Lien on any property and any related guarantee obligations will be automatically released (i) (1) to the extent necessary to permit consummation of any transaction not prohibited by any Loan Document, (2) upon any sale or transfer of Collateral or any other transaction permitted or not prohibited hereunder or under the Loan Documents to any Person that is not a Loan Party, (3) to the extent property constituting Collateral is owned by any Guarantors, upon the release of such Guarantor from its obligations under the Guarantee Agreement or in accordance with the succeeding sentence, (4) so long as no Event of Default has occurred and is continuing, to the extent the Collateral becomes Excluded Assets or a Guarantor becomes an Excluded Subsidiary in a transaction permitted hereunder, the primary purpose of which transaction is not to effect the release of such Guarantor or any other Guarantor from its obligations under the Loan Documents, or a Guarantor (other than any Borrower) ceases to be a Subsidiary in a transaction permitted hereunder or (5) that has been consented to in accordance with Section 10.1 and (ii)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ectPr>
          <w:pgSz w:w="11900" w:h="16838" w:orient="portrait"/>
          <w:cols w:equalWidth="0" w:num="1">
            <w:col w:w="11240"/>
          </w:cols>
          <w:pgMar w:left="320" w:top="1413"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0"/>
          <w:szCs w:val="20"/>
          <w:color w:val="auto"/>
        </w:rPr>
        <w:t>circumstances described in paragraph (b) below, in accordance with the provisions of Section 7.12(g) and (h) of the Collateral Agreement.</w:t>
      </w:r>
    </w:p>
    <w:p>
      <w:pPr>
        <w:spacing w:after="0" w:line="229" w:lineRule="exact"/>
        <w:rPr>
          <w:sz w:val="20"/>
          <w:szCs w:val="20"/>
          <w:color w:val="auto"/>
        </w:rPr>
      </w:pPr>
    </w:p>
    <w:p>
      <w:pPr>
        <w:jc w:val="both"/>
        <w:ind w:firstLine="656"/>
        <w:spacing w:after="0" w:line="251" w:lineRule="auto"/>
        <w:tabs>
          <w:tab w:leader="none" w:pos="107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irrevocably agree that at such time as the Loans, the Reimbursement Obligations and the other obligations under the Loan Documents (other than obligations under or in respect of Lender Hedge Agreements, Lender Cash Management Obligations and contingent indemnity obligations not due and payable) shall have been paid in full, the Commitments have been terminated and no Letters of Credit shall be outstanding (other than Letters of Credit that are cash collateralized or backstopped on terms reasonably satisfactory to the applicable Issuing Bank), the Collateral shall be automatically released from the Liens created by the Security Documents, and the Security Documents and all guarantees and other obligations (other than those expressly stated to survive such termination) of the Company and each Loan Party under the Security Documents shall automatically terminate, all without delivery of any instrument or performance of any act by any Person.</w:t>
      </w:r>
    </w:p>
    <w:p>
      <w:pPr>
        <w:spacing w:after="0" w:line="181" w:lineRule="exact"/>
        <w:rPr>
          <w:rFonts w:ascii="Times New Roman" w:cs="Times New Roman" w:eastAsia="Times New Roman" w:hAnsi="Times New Roman"/>
          <w:sz w:val="20"/>
          <w:szCs w:val="20"/>
          <w:color w:val="auto"/>
        </w:rPr>
      </w:pPr>
    </w:p>
    <w:p>
      <w:pPr>
        <w:jc w:val="both"/>
        <w:ind w:firstLine="656"/>
        <w:spacing w:after="0" w:line="253" w:lineRule="auto"/>
        <w:tabs>
          <w:tab w:leader="none" w:pos="116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irrevocably agree that Liens on assets of the Loan Parties created by the Loan Documents will be automatically terminated and released upon the transfer of such assets to a Foreign Subsidiary that is not a Loan Party pursuant to Section 7.5(q). The Administrative Agent and the Collateral Agent are hereby irrevocably authorized by each Lender (without requirement of notice to or consent of any Lender) to take any action (without consent rights) (including to execute and deliver any instruments, documents, consents, acknowledgements, and agreements necessary or desirable to evidence or confirm the release pursuant to the foregoing provisions of this paragraph) requested by the Company to effect any termination or release described in this paragraph (c).</w:t>
      </w:r>
    </w:p>
    <w:p>
      <w:pPr>
        <w:spacing w:after="0" w:line="192" w:lineRule="exact"/>
        <w:rPr>
          <w:rFonts w:ascii="Times New Roman" w:cs="Times New Roman" w:eastAsia="Times New Roman" w:hAnsi="Times New Roman"/>
          <w:sz w:val="20"/>
          <w:szCs w:val="20"/>
          <w:color w:val="auto"/>
        </w:rPr>
      </w:pPr>
    </w:p>
    <w:p>
      <w:pPr>
        <w:jc w:val="both"/>
        <w:ind w:firstLine="656"/>
        <w:spacing w:after="0" w:line="250" w:lineRule="auto"/>
        <w:tabs>
          <w:tab w:leader="none" w:pos="1123"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Administrative Agent and the Collateral Agent are hereby irrevocably authorized by each Lender (without requirement of notice to or consent of any Lender except as expressly required by Section 10.1) to take any action (without consent rights) requested by the Company (including to execute and deliver any instruments, documents, consents, acknowledgements, and agreements necessary or desirable to evidence or confirm the release of any Guarantor or Collateral pursuant to the foregoing provisions of this paragraph) having the effect of releasing any Collateral or Loan Party (other than any Borrower) from its guarantee obligations. Any execution and delivery of documents pursuant to this Section shall be without recourse to or warranty by the Administrative Agent and/or the Collateral Agent. Upon the request of the Collateral Agent or the Administrative Agent at any time, the Required Lenders of the applicable Classes will confirm in writing the Collateral Agent’s and/or the Administrative Agent’s authority to release its interest in particular types or items of property, or to release any Loan Party from its obligations under the Guarantee or its Lien on any Collateral pursuant to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The parties hereto acknowledge and agree that each of the Administrative Agent and the Collateral Agent may rely conclusively as to any of the matters described in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10.22</w:t>
      </w:r>
      <w:r>
        <w:rPr>
          <w:rFonts w:ascii="Times New Roman" w:cs="Times New Roman" w:eastAsia="Times New Roman" w:hAnsi="Times New Roman"/>
          <w:sz w:val="20"/>
          <w:szCs w:val="20"/>
          <w:color w:val="auto"/>
        </w:rPr>
        <w:t xml:space="preserve"> (including as to its authority hereunder and thereunder) on a certificate or similar instrument provided to it by any Loan Party without further inquiry or investigation, which certificate shall be delivered to the Administrative Agent and/or the Collateral Agent by the Loan Parties upon request.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Each of the Administrative Agent and each Lender and each of their respective Affiliates agrees to keep confidential all information received by them from the Company in connection with the transactions contemplated herein and information received from the Company relating to the Company or its business; provided that nothing herein shall prevent the Administrative Agent or any Lender from disclosing any such Information (a) to the Administrative Agent, any other Lender, any Affiliate of any Lender or any Lender Affiliate (provided that any such Lender Affiliate or Affiliate is advised of its obligation to retain such information as confidential, and such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152</w:t>
      </w:r>
    </w:p>
    <w:p>
      <w:pPr>
        <w:sectPr>
          <w:pgSz w:w="11900" w:h="16838" w:orient="portrait"/>
          <w:cols w:equalWidth="0" w:num="1">
            <w:col w:w="11240"/>
          </w:cols>
          <w:pgMar w:left="320" w:top="1413" w:right="339" w:bottom="1440" w:gutter="0" w:footer="0" w:header="0"/>
        </w:sectPr>
      </w:pPr>
    </w:p>
    <w:bookmarkStart w:id="178" w:name="page179"/>
    <w:bookmarkEnd w:id="178"/>
    <w:p>
      <w:pPr>
        <w:jc w:val="both"/>
        <w:spacing w:after="0" w:line="262" w:lineRule="auto"/>
        <w:rPr>
          <w:sz w:val="20"/>
          <w:szCs w:val="20"/>
          <w:color w:val="auto"/>
        </w:rPr>
      </w:pPr>
      <w:r>
        <w:rPr>
          <w:rFonts w:ascii="Times New Roman" w:cs="Times New Roman" w:eastAsia="Times New Roman" w:hAnsi="Times New Roman"/>
          <w:sz w:val="19"/>
          <w:szCs w:val="19"/>
          <w:color w:val="auto"/>
        </w:rPr>
        <w:t>Agent or Lender shall be responsible for its Affiliates’ and Lender Affiliates’ compliance with this paragraph); provided that the disclosure of any such information to any such party shall be made subject to the acknowledgment and acceptance by such party that such information is being disseminated on a confidential basis or customary market standards for dissemination of such type of information, (b) to any pledgee referred to in Section 10.6(g), any Transferee or prospective Transferee or any insurance or risk protection providers (provided that in no event shall any disclosure of such information be made to any person that is a Disqualified Lender as of the relevant time); provided that the disclosure of any such information to any such party (other than a Federal Reserve Bank or other central banking authority) shall be made subject to the acknowledgment and acceptance by such party that such information is being disseminated on a confidential basis or customary market standards for dissemination of such type of information, (c) to its employees, legal counsel, independent auditors, professionals, insurance brokers, insurance providers and other experts or agents who are informed of the confidential nature thereof (provided that the Administrative Agent or Lender shall be responsible for compliance of such persons with this paragraph), (d) upon the request or demand of any Governmental Authority, including audits and examinations conducted by bank accountants, any governmental bank regulatory authority exercising examination or regulatory authority or self-regulatory authorities, in which case (except with respect to any audit or examination conducted by bank accountants or any governmental bank regulatory authority exercising examination or regulatory authority), such party will promptly notify the Company, in advance, to the extent permitted by law, (e) in response to any order of any court or other Governmental Authority or as may otherwise be required pursuant to any Requirement of Law in which case, such party will promptly notify the Company, in advance, to the extent permitted by law, (f) if requested or required to do so in connection with any litigation or similar proceeding in which case, such party will promptly notify the Company, in advance, to the extent permitted by law, (g) to the extent any such information becomes publicly available other than by reason of disclosure by such Administrative Agent or Lender or its Affiliates or representatives in breach of this Agreement; (h) to any nationally recognized rating agency that requires access to information about a Lender’s investment portfolio in connection with ratings issued with respect to such Lender, (i) in connection with the exercise of any remedy hereunder or under any other Loan Document, (j) to any direct, indirect, actual or prospective counterparty (and its advisor) to any swap, derivative or securitization transaction related to any obligations or any insurance or risk protection providers in respect thereof (so long as such party agrees to be bound by the provisions of this Section 10.14); provided that the disclosure of any such information to any such party shall be made subject to the acknowledgment and acceptance by such party that such information is being disseminated on a confidential basis or customary market standards for dissemination of such type of information, (k) to the CUSIP Service Bureau or any similar agency in connection with the issuance and monitoring of CUSIP numbers with respect to the Loans or (l) if agreed by the Company in its sole discretion, to any other Person; provided that no information shall be disclosed to a Disqualified Lender. The Administrative Agent, Arrangers and the Lenders may disclose the existence of this Agreement and information about this Agreement that is routinely provided by arrangers to such service providers to market data service providers (including league table providers) that serve the lending industry.</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Each Lender acknowledges that information furnished to it pursuant to this Agreement or the other Loan Documents may include material non-public information concerning the Company and its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Company or the Administrative Agent pursuant to, or in the course of administering, this Agreement or the other Loan Documents will be syndicate-level information, which may contain material non-public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153</w:t>
      </w:r>
    </w:p>
    <w:p>
      <w:pPr>
        <w:sectPr>
          <w:pgSz w:w="11900" w:h="16838" w:orient="portrait"/>
          <w:cols w:equalWidth="0" w:num="1">
            <w:col w:w="11240"/>
          </w:cols>
          <w:pgMar w:left="320" w:top="1413" w:right="339" w:bottom="1440" w:gutter="0" w:footer="0" w:header="0"/>
        </w:sectPr>
      </w:pPr>
    </w:p>
    <w:bookmarkStart w:id="179" w:name="page180"/>
    <w:bookmarkEnd w:id="179"/>
    <w:p>
      <w:pPr>
        <w:jc w:val="both"/>
        <w:spacing w:after="0" w:line="258" w:lineRule="auto"/>
        <w:rPr>
          <w:sz w:val="20"/>
          <w:szCs w:val="20"/>
          <w:color w:val="auto"/>
        </w:rPr>
      </w:pPr>
      <w:r>
        <w:rPr>
          <w:rFonts w:ascii="Times New Roman" w:cs="Times New Roman" w:eastAsia="Times New Roman" w:hAnsi="Times New Roman"/>
          <w:sz w:val="20"/>
          <w:szCs w:val="20"/>
          <w:color w:val="auto"/>
        </w:rPr>
        <w:t>the Company and its Affiliates and their related parties or their respective securities. Accordingly, each Lender represents to the Company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For the avoidance of doubt, nothing in this Section 10.14 shall prohibit any Person from voluntarily disclosing or providing any Information within the scope of this confidentiality provision to any governmental, regulatory or self-regulatory organization (any such entity, a “</w:t>
      </w:r>
      <w:r>
        <w:rPr>
          <w:rFonts w:ascii="Times New Roman" w:cs="Times New Roman" w:eastAsia="Times New Roman" w:hAnsi="Times New Roman"/>
          <w:sz w:val="20"/>
          <w:szCs w:val="20"/>
          <w:b w:val="1"/>
          <w:bCs w:val="1"/>
          <w:color w:val="auto"/>
        </w:rPr>
        <w:t>Regulatory Authority</w:t>
      </w:r>
      <w:r>
        <w:rPr>
          <w:rFonts w:ascii="Times New Roman" w:cs="Times New Roman" w:eastAsia="Times New Roman" w:hAnsi="Times New Roman"/>
          <w:sz w:val="20"/>
          <w:szCs w:val="20"/>
          <w:color w:val="auto"/>
        </w:rPr>
        <w:t>”) to the extent that any such prohibition on disclosure set forth in this Section 10.14 shall be prohibited by the laws or regulations applicable to such Regulatory Authority.</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WAIVERS OF JURY TRIAL</w:t>
      </w:r>
      <w:r>
        <w:rPr>
          <w:rFonts w:ascii="Times New Roman" w:cs="Times New Roman" w:eastAsia="Times New Roman" w:hAnsi="Times New Roman"/>
          <w:sz w:val="20"/>
          <w:szCs w:val="20"/>
          <w:color w:val="auto"/>
        </w:rPr>
        <w:t>. THE BORROWERS, THE ADMINISTRATIVE AGENT AND THE LENDERS HEREBY IRREVOCABLY AND UNCONDITIONALLY WAIVE TRIAL BY JURY IN ANY LEGAL ACTION OR PROCEEDING RELATING TO THIS AGREEMENT OR ANY OTHER LOAN DOCUMENT AND FOR ANY COUNTERCLAIM THEREIN.</w:t>
      </w:r>
    </w:p>
    <w:p>
      <w:pPr>
        <w:spacing w:after="0" w:line="191"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Patriot Act; Beneficial Ownership</w:t>
      </w:r>
      <w:r>
        <w:rPr>
          <w:rFonts w:ascii="Times New Roman" w:cs="Times New Roman" w:eastAsia="Times New Roman" w:hAnsi="Times New Roman"/>
          <w:sz w:val="20"/>
          <w:szCs w:val="20"/>
          <w:color w:val="auto"/>
        </w:rPr>
        <w:t>. Each Lender that is subject to the requirements of the Patriot Act of 2001 (the “</w:t>
      </w:r>
      <w:r>
        <w:rPr>
          <w:rFonts w:ascii="Times New Roman" w:cs="Times New Roman" w:eastAsia="Times New Roman" w:hAnsi="Times New Roman"/>
          <w:sz w:val="20"/>
          <w:szCs w:val="20"/>
          <w:b w:val="1"/>
          <w:bCs w:val="1"/>
          <w:color w:val="auto"/>
        </w:rPr>
        <w:t>Patriot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and the Beneficial Ownership Regulation hereby notifies each Borrower and each Guarantor that pursuant to the requirements of the</w:t>
      </w:r>
    </w:p>
    <w:p>
      <w:pPr>
        <w:spacing w:after="0" w:line="213" w:lineRule="auto"/>
        <w:rPr>
          <w:sz w:val="20"/>
          <w:szCs w:val="20"/>
          <w:color w:val="auto"/>
        </w:rPr>
      </w:pPr>
      <w:r>
        <w:rPr>
          <w:rFonts w:ascii="Times New Roman" w:cs="Times New Roman" w:eastAsia="Times New Roman" w:hAnsi="Times New Roman"/>
          <w:sz w:val="20"/>
          <w:szCs w:val="20"/>
          <w:color w:val="auto"/>
        </w:rPr>
        <w:t>Patriot Act and the Beneficial Ownership Regulation, it is required to obtain, verify and record information that identifies each Borrower,</w:t>
      </w:r>
    </w:p>
    <w:p>
      <w:pPr>
        <w:jc w:val="both"/>
        <w:spacing w:after="0" w:line="221" w:lineRule="auto"/>
        <w:rPr>
          <w:sz w:val="20"/>
          <w:szCs w:val="20"/>
          <w:color w:val="auto"/>
        </w:rPr>
      </w:pPr>
      <w:r>
        <w:rPr>
          <w:rFonts w:ascii="Times New Roman" w:cs="Times New Roman" w:eastAsia="Times New Roman" w:hAnsi="Times New Roman"/>
          <w:sz w:val="20"/>
          <w:szCs w:val="20"/>
          <w:color w:val="auto"/>
        </w:rPr>
        <w:t>which information includes the name and address of each Borrower and each Guarantor and other information that will allow such Lender to identify each Borrower and each Guarantor in accordance with the Patriot Act and the Beneficial Ownership Regulation.</w:t>
      </w:r>
    </w:p>
    <w:p>
      <w:pPr>
        <w:spacing w:after="0" w:line="17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10.17. </w:t>
      </w:r>
      <w:r>
        <w:rPr>
          <w:rFonts w:ascii="Times New Roman" w:cs="Times New Roman" w:eastAsia="Times New Roman" w:hAnsi="Times New Roman"/>
          <w:sz w:val="20"/>
          <w:szCs w:val="20"/>
          <w:u w:val="single" w:color="auto"/>
          <w:color w:val="auto"/>
        </w:rPr>
        <w:t>No Fiduciary Duty, Etc</w:t>
      </w:r>
      <w:r>
        <w:rPr>
          <w:rFonts w:ascii="Times New Roman" w:cs="Times New Roman" w:eastAsia="Times New Roman" w:hAnsi="Times New Roman"/>
          <w:sz w:val="20"/>
          <w:szCs w:val="20"/>
          <w:color w:val="auto"/>
        </w:rPr>
        <w:t>. Each Borrower hereby acknowledges and agrees that (a) no fiduciary, advisory or agency relationship between the Loan Parties and the Credit Parties is intended to be or has been created in respect of any of the transactions contemplated by this Agreement or the other Loan Documents, irrespective of whether the Credit Parties have advised or are advising the Loan Parties on other matters, (b) the Credit Parties, on the one hand, and the Loan Parties, on the other hand, have an arm’s length business relationship that does not directly or indirectly give rise to, nor do any of the Loan Parties rely on, any fiduciary duty to any of the Loan Parties or their affiliates on the part of the Credit Parties, (c) the Loan Parties are capable of evaluating and understanding, and the Loan Parties understand and accept, the terms, risks and conditions of the transactions contemplated by this Agreement and the other Loan Documents, (d) the Loan Parties have been advised that the Credit Parties are engaged in a broad range of transactions that may involve interests that differ from the Loan Parties’ interests and that the Credit Parties have no obligation to disclose such interests and transactions to the Loan Parties, (e) the Loan Parties have consulted their own legal, accounting, regulatory and tax advisors to the extent the Loan Parties have deemed appropriate, (f) each Credit Party has been, is, and will be acting solely as a principal and, except as otherwise expressly agreed in writing by it and the relevant parties, has not been, is not, and will not be acting as an advisor, agent or fiduciary for the Loan Parties, any of their affiliates or any other Person and (g) none of the Credit Parties has any obligation to the Loan Parties or their affiliates with respect to the transactions contemplated by this Agreement or the other Loan Documents except those obligations expressly set forth herein or therein or in any other express writing executed and delivered by such Credit Party and the Loan Parties or any such affiliate. In addition, each Borrower acknowledges and agrees, and acknowledges its Subsidiaries’ understanding, that each Credit Party and its affiliates may be providing debt financing, equity capital or other services (including financial advisory services) to other companies in respect of which any Borrower may have conflicting interests regarding the transactions described herein and otherwise. No Credit Party will use confidential information obtained from any Borrower by virtue of the transactions contemplated by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154</w:t>
      </w:r>
    </w:p>
    <w:p>
      <w:pPr>
        <w:sectPr>
          <w:pgSz w:w="11900" w:h="16838" w:orient="portrait"/>
          <w:cols w:equalWidth="0" w:num="1">
            <w:col w:w="11240"/>
          </w:cols>
          <w:pgMar w:left="320" w:top="1413" w:right="339" w:bottom="1440" w:gutter="0" w:footer="0" w:header="0"/>
        </w:sectPr>
      </w:pPr>
    </w:p>
    <w:bookmarkStart w:id="180" w:name="page181"/>
    <w:bookmarkEnd w:id="180"/>
    <w:p>
      <w:pPr>
        <w:jc w:val="both"/>
        <w:spacing w:after="0" w:line="258" w:lineRule="auto"/>
        <w:rPr>
          <w:sz w:val="20"/>
          <w:szCs w:val="20"/>
          <w:color w:val="auto"/>
        </w:rPr>
      </w:pPr>
      <w:r>
        <w:rPr>
          <w:rFonts w:ascii="Times New Roman" w:cs="Times New Roman" w:eastAsia="Times New Roman" w:hAnsi="Times New Roman"/>
          <w:sz w:val="20"/>
          <w:szCs w:val="20"/>
          <w:color w:val="auto"/>
        </w:rPr>
        <w:t>Documents or its other relationships with such Borrower in connection with the performance by such Credit Party of services for other companies, and no Credit Party will furnish any such information to other companies. Each Borrower also acknowledges that no Credit Party has any obligation to use in connection with the transactions contemplated by the Loan Documents, or to furnish to any Borrower, confidential information obtained from other companies.</w:t>
      </w:r>
    </w:p>
    <w:p>
      <w:pPr>
        <w:spacing w:after="0" w:line="18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19"/>
          <w:szCs w:val="19"/>
          <w:u w:val="single" w:color="auto"/>
          <w:color w:val="auto"/>
        </w:rPr>
        <w:t>Usury</w:t>
      </w:r>
      <w:r>
        <w:rPr>
          <w:rFonts w:ascii="Times New Roman" w:cs="Times New Roman" w:eastAsia="Times New Roman" w:hAnsi="Times New Roman"/>
          <w:sz w:val="19"/>
          <w:szCs w:val="19"/>
          <w:color w:val="auto"/>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9"/>
          <w:szCs w:val="19"/>
          <w:b w:val="1"/>
          <w:bCs w:val="1"/>
          <w:color w:val="auto"/>
        </w:rPr>
        <w:t>Maximum Rate</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If Administrative Agent or any Lender shall receive interest in an amount that exceeds the Maximum Rate, the excessive interest shall be applied to the principal of the Obligations or, if it exceeds the unpaid principal, refunded to the applicable Borrower. In determining whether</w:t>
      </w:r>
    </w:p>
    <w:p>
      <w:pPr>
        <w:spacing w:after="0" w:line="211" w:lineRule="auto"/>
        <w:rPr>
          <w:sz w:val="20"/>
          <w:szCs w:val="20"/>
          <w:color w:val="auto"/>
        </w:rPr>
      </w:pPr>
      <w:r>
        <w:rPr>
          <w:rFonts w:ascii="Times New Roman" w:cs="Times New Roman" w:eastAsia="Times New Roman" w:hAnsi="Times New Roman"/>
          <w:sz w:val="20"/>
          <w:szCs w:val="20"/>
          <w:color w:val="auto"/>
        </w:rPr>
        <w:t>the interest contracted for, charged or received by Administrative Agent or any Lender exceeds the Maximum Rate, such Person may, to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extent permitted by applicable law, (a) characterize any payment that is not principal as an expense, fee or premium rather than interest, (b) exclude voluntary prepayments and the effects thereof, and (c) amortize, prorate, allocate and spread, in equal or unequal parts, the total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 of interest throughout the contemplated term of this Agreement.</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0"/>
          <w:szCs w:val="20"/>
          <w:color w:val="auto"/>
        </w:rPr>
        <w:t>10.19.</w:t>
      </w:r>
      <w:r>
        <w:rPr>
          <w:sz w:val="20"/>
          <w:szCs w:val="20"/>
          <w:color w:val="auto"/>
        </w:rPr>
        <w:tab/>
      </w:r>
      <w:r>
        <w:rPr>
          <w:rFonts w:ascii="Times New Roman" w:cs="Times New Roman" w:eastAsia="Times New Roman" w:hAnsi="Times New Roman"/>
          <w:sz w:val="20"/>
          <w:szCs w:val="20"/>
          <w:u w:val="single" w:color="auto"/>
          <w:color w:val="auto"/>
        </w:rPr>
        <w:t>Acknowledgement and Consent to Bail-In of Affected Financial Institutions</w:t>
      </w:r>
      <w:r>
        <w:rPr>
          <w:rFonts w:ascii="Times New Roman" w:cs="Times New Roman" w:eastAsia="Times New Roman" w:hAnsi="Times New Roman"/>
          <w:sz w:val="20"/>
          <w:szCs w:val="20"/>
          <w:color w:val="auto"/>
        </w:rPr>
        <w:t>. Notwithstanding anything to the contrary in</w:t>
      </w:r>
    </w:p>
    <w:p>
      <w:pPr>
        <w:spacing w:after="0" w:line="22"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2" w:lineRule="exact"/>
        <w:rPr>
          <w:sz w:val="20"/>
          <w:szCs w:val="20"/>
          <w:color w:val="auto"/>
        </w:rPr>
      </w:pPr>
    </w:p>
    <w:p>
      <w:pPr>
        <w:ind w:right="20" w:firstLine="656"/>
        <w:spacing w:after="0" w:line="267" w:lineRule="auto"/>
        <w:tabs>
          <w:tab w:leader="none" w:pos="106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29" w:lineRule="exact"/>
        <w:rPr>
          <w:rFonts w:ascii="Times New Roman" w:cs="Times New Roman" w:eastAsia="Times New Roman" w:hAnsi="Times New Roman"/>
          <w:sz w:val="20"/>
          <w:szCs w:val="20"/>
          <w:color w:val="auto"/>
        </w:rPr>
      </w:pPr>
    </w:p>
    <w:p>
      <w:pPr>
        <w:ind w:left="1680" w:hanging="376"/>
        <w:spacing w:after="0"/>
        <w:tabs>
          <w:tab w:leader="none" w:pos="1680"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865"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5"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832" w:val="left"/>
        </w:tabs>
        <w:numPr>
          <w:ilvl w:val="1"/>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7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10.20.</w:t>
      </w:r>
      <w:r>
        <w:rPr>
          <w:sz w:val="20"/>
          <w:szCs w:val="20"/>
          <w:color w:val="auto"/>
        </w:rPr>
        <w:tab/>
      </w:r>
      <w:r>
        <w:rPr>
          <w:rFonts w:ascii="Times New Roman" w:cs="Times New Roman" w:eastAsia="Times New Roman" w:hAnsi="Times New Roman"/>
          <w:sz w:val="19"/>
          <w:szCs w:val="19"/>
          <w:u w:val="single" w:color="auto"/>
          <w:color w:val="auto"/>
        </w:rPr>
        <w:t>Conversion of Currencies</w:t>
      </w:r>
      <w:r>
        <w:rPr>
          <w:rFonts w:ascii="Times New Roman" w:cs="Times New Roman" w:eastAsia="Times New Roman" w:hAnsi="Times New Roman"/>
          <w:sz w:val="19"/>
          <w:szCs w:val="19"/>
          <w:color w:val="auto"/>
        </w:rPr>
        <w:t>.</w:t>
      </w:r>
    </w:p>
    <w:p>
      <w:pPr>
        <w:spacing w:after="0" w:line="28" w:lineRule="exact"/>
        <w:rPr>
          <w:sz w:val="20"/>
          <w:szCs w:val="20"/>
          <w:color w:val="auto"/>
        </w:rPr>
      </w:pPr>
    </w:p>
    <w:p>
      <w:pPr>
        <w:jc w:val="both"/>
        <w:ind w:firstLine="656"/>
        <w:spacing w:after="0" w:line="248" w:lineRule="auto"/>
        <w:tabs>
          <w:tab w:leader="none" w:pos="1117"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9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05"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the Borrowers in respect of any sum due to any party hereto or any holder of the obligations owing hereunder (the “</w:t>
      </w:r>
      <w:r>
        <w:rPr>
          <w:rFonts w:ascii="Times New Roman" w:cs="Times New Roman" w:eastAsia="Times New Roman" w:hAnsi="Times New Roman"/>
          <w:sz w:val="20"/>
          <w:szCs w:val="20"/>
          <w:b w:val="1"/>
          <w:bCs w:val="1"/>
          <w:color w:val="auto"/>
        </w:rPr>
        <w:t>Applicable Creditor</w:t>
      </w:r>
      <w:r>
        <w:rPr>
          <w:rFonts w:ascii="Times New Roman" w:cs="Times New Roman" w:eastAsia="Times New Roman" w:hAnsi="Times New Roman"/>
          <w:sz w:val="20"/>
          <w:szCs w:val="20"/>
          <w:color w:val="auto"/>
        </w:rPr>
        <w:t>”) shall, notwithstanding any judgment in a currency (the “</w:t>
      </w:r>
      <w:r>
        <w:rPr>
          <w:rFonts w:ascii="Times New Roman" w:cs="Times New Roman" w:eastAsia="Times New Roman" w:hAnsi="Times New Roman"/>
          <w:sz w:val="20"/>
          <w:szCs w:val="20"/>
          <w:b w:val="1"/>
          <w:bCs w:val="1"/>
          <w:color w:val="auto"/>
        </w:rPr>
        <w:t>Judgment Currency</w:t>
      </w:r>
      <w:r>
        <w:rPr>
          <w:rFonts w:ascii="Times New Roman" w:cs="Times New Roman" w:eastAsia="Times New Roman" w:hAnsi="Times New Roman"/>
          <w:sz w:val="20"/>
          <w:szCs w:val="20"/>
          <w:color w:val="auto"/>
        </w:rPr>
        <w:t>”) other than the currency in which such sum is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155</w:t>
      </w:r>
    </w:p>
    <w:p>
      <w:pPr>
        <w:sectPr>
          <w:pgSz w:w="11900" w:h="16838" w:orient="portrait"/>
          <w:cols w:equalWidth="0" w:num="1">
            <w:col w:w="11240"/>
          </w:cols>
          <w:pgMar w:left="320" w:top="1413" w:right="339" w:bottom="1440" w:gutter="0" w:footer="0" w:header="0"/>
        </w:sectPr>
      </w:pPr>
    </w:p>
    <w:bookmarkStart w:id="181" w:name="page182"/>
    <w:bookmarkEnd w:id="181"/>
    <w:p>
      <w:pPr>
        <w:jc w:val="both"/>
        <w:spacing w:after="0" w:line="254" w:lineRule="auto"/>
        <w:rPr>
          <w:sz w:val="20"/>
          <w:szCs w:val="20"/>
          <w:color w:val="auto"/>
        </w:rPr>
      </w:pPr>
      <w:r>
        <w:rPr>
          <w:rFonts w:ascii="Times New Roman" w:cs="Times New Roman" w:eastAsia="Times New Roman" w:hAnsi="Times New Roman"/>
          <w:sz w:val="20"/>
          <w:szCs w:val="20"/>
          <w:color w:val="auto"/>
        </w:rPr>
        <w:t>to be due hereunder (the “</w:t>
      </w:r>
      <w:r>
        <w:rPr>
          <w:rFonts w:ascii="Times New Roman" w:cs="Times New Roman" w:eastAsia="Times New Roman" w:hAnsi="Times New Roman"/>
          <w:sz w:val="20"/>
          <w:szCs w:val="20"/>
          <w:b w:val="1"/>
          <w:b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Borrowers agree, as a separate obligation and notwithstanding any such judgment, to indemnify the Applicable Creditor against such loss. The obligations of the Borrowers contained in this Section 10.20 shall survive the termination of this Agreement and the payment of all other amounts owing hereunder.</w:t>
      </w:r>
    </w:p>
    <w:p>
      <w:pPr>
        <w:spacing w:after="0" w:line="177"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10.21. </w:t>
      </w:r>
      <w:r>
        <w:rPr>
          <w:rFonts w:ascii="Times New Roman" w:cs="Times New Roman" w:eastAsia="Times New Roman" w:hAnsi="Times New Roman"/>
          <w:sz w:val="20"/>
          <w:szCs w:val="20"/>
          <w:u w:val="single" w:color="auto"/>
          <w:color w:val="auto"/>
        </w:rPr>
        <w:t>Several Obligations</w:t>
      </w:r>
      <w:r>
        <w:rPr>
          <w:rFonts w:ascii="Times New Roman" w:cs="Times New Roman" w:eastAsia="Times New Roman" w:hAnsi="Times New Roman"/>
          <w:sz w:val="20"/>
          <w:szCs w:val="20"/>
          <w:color w:val="auto"/>
        </w:rPr>
        <w:t>. The respective obligations of the Lenders under this Agreement are several and not joint and no Lender shall be responsible for the failure of any other Lender to satisfy its obligations hereunder.</w:t>
      </w:r>
    </w:p>
    <w:p>
      <w:pPr>
        <w:spacing w:after="0" w:line="16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color w:val="auto"/>
        </w:rPr>
        <w:t xml:space="preserve">10.22. </w:t>
      </w:r>
      <w:r>
        <w:rPr>
          <w:rFonts w:ascii="Times New Roman" w:cs="Times New Roman" w:eastAsia="Times New Roman" w:hAnsi="Times New Roman"/>
          <w:sz w:val="20"/>
          <w:szCs w:val="20"/>
          <w:u w:val="single" w:color="auto"/>
          <w:color w:val="auto"/>
        </w:rPr>
        <w:t>MIRE Events</w:t>
      </w:r>
      <w:r>
        <w:rPr>
          <w:rFonts w:ascii="Times New Roman" w:cs="Times New Roman" w:eastAsia="Times New Roman" w:hAnsi="Times New Roman"/>
          <w:sz w:val="20"/>
          <w:szCs w:val="20"/>
          <w:color w:val="auto"/>
        </w:rPr>
        <w:t>. In connection with any amendment to this Agreement pursuant to which any increase, extension or renewal of Loans is contemplated, the Borrowers shall cause to be delivered to the Administrative Agent and each Revolving Credit Lender for any</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Mortgaged Property, a completed “life of the loan” Federal Emergency Management Agency Standard Flood Hazard Determination and for any Mortgaged Property with a building in a special flood hazard area, an acknowledgment by the applicable Loan Party, and evidence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flood insurance, as may be required pursuant to the Flood Laws.</w:t>
      </w:r>
    </w:p>
    <w:p>
      <w:pPr>
        <w:spacing w:after="0" w:line="180"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20"/>
          <w:szCs w:val="20"/>
          <w:color w:val="auto"/>
        </w:rPr>
        <w:t>10.23.</w:t>
      </w:r>
      <w:r>
        <w:rPr>
          <w:sz w:val="20"/>
          <w:szCs w:val="20"/>
          <w:color w:val="auto"/>
        </w:rPr>
        <w:tab/>
      </w:r>
      <w:r>
        <w:rPr>
          <w:rFonts w:ascii="Times New Roman" w:cs="Times New Roman" w:eastAsia="Times New Roman" w:hAnsi="Times New Roman"/>
          <w:sz w:val="19"/>
          <w:szCs w:val="19"/>
          <w:u w:val="single" w:color="auto"/>
          <w:color w:val="auto"/>
        </w:rPr>
        <w:t>Acknowledgment Regarding Any Supported QFCs</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both"/>
        <w:ind w:firstLine="656"/>
        <w:spacing w:after="0" w:line="249" w:lineRule="auto"/>
        <w:tabs>
          <w:tab w:leader="none" w:pos="109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color w:val="auto"/>
        </w:rPr>
        <w:t>Supported QFC</w:t>
      </w:r>
      <w:r>
        <w:rPr>
          <w:rFonts w:ascii="Times New Roman" w:cs="Times New Roman" w:eastAsia="Times New Roman" w:hAnsi="Times New Roman"/>
          <w:sz w:val="20"/>
          <w:szCs w:val="20"/>
          <w:color w:val="auto"/>
        </w:rPr>
        <w:t>”), the parties hereto acknowledge and agree as set forth in clause (b) below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b w:val="1"/>
          <w:bCs w:val="1"/>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rFonts w:ascii="Times New Roman" w:cs="Times New Roman" w:eastAsia="Times New Roman" w:hAnsi="Times New Roman"/>
          <w:sz w:val="20"/>
          <w:szCs w:val="20"/>
          <w:color w:val="auto"/>
        </w:rPr>
      </w:pPr>
    </w:p>
    <w:p>
      <w:pPr>
        <w:jc w:val="both"/>
        <w:ind w:firstLine="656"/>
        <w:spacing w:after="0" w:line="251" w:lineRule="auto"/>
        <w:tabs>
          <w:tab w:leader="none" w:pos="1139"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156</w:t>
      </w:r>
    </w:p>
    <w:p>
      <w:pPr>
        <w:sectPr>
          <w:pgSz w:w="11900" w:h="16838" w:orient="portrait"/>
          <w:cols w:equalWidth="0" w:num="1">
            <w:col w:w="11240"/>
          </w:cols>
          <w:pgMar w:left="320" w:top="1409" w:right="339" w:bottom="1440" w:gutter="0" w:footer="0" w:header="0"/>
        </w:sectPr>
      </w:pPr>
    </w:p>
    <w:bookmarkStart w:id="182" w:name="page183"/>
    <w:bookmarkEnd w:id="182"/>
    <w:p>
      <w:pPr>
        <w:jc w:val="center"/>
        <w:ind w:right="19"/>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Remainder of page intentionally left blank</w:t>
      </w:r>
      <w:r>
        <w:rPr>
          <w:rFonts w:ascii="Times New Roman" w:cs="Times New Roman" w:eastAsia="Times New Roman" w:hAnsi="Times New Roman"/>
          <w:sz w:val="19"/>
          <w:szCs w:val="19"/>
          <w:color w:val="auto"/>
        </w:rPr>
        <w:t>]</w:t>
      </w: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157</w:t>
      </w:r>
    </w:p>
    <w:sectPr>
      <w:pgSz w:w="11900" w:h="16838" w:orient="portrait"/>
      <w:cols w:equalWidth="0" w:num="1">
        <w:col w:w="9019"/>
      </w:cols>
      <w:pgMar w:left="1440" w:top="140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1"/>
      <w:numFmt w:val="decimal"/>
      <w:start w:val="104"/>
    </w:lvl>
  </w:abstractNum>
  <w:abstractNum w:abstractNumId="2">
    <w:nsid w:val="5F3534A4"/>
    <w:multiLevelType w:val="hybridMultilevel"/>
    <w:lvl w:ilvl="0">
      <w:lvlJc w:val="left"/>
      <w:lvlText w:val="%1."/>
      <w:numFmt w:val="decimal"/>
      <w:start w:val="1"/>
    </w:lvl>
  </w:abstractNum>
  <w:abstractNum w:abstractNumId="3">
    <w:nsid w:val="73A1821B"/>
    <w:multiLevelType w:val="hybridMultilevel"/>
    <w:lvl w:ilvl="0">
      <w:lvlJc w:val="left"/>
      <w:lvlText w:val="(%1)"/>
      <w:numFmt w:val="lowerLetter"/>
      <w:start w:val="1"/>
    </w:lvl>
  </w:abstractNum>
  <w:abstractNum w:abstractNumId="4">
    <w:nsid w:val="7DE67713"/>
    <w:multiLevelType w:val="hybridMultilevel"/>
    <w:lvl w:ilvl="0">
      <w:lvlJc w:val="left"/>
      <w:lvlText w:val="(%1)"/>
      <w:numFmt w:val="lowerLetter"/>
      <w:start w:val="2"/>
    </w:lvl>
  </w:abstractNum>
  <w:abstractNum w:abstractNumId="5">
    <w:nsid w:val="555C55B5"/>
    <w:multiLevelType w:val="hybridMultilevel"/>
    <w:lvl w:ilvl="0">
      <w:lvlJc w:val="left"/>
      <w:lvlText w:val="%1"/>
      <w:numFmt w:val="lowerLetter"/>
      <w:start w:val="1"/>
    </w:lvl>
    <w:lvl w:ilvl="1">
      <w:lvlJc w:val="left"/>
      <w:lvlText w:val="(%2)"/>
      <w:numFmt w:val="lowerLetter"/>
      <w:start w:val="35"/>
    </w:lvl>
  </w:abstractNum>
  <w:abstractNum w:abstractNumId="6">
    <w:nsid w:val="3FA62ACA"/>
    <w:multiLevelType w:val="hybridMultilevel"/>
    <w:lvl w:ilvl="0">
      <w:lvlJc w:val="left"/>
      <w:lvlText w:val="(%1)"/>
      <w:numFmt w:val="lowerLetter"/>
      <w:start w:val="3"/>
    </w:lvl>
    <w:lvl w:ilvl="1">
      <w:lvlJc w:val="left"/>
      <w:lvlText w:val="%2"/>
      <w:numFmt w:val="lowerLetter"/>
      <w:start w:val="1"/>
    </w:lvl>
  </w:abstractNum>
  <w:abstractNum w:abstractNumId="7">
    <w:nsid w:val="14FCE74E"/>
    <w:multiLevelType w:val="hybridMultilevel"/>
    <w:lvl w:ilvl="0">
      <w:lvlJc w:val="left"/>
      <w:lvlText w:val="(%1)"/>
      <w:numFmt w:val="lowerLetter"/>
      <w:start w:val="1"/>
    </w:lvl>
  </w:abstractNum>
  <w:abstractNum w:abstractNumId="8">
    <w:nsid w:val="6A3DD3E8"/>
    <w:multiLevelType w:val="hybridMultilevel"/>
    <w:lvl w:ilvl="0">
      <w:lvlJc w:val="left"/>
      <w:lvlText w:val="%1."/>
      <w:numFmt w:val="decimal"/>
      <w:start w:val="4"/>
    </w:lvl>
  </w:abstractNum>
  <w:abstractNum w:abstractNumId="9">
    <w:nsid w:val="71C91298"/>
    <w:multiLevelType w:val="hybridMultilevel"/>
    <w:lvl w:ilvl="0">
      <w:lvlJc w:val="left"/>
      <w:lvlText w:val="(%1)"/>
      <w:numFmt w:val="lowerLetter"/>
      <w:start w:val="1"/>
    </w:lvl>
  </w:abstractNum>
  <w:abstractNum w:abstractNumId="10">
    <w:nsid w:val="9DAF632"/>
    <w:multiLevelType w:val="hybridMultilevel"/>
    <w:lvl w:ilvl="0">
      <w:lvlJc w:val="left"/>
      <w:lvlText w:val="%1"/>
      <w:numFmt w:val="decimal"/>
      <w:start w:val="1"/>
    </w:lvl>
    <w:lvl w:ilvl="1">
      <w:lvlJc w:val="left"/>
      <w:lvlText w:val="(%2)"/>
      <w:numFmt w:val="lowerLetter"/>
      <w:start w:val="8"/>
    </w:lvl>
  </w:abstractNum>
  <w:abstractNum w:abstractNumId="11">
    <w:nsid w:val="53299938"/>
    <w:multiLevelType w:val="hybridMultilevel"/>
    <w:lvl w:ilvl="0">
      <w:lvlJc w:val="left"/>
      <w:lvlText w:val="%1."/>
      <w:numFmt w:val="decimal"/>
      <w:start w:val="6"/>
    </w:lvl>
    <w:lvl w:ilvl="1">
      <w:lvlJc w:val="left"/>
      <w:lvlText w:val="(%2)"/>
      <w:numFmt w:val="lowerLetter"/>
      <w:start w:val="1"/>
    </w:lvl>
  </w:abstractNum>
  <w:abstractNum w:abstractNumId="12">
    <w:nsid w:val="1FBFE8E0"/>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3"/>
    </w:lvl>
  </w:abstractNum>
  <w:abstractNum w:abstractNumId="13">
    <w:nsid w:val="5092CA79"/>
    <w:multiLevelType w:val="hybridMultilevel"/>
    <w:lvl w:ilvl="0">
      <w:lvlJc w:val="left"/>
      <w:lvlText w:val="%1"/>
      <w:numFmt w:val="decimal"/>
      <w:start w:val="1"/>
    </w:lvl>
    <w:lvl w:ilvl="1">
      <w:lvlJc w:val="left"/>
      <w:lvlText w:val="(%2)"/>
      <w:numFmt w:val="lowerLetter"/>
      <w:start w:val="1"/>
    </w:lvl>
  </w:abstractNum>
  <w:abstractNum w:abstractNumId="14">
    <w:nsid w:val="1D545C4D"/>
    <w:multiLevelType w:val="hybridMultilevel"/>
    <w:lvl w:ilvl="0">
      <w:lvlJc w:val="left"/>
      <w:lvlText w:val="%1."/>
      <w:numFmt w:val="decimal"/>
      <w:start w:val="8"/>
    </w:lvl>
    <w:lvl w:ilvl="1">
      <w:lvlJc w:val="left"/>
      <w:lvlText w:val="(%2)"/>
      <w:numFmt w:val="lowerLetter"/>
      <w:start w:val="1"/>
    </w:lvl>
  </w:abstractNum>
  <w:abstractNum w:abstractNumId="15">
    <w:nsid w:val="59ADEA3D"/>
    <w:multiLevelType w:val="hybridMultilevel"/>
    <w:lvl w:ilvl="0">
      <w:lvlJc w:val="left"/>
      <w:lvlText w:val="%1."/>
      <w:numFmt w:val="decimal"/>
      <w:start w:val="9"/>
    </w:lvl>
  </w:abstractNum>
  <w:abstractNum w:abstractNumId="16">
    <w:nsid w:val="288F1A34"/>
    <w:multiLevelType w:val="hybridMultilevel"/>
    <w:lvl w:ilvl="0">
      <w:lvlJc w:val="left"/>
      <w:lvlText w:val="(%1)"/>
      <w:numFmt w:val="lowerLetter"/>
      <w:start w:val="1"/>
    </w:lvl>
    <w:lvl w:ilvl="1">
      <w:lvlJc w:val="left"/>
      <w:lvlText w:val="(%2)"/>
      <w:numFmt w:val="lowerRoman"/>
      <w:start w:val="1"/>
    </w:lvl>
  </w:abstractNum>
  <w:abstractNum w:abstractNumId="17">
    <w:nsid w:val="2A155DBC"/>
    <w:multiLevelType w:val="hybridMultilevel"/>
    <w:lvl w:ilvl="0">
      <w:lvlJc w:val="left"/>
      <w:lvlText w:val="%1"/>
      <w:numFmt w:val="lowerRoman"/>
      <w:start w:val="1"/>
    </w:lvl>
    <w:lvl w:ilvl="1">
      <w:lvlJc w:val="left"/>
      <w:lvlText w:val="(%2)"/>
      <w:numFmt w:val="lowerRoman"/>
      <w:start w:val="6"/>
    </w:lvl>
  </w:abstractNum>
  <w:abstractNum w:abstractNumId="18">
    <w:nsid w:val="1D9F6E5F"/>
    <w:multiLevelType w:val="hybridMultilevel"/>
    <w:lvl w:ilvl="0">
      <w:lvlJc w:val="left"/>
      <w:lvlText w:val="(%1)"/>
      <w:numFmt w:val="lowerRoman"/>
      <w:start w:val="5"/>
    </w:lvl>
    <w:lvl w:ilvl="1">
      <w:lvlJc w:val="left"/>
      <w:lvlText w:val="(%2)"/>
      <w:numFmt w:val="lowerRoman"/>
      <w:start w:val="7"/>
    </w:lvl>
  </w:abstractNum>
  <w:abstractNum w:abstractNumId="19">
    <w:nsid w:val="97E1B4E"/>
    <w:multiLevelType w:val="hybridMultilevel"/>
    <w:lvl w:ilvl="0">
      <w:lvlJc w:val="left"/>
      <w:lvlText w:val="(%1)"/>
      <w:numFmt w:val="lowerLetter"/>
      <w:start w:val="2"/>
    </w:lvl>
  </w:abstractNum>
  <w:abstractNum w:abstractNumId="20">
    <w:nsid w:val="51088277"/>
    <w:multiLevelType w:val="hybridMultilevel"/>
    <w:lvl w:ilvl="0">
      <w:lvlJc w:val="left"/>
      <w:lvlText w:val="(%1)"/>
      <w:numFmt w:val="decimal"/>
      <w:start w:val="1"/>
    </w:lvl>
  </w:abstractNum>
  <w:abstractNum w:abstractNumId="21">
    <w:nsid w:val="1CA0C5FA"/>
    <w:multiLevelType w:val="hybridMultilevel"/>
    <w:lvl w:ilvl="0">
      <w:lvlJc w:val="left"/>
      <w:lvlText w:val="(%1)"/>
      <w:numFmt w:val="decimal"/>
      <w:start w:val="1"/>
    </w:lvl>
  </w:abstractNum>
  <w:abstractNum w:abstractNumId="22">
    <w:nsid w:val="53584BCB"/>
    <w:multiLevelType w:val="hybridMultilevel"/>
    <w:lvl w:ilvl="0">
      <w:lvlJc w:val="left"/>
      <w:lvlText w:val="(%1)"/>
      <w:numFmt w:val="decimal"/>
      <w:start w:val="1"/>
    </w:lvl>
  </w:abstractNum>
  <w:abstractNum w:abstractNumId="23">
    <w:nsid w:val="415E286C"/>
    <w:multiLevelType w:val="hybridMultilevel"/>
    <w:lvl w:ilvl="0">
      <w:lvlJc w:val="left"/>
      <w:lvlText w:val="(%1)"/>
      <w:numFmt w:val="decimal"/>
      <w:start w:val="2"/>
    </w:lvl>
  </w:abstractNum>
  <w:abstractNum w:abstractNumId="24">
    <w:nsid w:val="7C58FD05"/>
    <w:multiLevelType w:val="hybridMultilevel"/>
    <w:lvl w:ilvl="0">
      <w:lvlJc w:val="left"/>
      <w:lvlText w:val="(%1)"/>
      <w:numFmt w:val="lowerLetter"/>
      <w:start w:val="1"/>
    </w:lvl>
  </w:abstractNum>
  <w:abstractNum w:abstractNumId="25">
    <w:nsid w:val="23D86AAC"/>
    <w:multiLevelType w:val="hybridMultilevel"/>
    <w:lvl w:ilvl="0">
      <w:lvlJc w:val="left"/>
      <w:lvlText w:val="(%1)"/>
      <w:numFmt w:val="lowerLetter"/>
      <w:start w:val="1"/>
    </w:lvl>
  </w:abstractNum>
  <w:abstractNum w:abstractNumId="26">
    <w:nsid w:val="45E6D486"/>
    <w:multiLevelType w:val="hybridMultilevel"/>
    <w:lvl w:ilvl="0">
      <w:lvlJc w:val="left"/>
      <w:lvlText w:val="(%1)"/>
      <w:numFmt w:val="lowerLetter"/>
      <w:start w:val="7"/>
    </w:lvl>
  </w:abstractNum>
  <w:abstractNum w:abstractNumId="27">
    <w:nsid w:val="5C10FE21"/>
    <w:multiLevelType w:val="hybridMultilevel"/>
    <w:lvl w:ilvl="0">
      <w:lvlJc w:val="left"/>
      <w:lvlText w:val="(%1)"/>
      <w:numFmt w:val="lowerLetter"/>
      <w:start w:val="14"/>
    </w:lvl>
  </w:abstractNum>
  <w:abstractNum w:abstractNumId="28">
    <w:nsid w:val="E7FFA2B"/>
    <w:multiLevelType w:val="hybridMultilevel"/>
    <w:lvl w:ilvl="0">
      <w:lvlJc w:val="left"/>
      <w:lvlText w:val="(%1)"/>
      <w:numFmt w:val="lowerLetter"/>
      <w:start w:val="1"/>
    </w:lvl>
  </w:abstractNum>
  <w:abstractNum w:abstractNumId="29">
    <w:nsid w:val="3C5991AA"/>
    <w:multiLevelType w:val="hybridMultilevel"/>
    <w:lvl w:ilvl="0">
      <w:lvlJc w:val="left"/>
      <w:lvlText w:val="(%1)"/>
      <w:numFmt w:val="lowerLetter"/>
      <w:start w:val="24"/>
    </w:lvl>
    <w:lvl w:ilvl="1">
      <w:lvlJc w:val="left"/>
      <w:lvlText w:val="(%2)"/>
      <w:numFmt w:val="lowerLetter"/>
      <w:start w:val="7"/>
    </w:lvl>
  </w:abstractNum>
  <w:abstractNum w:abstractNumId="30">
    <w:nsid w:val="4BD8591A"/>
    <w:multiLevelType w:val="hybridMultilevel"/>
    <w:lvl w:ilvl="0">
      <w:lvlJc w:val="left"/>
      <w:lvlText w:val="(%1)"/>
      <w:numFmt w:val="lowerLetter"/>
      <w:start w:val="9"/>
    </w:lvl>
  </w:abstractNum>
  <w:abstractNum w:abstractNumId="31">
    <w:nsid w:val="78DF6A55"/>
    <w:multiLevelType w:val="hybridMultilevel"/>
    <w:lvl w:ilvl="0">
      <w:lvlJc w:val="left"/>
      <w:lvlText w:val="(%1)"/>
      <w:numFmt w:val="lowerRoman"/>
      <w:start w:val="1"/>
    </w:lvl>
  </w:abstractNum>
  <w:abstractNum w:abstractNumId="32">
    <w:nsid w:val="39B7AAA2"/>
    <w:multiLevelType w:val="hybridMultilevel"/>
    <w:lvl w:ilvl="0">
      <w:lvlJc w:val="left"/>
      <w:lvlText w:val="(%1)"/>
      <w:numFmt w:val="lowerRoman"/>
      <w:start w:val="12"/>
    </w:lvl>
  </w:abstractNum>
  <w:abstractNum w:abstractNumId="33">
    <w:nsid w:val="2B0D8DBE"/>
    <w:multiLevelType w:val="hybridMultilevel"/>
    <w:lvl w:ilvl="0">
      <w:lvlJc w:val="left"/>
      <w:lvlText w:val="(%1)"/>
      <w:numFmt w:val="lowerLetter"/>
      <w:start w:val="1"/>
    </w:lvl>
  </w:abstractNum>
  <w:abstractNum w:abstractNumId="34">
    <w:nsid w:val="6C80EC70"/>
    <w:multiLevelType w:val="hybridMultilevel"/>
    <w:lvl w:ilvl="0">
      <w:lvlJc w:val="left"/>
      <w:lvlText w:val="(%1)"/>
      <w:numFmt w:val="lowerRoman"/>
      <w:start w:val="2"/>
    </w:lvl>
  </w:abstractNum>
  <w:abstractNum w:abstractNumId="35">
    <w:nsid w:val="379E21B5"/>
    <w:multiLevelType w:val="hybridMultilevel"/>
    <w:lvl w:ilvl="0">
      <w:lvlJc w:val="left"/>
      <w:lvlText w:val="(%1)"/>
      <w:numFmt w:val="lowerLetter"/>
      <w:start w:val="1"/>
    </w:lvl>
  </w:abstractNum>
  <w:abstractNum w:abstractNumId="36">
    <w:nsid w:val="69E373"/>
    <w:multiLevelType w:val="hybridMultilevel"/>
    <w:lvl w:ilvl="0">
      <w:lvlJc w:val="left"/>
      <w:lvlText w:val="(%1)"/>
      <w:numFmt w:val="lowerRoman"/>
      <w:start w:val="1"/>
    </w:lvl>
  </w:abstractNum>
  <w:abstractNum w:abstractNumId="37">
    <w:nsid w:val="2C27173B"/>
    <w:multiLevelType w:val="hybridMultilevel"/>
    <w:lvl w:ilvl="0">
      <w:lvlJc w:val="left"/>
      <w:lvlText w:val="(%1)"/>
      <w:numFmt w:val="lowerLetter"/>
      <w:start w:val="1"/>
    </w:lvl>
  </w:abstractNum>
  <w:abstractNum w:abstractNumId="38">
    <w:nsid w:val="4C9B0904"/>
    <w:multiLevelType w:val="hybridMultilevel"/>
    <w:lvl w:ilvl="0">
      <w:lvlJc w:val="left"/>
      <w:lvlText w:val="%1"/>
      <w:numFmt w:val="lowerLetter"/>
      <w:start w:val="1"/>
    </w:lvl>
    <w:lvl w:ilvl="1">
      <w:lvlJc w:val="left"/>
      <w:lvlText w:val="(%2)"/>
      <w:numFmt w:val="lowerLetter"/>
      <w:start w:val="3"/>
    </w:lvl>
  </w:abstractNum>
  <w:abstractNum w:abstractNumId="39">
    <w:nsid w:val="6AA7B75C"/>
    <w:multiLevelType w:val="hybridMultilevel"/>
    <w:lvl w:ilvl="0">
      <w:lvlJc w:val="left"/>
      <w:lvlText w:val="(%1)"/>
      <w:numFmt w:val="lowerLetter"/>
      <w:start w:val="25"/>
    </w:lvl>
    <w:lvl w:ilvl="1">
      <w:lvlJc w:val="left"/>
      <w:lvlText w:val="%2"/>
      <w:numFmt w:val="lowerLetter"/>
      <w:start w:val="1"/>
    </w:lvl>
  </w:abstractNum>
  <w:abstractNum w:abstractNumId="40">
    <w:nsid w:val="1DF029D3"/>
    <w:multiLevelType w:val="hybridMultilevel"/>
    <w:lvl w:ilvl="0">
      <w:lvlJc w:val="left"/>
      <w:lvlText w:val="(%1)"/>
      <w:numFmt w:val="lowerLetter"/>
      <w:start w:val="1"/>
    </w:lvl>
  </w:abstractNum>
  <w:abstractNum w:abstractNumId="41">
    <w:nsid w:val="5675FF36"/>
    <w:multiLevelType w:val="hybridMultilevel"/>
    <w:lvl w:ilvl="0">
      <w:lvlJc w:val="left"/>
      <w:lvlText w:val="(%1)"/>
      <w:numFmt w:val="lowerRoman"/>
      <w:start w:val="4"/>
    </w:lvl>
    <w:lvl w:ilvl="1">
      <w:lvlJc w:val="left"/>
      <w:lvlText w:val="(%2)"/>
      <w:numFmt w:val="lowerLetter"/>
      <w:start w:val="3"/>
    </w:lvl>
  </w:abstractNum>
  <w:abstractNum w:abstractNumId="42">
    <w:nsid w:val="3DD15094"/>
    <w:multiLevelType w:val="hybridMultilevel"/>
    <w:lvl w:ilvl="0">
      <w:lvlJc w:val="left"/>
      <w:lvlText w:val="(%1)"/>
      <w:numFmt w:val="lowerLetter"/>
      <w:start w:val="7"/>
    </w:lvl>
  </w:abstractNum>
  <w:abstractNum w:abstractNumId="43">
    <w:nsid w:val="3DB012B3"/>
    <w:multiLevelType w:val="hybridMultilevel"/>
    <w:lvl w:ilvl="0">
      <w:lvlJc w:val="left"/>
      <w:lvlText w:val="(%1)"/>
      <w:numFmt w:val="lowerLetter"/>
      <w:start w:val="1"/>
    </w:lvl>
  </w:abstractNum>
  <w:abstractNum w:abstractNumId="44">
    <w:nsid w:val="2708C9AF"/>
    <w:multiLevelType w:val="hybridMultilevel"/>
    <w:lvl w:ilvl="0">
      <w:lvlJc w:val="left"/>
      <w:lvlText w:val="(%1)"/>
      <w:numFmt w:val="lowerLetter"/>
      <w:start w:val="5"/>
    </w:lvl>
  </w:abstractNum>
  <w:abstractNum w:abstractNumId="45">
    <w:nsid w:val="5B25ACE2"/>
    <w:multiLevelType w:val="hybridMultilevel"/>
    <w:lvl w:ilvl="0">
      <w:lvlJc w:val="left"/>
      <w:lvlText w:val="(%1)"/>
      <w:numFmt w:val="lowerLetter"/>
      <w:start w:val="1"/>
    </w:lvl>
  </w:abstractNum>
  <w:abstractNum w:abstractNumId="46">
    <w:nsid w:val="175DFCF0"/>
    <w:multiLevelType w:val="hybridMultilevel"/>
    <w:lvl w:ilvl="0">
      <w:lvlJc w:val="left"/>
      <w:lvlText w:val="(%1)"/>
      <w:numFmt w:val="lowerLetter"/>
      <w:start w:val="3"/>
    </w:lvl>
  </w:abstractNum>
  <w:abstractNum w:abstractNumId="47">
    <w:nsid w:val="4F97E3E4"/>
    <w:multiLevelType w:val="hybridMultilevel"/>
    <w:lvl w:ilvl="0">
      <w:lvlJc w:val="left"/>
      <w:lvlText w:val="(%1)"/>
      <w:numFmt w:val="decimal"/>
      <w:start w:val="1"/>
    </w:lvl>
    <w:lvl w:ilvl="1">
      <w:lvlJc w:val="left"/>
      <w:lvlText w:val="(%2)"/>
      <w:numFmt w:val="lowerLetter"/>
      <w:start w:val="5"/>
    </w:lvl>
  </w:abstractNum>
  <w:abstractNum w:abstractNumId="48">
    <w:nsid w:val="53B0A9E"/>
    <w:multiLevelType w:val="hybridMultilevel"/>
    <w:lvl w:ilvl="0">
      <w:lvlJc w:val="left"/>
      <w:lvlText w:val="(%1)"/>
      <w:numFmt w:val="lowerLetter"/>
      <w:start w:val="24"/>
    </w:lvl>
    <w:lvl w:ilvl="1">
      <w:lvlJc w:val="left"/>
      <w:lvlText w:val="(%2)"/>
      <w:numFmt w:val="lowerLetter"/>
      <w:start w:val="9"/>
    </w:lvl>
  </w:abstractNum>
  <w:abstractNum w:abstractNumId="49">
    <w:nsid w:val="34FD6B4F"/>
    <w:multiLevelType w:val="hybridMultilevel"/>
    <w:lvl w:ilvl="0">
      <w:lvlJc w:val="left"/>
      <w:lvlText w:val="(%1)"/>
      <w:numFmt w:val="lowerLetter"/>
      <w:start w:val="1"/>
    </w:lvl>
  </w:abstractNum>
  <w:abstractNum w:abstractNumId="50">
    <w:nsid w:val="5915FF32"/>
    <w:multiLevelType w:val="hybridMultilevel"/>
    <w:lvl w:ilvl="0">
      <w:lvlJc w:val="left"/>
      <w:lvlText w:val="(%1)"/>
      <w:numFmt w:val="lowerLetter"/>
      <w:start w:val="3"/>
    </w:lvl>
  </w:abstractNum>
  <w:abstractNum w:abstractNumId="51">
    <w:nsid w:val="56438D15"/>
    <w:multiLevelType w:val="hybridMultilevel"/>
    <w:lvl w:ilvl="0">
      <w:lvlJc w:val="left"/>
      <w:lvlText w:val="(%1)"/>
      <w:numFmt w:val="lowerLetter"/>
      <w:start w:val="1"/>
    </w:lvl>
  </w:abstractNum>
  <w:abstractNum w:abstractNumId="52">
    <w:nsid w:val="519E3149"/>
    <w:multiLevelType w:val="hybridMultilevel"/>
    <w:lvl w:ilvl="0">
      <w:lvlJc w:val="left"/>
      <w:lvlText w:val="%1"/>
      <w:numFmt w:val="lowerRoman"/>
      <w:start w:val="1"/>
    </w:lvl>
    <w:lvl w:ilvl="1">
      <w:lvlJc w:val="left"/>
      <w:lvlText w:val="(%2)"/>
      <w:numFmt w:val="lowerLetter"/>
      <w:start w:val="1"/>
    </w:lvl>
  </w:abstractNum>
  <w:abstractNum w:abstractNumId="53">
    <w:nsid w:val="2C6E4AFD"/>
    <w:multiLevelType w:val="hybridMultilevel"/>
    <w:lvl w:ilvl="0">
      <w:lvlJc w:val="left"/>
      <w:lvlText w:val="(%1)"/>
      <w:numFmt w:val="lowerRoman"/>
      <w:start w:val="1"/>
    </w:lvl>
    <w:lvl w:ilvl="1">
      <w:lvlJc w:val="left"/>
      <w:lvlText w:val="(%2)"/>
      <w:numFmt w:val="lowerLetter"/>
      <w:start w:val="2"/>
    </w:lvl>
  </w:abstractNum>
  <w:abstractNum w:abstractNumId="54">
    <w:nsid w:val="17A1B582"/>
    <w:multiLevelType w:val="hybridMultilevel"/>
    <w:lvl w:ilvl="0">
      <w:lvlJc w:val="left"/>
      <w:lvlText w:val="(%1)"/>
      <w:numFmt w:val="lowerLetter"/>
      <w:start w:val="4"/>
    </w:lvl>
  </w:abstractNum>
  <w:abstractNum w:abstractNumId="55">
    <w:nsid w:val="4DF72E4E"/>
    <w:multiLevelType w:val="hybridMultilevel"/>
    <w:lvl w:ilvl="0">
      <w:lvlJc w:val="left"/>
      <w:lvlText w:val="%1"/>
      <w:numFmt w:val="lowerLetter"/>
      <w:start w:val="1"/>
    </w:lvl>
    <w:lvl w:ilvl="1">
      <w:lvlJc w:val="left"/>
      <w:lvlText w:val="(%2)"/>
      <w:numFmt w:val="lowerLetter"/>
      <w:start w:val="1"/>
    </w:lvl>
  </w:abstractNum>
  <w:abstractNum w:abstractNumId="56">
    <w:nsid w:val="5046B5A9"/>
    <w:multiLevelType w:val="hybridMultilevel"/>
    <w:lvl w:ilvl="0">
      <w:lvlJc w:val="left"/>
      <w:lvlText w:val="(%1)"/>
      <w:numFmt w:val="lowerLetter"/>
      <w:start w:val="2"/>
    </w:lvl>
    <w:lvl w:ilvl="1">
      <w:lvlJc w:val="left"/>
      <w:lvlText w:val="(%2)"/>
      <w:numFmt w:val="lowerLetter"/>
      <w:start w:val="2"/>
    </w:lvl>
  </w:abstractNum>
  <w:abstractNum w:abstractNumId="57">
    <w:nsid w:val="5D888A08"/>
    <w:multiLevelType w:val="hybridMultilevel"/>
    <w:lvl w:ilvl="0">
      <w:lvlJc w:val="left"/>
      <w:lvlText w:val="(%1)"/>
      <w:numFmt w:val="lowerLetter"/>
      <w:start w:val="1"/>
    </w:lvl>
  </w:abstractNum>
  <w:abstractNum w:abstractNumId="58">
    <w:nsid w:val="2A082C70"/>
    <w:multiLevelType w:val="hybridMultilevel"/>
    <w:lvl w:ilvl="0">
      <w:lvlJc w:val="left"/>
      <w:lvlText w:val="%1"/>
      <w:numFmt w:val="lowerLetter"/>
      <w:start w:val="1"/>
    </w:lvl>
    <w:lvl w:ilvl="1">
      <w:lvlJc w:val="left"/>
      <w:lvlText w:val="(%2)"/>
      <w:numFmt w:val="lowerLetter"/>
      <w:start w:val="1"/>
    </w:lvl>
  </w:abstractNum>
  <w:abstractNum w:abstractNumId="59">
    <w:nsid w:val="5EC6AFD4"/>
    <w:multiLevelType w:val="hybridMultilevel"/>
    <w:lvl w:ilvl="0">
      <w:lvlJc w:val="left"/>
      <w:lvlText w:val="(%1)"/>
      <w:numFmt w:val="lowerLetter"/>
      <w:start w:val="9"/>
    </w:lvl>
    <w:lvl w:ilvl="1">
      <w:lvlJc w:val="left"/>
      <w:lvlText w:val="%2"/>
      <w:numFmt w:val="lowerLetter"/>
      <w:start w:val="1"/>
    </w:lvl>
  </w:abstractNum>
  <w:abstractNum w:abstractNumId="60">
    <w:nsid w:val="19E21BB2"/>
    <w:multiLevelType w:val="hybridMultilevel"/>
    <w:lvl w:ilvl="0">
      <w:lvlJc w:val="left"/>
      <w:lvlText w:val="%1"/>
      <w:numFmt w:val="lowerLetter"/>
      <w:start w:val="1"/>
    </w:lvl>
    <w:lvl w:ilvl="1">
      <w:lvlJc w:val="left"/>
      <w:lvlText w:val="(%2)"/>
      <w:numFmt w:val="lowerRoman"/>
      <w:start w:val="1"/>
    </w:lvl>
  </w:abstractNum>
  <w:abstractNum w:abstractNumId="61">
    <w:nsid w:val="75E0858A"/>
    <w:multiLevelType w:val="hybridMultilevel"/>
    <w:lvl w:ilvl="0">
      <w:lvlJc w:val="left"/>
      <w:lvlText w:val="(%1)"/>
      <w:numFmt w:val="lowerLetter"/>
      <w:start w:val="3"/>
    </w:lvl>
    <w:lvl w:ilvl="1">
      <w:lvlJc w:val="left"/>
      <w:lvlText w:val="%2"/>
      <w:numFmt w:val="lowerRoman"/>
      <w:start w:val="1"/>
    </w:lvl>
  </w:abstractNum>
  <w:abstractNum w:abstractNumId="62">
    <w:nsid w:val="57A61A29"/>
    <w:multiLevelType w:val="hybridMultilevel"/>
    <w:lvl w:ilvl="0">
      <w:lvlJc w:val="left"/>
      <w:lvlText w:val="%1"/>
      <w:numFmt w:val="lowerRoman"/>
      <w:start w:val="1"/>
    </w:lvl>
    <w:lvl w:ilvl="1">
      <w:lvlJc w:val="left"/>
      <w:lvlText w:val="(%2)"/>
      <w:numFmt w:val="lowerLetter"/>
      <w:start w:val="6"/>
    </w:lvl>
  </w:abstractNum>
  <w:abstractNum w:abstractNumId="63">
    <w:nsid w:val="5399C654"/>
    <w:multiLevelType w:val="hybridMultilevel"/>
    <w:lvl w:ilvl="0">
      <w:lvlJc w:val="left"/>
      <w:lvlText w:val="(%1)"/>
      <w:numFmt w:val="lowerRoman"/>
      <w:start w:val="4"/>
    </w:lvl>
    <w:lvl w:ilvl="1">
      <w:lvlJc w:val="left"/>
      <w:lvlText w:val="%2"/>
      <w:numFmt w:val="lowerLetter"/>
      <w:start w:val="1"/>
    </w:lvl>
  </w:abstractNum>
  <w:abstractNum w:abstractNumId="64">
    <w:nsid w:val="20EE1348"/>
    <w:multiLevelType w:val="hybridMultilevel"/>
    <w:lvl w:ilvl="0">
      <w:lvlJc w:val="left"/>
      <w:lvlText w:val="(%1)"/>
      <w:numFmt w:val="lowerLetter"/>
      <w:start w:val="7"/>
    </w:lvl>
  </w:abstractNum>
  <w:abstractNum w:abstractNumId="65">
    <w:nsid w:val="4427069A"/>
    <w:multiLevelType w:val="hybridMultilevel"/>
    <w:lvl w:ilvl="0">
      <w:lvlJc w:val="left"/>
      <w:lvlText w:val="%1"/>
      <w:numFmt w:val="lowerLetter"/>
      <w:start w:val="1"/>
    </w:lvl>
    <w:lvl w:ilvl="1">
      <w:lvlJc w:val="left"/>
      <w:lvlText w:val="(%2)"/>
      <w:numFmt w:val="lowerLetter"/>
      <w:start w:val="35"/>
    </w:lvl>
  </w:abstractNum>
  <w:abstractNum w:abstractNumId="66">
    <w:nsid w:val="B37E80A"/>
    <w:multiLevelType w:val="hybridMultilevel"/>
    <w:lvl w:ilvl="0">
      <w:lvlJc w:val="left"/>
      <w:lvlText w:val="(%1)"/>
      <w:numFmt w:val="lowerLetter"/>
      <w:start w:val="10"/>
    </w:lvl>
    <w:lvl w:ilvl="1">
      <w:lvlJc w:val="left"/>
      <w:lvlText w:val="%2"/>
      <w:numFmt w:val="lowerLetter"/>
      <w:start w:val="1"/>
    </w:lvl>
  </w:abstractNum>
  <w:abstractNum w:abstractNumId="67">
    <w:nsid w:val="2157F6BC"/>
    <w:multiLevelType w:val="hybridMultilevel"/>
    <w:lvl w:ilvl="0">
      <w:lvlJc w:val="left"/>
      <w:lvlText w:val="(%1)"/>
      <w:numFmt w:val="lowerLetter"/>
      <w:start w:val="11"/>
    </w:lvl>
  </w:abstractNum>
  <w:abstractNum w:abstractNumId="68">
    <w:nsid w:val="704E1DD5"/>
    <w:multiLevelType w:val="hybridMultilevel"/>
    <w:lvl w:ilvl="0">
      <w:lvlJc w:val="left"/>
      <w:lvlText w:val="(%1)"/>
      <w:numFmt w:val="lowerLetter"/>
      <w:start w:val="12"/>
    </w:lvl>
  </w:abstractNum>
  <w:abstractNum w:abstractNumId="69">
    <w:nsid w:val="57D2F10E"/>
    <w:multiLevelType w:val="hybridMultilevel"/>
    <w:lvl w:ilvl="0">
      <w:lvlJc w:val="left"/>
      <w:lvlText w:val="(%1)"/>
      <w:numFmt w:val="lowerLetter"/>
      <w:start w:val="1"/>
    </w:lvl>
  </w:abstractNum>
  <w:abstractNum w:abstractNumId="70">
    <w:nsid w:val="BFFAE18"/>
    <w:multiLevelType w:val="hybridMultilevel"/>
    <w:lvl w:ilvl="0">
      <w:lvlJc w:val="left"/>
      <w:lvlText w:val="(%1)"/>
      <w:numFmt w:val="lowerLetter"/>
      <w:start w:val="1"/>
    </w:lvl>
  </w:abstractNum>
  <w:abstractNum w:abstractNumId="71">
    <w:nsid w:val="E3E47A8"/>
    <w:multiLevelType w:val="hybridMultilevel"/>
    <w:lvl w:ilvl="0">
      <w:lvlJc w:val="left"/>
      <w:lvlText w:val="(%1)"/>
      <w:numFmt w:val="lowerLetter"/>
      <w:start w:val="1"/>
    </w:lvl>
    <w:lvl w:ilvl="1">
      <w:lvlJc w:val="left"/>
      <w:lvlText w:val="(%2)"/>
      <w:numFmt w:val="lowerRoman"/>
      <w:start w:val="1"/>
    </w:lvl>
  </w:abstractNum>
  <w:abstractNum w:abstractNumId="72">
    <w:nsid w:val="2E48F044"/>
    <w:multiLevelType w:val="hybridMultilevel"/>
    <w:lvl w:ilvl="0">
      <w:lvlJc w:val="left"/>
      <w:lvlText w:val="(%1)"/>
      <w:numFmt w:val="lowerLetter"/>
      <w:start w:val="25"/>
    </w:lvl>
    <w:lvl w:ilvl="1">
      <w:lvlJc w:val="left"/>
      <w:lvlText w:val="(%2)"/>
      <w:numFmt w:val="lowerLetter"/>
      <w:start w:val="2"/>
    </w:lvl>
  </w:abstractNum>
  <w:abstractNum w:abstractNumId="73">
    <w:nsid w:val="49D0FEAC"/>
    <w:multiLevelType w:val="hybridMultilevel"/>
    <w:lvl w:ilvl="0">
      <w:lvlJc w:val="left"/>
      <w:lvlText w:val="%1"/>
      <w:numFmt w:val="lowerRoman"/>
      <w:start w:val="1"/>
    </w:lvl>
    <w:lvl w:ilvl="1">
      <w:lvlJc w:val="left"/>
      <w:lvlText w:val="(%2)"/>
      <w:numFmt w:val="lowerLetter"/>
      <w:start w:val="4"/>
    </w:lvl>
  </w:abstractNum>
  <w:abstractNum w:abstractNumId="74">
    <w:nsid w:val="4BEE5A5B"/>
    <w:multiLevelType w:val="hybridMultilevel"/>
    <w:lvl w:ilvl="0">
      <w:lvlJc w:val="left"/>
      <w:lvlText w:val="(%1)"/>
      <w:numFmt w:val="lowerRoman"/>
      <w:start w:val="4"/>
    </w:lvl>
    <w:lvl w:ilvl="1">
      <w:lvlJc w:val="left"/>
      <w:lvlText w:val="%2"/>
      <w:numFmt w:val="lowerLetter"/>
      <w:start w:val="1"/>
    </w:lvl>
  </w:abstractNum>
  <w:abstractNum w:abstractNumId="75">
    <w:nsid w:val="5551B9F3"/>
    <w:multiLevelType w:val="hybridMultilevel"/>
    <w:lvl w:ilvl="0">
      <w:lvlJc w:val="left"/>
      <w:lvlText w:val="%1"/>
      <w:numFmt w:val="upperLetter"/>
      <w:start w:val="1"/>
    </w:lvl>
    <w:lvl w:ilvl="1">
      <w:lvlJc w:val="left"/>
      <w:lvlText w:val="(%2)"/>
      <w:numFmt w:val="lowerLetter"/>
      <w:start w:val="5"/>
    </w:lvl>
  </w:abstractNum>
  <w:abstractNum w:abstractNumId="76">
    <w:nsid w:val="24F6AB8E"/>
    <w:multiLevelType w:val="hybridMultilevel"/>
    <w:lvl w:ilvl="0">
      <w:lvlJc w:val="left"/>
      <w:lvlText w:val="(%1)"/>
      <w:numFmt w:val="upperLetter"/>
      <w:start w:val="1"/>
    </w:lvl>
    <w:lvl w:ilvl="1">
      <w:lvlJc w:val="left"/>
      <w:lvlText w:val="(%2)"/>
      <w:numFmt w:val="lowerLetter"/>
      <w:start w:val="6"/>
    </w:lvl>
  </w:abstractNum>
  <w:abstractNum w:abstractNumId="77">
    <w:nsid w:val="634C574C"/>
    <w:multiLevelType w:val="hybridMultilevel"/>
    <w:lvl w:ilvl="0">
      <w:lvlJc w:val="left"/>
      <w:lvlText w:val="(%1)"/>
      <w:numFmt w:val="lowerLetter"/>
      <w:start w:val="1"/>
    </w:lvl>
  </w:abstractNum>
  <w:abstractNum w:abstractNumId="78">
    <w:nsid w:val="24E99DD7"/>
    <w:multiLevelType w:val="hybridMultilevel"/>
    <w:lvl w:ilvl="0">
      <w:lvlJc w:val="left"/>
      <w:lvlText w:val="(%1)"/>
      <w:numFmt w:val="lowerLetter"/>
      <w:start w:val="1"/>
    </w:lvl>
    <w:lvl w:ilvl="1">
      <w:lvlJc w:val="left"/>
      <w:lvlText w:val="(%2)"/>
      <w:numFmt w:val="lowerRoman"/>
      <w:start w:val="1"/>
    </w:lvl>
  </w:abstractNum>
  <w:abstractNum w:abstractNumId="79">
    <w:nsid w:val="2A31B62D"/>
    <w:multiLevelType w:val="hybridMultilevel"/>
    <w:lvl w:ilvl="0">
      <w:lvlJc w:val="left"/>
      <w:lvlText w:val="(%1)"/>
      <w:numFmt w:val="lowerLetter"/>
      <w:start w:val="2"/>
    </w:lvl>
  </w:abstractNum>
  <w:abstractNum w:abstractNumId="80">
    <w:nsid w:val="1849C29B"/>
    <w:multiLevelType w:val="hybridMultilevel"/>
    <w:lvl w:ilvl="0">
      <w:lvlJc w:val="left"/>
      <w:lvlText w:val="(%1)"/>
      <w:numFmt w:val="lowerLetter"/>
      <w:start w:val="3"/>
    </w:lvl>
  </w:abstractNum>
  <w:abstractNum w:abstractNumId="81">
    <w:nsid w:val="7DFF9D09"/>
    <w:multiLevelType w:val="hybridMultilevel"/>
    <w:lvl w:ilvl="0">
      <w:lvlJc w:val="left"/>
      <w:lvlText w:val="(%1)"/>
      <w:numFmt w:val="lowerLetter"/>
      <w:start w:val="1"/>
    </w:lvl>
  </w:abstractNum>
  <w:abstractNum w:abstractNumId="82">
    <w:nsid w:val="754342"/>
    <w:multiLevelType w:val="hybridMultilevel"/>
    <w:lvl w:ilvl="0">
      <w:lvlJc w:val="left"/>
      <w:lvlText w:val="(%1)"/>
      <w:numFmt w:val="lowerLetter"/>
      <w:start w:val="2"/>
    </w:lvl>
  </w:abstractNum>
  <w:abstractNum w:abstractNumId="83">
    <w:nsid w:val="69E7F3E5"/>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84">
    <w:nsid w:val="2A6DE806"/>
    <w:multiLevelType w:val="hybridMultilevel"/>
    <w:lvl w:ilvl="0">
      <w:lvlJc w:val="left"/>
      <w:lvlText w:val="%1"/>
      <w:numFmt w:val="lowerRoman"/>
      <w:start w:val="1"/>
    </w:lvl>
    <w:lvl w:ilvl="1">
      <w:lvlJc w:val="left"/>
      <w:lvlText w:val="(%2)"/>
      <w:numFmt w:val="upperLetter"/>
      <w:start w:val="4"/>
    </w:lvl>
  </w:abstractNum>
  <w:abstractNum w:abstractNumId="85">
    <w:nsid w:val="1816F8C4"/>
    <w:multiLevelType w:val="hybridMultilevel"/>
    <w:lvl w:ilvl="0">
      <w:lvlJc w:val="left"/>
      <w:lvlText w:val="(%1)"/>
      <w:numFmt w:val="lowerRoman"/>
      <w:start w:val="3"/>
    </w:lvl>
    <w:lvl w:ilvl="1">
      <w:lvlJc w:val="left"/>
      <w:lvlText w:val="(%2)"/>
      <w:numFmt w:val="upperLetter"/>
      <w:start w:val="1"/>
    </w:lvl>
  </w:abstractNum>
  <w:abstractNum w:abstractNumId="86">
    <w:nsid w:val="37DF2233"/>
    <w:multiLevelType w:val="hybridMultilevel"/>
    <w:lvl w:ilvl="0">
      <w:lvlJc w:val="left"/>
      <w:lvlText w:val="(%1)"/>
      <w:numFmt w:val="lowerLetter"/>
      <w:start w:val="7"/>
    </w:lvl>
  </w:abstractNum>
  <w:abstractNum w:abstractNumId="87">
    <w:nsid w:val="7AB49DAF"/>
    <w:multiLevelType w:val="hybridMultilevel"/>
    <w:lvl w:ilvl="0">
      <w:lvlJc w:val="left"/>
      <w:lvlText w:val="(%1)"/>
      <w:numFmt w:val="lowerLetter"/>
      <w:start w:val="1"/>
    </w:lvl>
  </w:abstractNum>
  <w:abstractNum w:abstractNumId="88">
    <w:nsid w:val="759F82CD"/>
    <w:multiLevelType w:val="hybridMultilevel"/>
    <w:lvl w:ilvl="0">
      <w:lvlJc w:val="left"/>
      <w:lvlText w:val="(%1)"/>
      <w:numFmt w:val="upperLetter"/>
      <w:start w:val="35"/>
    </w:lvl>
  </w:abstractNum>
  <w:abstractNum w:abstractNumId="89">
    <w:nsid w:val="61E74EA3"/>
    <w:multiLevelType w:val="hybridMultilevel"/>
    <w:lvl w:ilvl="0">
      <w:lvlJc w:val="left"/>
      <w:lvlText w:val="(%1)"/>
      <w:numFmt w:val="lowerLetter"/>
      <w:start w:val="2"/>
    </w:lvl>
  </w:abstractNum>
  <w:abstractNum w:abstractNumId="90">
    <w:nsid w:val="597B4D84"/>
    <w:multiLevelType w:val="hybridMultilevel"/>
    <w:lvl w:ilvl="0">
      <w:lvlJc w:val="left"/>
      <w:lvlText w:val="(%1)"/>
      <w:numFmt w:val="lowerLetter"/>
      <w:start w:val="3"/>
    </w:lvl>
  </w:abstractNum>
  <w:abstractNum w:abstractNumId="91">
    <w:nsid w:val="F819E7F"/>
    <w:multiLevelType w:val="hybridMultilevel"/>
    <w:lvl w:ilvl="0">
      <w:lvlJc w:val="left"/>
      <w:lvlText w:val="(%1)"/>
      <w:numFmt w:val="lowerLetter"/>
      <w:start w:val="4"/>
    </w:lvl>
  </w:abstractNum>
  <w:abstractNum w:abstractNumId="92">
    <w:nsid w:val="57C7D42D"/>
    <w:multiLevelType w:val="hybridMultilevel"/>
    <w:lvl w:ilvl="0">
      <w:lvlJc w:val="left"/>
      <w:lvlText w:val="(%1)"/>
      <w:numFmt w:val="lowerLetter"/>
      <w:start w:val="1"/>
    </w:lvl>
    <w:lvl w:ilvl="1">
      <w:lvlJc w:val="left"/>
      <w:lvlText w:val="(%2)"/>
      <w:numFmt w:val="lowerRoman"/>
      <w:start w:val="1"/>
    </w:lvl>
  </w:abstractNum>
  <w:abstractNum w:abstractNumId="93">
    <w:nsid w:val="312167AD"/>
    <w:multiLevelType w:val="hybridMultilevel"/>
    <w:lvl w:ilvl="0">
      <w:lvlJc w:val="left"/>
      <w:lvlText w:val="(%1)"/>
      <w:numFmt w:val="lowerRoman"/>
      <w:start w:val="7"/>
    </w:lvl>
  </w:abstractNum>
  <w:abstractNum w:abstractNumId="94">
    <w:nsid w:val="631B64D4"/>
    <w:multiLevelType w:val="hybridMultilevel"/>
    <w:lvl w:ilvl="0">
      <w:lvlJc w:val="left"/>
      <w:lvlText w:val="%1"/>
      <w:numFmt w:val="lowerLetter"/>
      <w:start w:val="1"/>
    </w:lvl>
    <w:lvl w:ilvl="1">
      <w:lvlJc w:val="left"/>
      <w:lvlText w:val="(%2)"/>
      <w:numFmt w:val="lowerRoman"/>
      <w:start w:val="13"/>
    </w:lvl>
  </w:abstractNum>
  <w:abstractNum w:abstractNumId="95">
    <w:nsid w:val="78B5E776"/>
    <w:multiLevelType w:val="hybridMultilevel"/>
    <w:lvl w:ilvl="0">
      <w:lvlJc w:val="left"/>
      <w:lvlText w:val="(%1)"/>
      <w:numFmt w:val="lowerLetter"/>
      <w:start w:val="2"/>
    </w:lvl>
    <w:lvl w:ilvl="1">
      <w:lvlJc w:val="left"/>
      <w:lvlText w:val="%2"/>
      <w:numFmt w:val="lowerRoman"/>
      <w:start w:val="1"/>
    </w:lvl>
  </w:abstractNum>
  <w:abstractNum w:abstractNumId="96">
    <w:nsid w:val="75486E47"/>
    <w:multiLevelType w:val="hybridMultilevel"/>
    <w:lvl w:ilvl="0">
      <w:lvlJc w:val="left"/>
      <w:lvlText w:val="(%1)"/>
      <w:numFmt w:val="lowerLetter"/>
      <w:start w:val="6"/>
    </w:lvl>
    <w:lvl w:ilvl="1">
      <w:lvlJc w:val="left"/>
      <w:lvlText w:val="(%2)"/>
      <w:numFmt w:val="lowerRoman"/>
      <w:start w:val="1"/>
    </w:lvl>
  </w:abstractNum>
  <w:abstractNum w:abstractNumId="97">
    <w:nsid w:val="6E534CDE"/>
    <w:multiLevelType w:val="hybridMultilevel"/>
    <w:lvl w:ilvl="0">
      <w:lvlJc w:val="left"/>
      <w:lvlText w:val="(%1)"/>
      <w:numFmt w:val="lowerLetter"/>
      <w:start w:val="1"/>
    </w:lvl>
    <w:lvl w:ilvl="1">
      <w:lvlJc w:val="left"/>
      <w:lvlText w:val="(%2)"/>
      <w:numFmt w:val="lowerRoman"/>
      <w:start w:val="1"/>
    </w:lvl>
  </w:abstractNum>
  <w:abstractNum w:abstractNumId="98">
    <w:nsid w:val="1A0DDE32"/>
    <w:multiLevelType w:val="hybridMultilevel"/>
    <w:lvl w:ilvl="0">
      <w:lvlJc w:val="left"/>
      <w:lvlText w:val="%1"/>
      <w:numFmt w:val="lowerLetter"/>
      <w:start w:val="1"/>
    </w:lvl>
    <w:lvl w:ilvl="1">
      <w:lvlJc w:val="left"/>
      <w:lvlText w:val="(%2)"/>
      <w:numFmt w:val="lowerLetter"/>
      <w:start w:val="22"/>
    </w:lvl>
  </w:abstractNum>
  <w:abstractNum w:abstractNumId="99">
    <w:nsid w:val="65968C1C"/>
    <w:multiLevelType w:val="hybridMultilevel"/>
    <w:lvl w:ilvl="0">
      <w:lvlJc w:val="left"/>
      <w:lvlText w:val="(%1)"/>
      <w:numFmt w:val="lowerLetter"/>
      <w:start w:val="3"/>
    </w:lvl>
    <w:lvl w:ilvl="1">
      <w:lvlJc w:val="left"/>
      <w:lvlText w:val="%2"/>
      <w:numFmt w:val="lowerLetter"/>
      <w:start w:val="1"/>
    </w:lvl>
  </w:abstractNum>
  <w:abstractNum w:abstractNumId="100">
    <w:nsid w:val="46263DEC"/>
    <w:multiLevelType w:val="hybridMultilevel"/>
    <w:lvl w:ilvl="0">
      <w:lvlJc w:val="left"/>
      <w:lvlText w:val="(%1)"/>
      <w:numFmt w:val="lowerLetter"/>
      <w:start w:val="1"/>
    </w:lvl>
  </w:abstractNum>
  <w:abstractNum w:abstractNumId="101">
    <w:nsid w:val="260D8C4A"/>
    <w:multiLevelType w:val="hybridMultilevel"/>
    <w:lvl w:ilvl="0">
      <w:lvlJc w:val="left"/>
      <w:lvlText w:val="(%1)"/>
      <w:numFmt w:val="upperLetter"/>
      <w:start w:val="1"/>
    </w:lvl>
    <w:lvl w:ilvl="1">
      <w:lvlJc w:val="left"/>
      <w:lvlText w:val="(%2)"/>
      <w:numFmt w:val="lowerLetter"/>
      <w:start w:val="2"/>
    </w:lvl>
  </w:abstractNum>
  <w:abstractNum w:abstractNumId="102">
    <w:nsid w:val="73D4D3C4"/>
    <w:multiLevelType w:val="hybridMultilevel"/>
    <w:lvl w:ilvl="0">
      <w:lvlJc w:val="left"/>
      <w:lvlText w:val="(%1)"/>
      <w:numFmt w:val="lowerLetter"/>
      <w:start w:val="1"/>
    </w:lvl>
  </w:abstractNum>
  <w:abstractNum w:abstractNumId="103">
    <w:nsid w:val="746F2E30"/>
    <w:multiLevelType w:val="hybridMultilevel"/>
    <w:lvl w:ilvl="0">
      <w:lvlJc w:val="left"/>
      <w:lvlText w:val="(%1)"/>
      <w:numFmt w:val="lowerLetter"/>
      <w:start w:val="1"/>
    </w:lvl>
  </w:abstractNum>
  <w:abstractNum w:abstractNumId="104">
    <w:nsid w:val="6FDE8AF6"/>
    <w:multiLevelType w:val="hybridMultilevel"/>
    <w:lvl w:ilvl="0">
      <w:lvlJc w:val="left"/>
      <w:lvlText w:val="(%1)"/>
      <w:numFmt w:val="lowerLetter"/>
      <w:start w:val="1"/>
    </w:lvl>
  </w:abstractNum>
  <w:abstractNum w:abstractNumId="105">
    <w:nsid w:val="3FC32E20"/>
    <w:multiLevelType w:val="hybridMultilevel"/>
    <w:lvl w:ilvl="0">
      <w:lvlJc w:val="left"/>
      <w:lvlText w:val="(%1)"/>
      <w:numFmt w:val="lowerLetter"/>
      <w:start w:val="2"/>
    </w:lvl>
  </w:abstractNum>
  <w:abstractNum w:abstractNumId="106">
    <w:nsid w:val="49C0E823"/>
    <w:multiLevelType w:val="hybridMultilevel"/>
    <w:lvl w:ilvl="0">
      <w:lvlJc w:val="left"/>
      <w:lvlText w:val="(%1)"/>
      <w:numFmt w:val="lowerLetter"/>
      <w:start w:val="1"/>
    </w:lvl>
  </w:abstractNum>
  <w:abstractNum w:abstractNumId="107">
    <w:nsid w:val="14D53685"/>
    <w:multiLevelType w:val="hybridMultilevel"/>
    <w:lvl w:ilvl="0">
      <w:lvlJc w:val="left"/>
      <w:lvlText w:val="(%1)"/>
      <w:numFmt w:val="lowerLetter"/>
      <w:start w:val="1"/>
    </w:lvl>
    <w:lvl w:ilvl="1">
      <w:lvlJc w:val="left"/>
      <w:lvlText w:val="(%2)"/>
      <w:numFmt w:val="lowerRoman"/>
      <w:start w:val="1"/>
    </w:lvl>
  </w:abstractNum>
  <w:abstractNum w:abstractNumId="108">
    <w:nsid w:val="230F856C"/>
    <w:multiLevelType w:val="hybridMultilevel"/>
    <w:lvl w:ilvl="0">
      <w:lvlJc w:val="left"/>
      <w:lvlText w:val="(%1)"/>
      <w:numFmt w:val="lowerLetter"/>
      <w:start w:val="3"/>
    </w:lvl>
  </w:abstractNum>
  <w:abstractNum w:abstractNumId="109">
    <w:nsid w:val="6EAA85FB"/>
    <w:multiLevelType w:val="hybridMultilevel"/>
    <w:lvl w:ilvl="0">
      <w:lvlJc w:val="left"/>
      <w:lvlText w:val="(%1)"/>
      <w:numFmt w:val="lowerLetter"/>
      <w:start w:val="10"/>
    </w:lvl>
  </w:abstractNum>
  <w:abstractNum w:abstractNumId="110">
    <w:nsid w:val="3F06ECB2"/>
    <w:multiLevelType w:val="hybridMultilevel"/>
    <w:lvl w:ilvl="0">
      <w:lvlJc w:val="left"/>
      <w:lvlText w:val="(%1)"/>
      <w:numFmt w:val="lowerLetter"/>
      <w:start w:val="1"/>
    </w:lvl>
  </w:abstractNum>
  <w:abstractNum w:abstractNumId="111">
    <w:nsid w:val="3B594807"/>
    <w:multiLevelType w:val="hybridMultilevel"/>
    <w:lvl w:ilvl="0">
      <w:lvlJc w:val="left"/>
      <w:lvlText w:val="(%1)"/>
      <w:numFmt w:val="lowerLetter"/>
      <w:start w:val="1"/>
    </w:lvl>
  </w:abstractNum>
  <w:abstractNum w:abstractNumId="112">
    <w:nsid w:val="6CAA2304"/>
    <w:multiLevelType w:val="hybridMultilevel"/>
    <w:lvl w:ilvl="0">
      <w:lvlJc w:val="left"/>
      <w:lvlText w:val="(%1)"/>
      <w:numFmt w:val="lowerLetter"/>
      <w:start w:val="2"/>
    </w:lvl>
  </w:abstractNum>
  <w:abstractNum w:abstractNumId="113">
    <w:nsid w:val="3F7C2FF4"/>
    <w:multiLevelType w:val="hybridMultilevel"/>
    <w:lvl w:ilvl="0">
      <w:lvlJc w:val="left"/>
      <w:lvlText w:val="(%1)"/>
      <w:numFmt w:val="lowerLetter"/>
      <w:start w:val="2"/>
    </w:lvl>
  </w:abstractNum>
  <w:abstractNum w:abstractNumId="114">
    <w:nsid w:val="25413BEC"/>
    <w:multiLevelType w:val="hybridMultilevel"/>
    <w:lvl w:ilvl="0">
      <w:lvlJc w:val="left"/>
      <w:lvlText w:val="(%1)"/>
      <w:numFmt w:val="lowerLetter"/>
      <w:start w:val="1"/>
    </w:lvl>
  </w:abstractNum>
  <w:abstractNum w:abstractNumId="115">
    <w:nsid w:val="17180B0B"/>
    <w:multiLevelType w:val="hybridMultilevel"/>
    <w:lvl w:ilvl="0">
      <w:lvlJc w:val="left"/>
      <w:lvlText w:val="(%1)"/>
      <w:numFmt w:val="lowerLetter"/>
      <w:start w:val="1"/>
    </w:lvl>
  </w:abstractNum>
  <w:abstractNum w:abstractNumId="116">
    <w:nsid w:val="579328B9"/>
    <w:multiLevelType w:val="hybridMultilevel"/>
    <w:lvl w:ilvl="0">
      <w:lvlJc w:val="left"/>
      <w:lvlText w:val="(%1)"/>
      <w:numFmt w:val="lowerLetter"/>
      <w:start w:val="2"/>
    </w:lvl>
  </w:abstractNum>
  <w:abstractNum w:abstractNumId="117">
    <w:nsid w:val="5D205E20"/>
    <w:multiLevelType w:val="hybridMultilevel"/>
    <w:lvl w:ilvl="0">
      <w:lvlJc w:val="left"/>
      <w:lvlText w:val="(%1)"/>
      <w:numFmt w:val="lowerLetter"/>
      <w:start w:val="1"/>
    </w:lvl>
  </w:abstractNum>
  <w:abstractNum w:abstractNumId="118">
    <w:nsid w:val="11CCA8BA"/>
    <w:multiLevelType w:val="hybridMultilevel"/>
    <w:lvl w:ilvl="0">
      <w:lvlJc w:val="left"/>
      <w:lvlText w:val="(%1)"/>
      <w:numFmt w:val="lowerLetter"/>
      <w:start w:val="3"/>
    </w:lvl>
  </w:abstractNum>
  <w:abstractNum w:abstractNumId="119">
    <w:nsid w:val="4D32AB86"/>
    <w:multiLevelType w:val="hybridMultilevel"/>
    <w:lvl w:ilvl="0">
      <w:lvlJc w:val="left"/>
      <w:lvlText w:val="(%1)"/>
      <w:numFmt w:val="lowerLetter"/>
      <w:start w:val="5"/>
    </w:lvl>
  </w:abstractNum>
  <w:abstractNum w:abstractNumId="120">
    <w:nsid w:val="3F07ACC3"/>
    <w:multiLevelType w:val="hybridMultilevel"/>
    <w:lvl w:ilvl="0">
      <w:lvlJc w:val="left"/>
      <w:lvlText w:val="(%1)"/>
      <w:numFmt w:val="lowerLetter"/>
      <w:start w:val="1"/>
    </w:lvl>
  </w:abstractNum>
  <w:abstractNum w:abstractNumId="121">
    <w:nsid w:val="6B47F63E"/>
    <w:multiLevelType w:val="hybridMultilevel"/>
    <w:lvl w:ilvl="0">
      <w:lvlJc w:val="left"/>
      <w:lvlText w:val="(%1)"/>
      <w:numFmt w:val="lowerLetter"/>
      <w:start w:val="1"/>
    </w:lvl>
  </w:abstractNum>
  <w:abstractNum w:abstractNumId="122">
    <w:nsid w:val="5CB44A05"/>
    <w:multiLevelType w:val="hybridMultilevel"/>
    <w:lvl w:ilvl="0">
      <w:lvlJc w:val="left"/>
      <w:lvlText w:val="(%1)"/>
      <w:numFmt w:val="lowerLetter"/>
      <w:start w:val="4"/>
    </w:lvl>
  </w:abstractNum>
  <w:abstractNum w:abstractNumId="123">
    <w:nsid w:val="16CF80F1"/>
    <w:multiLevelType w:val="hybridMultilevel"/>
    <w:lvl w:ilvl="0">
      <w:lvlJc w:val="left"/>
      <w:lvlText w:val="(%1)"/>
      <w:numFmt w:val="lowerRoman"/>
      <w:start w:val="2"/>
    </w:lvl>
  </w:abstractNum>
  <w:abstractNum w:abstractNumId="124">
    <w:nsid w:val="1C695DEC"/>
    <w:multiLevelType w:val="hybridMultilevel"/>
    <w:lvl w:ilvl="0">
      <w:lvlJc w:val="left"/>
      <w:lvlText w:val="(%1)"/>
      <w:numFmt w:val="lowerLetter"/>
      <w:start w:val="1"/>
    </w:lvl>
  </w:abstractNum>
  <w:abstractNum w:abstractNumId="125">
    <w:nsid w:val="3FCFAED9"/>
    <w:multiLevelType w:val="hybridMultilevel"/>
    <w:lvl w:ilvl="0">
      <w:lvlJc w:val="left"/>
      <w:lvlText w:val="(%1)"/>
      <w:numFmt w:val="lowerLetter"/>
      <w:start w:val="5"/>
    </w:lvl>
  </w:abstractNum>
  <w:abstractNum w:abstractNumId="126">
    <w:nsid w:val="F856867"/>
    <w:multiLevelType w:val="hybridMultilevel"/>
    <w:lvl w:ilvl="0">
      <w:lvlJc w:val="left"/>
      <w:lvlText w:val="(%1)"/>
      <w:numFmt w:val="lowerLetter"/>
      <w:start w:val="14"/>
    </w:lvl>
  </w:abstractNum>
  <w:abstractNum w:abstractNumId="127">
    <w:nsid w:val="11B1CC33"/>
    <w:multiLevelType w:val="hybridMultilevel"/>
    <w:lvl w:ilvl="0">
      <w:lvlJc w:val="left"/>
      <w:lvlText w:val="(%1)"/>
      <w:numFmt w:val="lowerLetter"/>
      <w:start w:val="23"/>
    </w:lvl>
  </w:abstractNum>
  <w:abstractNum w:abstractNumId="128">
    <w:nsid w:val="2E22FBB7"/>
    <w:multiLevelType w:val="hybridMultilevel"/>
    <w:lvl w:ilvl="0">
      <w:lvlJc w:val="left"/>
      <w:lvlText w:val="(%1)"/>
      <w:numFmt w:val="lowerLetter"/>
      <w:start w:val="27"/>
    </w:lvl>
  </w:abstractNum>
  <w:abstractNum w:abstractNumId="129">
    <w:nsid w:val="29934699"/>
    <w:multiLevelType w:val="hybridMultilevel"/>
    <w:lvl w:ilvl="0">
      <w:lvlJc w:val="left"/>
      <w:lvlText w:val="(%1)"/>
      <w:numFmt w:val="lowerLetter"/>
      <w:start w:val="1"/>
    </w:lvl>
  </w:abstractNum>
  <w:abstractNum w:abstractNumId="130">
    <w:nsid w:val="77485850"/>
    <w:multiLevelType w:val="hybridMultilevel"/>
    <w:lvl w:ilvl="0">
      <w:lvlJc w:val="left"/>
      <w:lvlText w:val="(%1)"/>
      <w:numFmt w:val="lowerLetter"/>
      <w:start w:val="10"/>
    </w:lvl>
  </w:abstractNum>
  <w:abstractNum w:abstractNumId="131">
    <w:nsid w:val="744939A3"/>
    <w:multiLevelType w:val="hybridMultilevel"/>
    <w:lvl w:ilvl="0">
      <w:lvlJc w:val="left"/>
      <w:lvlText w:val="(%1)"/>
      <w:numFmt w:val="lowerLetter"/>
      <w:start w:val="17"/>
    </w:lvl>
  </w:abstractNum>
  <w:abstractNum w:abstractNumId="132">
    <w:nsid w:val="4FA0D2E3"/>
    <w:multiLevelType w:val="hybridMultilevel"/>
    <w:lvl w:ilvl="0">
      <w:lvlJc w:val="left"/>
      <w:lvlText w:val="(%1)"/>
      <w:numFmt w:val="lowerLetter"/>
      <w:start w:val="27"/>
    </w:lvl>
  </w:abstractNum>
  <w:abstractNum w:abstractNumId="133">
    <w:nsid w:val="6B1D2C14"/>
    <w:multiLevelType w:val="hybridMultilevel"/>
    <w:lvl w:ilvl="0">
      <w:lvlJc w:val="left"/>
      <w:lvlText w:val="(%1)"/>
      <w:numFmt w:val="lowerLetter"/>
      <w:start w:val="36"/>
    </w:lvl>
  </w:abstractNum>
  <w:abstractNum w:abstractNumId="134">
    <w:nsid w:val="68B867D3"/>
    <w:multiLevelType w:val="hybridMultilevel"/>
    <w:lvl w:ilvl="0">
      <w:lvlJc w:val="left"/>
      <w:lvlText w:val="(%1)"/>
      <w:numFmt w:val="lowerLetter"/>
      <w:start w:val="1"/>
    </w:lvl>
  </w:abstractNum>
  <w:abstractNum w:abstractNumId="135">
    <w:nsid w:val="3F7F5DD9"/>
    <w:multiLevelType w:val="hybridMultilevel"/>
    <w:lvl w:ilvl="0">
      <w:lvlJc w:val="left"/>
      <w:lvlText w:val="%1"/>
      <w:numFmt w:val="lowerLetter"/>
      <w:start w:val="1"/>
    </w:lvl>
    <w:lvl w:ilvl="1">
      <w:lvlJc w:val="left"/>
      <w:lvlText w:val="(%2)"/>
      <w:numFmt w:val="lowerLetter"/>
      <w:start w:val="1"/>
    </w:lvl>
  </w:abstractNum>
  <w:abstractNum w:abstractNumId="136">
    <w:nsid w:val="2AE05A34"/>
    <w:multiLevelType w:val="hybridMultilevel"/>
    <w:lvl w:ilvl="0">
      <w:lvlJc w:val="left"/>
      <w:lvlText w:val="(%1)"/>
      <w:numFmt w:val="lowerLetter"/>
      <w:start w:val="23"/>
    </w:lvl>
    <w:lvl w:ilvl="1">
      <w:lvlJc w:val="left"/>
      <w:lvlText w:val="%2"/>
      <w:numFmt w:val="lowerLetter"/>
      <w:start w:val="1"/>
    </w:lvl>
  </w:abstractNum>
  <w:abstractNum w:abstractNumId="137">
    <w:nsid w:val="32794FF7"/>
    <w:multiLevelType w:val="hybridMultilevel"/>
    <w:lvl w:ilvl="0">
      <w:lvlJc w:val="left"/>
      <w:lvlText w:val="(%1)"/>
      <w:numFmt w:val="lowerLetter"/>
      <w:start w:val="9"/>
    </w:lvl>
  </w:abstractNum>
  <w:abstractNum w:abstractNumId="138">
    <w:nsid w:val="5454945E"/>
    <w:multiLevelType w:val="hybridMultilevel"/>
    <w:lvl w:ilvl="0">
      <w:lvlJc w:val="left"/>
      <w:lvlText w:val="(%1)"/>
      <w:numFmt w:val="lowerLetter"/>
      <w:start w:val="20"/>
    </w:lvl>
  </w:abstractNum>
  <w:abstractNum w:abstractNumId="139">
    <w:nsid w:val="4DEFDFA0"/>
    <w:multiLevelType w:val="hybridMultilevel"/>
    <w:lvl w:ilvl="0">
      <w:lvlJc w:val="left"/>
      <w:lvlText w:val="(%1)"/>
      <w:numFmt w:val="lowerLetter"/>
      <w:start w:val="27"/>
    </w:lvl>
  </w:abstractNum>
  <w:abstractNum w:abstractNumId="140">
    <w:nsid w:val="2123D5F2"/>
    <w:multiLevelType w:val="hybridMultilevel"/>
    <w:lvl w:ilvl="0">
      <w:lvlJc w:val="left"/>
      <w:lvlText w:val="(%1)"/>
      <w:numFmt w:val="lowerLetter"/>
      <w:start w:val="29"/>
    </w:lvl>
  </w:abstractNum>
  <w:abstractNum w:abstractNumId="141">
    <w:nsid w:val="135B8110"/>
    <w:multiLevelType w:val="hybridMultilevel"/>
    <w:lvl w:ilvl="0">
      <w:lvlJc w:val="left"/>
      <w:lvlText w:val="%1"/>
      <w:numFmt w:val="lowerLetter"/>
      <w:start w:val="1"/>
    </w:lvl>
    <w:lvl w:ilvl="1">
      <w:lvlJc w:val="left"/>
      <w:lvlText w:val="(%2)"/>
      <w:numFmt w:val="lowerLetter"/>
      <w:start w:val="1"/>
    </w:lvl>
  </w:abstractNum>
  <w:abstractNum w:abstractNumId="142">
    <w:nsid w:val="94927A8"/>
    <w:multiLevelType w:val="hybridMultilevel"/>
    <w:lvl w:ilvl="0">
      <w:lvlJc w:val="left"/>
      <w:lvlText w:val="(%1)"/>
      <w:numFmt w:val="lowerLetter"/>
      <w:start w:val="25"/>
    </w:lvl>
    <w:lvl w:ilvl="1">
      <w:lvlJc w:val="left"/>
      <w:lvlText w:val="(%2)"/>
      <w:numFmt w:val="lowerLetter"/>
      <w:start w:val="6"/>
    </w:lvl>
  </w:abstractNum>
  <w:abstractNum w:abstractNumId="143">
    <w:nsid w:val="DCDF8F6"/>
    <w:multiLevelType w:val="hybridMultilevel"/>
    <w:lvl w:ilvl="0">
      <w:lvlJc w:val="left"/>
      <w:lvlText w:val="(%1)"/>
      <w:numFmt w:val="lowerLetter"/>
      <w:start w:val="8"/>
    </w:lvl>
  </w:abstractNum>
  <w:abstractNum w:abstractNumId="144">
    <w:nsid w:val="52D7B105"/>
    <w:multiLevelType w:val="hybridMultilevel"/>
    <w:lvl w:ilvl="0">
      <w:lvlJc w:val="left"/>
      <w:lvlText w:val="(%1)"/>
      <w:numFmt w:val="lowerLetter"/>
      <w:start w:val="1"/>
    </w:lvl>
  </w:abstractNum>
  <w:abstractNum w:abstractNumId="145">
    <w:nsid w:val="2E8A6394"/>
    <w:multiLevelType w:val="hybridMultilevel"/>
    <w:lvl w:ilvl="0">
      <w:lvlJc w:val="left"/>
      <w:lvlText w:val="(%1)"/>
      <w:numFmt w:val="lowerLetter"/>
      <w:start w:val="3"/>
    </w:lvl>
  </w:abstractNum>
  <w:abstractNum w:abstractNumId="146">
    <w:nsid w:val="24E60401"/>
    <w:multiLevelType w:val="hybridMultilevel"/>
    <w:lvl w:ilvl="0">
      <w:lvlJc w:val="left"/>
      <w:lvlText w:val="(%1)"/>
      <w:numFmt w:val="lowerLetter"/>
      <w:start w:val="11"/>
    </w:lvl>
  </w:abstractNum>
  <w:abstractNum w:abstractNumId="147">
    <w:nsid w:val="2A6AD9BE"/>
    <w:multiLevelType w:val="hybridMultilevel"/>
    <w:lvl w:ilvl="0">
      <w:lvlJc w:val="left"/>
      <w:lvlText w:val="(%1)"/>
      <w:numFmt w:val="lowerLetter"/>
      <w:start w:val="21"/>
    </w:lvl>
    <w:lvl w:ilvl="1">
      <w:lvlJc w:val="left"/>
      <w:lvlText w:val="(%2)"/>
      <w:numFmt w:val="lowerRoman"/>
      <w:start w:val="1"/>
    </w:lvl>
  </w:abstractNum>
  <w:abstractNum w:abstractNumId="148">
    <w:nsid w:val="BAAC1B4"/>
    <w:multiLevelType w:val="hybridMultilevel"/>
    <w:lvl w:ilvl="0">
      <w:lvlJc w:val="left"/>
      <w:lvlText w:val="(%1)"/>
      <w:numFmt w:val="lowerLetter"/>
      <w:start w:val="27"/>
    </w:lvl>
  </w:abstractNum>
  <w:abstractNum w:abstractNumId="149">
    <w:nsid w:val="36B2ACBC"/>
    <w:multiLevelType w:val="hybridMultilevel"/>
    <w:lvl w:ilvl="0">
      <w:lvlJc w:val="left"/>
      <w:lvlText w:val="(%1)"/>
      <w:numFmt w:val="lowerLetter"/>
      <w:start w:val="31"/>
    </w:lvl>
  </w:abstractNum>
  <w:abstractNum w:abstractNumId="150">
    <w:nsid w:val="779D8544"/>
    <w:multiLevelType w:val="hybridMultilevel"/>
    <w:lvl w:ilvl="0">
      <w:lvlJc w:val="left"/>
      <w:lvlText w:val="(%1)"/>
      <w:numFmt w:val="lowerLetter"/>
      <w:start w:val="1"/>
    </w:lvl>
  </w:abstractNum>
  <w:abstractNum w:abstractNumId="151">
    <w:nsid w:val="4AB26E78"/>
    <w:multiLevelType w:val="hybridMultilevel"/>
    <w:lvl w:ilvl="0">
      <w:lvlJc w:val="left"/>
      <w:lvlText w:val="(%1)"/>
      <w:numFmt w:val="lowerLetter"/>
      <w:start w:val="10"/>
    </w:lvl>
  </w:abstractNum>
  <w:abstractNum w:abstractNumId="152">
    <w:nsid w:val="21FAA2FA"/>
    <w:multiLevelType w:val="hybridMultilevel"/>
    <w:lvl w:ilvl="0">
      <w:lvlJc w:val="left"/>
      <w:lvlText w:val="%1"/>
      <w:numFmt w:val="lowerLetter"/>
      <w:start w:val="1"/>
    </w:lvl>
    <w:lvl w:ilvl="1">
      <w:lvlJc w:val="left"/>
      <w:lvlText w:val="(%2)"/>
      <w:numFmt w:val="lowerLetter"/>
      <w:start w:val="1"/>
    </w:lvl>
  </w:abstractNum>
  <w:abstractNum w:abstractNumId="153">
    <w:nsid w:val="5451CF49"/>
    <w:multiLevelType w:val="hybridMultilevel"/>
    <w:lvl w:ilvl="0">
      <w:lvlJc w:val="left"/>
      <w:lvlText w:val="(%1)"/>
      <w:numFmt w:val="lowerLetter"/>
      <w:start w:val="35"/>
    </w:lvl>
    <w:lvl w:ilvl="1">
      <w:lvlJc w:val="left"/>
      <w:lvlText w:val="(%2)"/>
      <w:numFmt w:val="lowerLetter"/>
      <w:start w:val="9"/>
    </w:lvl>
  </w:abstractNum>
  <w:abstractNum w:abstractNumId="154">
    <w:nsid w:val="6181EF69"/>
    <w:multiLevelType w:val="hybridMultilevel"/>
    <w:lvl w:ilvl="0">
      <w:lvlJc w:val="left"/>
      <w:lvlText w:val="(%1)"/>
      <w:numFmt w:val="lowerLetter"/>
      <w:start w:val="12"/>
    </w:lvl>
  </w:abstractNum>
  <w:abstractNum w:abstractNumId="155">
    <w:nsid w:val="3E6400E6"/>
    <w:multiLevelType w:val="hybridMultilevel"/>
    <w:lvl w:ilvl="0">
      <w:lvlJc w:val="left"/>
      <w:lvlText w:val="(%1)"/>
      <w:numFmt w:val="lowerLetter"/>
      <w:start w:val="1"/>
    </w:lvl>
  </w:abstractNum>
  <w:abstractNum w:abstractNumId="156">
    <w:nsid w:val="14217E23"/>
    <w:multiLevelType w:val="hybridMultilevel"/>
    <w:lvl w:ilvl="0">
      <w:lvlJc w:val="left"/>
      <w:lvlText w:val="(%1)"/>
      <w:numFmt w:val="lowerLetter"/>
      <w:start w:val="6"/>
    </w:lvl>
  </w:abstractNum>
  <w:abstractNum w:abstractNumId="157">
    <w:nsid w:val="710757D0"/>
    <w:multiLevelType w:val="hybridMultilevel"/>
    <w:lvl w:ilvl="0">
      <w:lvlJc w:val="left"/>
      <w:lvlText w:val="(%1)"/>
      <w:numFmt w:val="lowerLetter"/>
      <w:start w:val="1"/>
    </w:lvl>
  </w:abstractNum>
  <w:abstractNum w:abstractNumId="158">
    <w:nsid w:val="5015CD1A"/>
    <w:multiLevelType w:val="hybridMultilevel"/>
    <w:lvl w:ilvl="0">
      <w:lvlJc w:val="left"/>
      <w:lvlText w:val="(%1)"/>
      <w:numFmt w:val="lowerLetter"/>
      <w:start w:val="4"/>
    </w:lvl>
  </w:abstractNum>
  <w:abstractNum w:abstractNumId="159">
    <w:nsid w:val="424479DA"/>
    <w:multiLevelType w:val="hybridMultilevel"/>
    <w:lvl w:ilvl="0">
      <w:lvlJc w:val="left"/>
      <w:lvlText w:val="(%1)"/>
      <w:numFmt w:val="lowerLetter"/>
      <w:start w:val="8"/>
    </w:lvl>
  </w:abstractNum>
  <w:abstractNum w:abstractNumId="160">
    <w:nsid w:val="1A9A9E69"/>
    <w:multiLevelType w:val="hybridMultilevel"/>
    <w:lvl w:ilvl="0">
      <w:lvlJc w:val="left"/>
      <w:lvlText w:val="(%1)"/>
      <w:numFmt w:val="lowerLetter"/>
      <w:start w:val="1"/>
    </w:lvl>
  </w:abstractNum>
  <w:abstractNum w:abstractNumId="161">
    <w:nsid w:val="475E256A"/>
    <w:multiLevelType w:val="hybridMultilevel"/>
    <w:lvl w:ilvl="0">
      <w:lvlJc w:val="left"/>
      <w:lvlText w:val="(%1)"/>
      <w:numFmt w:val="lowerRoman"/>
      <w:start w:val="1"/>
    </w:lvl>
  </w:abstractNum>
  <w:abstractNum w:abstractNumId="162">
    <w:nsid w:val="368DB37E"/>
    <w:multiLevelType w:val="hybridMultilevel"/>
    <w:lvl w:ilvl="0">
      <w:lvlJc w:val="left"/>
      <w:lvlText w:val="%1"/>
      <w:numFmt w:val="lowerLetter"/>
      <w:start w:val="1"/>
    </w:lvl>
    <w:lvl w:ilvl="1">
      <w:lvlJc w:val="left"/>
      <w:lvlText w:val="(%2)"/>
      <w:numFmt w:val="lowerRoman"/>
      <w:start w:val="2"/>
    </w:lvl>
  </w:abstractNum>
  <w:abstractNum w:abstractNumId="163">
    <w:nsid w:val="6A3B714C"/>
    <w:multiLevelType w:val="hybridMultilevel"/>
    <w:lvl w:ilvl="0">
      <w:lvlJc w:val="left"/>
      <w:lvlText w:val="(%1)"/>
      <w:numFmt w:val="lowerLetter"/>
      <w:start w:val="2"/>
    </w:lvl>
    <w:lvl w:ilvl="1">
      <w:lvlJc w:val="left"/>
      <w:lvlText w:val="%2"/>
      <w:numFmt w:val="lowerRoman"/>
      <w:start w:val="1"/>
    </w:lvl>
  </w:abstractNum>
  <w:abstractNum w:abstractNumId="164">
    <w:nsid w:val="327B517E"/>
    <w:multiLevelType w:val="hybridMultilevel"/>
    <w:lvl w:ilvl="0">
      <w:lvlJc w:val="left"/>
      <w:lvlText w:val="(%1)"/>
      <w:numFmt w:val="lowerLetter"/>
      <w:start w:val="1"/>
    </w:lvl>
  </w:abstractNum>
  <w:abstractNum w:abstractNumId="165">
    <w:nsid w:val="1F461B51"/>
    <w:multiLevelType w:val="hybridMultilevel"/>
    <w:lvl w:ilvl="0">
      <w:lvlJc w:val="left"/>
      <w:lvlText w:val="%1"/>
      <w:numFmt w:val="lowerLetter"/>
      <w:start w:val="1"/>
    </w:lvl>
    <w:lvl w:ilvl="1">
      <w:lvlJc w:val="left"/>
      <w:lvlText w:val="(%2)"/>
      <w:numFmt w:val="lowerLetter"/>
      <w:start w:val="1"/>
    </w:lvl>
  </w:abstractNum>
  <w:abstractNum w:abstractNumId="166">
    <w:nsid w:val="29BACF25"/>
    <w:multiLevelType w:val="hybridMultilevel"/>
    <w:lvl w:ilvl="0">
      <w:lvlJc w:val="left"/>
      <w:lvlText w:val="(%1)"/>
      <w:numFmt w:val="lowerLetter"/>
      <w:start w:val="24"/>
    </w:lvl>
    <w:lvl w:ilvl="1">
      <w:lvlJc w:val="left"/>
      <w:lvlText w:val="(%2)"/>
      <w:numFmt w:val="lowerLetter"/>
      <w:start w:val="3"/>
    </w:lvl>
  </w:abstractNum>
  <w:abstractNum w:abstractNumId="167">
    <w:nsid w:val="5D5BABB3"/>
    <w:multiLevelType w:val="hybridMultilevel"/>
    <w:lvl w:ilvl="0">
      <w:lvlJc w:val="left"/>
      <w:lvlText w:val="(%1)"/>
      <w:numFmt w:val="lowerLetter"/>
      <w:start w:val="4"/>
    </w:lvl>
  </w:abstractNum>
  <w:abstractNum w:abstractNumId="168">
    <w:nsid w:val="51BF6B48"/>
    <w:multiLevelType w:val="hybridMultilevel"/>
    <w:lvl w:ilvl="0">
      <w:lvlJc w:val="left"/>
      <w:lvlText w:val="(%1)"/>
      <w:numFmt w:val="lowerLetter"/>
      <w:start w:val="1"/>
    </w:lvl>
  </w:abstractNum>
  <w:abstractNum w:abstractNumId="169">
    <w:nsid w:val="7E0F6384"/>
    <w:multiLevelType w:val="hybridMultilevel"/>
    <w:lvl w:ilvl="0">
      <w:lvlJc w:val="left"/>
      <w:lvlText w:val="(%1)"/>
      <w:numFmt w:val="lowerLetter"/>
      <w:start w:val="4"/>
    </w:lvl>
  </w:abstractNum>
  <w:abstractNum w:abstractNumId="170">
    <w:nsid w:val="2B4B8B53"/>
    <w:multiLevelType w:val="hybridMultilevel"/>
    <w:lvl w:ilvl="0">
      <w:lvlJc w:val="left"/>
      <w:lvlText w:val="(%1)"/>
      <w:numFmt w:val="lowerLetter"/>
      <w:start w:val="1"/>
    </w:lvl>
  </w:abstractNum>
  <w:abstractNum w:abstractNumId="171">
    <w:nsid w:val="72E3413A"/>
    <w:multiLevelType w:val="hybridMultilevel"/>
    <w:lvl w:ilvl="0">
      <w:lvlJc w:val="left"/>
      <w:lvlText w:val="(%1)"/>
      <w:numFmt w:val="lowerLetter"/>
      <w:start w:val="4"/>
    </w:lvl>
  </w:abstractNum>
  <w:abstractNum w:abstractNumId="172">
    <w:nsid w:val="116AE494"/>
    <w:multiLevelType w:val="hybridMultilevel"/>
    <w:lvl w:ilvl="0">
      <w:lvlJc w:val="left"/>
      <w:lvlText w:val="(%1)"/>
      <w:numFmt w:val="lowerLetter"/>
      <w:start w:val="1"/>
    </w:lvl>
  </w:abstractNum>
  <w:abstractNum w:abstractNumId="173">
    <w:nsid w:val="3494B2FB"/>
    <w:multiLevelType w:val="hybridMultilevel"/>
    <w:lvl w:ilvl="0">
      <w:lvlJc w:val="left"/>
      <w:lvlText w:val="(%1)"/>
      <w:numFmt w:val="lowerRoman"/>
      <w:start w:val="1"/>
    </w:lvl>
  </w:abstractNum>
  <w:abstractNum w:abstractNumId="174">
    <w:nsid w:val="B13A31"/>
    <w:multiLevelType w:val="hybridMultilevel"/>
    <w:lvl w:ilvl="0">
      <w:lvlJc w:val="left"/>
      <w:lvlText w:val="%1"/>
      <w:numFmt w:val="lowerLetter"/>
      <w:start w:val="1"/>
    </w:lvl>
    <w:lvl w:ilvl="1">
      <w:lvlJc w:val="left"/>
      <w:lvlText w:val="(%2)"/>
      <w:numFmt w:val="lowerLetter"/>
      <w:start w:val="35"/>
    </w:lvl>
  </w:abstractNum>
  <w:abstractNum w:abstractNumId="175">
    <w:nsid w:val="64429599"/>
    <w:multiLevelType w:val="hybridMultilevel"/>
    <w:lvl w:ilvl="0">
      <w:lvlJc w:val="left"/>
      <w:lvlText w:val="(%1)"/>
      <w:numFmt w:val="lowerLetter"/>
      <w:start w:val="2"/>
    </w:lvl>
    <w:lvl w:ilvl="1">
      <w:lvlJc w:val="left"/>
      <w:lvlText w:val="%2"/>
      <w:numFmt w:val="lowerLetter"/>
      <w:start w:val="1"/>
    </w:lvl>
  </w:abstractNum>
  <w:abstractNum w:abstractNumId="176">
    <w:nsid w:val="631F1690"/>
    <w:multiLevelType w:val="hybridMultilevel"/>
    <w:lvl w:ilvl="0">
      <w:lvlJc w:val="left"/>
      <w:lvlText w:val="(%1)"/>
      <w:numFmt w:val="lowerLetter"/>
      <w:start w:val="1"/>
    </w:lvl>
  </w:abstractNum>
  <w:abstractNum w:abstractNumId="177">
    <w:nsid w:val="25973E32"/>
    <w:multiLevelType w:val="hybridMultilevel"/>
    <w:lvl w:ilvl="0">
      <w:lvlJc w:val="left"/>
      <w:lvlText w:val="(%1)"/>
      <w:numFmt w:val="lowerLetter"/>
      <w:start w:val="2"/>
    </w:lvl>
  </w:abstractNum>
  <w:abstractNum w:abstractNumId="178">
    <w:nsid w:val="EAD6F57"/>
    <w:multiLevelType w:val="hybridMultilevel"/>
    <w:lvl w:ilvl="0">
      <w:lvlJc w:val="left"/>
      <w:lvlText w:val="%1"/>
      <w:numFmt w:val="lowerLetter"/>
      <w:start w:val="1"/>
    </w:lvl>
    <w:lvl w:ilvl="1">
      <w:lvlJc w:val="left"/>
      <w:lvlText w:val="(%2)"/>
      <w:numFmt w:val="lowerLetter"/>
      <w:start w:val="3"/>
    </w:lvl>
  </w:abstractNum>
  <w:abstractNum w:abstractNumId="179">
    <w:nsid w:val="6EC9D844"/>
    <w:multiLevelType w:val="hybridMultilevel"/>
    <w:lvl w:ilvl="0">
      <w:lvlJc w:val="left"/>
      <w:lvlText w:val="(%1)"/>
      <w:numFmt w:val="lowerLetter"/>
      <w:start w:val="9"/>
    </w:lvl>
    <w:lvl w:ilvl="1">
      <w:lvlJc w:val="left"/>
      <w:lvlText w:val="(%2)"/>
      <w:numFmt w:val="lowerLetter"/>
      <w:start w:val="4"/>
    </w:lvl>
  </w:abstractNum>
  <w:abstractNum w:abstractNumId="180">
    <w:nsid w:val="5C49EAEE"/>
    <w:multiLevelType w:val="hybridMultilevel"/>
    <w:lvl w:ilvl="0">
      <w:lvlJc w:val="left"/>
      <w:lvlText w:val="(%1)"/>
      <w:numFmt w:val="lowerLetter"/>
      <w:start w:val="1"/>
    </w:lvl>
  </w:abstractNum>
  <w:abstractNum w:abstractNumId="181">
    <w:nsid w:val="64AF49B"/>
    <w:multiLevelType w:val="hybridMultilevel"/>
    <w:lvl w:ilvl="0">
      <w:lvlJc w:val="left"/>
      <w:lvlText w:val="(%1)"/>
      <w:numFmt w:val="lowerLetter"/>
      <w:start w:val="2"/>
    </w:lvl>
  </w:abstractNum>
  <w:abstractNum w:abstractNumId="182">
    <w:nsid w:val="397C46BC"/>
    <w:multiLevelType w:val="hybridMultilevel"/>
    <w:lvl w:ilvl="0">
      <w:lvlJc w:val="left"/>
      <w:lvlText w:val="(%1)"/>
      <w:numFmt w:val="lowerLetter"/>
      <w:start w:val="4"/>
    </w:lvl>
    <w:lvl w:ilvl="1">
      <w:lvlJc w:val="left"/>
      <w:lvlText w:val="(%2)"/>
      <w:numFmt w:val="lowerLetter"/>
      <w:start w:val="5"/>
    </w:lvl>
  </w:abstractNum>
  <w:abstractNum w:abstractNumId="183">
    <w:nsid w:val="7E448DE9"/>
    <w:multiLevelType w:val="hybridMultilevel"/>
    <w:lvl w:ilvl="0">
      <w:lvlJc w:val="left"/>
      <w:lvlText w:val="(%1)"/>
      <w:numFmt w:val="lowerLetter"/>
      <w:start w:val="1"/>
    </w:lvl>
  </w:abstractNum>
  <w:abstractNum w:abstractNumId="184">
    <w:nsid w:val="5A9CC3E5"/>
    <w:multiLevelType w:val="hybridMultilevel"/>
    <w:lvl w:ilvl="0">
      <w:lvlJc w:val="left"/>
      <w:lvlText w:val="%1"/>
      <w:numFmt w:val="lowerLetter"/>
      <w:start w:val="1"/>
    </w:lvl>
    <w:lvl w:ilvl="1">
      <w:lvlJc w:val="left"/>
      <w:lvlText w:val="(%2)"/>
      <w:numFmt w:val="lowerLetter"/>
      <w:start w:val="3"/>
    </w:lvl>
  </w:abstractNum>
  <w:abstractNum w:abstractNumId="185">
    <w:nsid w:val="1AFE3625"/>
    <w:multiLevelType w:val="hybridMultilevel"/>
    <w:lvl w:ilvl="0">
      <w:lvlJc w:val="left"/>
      <w:lvlText w:val="(%1)"/>
      <w:numFmt w:val="lowerLetter"/>
      <w:start w:val="61"/>
    </w:lvl>
    <w:lvl w:ilvl="1">
      <w:lvlJc w:val="left"/>
      <w:lvlText w:val="%2"/>
      <w:numFmt w:val="lowerLetter"/>
      <w:start w:val="1"/>
    </w:lvl>
  </w:abstractNum>
  <w:abstractNum w:abstractNumId="186">
    <w:nsid w:val="3CA88ECF"/>
    <w:multiLevelType w:val="hybridMultilevel"/>
    <w:lvl w:ilvl="0">
      <w:lvlJc w:val="left"/>
      <w:lvlText w:val="(%1)"/>
      <w:numFmt w:val="lowerLetter"/>
      <w:start w:val="4"/>
    </w:lvl>
  </w:abstractNum>
  <w:abstractNum w:abstractNumId="187">
    <w:nsid w:val="6EBE4208"/>
    <w:multiLevelType w:val="hybridMultilevel"/>
    <w:lvl w:ilvl="0">
      <w:lvlJc w:val="left"/>
      <w:lvlText w:val="%1"/>
      <w:numFmt w:val="lowerLetter"/>
      <w:start w:val="1"/>
    </w:lvl>
    <w:lvl w:ilvl="1">
      <w:lvlJc w:val="left"/>
      <w:lvlText w:val="(%2)"/>
      <w:numFmt w:val="lowerLetter"/>
      <w:start w:val="7"/>
    </w:lvl>
  </w:abstractNum>
  <w:abstractNum w:abstractNumId="188">
    <w:nsid w:val="C058DF5"/>
    <w:multiLevelType w:val="hybridMultilevel"/>
    <w:lvl w:ilvl="0">
      <w:lvlJc w:val="left"/>
      <w:lvlText w:val="(%1)"/>
      <w:numFmt w:val="lowerLetter"/>
      <w:start w:val="35"/>
    </w:lvl>
    <w:lvl w:ilvl="1">
      <w:lvlJc w:val="left"/>
      <w:lvlText w:val="%2"/>
      <w:numFmt w:val="lowerLetter"/>
      <w:start w:val="1"/>
    </w:lvl>
  </w:abstractNum>
  <w:abstractNum w:abstractNumId="189">
    <w:nsid w:val="CBE5BE9"/>
    <w:multiLevelType w:val="hybridMultilevel"/>
    <w:lvl w:ilvl="0">
      <w:lvlJc w:val="left"/>
      <w:lvlText w:val="(%1)"/>
      <w:numFmt w:val="lowerLetter"/>
      <w:start w:val="11"/>
    </w:lvl>
    <w:lvl w:ilvl="1">
      <w:lvlJc w:val="left"/>
      <w:lvlText w:val="(%2)"/>
      <w:numFmt w:val="lowerRoman"/>
      <w:start w:val="1"/>
    </w:lvl>
  </w:abstractNum>
  <w:abstractNum w:abstractNumId="190">
    <w:nsid w:val="3102BBE2"/>
    <w:multiLevelType w:val="hybridMultilevel"/>
    <w:lvl w:ilvl="0">
      <w:lvlJc w:val="left"/>
      <w:lvlText w:val="(%1)"/>
      <w:numFmt w:val="lowerLetter"/>
      <w:start w:val="1"/>
    </w:lvl>
  </w:abstractNum>
  <w:abstractNum w:abstractNumId="191">
    <w:nsid w:val="26A02C5E"/>
    <w:multiLevelType w:val="hybridMultilevel"/>
    <w:lvl w:ilvl="0">
      <w:lvlJc w:val="left"/>
      <w:lvlText w:val="(%1)"/>
      <w:numFmt w:val="upperLetter"/>
      <w:start w:val="1"/>
    </w:lvl>
  </w:abstractNum>
  <w:abstractNum w:abstractNumId="192">
    <w:nsid w:val="541C8153"/>
    <w:multiLevelType w:val="hybridMultilevel"/>
    <w:lvl w:ilvl="0">
      <w:lvlJc w:val="left"/>
      <w:lvlText w:val="(%1)"/>
      <w:numFmt w:val="lowerLetter"/>
      <w:start w:val="1"/>
    </w:lvl>
  </w:abstractNum>
  <w:abstractNum w:abstractNumId="193">
    <w:nsid w:val="67906F60"/>
    <w:multiLevelType w:val="hybridMultilevel"/>
    <w:lvl w:ilvl="0">
      <w:lvlJc w:val="left"/>
      <w:lvlText w:val="(%1)"/>
      <w:numFmt w:val="lowerRoman"/>
      <w:start w:val="1"/>
    </w:lvl>
  </w:abstractNum>
  <w:abstractNum w:abstractNumId="194">
    <w:nsid w:val="10DB9DAA"/>
    <w:multiLevelType w:val="hybridMultilevel"/>
    <w:lvl w:ilvl="0">
      <w:lvlJc w:val="left"/>
      <w:lvlText w:val="(%1)"/>
      <w:numFmt w:val="lowerLetter"/>
      <w:start w:val="1"/>
    </w:lvl>
  </w:abstractNum>
  <w:abstractNum w:abstractNumId="195">
    <w:nsid w:val="697D2D2"/>
    <w:multiLevelType w:val="hybridMultilevel"/>
    <w:lvl w:ilvl="0">
      <w:lvlJc w:val="left"/>
      <w:lvlText w:val="(%1)"/>
      <w:numFmt w:val="lowerLetter"/>
      <w:start w:val="2"/>
    </w:lvl>
  </w:abstractNum>
  <w:abstractNum w:abstractNumId="196">
    <w:nsid w:val="6D68AB2"/>
    <w:multiLevelType w:val="hybridMultilevel"/>
    <w:lvl w:ilvl="0">
      <w:lvlJc w:val="left"/>
      <w:lvlText w:val="(%1)"/>
      <w:numFmt w:val="lowerLetter"/>
      <w:start w:val="1"/>
    </w:lvl>
    <w:lvl w:ilvl="1">
      <w:lvlJc w:val="left"/>
      <w:lvlText w:val="(%2)"/>
      <w:numFmt w:val="lowerRoman"/>
      <w:start w:val="1"/>
    </w:lvl>
  </w:abstractNum>
  <w:abstractNum w:abstractNumId="197">
    <w:nsid w:val="3A966CD0"/>
    <w:multiLevelType w:val="hybridMultilevel"/>
    <w:lvl w:ilvl="0">
      <w:lvlJc w:val="left"/>
      <w:lvlText w:val="(%1)"/>
      <w:numFmt w:val="lowerLetter"/>
      <w:start w:val="1"/>
    </w:lvl>
  </w:abstractNum>
  <w:abstractNum w:abstractNumId="198">
    <w:nsid w:val="63F37E8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2026-10-30T15:18:12Z</dcterms:created>
  <dcterms:modified xsi:type="dcterms:W3CDTF">2026-10-30T15:18:12Z</dcterms:modified>
</cp:coreProperties>
</file>