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9" w:lineRule="exact"/>
        <w:rPr>
          <w:sz w:val="24"/>
          <w:szCs w:val="24"/>
          <w:color w:val="auto"/>
        </w:rPr>
      </w:pPr>
    </w:p>
    <w:p>
      <w:pPr>
        <w:ind w:right="3140" w:firstLine="8"/>
        <w:spacing w:after="0" w:line="316" w:lineRule="auto"/>
        <w:tabs>
          <w:tab w:leader="none" w:pos="1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4380" w:right="2800" w:hanging="4372"/>
        <w:spacing w:after="0" w:line="317" w:lineRule="auto"/>
        <w:tabs>
          <w:tab w:leader="none" w:pos="20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001-40822</w:t>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Remitly Global,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80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6"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334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140" w:type="dxa"/>
            <w:vAlign w:val="bottom"/>
            <w:gridSpan w:val="2"/>
          </w:tcPr>
          <w:p>
            <w:pPr>
              <w:jc w:val="center"/>
              <w:ind w:left="624"/>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880" w:type="dxa"/>
            <w:vAlign w:val="bottom"/>
          </w:tcPr>
          <w:p>
            <w:pPr>
              <w:spacing w:after="0"/>
              <w:rPr>
                <w:sz w:val="18"/>
                <w:szCs w:val="18"/>
                <w:color w:val="auto"/>
              </w:rPr>
            </w:pPr>
          </w:p>
        </w:tc>
        <w:tc>
          <w:tcPr>
            <w:tcW w:w="3180" w:type="dxa"/>
            <w:vAlign w:val="bottom"/>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rPr>
              <w:t>83-2301143</w:t>
            </w:r>
          </w:p>
        </w:tc>
      </w:tr>
      <w:tr>
        <w:trPr>
          <w:trHeight w:val="199"/>
        </w:trPr>
        <w:tc>
          <w:tcPr>
            <w:tcW w:w="33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3180" w:type="dxa"/>
            <w:vAlign w:val="bottom"/>
          </w:tcPr>
          <w:p>
            <w:pPr>
              <w:jc w:val="center"/>
              <w:ind w:left="36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3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180" w:type="dxa"/>
            <w:vAlign w:val="bottom"/>
          </w:tcPr>
          <w:p>
            <w:pPr>
              <w:jc w:val="center"/>
              <w:ind w:left="364"/>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13"/>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180" w:type="dxa"/>
            <w:vAlign w:val="bottom"/>
          </w:tcPr>
          <w:p>
            <w:pPr>
              <w:spacing w:after="0"/>
              <w:rPr>
                <w:sz w:val="18"/>
                <w:szCs w:val="18"/>
                <w:color w:val="auto"/>
              </w:rPr>
            </w:pPr>
          </w:p>
        </w:tc>
      </w:tr>
      <w:tr>
        <w:trPr>
          <w:trHeight w:val="352"/>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1111 Third Avenue, Suite 2100  Seattle,</w:t>
            </w: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WA</w:t>
            </w:r>
          </w:p>
        </w:tc>
        <w:tc>
          <w:tcPr>
            <w:tcW w:w="3180" w:type="dxa"/>
            <w:vAlign w:val="bottom"/>
          </w:tcPr>
          <w:p>
            <w:pPr>
              <w:jc w:val="right"/>
              <w:ind w:right="1764"/>
              <w:spacing w:after="0"/>
              <w:rPr>
                <w:sz w:val="20"/>
                <w:szCs w:val="20"/>
                <w:color w:val="auto"/>
              </w:rPr>
            </w:pPr>
            <w:r>
              <w:rPr>
                <w:rFonts w:ascii="Times New Roman" w:cs="Times New Roman" w:eastAsia="Times New Roman" w:hAnsi="Times New Roman"/>
                <w:sz w:val="16"/>
                <w:szCs w:val="16"/>
                <w:b w:val="1"/>
                <w:bCs w:val="1"/>
                <w:color w:val="auto"/>
              </w:rPr>
              <w:t>98101</w:t>
            </w:r>
          </w:p>
        </w:tc>
      </w:tr>
      <w:tr>
        <w:trPr>
          <w:trHeight w:val="193"/>
        </w:trPr>
        <w:tc>
          <w:tcPr>
            <w:tcW w:w="3340" w:type="dxa"/>
            <w:vAlign w:val="bottom"/>
            <w:tcBorders>
              <w:top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82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(888) 736-4859</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75"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6720" w:type="dxa"/>
            <w:vAlign w:val="bottom"/>
            <w:gridSpan w:val="5"/>
          </w:tcPr>
          <w:p>
            <w:pPr>
              <w:jc w:val="center"/>
              <w:ind w:right="25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56"/>
        </w:trPr>
        <w:tc>
          <w:tcPr>
            <w:tcW w:w="266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6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266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5"/>
              </w:rPr>
              <w:t>RELY</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5" w:lineRule="exact"/>
        <w:rPr>
          <w:sz w:val="24"/>
          <w:szCs w:val="24"/>
          <w:color w:val="auto"/>
        </w:rPr>
      </w:pPr>
    </w:p>
    <w:p>
      <w:pPr>
        <w:ind w:right="274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14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8"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As of June 30, 2024, the aggregate market value of the registrant’s common stock held by non-affiliates of the registrant was approximately $1,771.2 million based on the closing sale price of $12.12 as reported on the NASDAQ Global Select Market.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17, 2025, the registrant had 200,607,380 shares of common stock, $0.0001 par value per share, outstanding.</w:t>
      </w:r>
    </w:p>
    <w:p>
      <w:pPr>
        <w:spacing w:after="0" w:line="8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information required by Part III (Items 10, 11, 12, 13, and 14) is incorporated by reference from the registrant’s Definitive Proxy Statement for its 2024 Annual Meeting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46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56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3"/>
        </w:trPr>
        <w:tc>
          <w:tcPr>
            <w:tcW w:w="946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tc>
        <w:tc>
          <w:tcPr>
            <w:tcW w:w="156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rPr>
              <w:t>ii</w:t>
            </w:r>
          </w:p>
        </w:tc>
      </w:tr>
      <w:tr>
        <w:trPr>
          <w:trHeight w:val="499"/>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58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6"/>
                <w:szCs w:val="16"/>
                <w:color w:val="3051F2"/>
                <w:w w:val="98"/>
              </w:rPr>
              <w:t>Business</w:t>
            </w:r>
          </w:p>
        </w:tc>
        <w:tc>
          <w:tcPr>
            <w:tcW w:w="7900" w:type="dxa"/>
            <w:vAlign w:val="bottom"/>
            <w:gridSpan w:val="27"/>
          </w:tcPr>
          <w:p>
            <w:pPr>
              <w:spacing w:after="0"/>
              <w:rPr>
                <w:sz w:val="18"/>
                <w:szCs w:val="18"/>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1</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6"/>
                <w:szCs w:val="16"/>
                <w:color w:val="3051F2"/>
                <w:w w:val="99"/>
              </w:rPr>
              <w:t>Risk Factors</w:t>
            </w:r>
          </w:p>
        </w:tc>
        <w:tc>
          <w:tcPr>
            <w:tcW w:w="7660" w:type="dxa"/>
            <w:vAlign w:val="bottom"/>
            <w:gridSpan w:val="24"/>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12</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184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6"/>
                <w:szCs w:val="16"/>
                <w:color w:val="3051F2"/>
                <w:w w:val="99"/>
              </w:rPr>
              <w:t>Unresolved Staff Comments</w:t>
            </w:r>
          </w:p>
        </w:tc>
        <w:tc>
          <w:tcPr>
            <w:tcW w:w="6640" w:type="dxa"/>
            <w:vAlign w:val="bottom"/>
            <w:gridSpan w:val="17"/>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Cybersecurity</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660" w:type="dxa"/>
            <w:vAlign w:val="bottom"/>
            <w:tcBorders>
              <w:top w:val="single" w:sz="8" w:color="3051F2"/>
              <w:bottom w:val="single" w:sz="8" w:color="3051F2"/>
            </w:tcBorders>
            <w:gridSpan w:val="3"/>
          </w:tcPr>
          <w:p>
            <w:pPr>
              <w:spacing w:after="0"/>
              <w:rPr>
                <w:sz w:val="20"/>
                <w:szCs w:val="20"/>
                <w:color w:val="auto"/>
              </w:rPr>
            </w:pPr>
            <w:r>
              <w:rPr>
                <w:rFonts w:ascii="Times New Roman" w:cs="Times New Roman" w:eastAsia="Times New Roman" w:hAnsi="Times New Roman"/>
                <w:sz w:val="16"/>
                <w:szCs w:val="16"/>
                <w:color w:val="3051F2"/>
                <w:w w:val="98"/>
              </w:rPr>
              <w:t>Properties</w:t>
            </w:r>
          </w:p>
        </w:tc>
        <w:tc>
          <w:tcPr>
            <w:tcW w:w="240" w:type="dxa"/>
            <w:vAlign w:val="bottom"/>
            <w:tcBorders>
              <w:top w:val="single" w:sz="8" w:color="3051F2"/>
            </w:tcBorders>
            <w:gridSpan w:val="2"/>
          </w:tcPr>
          <w:p>
            <w:pPr>
              <w:spacing w:after="0"/>
              <w:rPr>
                <w:sz w:val="19"/>
                <w:szCs w:val="19"/>
                <w:color w:val="auto"/>
              </w:rPr>
            </w:pPr>
          </w:p>
        </w:tc>
        <w:tc>
          <w:tcPr>
            <w:tcW w:w="7580" w:type="dxa"/>
            <w:vAlign w:val="bottom"/>
            <w:gridSpan w:val="2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41</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120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6"/>
                <w:szCs w:val="16"/>
                <w:color w:val="3051F2"/>
                <w:w w:val="99"/>
              </w:rPr>
              <w:t>Legal Proceedings</w:t>
            </w:r>
          </w:p>
        </w:tc>
        <w:tc>
          <w:tcPr>
            <w:tcW w:w="7280" w:type="dxa"/>
            <w:vAlign w:val="bottom"/>
            <w:gridSpan w:val="21"/>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41</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Mine Safety Disclosures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41</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7260" w:type="dxa"/>
            <w:vAlign w:val="bottom"/>
            <w:tcBorders>
              <w:bottom w:val="single" w:sz="8" w:color="3051F2"/>
            </w:tcBorders>
            <w:gridSpan w:val="27"/>
          </w:tcPr>
          <w:p>
            <w:pPr>
              <w:spacing w:after="0"/>
              <w:rPr>
                <w:sz w:val="20"/>
                <w:szCs w:val="20"/>
                <w:color w:val="auto"/>
              </w:rPr>
            </w:pPr>
            <w:r>
              <w:rPr>
                <w:rFonts w:ascii="Times New Roman" w:cs="Times New Roman" w:eastAsia="Times New Roman" w:hAnsi="Times New Roman"/>
                <w:sz w:val="16"/>
                <w:szCs w:val="16"/>
                <w:color w:val="3051F2"/>
              </w:rPr>
              <w:t>Market for Registrant's Common Equity, Related Stockholder Matters and Issuer Purchases of Equity Securities</w:t>
            </w:r>
          </w:p>
        </w:tc>
        <w:tc>
          <w:tcPr>
            <w:tcW w:w="1220" w:type="dxa"/>
            <w:vAlign w:val="bottom"/>
          </w:tcPr>
          <w:p>
            <w:pPr>
              <w:spacing w:after="0"/>
              <w:rPr>
                <w:sz w:val="18"/>
                <w:szCs w:val="18"/>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42</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Reserved</w:t>
            </w:r>
          </w:p>
        </w:tc>
        <w:tc>
          <w:tcPr>
            <w:tcW w:w="15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5800" w:type="dxa"/>
            <w:vAlign w:val="bottom"/>
            <w:tcBorders>
              <w:bottom w:val="single" w:sz="8" w:color="3051F2"/>
            </w:tcBorders>
            <w:gridSpan w:val="24"/>
          </w:tcPr>
          <w:p>
            <w:pPr>
              <w:spacing w:after="0"/>
              <w:rPr>
                <w:sz w:val="20"/>
                <w:szCs w:val="20"/>
                <w:color w:val="auto"/>
              </w:rPr>
            </w:pPr>
            <w:r>
              <w:rPr>
                <w:rFonts w:ascii="Times New Roman" w:cs="Times New Roman" w:eastAsia="Times New Roman" w:hAnsi="Times New Roman"/>
                <w:sz w:val="16"/>
                <w:szCs w:val="16"/>
                <w:color w:val="3051F2"/>
              </w:rPr>
              <w:t>Management's Discussion and Analysis of Financial Condition and Results of Operations</w:t>
            </w:r>
          </w:p>
        </w:tc>
        <w:tc>
          <w:tcPr>
            <w:tcW w:w="2680" w:type="dxa"/>
            <w:vAlign w:val="bottom"/>
            <w:gridSpan w:val="4"/>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44</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Quantitative and Qualitative Disclosures About Market Risk</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54</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3000" w:type="dxa"/>
            <w:vAlign w:val="bottom"/>
            <w:tcBorders>
              <w:top w:val="single" w:sz="8" w:color="3051F2"/>
              <w:bottom w:val="single" w:sz="8" w:color="3051F2"/>
            </w:tcBorders>
            <w:gridSpan w:val="16"/>
          </w:tcPr>
          <w:p>
            <w:pPr>
              <w:spacing w:after="0"/>
              <w:rPr>
                <w:sz w:val="20"/>
                <w:szCs w:val="20"/>
                <w:color w:val="auto"/>
              </w:rPr>
            </w:pPr>
            <w:r>
              <w:rPr>
                <w:rFonts w:ascii="Times New Roman" w:cs="Times New Roman" w:eastAsia="Times New Roman" w:hAnsi="Times New Roman"/>
                <w:sz w:val="16"/>
                <w:szCs w:val="16"/>
                <w:color w:val="3051F2"/>
              </w:rPr>
              <w:t>Financial Statements and Supplementary Data</w:t>
            </w:r>
          </w:p>
        </w:tc>
        <w:tc>
          <w:tcPr>
            <w:tcW w:w="920" w:type="dxa"/>
            <w:vAlign w:val="bottom"/>
            <w:tcBorders>
              <w:top w:val="single" w:sz="8" w:color="3051F2"/>
            </w:tcBorders>
            <w:gridSpan w:val="5"/>
          </w:tcPr>
          <w:p>
            <w:pPr>
              <w:spacing w:after="0"/>
              <w:rPr>
                <w:sz w:val="19"/>
                <w:szCs w:val="19"/>
                <w:color w:val="auto"/>
              </w:rPr>
            </w:pPr>
          </w:p>
        </w:tc>
        <w:tc>
          <w:tcPr>
            <w:tcW w:w="4560" w:type="dxa"/>
            <w:vAlign w:val="bottom"/>
            <w:gridSpan w:val="7"/>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56</w:t>
            </w:r>
          </w:p>
        </w:tc>
      </w:tr>
      <w:tr>
        <w:trPr>
          <w:trHeight w:val="223"/>
        </w:trPr>
        <w:tc>
          <w:tcPr>
            <w:tcW w:w="980" w:type="dxa"/>
            <w:vAlign w:val="bottom"/>
          </w:tcPr>
          <w:p>
            <w:pPr>
              <w:spacing w:after="0"/>
              <w:rPr>
                <w:sz w:val="19"/>
                <w:szCs w:val="19"/>
                <w:color w:val="auto"/>
              </w:rPr>
            </w:pPr>
          </w:p>
        </w:tc>
        <w:tc>
          <w:tcPr>
            <w:tcW w:w="380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6"/>
                <w:szCs w:val="16"/>
                <w:color w:val="3051F2"/>
              </w:rPr>
              <w:t>Report of Independent Registered Public Accounting Firm</w:t>
            </w:r>
          </w:p>
        </w:tc>
        <w:tc>
          <w:tcPr>
            <w:tcW w:w="4680" w:type="dxa"/>
            <w:vAlign w:val="bottom"/>
            <w:gridSpan w:val="8"/>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57</w:t>
            </w:r>
          </w:p>
        </w:tc>
      </w:tr>
      <w:tr>
        <w:trPr>
          <w:trHeight w:val="223"/>
        </w:trPr>
        <w:tc>
          <w:tcPr>
            <w:tcW w:w="980" w:type="dxa"/>
            <w:vAlign w:val="bottom"/>
          </w:tcPr>
          <w:p>
            <w:pPr>
              <w:spacing w:after="0"/>
              <w:rPr>
                <w:sz w:val="19"/>
                <w:szCs w:val="19"/>
                <w:color w:val="auto"/>
              </w:rPr>
            </w:pPr>
          </w:p>
        </w:tc>
        <w:tc>
          <w:tcPr>
            <w:tcW w:w="188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6"/>
                <w:szCs w:val="16"/>
                <w:color w:val="3051F2"/>
              </w:rPr>
              <w:t>Consolidated Balance Sheets</w:t>
            </w:r>
          </w:p>
        </w:tc>
        <w:tc>
          <w:tcPr>
            <w:tcW w:w="6600" w:type="dxa"/>
            <w:vAlign w:val="bottom"/>
            <w:gridSpan w:val="16"/>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59</w:t>
            </w:r>
          </w:p>
        </w:tc>
      </w:tr>
      <w:tr>
        <w:trPr>
          <w:trHeight w:val="223"/>
        </w:trPr>
        <w:tc>
          <w:tcPr>
            <w:tcW w:w="980" w:type="dxa"/>
            <w:vAlign w:val="bottom"/>
          </w:tcPr>
          <w:p>
            <w:pPr>
              <w:spacing w:after="0"/>
              <w:rPr>
                <w:sz w:val="19"/>
                <w:szCs w:val="19"/>
                <w:color w:val="auto"/>
              </w:rPr>
            </w:pPr>
          </w:p>
        </w:tc>
        <w:tc>
          <w:tcPr>
            <w:tcW w:w="254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6"/>
                <w:szCs w:val="16"/>
                <w:color w:val="3051F2"/>
              </w:rPr>
              <w:t>Consolidated Statements of Operations</w:t>
            </w:r>
          </w:p>
        </w:tc>
        <w:tc>
          <w:tcPr>
            <w:tcW w:w="5940" w:type="dxa"/>
            <w:vAlign w:val="bottom"/>
            <w:gridSpan w:val="15"/>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60</w:t>
            </w:r>
          </w:p>
        </w:tc>
      </w:tr>
      <w:tr>
        <w:trPr>
          <w:trHeight w:val="223"/>
        </w:trPr>
        <w:tc>
          <w:tcPr>
            <w:tcW w:w="980" w:type="dxa"/>
            <w:vAlign w:val="bottom"/>
          </w:tcPr>
          <w:p>
            <w:pPr>
              <w:spacing w:after="0"/>
              <w:rPr>
                <w:sz w:val="19"/>
                <w:szCs w:val="19"/>
                <w:color w:val="auto"/>
              </w:rPr>
            </w:pP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Consolidated Statements of Comprehensive Loss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61</w:t>
            </w:r>
          </w:p>
        </w:tc>
      </w:tr>
      <w:tr>
        <w:trPr>
          <w:trHeight w:val="20"/>
        </w:trPr>
        <w:tc>
          <w:tcPr>
            <w:tcW w:w="980" w:type="dxa"/>
            <w:vAlign w:val="bottom"/>
          </w:tcPr>
          <w:p>
            <w:pPr>
              <w:spacing w:after="0" w:line="20" w:lineRule="exact"/>
              <w:rPr>
                <w:sz w:val="1"/>
                <w:szCs w:val="1"/>
                <w:color w:val="auto"/>
              </w:rPr>
            </w:pPr>
          </w:p>
        </w:tc>
        <w:tc>
          <w:tcPr>
            <w:tcW w:w="1180" w:type="dxa"/>
            <w:vAlign w:val="bottom"/>
            <w:gridSpan w:val="6"/>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320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6"/>
                <w:szCs w:val="16"/>
                <w:color w:val="3051F2"/>
              </w:rPr>
              <w:t>Consolidated Statements of Stockholders’ Equity</w:t>
            </w:r>
          </w:p>
        </w:tc>
        <w:tc>
          <w:tcPr>
            <w:tcW w:w="5280" w:type="dxa"/>
            <w:vAlign w:val="bottom"/>
            <w:gridSpan w:val="10"/>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62</w:t>
            </w:r>
          </w:p>
        </w:tc>
      </w:tr>
      <w:tr>
        <w:trPr>
          <w:trHeight w:val="223"/>
        </w:trPr>
        <w:tc>
          <w:tcPr>
            <w:tcW w:w="980" w:type="dxa"/>
            <w:vAlign w:val="bottom"/>
          </w:tcPr>
          <w:p>
            <w:pPr>
              <w:spacing w:after="0"/>
              <w:rPr>
                <w:sz w:val="19"/>
                <w:szCs w:val="19"/>
                <w:color w:val="auto"/>
              </w:rPr>
            </w:pP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Consolidated Statements of Cash Flows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64</w:t>
            </w:r>
          </w:p>
        </w:tc>
      </w:tr>
      <w:tr>
        <w:trPr>
          <w:trHeight w:val="20"/>
        </w:trPr>
        <w:tc>
          <w:tcPr>
            <w:tcW w:w="980" w:type="dxa"/>
            <w:vAlign w:val="bottom"/>
          </w:tcPr>
          <w:p>
            <w:pPr>
              <w:spacing w:after="0" w:line="20" w:lineRule="exact"/>
              <w:rPr>
                <w:sz w:val="1"/>
                <w:szCs w:val="1"/>
                <w:color w:val="auto"/>
              </w:rPr>
            </w:pPr>
          </w:p>
        </w:tc>
        <w:tc>
          <w:tcPr>
            <w:tcW w:w="1180" w:type="dxa"/>
            <w:vAlign w:val="bottom"/>
            <w:gridSpan w:val="6"/>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284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6"/>
                <w:szCs w:val="16"/>
                <w:color w:val="3051F2"/>
              </w:rPr>
              <w:t>Notes to Consolidated Financial Statements</w:t>
            </w:r>
          </w:p>
        </w:tc>
        <w:tc>
          <w:tcPr>
            <w:tcW w:w="5640" w:type="dxa"/>
            <w:vAlign w:val="bottom"/>
            <w:gridSpan w:val="1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65</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Changes in and Disagreements with Accountants on Accounting and Financial Disclosure</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89</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160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6"/>
                <w:szCs w:val="16"/>
                <w:color w:val="3051F2"/>
              </w:rPr>
              <w:t>Controls and Procedures</w:t>
            </w:r>
          </w:p>
        </w:tc>
        <w:tc>
          <w:tcPr>
            <w:tcW w:w="4220" w:type="dxa"/>
            <w:vAlign w:val="bottom"/>
            <w:tcBorders>
              <w:top w:val="single" w:sz="8" w:color="3051F2"/>
            </w:tcBorders>
            <w:gridSpan w:val="16"/>
          </w:tcPr>
          <w:p>
            <w:pPr>
              <w:spacing w:after="0"/>
              <w:rPr>
                <w:sz w:val="19"/>
                <w:szCs w:val="19"/>
                <w:color w:val="auto"/>
              </w:rPr>
            </w:pPr>
          </w:p>
        </w:tc>
        <w:tc>
          <w:tcPr>
            <w:tcW w:w="2660" w:type="dxa"/>
            <w:vAlign w:val="bottom"/>
            <w:gridSpan w:val="3"/>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89</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Other Information</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89</w:t>
            </w:r>
          </w:p>
        </w:tc>
      </w:tr>
      <w:tr>
        <w:trPr>
          <w:trHeight w:val="20"/>
        </w:trPr>
        <w:tc>
          <w:tcPr>
            <w:tcW w:w="980" w:type="dxa"/>
            <w:vAlign w:val="bottom"/>
          </w:tcPr>
          <w:p>
            <w:pPr>
              <w:spacing w:after="0" w:line="20" w:lineRule="exact"/>
              <w:rPr>
                <w:sz w:val="1"/>
                <w:szCs w:val="1"/>
                <w:color w:val="auto"/>
              </w:rPr>
            </w:pPr>
          </w:p>
        </w:tc>
        <w:tc>
          <w:tcPr>
            <w:tcW w:w="1180" w:type="dxa"/>
            <w:vAlign w:val="bottom"/>
            <w:gridSpan w:val="6"/>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Disclosure Regarding Foreign Jurisdictions That Prevent Inspections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89</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48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540" w:type="dxa"/>
            <w:vAlign w:val="bottom"/>
            <w:tcBorders>
              <w:top w:val="single" w:sz="8" w:color="3051F2"/>
            </w:tcBorders>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Directors, Executive Officers and Corporate Governance</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3680" w:type="dxa"/>
            <w:vAlign w:val="bottom"/>
            <w:tcBorders>
              <w:top w:val="single" w:sz="8" w:color="3051F2"/>
            </w:tcBorders>
            <w:gridSpan w:val="19"/>
          </w:tcPr>
          <w:p>
            <w:pPr>
              <w:spacing w:after="0"/>
              <w:rPr>
                <w:sz w:val="20"/>
                <w:szCs w:val="20"/>
                <w:color w:val="auto"/>
              </w:rPr>
            </w:pPr>
            <w:r>
              <w:rPr>
                <w:rFonts w:ascii="Times New Roman" w:cs="Times New Roman" w:eastAsia="Times New Roman" w:hAnsi="Times New Roman"/>
                <w:sz w:val="16"/>
                <w:szCs w:val="16"/>
                <w:color w:val="3051F2"/>
              </w:rPr>
              <w:t>Executive Compensation</w:t>
            </w:r>
          </w:p>
        </w:tc>
        <w:tc>
          <w:tcPr>
            <w:tcW w:w="4800" w:type="dxa"/>
            <w:vAlign w:val="bottom"/>
            <w:gridSpan w:val="9"/>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90</w:t>
            </w:r>
          </w:p>
        </w:tc>
      </w:tr>
      <w:tr>
        <w:trPr>
          <w:trHeight w:val="20"/>
        </w:trPr>
        <w:tc>
          <w:tcPr>
            <w:tcW w:w="980" w:type="dxa"/>
            <w:vAlign w:val="bottom"/>
          </w:tcPr>
          <w:p>
            <w:pPr>
              <w:spacing w:after="0" w:line="20" w:lineRule="exact"/>
              <w:rPr>
                <w:sz w:val="1"/>
                <w:szCs w:val="1"/>
                <w:color w:val="auto"/>
              </w:rPr>
            </w:pPr>
          </w:p>
        </w:tc>
        <w:tc>
          <w:tcPr>
            <w:tcW w:w="1400" w:type="dxa"/>
            <w:vAlign w:val="bottom"/>
            <w:gridSpan w:val="8"/>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Security Ownership of Certain Beneficial Owners and Management and Related Stockholders Matters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6620" w:type="dxa"/>
            <w:vAlign w:val="bottom"/>
            <w:tcBorders>
              <w:top w:val="single" w:sz="8" w:color="3051F2"/>
            </w:tcBorders>
            <w:gridSpan w:val="26"/>
          </w:tcPr>
          <w:p>
            <w:pPr>
              <w:spacing w:after="0"/>
              <w:rPr>
                <w:sz w:val="20"/>
                <w:szCs w:val="20"/>
                <w:color w:val="auto"/>
              </w:rPr>
            </w:pPr>
            <w:r>
              <w:rPr>
                <w:rFonts w:ascii="Times New Roman" w:cs="Times New Roman" w:eastAsia="Times New Roman" w:hAnsi="Times New Roman"/>
                <w:sz w:val="16"/>
                <w:szCs w:val="16"/>
                <w:color w:val="3051F2"/>
              </w:rPr>
              <w:t>Certain Relationships and Related Transactions, and Director Independence</w:t>
            </w:r>
          </w:p>
        </w:tc>
        <w:tc>
          <w:tcPr>
            <w:tcW w:w="1860" w:type="dxa"/>
            <w:vAlign w:val="bottom"/>
            <w:gridSpan w:val="2"/>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90</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4900" w:type="dxa"/>
            <w:vAlign w:val="bottom"/>
            <w:tcBorders>
              <w:top w:val="single" w:sz="8" w:color="3051F2"/>
            </w:tcBorders>
            <w:gridSpan w:val="23"/>
          </w:tcPr>
          <w:p>
            <w:pPr>
              <w:spacing w:after="0"/>
              <w:rPr>
                <w:sz w:val="20"/>
                <w:szCs w:val="20"/>
                <w:color w:val="auto"/>
              </w:rPr>
            </w:pPr>
            <w:r>
              <w:rPr>
                <w:rFonts w:ascii="Times New Roman" w:cs="Times New Roman" w:eastAsia="Times New Roman" w:hAnsi="Times New Roman"/>
                <w:sz w:val="16"/>
                <w:szCs w:val="16"/>
                <w:color w:val="3051F2"/>
              </w:rPr>
              <w:t>Principal Accounting Fees and Services</w:t>
            </w:r>
          </w:p>
        </w:tc>
        <w:tc>
          <w:tcPr>
            <w:tcW w:w="3580" w:type="dxa"/>
            <w:vAlign w:val="bottom"/>
            <w:gridSpan w:val="5"/>
          </w:tcPr>
          <w:p>
            <w:pPr>
              <w:spacing w:after="0"/>
              <w:rPr>
                <w:sz w:val="19"/>
                <w:szCs w:val="19"/>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90</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Exhibits and Financial Statement Schedules</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91</w:t>
            </w: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580" w:type="dxa"/>
            <w:vAlign w:val="bottom"/>
            <w:tcBorders>
              <w:top w:val="single" w:sz="8" w:color="3051F2"/>
            </w:tcBorders>
          </w:tcPr>
          <w:p>
            <w:pPr>
              <w:spacing w:after="0"/>
              <w:rPr>
                <w:sz w:val="22"/>
                <w:szCs w:val="22"/>
                <w:color w:val="auto"/>
              </w:rPr>
            </w:pPr>
          </w:p>
        </w:tc>
        <w:tc>
          <w:tcPr>
            <w:tcW w:w="20" w:type="dxa"/>
            <w:vAlign w:val="bottom"/>
            <w:tcBorders>
              <w:top w:val="single" w:sz="8" w:color="3051F2"/>
            </w:tcBorders>
          </w:tcPr>
          <w:p>
            <w:pPr>
              <w:spacing w:after="0"/>
              <w:rPr>
                <w:sz w:val="22"/>
                <w:szCs w:val="22"/>
                <w:color w:val="auto"/>
              </w:rPr>
            </w:pPr>
          </w:p>
        </w:tc>
        <w:tc>
          <w:tcPr>
            <w:tcW w:w="60" w:type="dxa"/>
            <w:vAlign w:val="bottom"/>
            <w:tcBorders>
              <w:top w:val="single" w:sz="8" w:color="3051F2"/>
            </w:tcBorders>
          </w:tcPr>
          <w:p>
            <w:pPr>
              <w:spacing w:after="0"/>
              <w:rPr>
                <w:sz w:val="22"/>
                <w:szCs w:val="22"/>
                <w:color w:val="auto"/>
              </w:rPr>
            </w:pPr>
          </w:p>
        </w:tc>
        <w:tc>
          <w:tcPr>
            <w:tcW w:w="160" w:type="dxa"/>
            <w:vAlign w:val="bottom"/>
            <w:tcBorders>
              <w:top w:val="single" w:sz="8" w:color="3051F2"/>
            </w:tcBorders>
          </w:tcPr>
          <w:p>
            <w:pPr>
              <w:spacing w:after="0"/>
              <w:rPr>
                <w:sz w:val="22"/>
                <w:szCs w:val="22"/>
                <w:color w:val="auto"/>
              </w:rPr>
            </w:pPr>
          </w:p>
        </w:tc>
        <w:tc>
          <w:tcPr>
            <w:tcW w:w="80" w:type="dxa"/>
            <w:vAlign w:val="bottom"/>
            <w:tcBorders>
              <w:top w:val="single" w:sz="8" w:color="3051F2"/>
            </w:tcBorders>
          </w:tcPr>
          <w:p>
            <w:pPr>
              <w:spacing w:after="0"/>
              <w:rPr>
                <w:sz w:val="22"/>
                <w:szCs w:val="22"/>
                <w:color w:val="auto"/>
              </w:rPr>
            </w:pPr>
          </w:p>
        </w:tc>
        <w:tc>
          <w:tcPr>
            <w:tcW w:w="280" w:type="dxa"/>
            <w:vAlign w:val="bottom"/>
            <w:tcBorders>
              <w:top w:val="single" w:sz="8" w:color="3051F2"/>
            </w:tcBorders>
          </w:tcPr>
          <w:p>
            <w:pPr>
              <w:spacing w:after="0"/>
              <w:rPr>
                <w:sz w:val="22"/>
                <w:szCs w:val="22"/>
                <w:color w:val="auto"/>
              </w:rPr>
            </w:pPr>
          </w:p>
        </w:tc>
        <w:tc>
          <w:tcPr>
            <w:tcW w:w="20" w:type="dxa"/>
            <w:vAlign w:val="bottom"/>
            <w:tcBorders>
              <w:top w:val="single" w:sz="8" w:color="3051F2"/>
            </w:tcBorders>
          </w:tcPr>
          <w:p>
            <w:pPr>
              <w:spacing w:after="0"/>
              <w:rPr>
                <w:sz w:val="22"/>
                <w:szCs w:val="22"/>
                <w:color w:val="auto"/>
              </w:rPr>
            </w:pPr>
          </w:p>
        </w:tc>
        <w:tc>
          <w:tcPr>
            <w:tcW w:w="200" w:type="dxa"/>
            <w:vAlign w:val="bottom"/>
            <w:tcBorders>
              <w:top w:val="single" w:sz="8" w:color="3051F2"/>
            </w:tcBorders>
          </w:tcPr>
          <w:p>
            <w:pPr>
              <w:spacing w:after="0"/>
              <w:rPr>
                <w:sz w:val="22"/>
                <w:szCs w:val="22"/>
                <w:color w:val="auto"/>
              </w:rPr>
            </w:pPr>
          </w:p>
        </w:tc>
        <w:tc>
          <w:tcPr>
            <w:tcW w:w="200" w:type="dxa"/>
            <w:vAlign w:val="bottom"/>
            <w:tcBorders>
              <w:top w:val="single" w:sz="8" w:color="3051F2"/>
            </w:tcBorders>
          </w:tcPr>
          <w:p>
            <w:pPr>
              <w:spacing w:after="0"/>
              <w:rPr>
                <w:sz w:val="22"/>
                <w:szCs w:val="22"/>
                <w:color w:val="auto"/>
              </w:rPr>
            </w:pPr>
          </w:p>
        </w:tc>
        <w:tc>
          <w:tcPr>
            <w:tcW w:w="20" w:type="dxa"/>
            <w:vAlign w:val="bottom"/>
            <w:tcBorders>
              <w:top w:val="single" w:sz="8" w:color="3051F2"/>
            </w:tcBorders>
          </w:tcPr>
          <w:p>
            <w:pPr>
              <w:spacing w:after="0"/>
              <w:rPr>
                <w:sz w:val="22"/>
                <w:szCs w:val="22"/>
                <w:color w:val="auto"/>
              </w:rPr>
            </w:pPr>
          </w:p>
        </w:tc>
        <w:tc>
          <w:tcPr>
            <w:tcW w:w="220" w:type="dxa"/>
            <w:vAlign w:val="bottom"/>
            <w:tcBorders>
              <w:top w:val="single" w:sz="8" w:color="3051F2"/>
            </w:tcBorders>
          </w:tcPr>
          <w:p>
            <w:pPr>
              <w:spacing w:after="0"/>
              <w:rPr>
                <w:sz w:val="22"/>
                <w:szCs w:val="22"/>
                <w:color w:val="auto"/>
              </w:rPr>
            </w:pPr>
          </w:p>
        </w:tc>
        <w:tc>
          <w:tcPr>
            <w:tcW w:w="40" w:type="dxa"/>
            <w:vAlign w:val="bottom"/>
            <w:tcBorders>
              <w:top w:val="single" w:sz="8" w:color="3051F2"/>
            </w:tcBorders>
          </w:tcPr>
          <w:p>
            <w:pPr>
              <w:spacing w:after="0"/>
              <w:rPr>
                <w:sz w:val="22"/>
                <w:szCs w:val="22"/>
                <w:color w:val="auto"/>
              </w:rPr>
            </w:pPr>
          </w:p>
        </w:tc>
        <w:tc>
          <w:tcPr>
            <w:tcW w:w="660" w:type="dxa"/>
            <w:vAlign w:val="bottom"/>
            <w:tcBorders>
              <w:top w:val="single" w:sz="8" w:color="3051F2"/>
            </w:tcBorders>
          </w:tcPr>
          <w:p>
            <w:pPr>
              <w:spacing w:after="0"/>
              <w:rPr>
                <w:sz w:val="22"/>
                <w:szCs w:val="22"/>
                <w:color w:val="auto"/>
              </w:rPr>
            </w:pPr>
          </w:p>
        </w:tc>
        <w:tc>
          <w:tcPr>
            <w:tcW w:w="40" w:type="dxa"/>
            <w:vAlign w:val="bottom"/>
            <w:tcBorders>
              <w:top w:val="single" w:sz="8" w:color="3051F2"/>
            </w:tcBorders>
          </w:tcPr>
          <w:p>
            <w:pPr>
              <w:spacing w:after="0"/>
              <w:rPr>
                <w:sz w:val="22"/>
                <w:szCs w:val="22"/>
                <w:color w:val="auto"/>
              </w:rPr>
            </w:pPr>
          </w:p>
        </w:tc>
        <w:tc>
          <w:tcPr>
            <w:tcW w:w="260" w:type="dxa"/>
            <w:vAlign w:val="bottom"/>
            <w:tcBorders>
              <w:top w:val="single" w:sz="8" w:color="3051F2"/>
            </w:tcBorders>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92</w:t>
            </w: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8480" w:type="dxa"/>
            <w:vAlign w:val="bottom"/>
            <w:gridSpan w:val="28"/>
          </w:tcPr>
          <w:p>
            <w:pPr>
              <w:spacing w:after="0"/>
              <w:rPr>
                <w:sz w:val="20"/>
                <w:szCs w:val="20"/>
                <w:color w:val="auto"/>
              </w:rPr>
            </w:pPr>
            <w:r>
              <w:rPr>
                <w:rFonts w:ascii="Times New Roman" w:cs="Times New Roman" w:eastAsia="Times New Roman" w:hAnsi="Times New Roman"/>
                <w:sz w:val="16"/>
                <w:szCs w:val="16"/>
                <w:color w:val="3051F2"/>
              </w:rPr>
              <w:t>Form 10-K Summary</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93</w:t>
            </w:r>
          </w:p>
        </w:tc>
      </w:tr>
      <w:tr>
        <w:trPr>
          <w:trHeight w:val="51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5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94</w:t>
            </w:r>
          </w:p>
        </w:tc>
      </w:tr>
    </w:tbl>
    <w:p>
      <w:pPr>
        <w:spacing w:after="0" w:line="200" w:lineRule="exact"/>
        <w:rPr>
          <w:sz w:val="20"/>
          <w:szCs w:val="20"/>
          <w:color w:val="auto"/>
        </w:rPr>
      </w:pPr>
    </w:p>
    <w:p>
      <w:pPr>
        <w:sectPr>
          <w:pgSz w:w="11900" w:h="16838" w:orient="portrait"/>
          <w:cols w:equalWidth="0" w:num="1">
            <w:col w:w="11040"/>
          </w:cols>
          <w:pgMar w:left="320" w:top="36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9"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revenue, expenses, and other operating results;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customers and successfully retain existing customers;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new products and services in a timely manner;</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sustain our profitability;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our strategic relationships with third parties;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plan and our ability to effectively manage our growth;</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trends, growth rates, and challenges in our business and in the market segments in which we operate;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employees;</w:t>
      </w:r>
    </w:p>
    <w:p>
      <w:pPr>
        <w:spacing w:after="0" w:line="72" w:lineRule="exact"/>
        <w:rPr>
          <w:rFonts w:ascii="Times New Roman" w:cs="Times New Roman" w:eastAsia="Times New Roman" w:hAnsi="Times New Roman"/>
          <w:sz w:val="16"/>
          <w:szCs w:val="16"/>
          <w:color w:val="auto"/>
        </w:rPr>
      </w:pPr>
    </w:p>
    <w:p>
      <w:pPr>
        <w:ind w:left="660" w:right="100" w:hanging="328"/>
        <w:spacing w:after="0" w:line="280"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the impact of geopolitical and macroeconomic conditions, including currency fluctuations, inflation, regulatory changes (including as may be related to immigration, fiscal policy, foreign trade, or foreign investment), or regional and global conflicts or related government sanctions;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security and availability of our solutions;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money transmission licenses and other regulatory clearances;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international operations; and</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anticipated technology needs and developments and our ability to address those needs and developments with our solutions.</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Annual Report on Form 10-K.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4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Unless the context otherwise requires, the terms “Remitly Global,” “Remitly,” “the Company,” “we,” “us,” and “our” in this Annual Report on Form 10-K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9"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Remitly, founded in 2011,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spacing w:after="0" w:line="9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inspiration behind Remitly came when Matt, our co-founder and Chief Executive Officer, was living and working in Kenya. Living abroad, he experienced firsthand how painful it could be to send money across borders, and witnessed how far that money could go once it made it home. In Matt’s own words, remittances are all about trust. The long-term, trusted relationships we foster with our customers have enabled us to expand our core cross-border remittance product to over 5,100 corridors worldwide. We are working to expand our suite of products and features to further our vision and transform the lives of our 7.8 million quarterly active users and their families and friends.</w:t>
      </w:r>
    </w:p>
    <w:p>
      <w:pPr>
        <w:spacing w:after="0" w:line="13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Our brand promise is to bring “peace of mind” into everything we do. We focus on bringing trust, reliability, and a fair and transparent price to cross-border remittances and complementary financial services.</w:t>
      </w:r>
    </w:p>
    <w:p>
      <w:pPr>
        <w:spacing w:after="0" w:line="11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 xml:space="preserve">Remitly’s culture is key to our success, and our cultural values act as a blueprint for how we accomplish everything we do. We regularly refresh our values to align with our strategy. The one constant, and single most important, of these values is </w:t>
      </w:r>
      <w:r>
        <w:rPr>
          <w:rFonts w:ascii="Times New Roman" w:cs="Times New Roman" w:eastAsia="Times New Roman" w:hAnsi="Times New Roman"/>
          <w:sz w:val="16"/>
          <w:szCs w:val="16"/>
          <w:b w:val="1"/>
          <w:bCs w:val="1"/>
          <w:i w:val="1"/>
          <w:iCs w:val="1"/>
          <w:color w:val="auto"/>
        </w:rPr>
        <w:t>customer centricity</w:t>
      </w:r>
      <w:r>
        <w:rPr>
          <w:rFonts w:ascii="Times New Roman" w:cs="Times New Roman" w:eastAsia="Times New Roman" w:hAnsi="Times New Roman"/>
          <w:sz w:val="16"/>
          <w:szCs w:val="16"/>
          <w:color w:val="auto"/>
        </w:rPr>
        <w:t>, which serves as our north star in all that we do. To us, customer centricity means “</w:t>
      </w:r>
      <w:r>
        <w:rPr>
          <w:rFonts w:ascii="Times New Roman" w:cs="Times New Roman" w:eastAsia="Times New Roman" w:hAnsi="Times New Roman"/>
          <w:sz w:val="16"/>
          <w:szCs w:val="16"/>
          <w:i w:val="1"/>
          <w:iCs w:val="1"/>
          <w:color w:val="auto"/>
        </w:rPr>
        <w:t>we are here to listen to, learn from, and serve our customers</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other core values fall broadly into three categories:</w:t>
      </w:r>
    </w:p>
    <w:p>
      <w:pPr>
        <w:spacing w:after="0" w:line="179"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purpose: </w:t>
      </w:r>
      <w:r>
        <w:rPr>
          <w:rFonts w:ascii="Times New Roman" w:cs="Times New Roman" w:eastAsia="Times New Roman" w:hAnsi="Times New Roman"/>
          <w:sz w:val="16"/>
          <w:szCs w:val="16"/>
          <w:color w:val="auto"/>
        </w:rPr>
        <w:t>Aim for the stars, be an owner, and earn trust through integrity;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Building relationships: </w:t>
      </w:r>
      <w:r>
        <w:rPr>
          <w:rFonts w:ascii="Times New Roman" w:cs="Times New Roman" w:eastAsia="Times New Roman" w:hAnsi="Times New Roman"/>
          <w:sz w:val="16"/>
          <w:szCs w:val="16"/>
          <w:color w:val="auto"/>
        </w:rPr>
        <w:t>Lead authentically, be global, hire and grow exceptional people, be constructively direct, be a compassionate partner, and be joyful; and</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Taking action: </w:t>
      </w:r>
      <w:r>
        <w:rPr>
          <w:rFonts w:ascii="Times New Roman" w:cs="Times New Roman" w:eastAsia="Times New Roman" w:hAnsi="Times New Roman"/>
          <w:sz w:val="16"/>
          <w:szCs w:val="16"/>
          <w:color w:val="auto"/>
        </w:rPr>
        <w:t>Have a bias for action, be data-driven, sweat the details, deliver on promises, overcome fear, and continuously improve.</w:t>
      </w:r>
    </w:p>
    <w:p>
      <w:pPr>
        <w:spacing w:after="0" w:line="169"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6"/>
          <w:szCs w:val="16"/>
          <w:color w:val="auto"/>
        </w:rPr>
        <w:t>These values influence our actions every day. Living up to our values builds customer trust, inspires employee engagement, and makes “Promises Delivered” our fundamental ethos.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Key Performance Metrics</w:t>
      </w:r>
    </w:p>
    <w:p>
      <w:pPr>
        <w:spacing w:after="0" w:line="16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Substantially all of our revenue today is generated through our remittance business, where we earn revenue from transaction fees charged to customers and foreign exchange spreads applied to the amount the customer is sending.</w:t>
      </w:r>
    </w:p>
    <w:p>
      <w:pPr>
        <w:spacing w:after="0" w:line="9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 addition to our financial results, we regularly review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spacing w:after="0" w:line="137" w:lineRule="exact"/>
        <w:rPr>
          <w:sz w:val="20"/>
          <w:szCs w:val="20"/>
          <w:color w:val="auto"/>
        </w:rPr>
      </w:pPr>
    </w:p>
    <w:p>
      <w:pPr>
        <w:ind w:left="660" w:right="180" w:hanging="328"/>
        <w:spacing w:after="0" w:line="283"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“Active customers” </w:t>
      </w:r>
      <w:r>
        <w:rPr>
          <w:rFonts w:ascii="Times New Roman" w:cs="Times New Roman" w:eastAsia="Times New Roman" w:hAnsi="Times New Roman"/>
          <w:sz w:val="16"/>
          <w:szCs w:val="16"/>
          <w:color w:val="auto"/>
        </w:rPr>
        <w:t>is defined as the number of distinct customers that have successfully completed at least one transaction using Remitly during a given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identify customers through unique account numbers.</w:t>
      </w:r>
    </w:p>
    <w:p>
      <w:pPr>
        <w:spacing w:after="0" w:line="106" w:lineRule="exact"/>
        <w:rPr>
          <w:rFonts w:ascii="Times New Roman" w:cs="Times New Roman" w:eastAsia="Times New Roman" w:hAnsi="Times New Roman"/>
          <w:sz w:val="16"/>
          <w:szCs w:val="16"/>
          <w:color w:val="auto"/>
        </w:rPr>
      </w:pPr>
    </w:p>
    <w:p>
      <w:pPr>
        <w:ind w:left="660" w:right="120" w:hanging="328"/>
        <w:spacing w:after="0" w:line="273"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“Send volume” </w:t>
      </w:r>
      <w:r>
        <w:rPr>
          <w:rFonts w:ascii="Times New Roman" w:cs="Times New Roman" w:eastAsia="Times New Roman" w:hAnsi="Times New Roman"/>
          <w:sz w:val="16"/>
          <w:szCs w:val="16"/>
          <w:color w:val="auto"/>
        </w:rPr>
        <w:t>is defined as the sum of the amount that customers send, measured in U.S. dollars, related to transactions completed during a given period.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is net of cancellations, does not include transaction fees from customers, and does not include any credits, offers, or bonuses applied to the transaction by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measure active customers on a quarterly basis and as a result this metric is only presented on a quarterly basis 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2024 key performance metrics included the following results:</w:t>
      </w:r>
    </w:p>
    <w:p>
      <w:pPr>
        <w:spacing w:after="0" w:line="16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Active customers for the fourth quarter of 2024 increased to 7.8 million, from 5.9 million, up 32% year over year.</w:t>
      </w:r>
    </w:p>
    <w:p>
      <w:pPr>
        <w:spacing w:after="0" w:line="180"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Send volume for the year ended December 31, 2024 increased to $54.6 billion, from $39.5 billion, up 38% year over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The charts below present the respective key performance metrics for the past five fiscal years (active customer figures below represent active customers during the fourth quarter of the respective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87630</wp:posOffset>
            </wp:positionV>
            <wp:extent cx="537464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46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Services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provide a digital cross-border remittance product that is accessible via our mobile app or the web. Our customers are able to set up an account and start sending money to international recipients generally within minutes. Recipients can receive funds in multiple ways using our diversified, high quality global disbursement network. Our customers can also track the status of their transactions as they are processed. Today, our customers predominantly engage with us via their mobile phones, either using our app or website, shifting what traditionally required waiting in line to speak with an agent to hand held devices. Providing our customers with a convenient, easy, and safe mobile experience underpins our approach to product development, marketing, and customer success.</w:t>
      </w:r>
    </w:p>
    <w:p>
      <w:pPr>
        <w:spacing w:after="0" w:line="12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Our remittance revenue is earned from transaction fees charged to customers who are sending remittances and the foreign exchange spreads between the foreign exchange rate offered to customers and the foreign exchange rate on our currency purchases.</w:t>
      </w:r>
    </w:p>
    <w:p>
      <w:pPr>
        <w:spacing w:after="0" w:line="97"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While our journey began in digital cross-border remittances, we continue to evolve and invest in our technology to be able to deepen relationships with our customers and attract new customers by adding relevant services and features.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Substantially all of our revenue is currently generated from digital cross-border remittances.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We operate in a large and fragmented cross-border payments market that provides financial products and services to approximately 1.0 billion customers around the world. Based on recent estimates from FXC Intelligence, the consumer to consumer cross-border payments market is approximately $2.0 trillion and is expected to reach $3.1 trillion by 2032, growing at a CAGR of approximately 6%. As of December 31, 2024, we had captured approximately 3% of this market. Our strategy is to build on our trusted brand and technology by offering products and services in the cross-border payments market. We also believe that the global scale and breadth of our global money movement network that we have built over many years provides additional opportunities to provide value to personal customers and businesses across the cross-border payments landscape. According to FXC Intelligence, the market for consumer to business cross-border payments is approximately $4.5 trillion, business to consumer cross-border payments is approximately $1.9 trillion, and small to medium business cross-border payments for goods and services is approximately $13.8 trillion.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6"/>
          <w:szCs w:val="16"/>
          <w:color w:val="auto"/>
        </w:rPr>
        <w:t xml:space="preserve">Our approach to achieving our strategy has been rooted from Day 1 in </w:t>
      </w:r>
      <w:r>
        <w:rPr>
          <w:rFonts w:ascii="Times New Roman" w:cs="Times New Roman" w:eastAsia="Times New Roman" w:hAnsi="Times New Roman"/>
          <w:sz w:val="16"/>
          <w:szCs w:val="16"/>
          <w:i w:val="1"/>
          <w:iCs w:val="1"/>
          <w:color w:val="auto"/>
        </w:rPr>
        <w:t>customer centricity,</w:t>
      </w:r>
      <w:r>
        <w:rPr>
          <w:rFonts w:ascii="Times New Roman" w:cs="Times New Roman" w:eastAsia="Times New Roman" w:hAnsi="Times New Roman"/>
          <w:sz w:val="16"/>
          <w:szCs w:val="16"/>
          <w:color w:val="auto"/>
        </w:rPr>
        <w:t xml:space="preserve"> which means deeply understanding our customers’ unique and local needs to provide them with a differentiated experience in cross-border payments. Strategically, managing our business from this perspective has been key to our success since the very beginning and forms the framework for the remainder of our strategy, which includes the following focus areas:</w:t>
      </w:r>
    </w:p>
    <w:p>
      <w:pPr>
        <w:spacing w:after="0" w:line="115" w:lineRule="exact"/>
        <w:rPr>
          <w:sz w:val="20"/>
          <w:szCs w:val="20"/>
          <w:color w:val="auto"/>
        </w:rPr>
      </w:pPr>
    </w:p>
    <w:p>
      <w:pPr>
        <w:ind w:left="660" w:right="100" w:hanging="328"/>
        <w:spacing w:after="0" w:line="259"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Deliver a fast, reliable and seamless end-to-end transaction experience that is tailored and localized to meet the needs of our global customer base. </w:t>
      </w:r>
      <w:r>
        <w:rPr>
          <w:rFonts w:ascii="Times New Roman" w:cs="Times New Roman" w:eastAsia="Times New Roman" w:hAnsi="Times New Roman"/>
          <w:sz w:val="16"/>
          <w:szCs w:val="16"/>
          <w:color w:val="auto"/>
        </w:rPr>
        <w:t>Delivering cross-border financial services in a trusted and reliable way to many customer geographies is incredibly complex. We are focused on delivering a fast, reliable, and seamless experience to customers that builds trust and drives repeat engagement with our services. Examples of complexity in cross-border financial services that we are constantly innovating in include localization across over 170 countries, reducing friction for customers across different payment methods and currencies, fraud and compliance systems that prevent bad actors while at the same time maintaining a great overall customer experience, sophisticated treasury and foreign exchange management, and delivering funds reliably and speedily to billions of bank accounts and mobile wallets and thousands of cash pick-up options across the globe. All of this requires a digital-first approach and importantly, a critical focus on reducing unnecessary friction across all stages of the remittance journey which Remitly is particularly qualified to deliver.</w:t>
      </w:r>
    </w:p>
    <w:p>
      <w:pPr>
        <w:spacing w:after="0" w:line="126" w:lineRule="exact"/>
        <w:rPr>
          <w:rFonts w:ascii="Times New Roman" w:cs="Times New Roman" w:eastAsia="Times New Roman" w:hAnsi="Times New Roman"/>
          <w:sz w:val="16"/>
          <w:szCs w:val="16"/>
          <w:color w:val="auto"/>
        </w:rPr>
      </w:pPr>
    </w:p>
    <w:p>
      <w:pPr>
        <w:ind w:left="660" w:right="140" w:hanging="328"/>
        <w:spacing w:after="0" w:line="260"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Hyper localized marketing at attractive unit economics. </w:t>
      </w:r>
      <w:r>
        <w:rPr>
          <w:rFonts w:ascii="Times New Roman" w:cs="Times New Roman" w:eastAsia="Times New Roman" w:hAnsi="Times New Roman"/>
          <w:sz w:val="16"/>
          <w:szCs w:val="16"/>
          <w:color w:val="auto"/>
        </w:rPr>
        <w:t>We plan on continuing to invest in delivering a superior, trusted cross-border payment experience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customers, creating loyalty and a long-term relationship with our customers while also acquiring new customers at highly attractive unit economics. We have been able to drive efficiencies in new customer acquisition by focusing on elasticity testing, scaling search engine optimization, developing high-quality content assisted by artificial intelligence tools, optimizing channel mix, deploying localized marketing campaigns, and by increasing word of mouth and referrals driven by our product enhancements. As we scale our customer base, we expect to benefit from increased leverage on our variable transaction costs which allows us to continue to invest in driving new customers to our services at attractive unit economics.</w:t>
      </w:r>
    </w:p>
    <w:p>
      <w:pPr>
        <w:spacing w:after="0" w:line="140" w:lineRule="exact"/>
        <w:rPr>
          <w:rFonts w:ascii="Times New Roman" w:cs="Times New Roman" w:eastAsia="Times New Roman" w:hAnsi="Times New Roman"/>
          <w:sz w:val="16"/>
          <w:szCs w:val="16"/>
          <w:color w:val="auto"/>
        </w:rPr>
      </w:pPr>
    </w:p>
    <w:p>
      <w:pPr>
        <w:ind w:left="660" w:right="40" w:hanging="328"/>
        <w:spacing w:after="0" w:line="256"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Unlock incremental customers, corridor types, and geographies. </w:t>
      </w:r>
      <w:r>
        <w:rPr>
          <w:rFonts w:ascii="Times New Roman" w:cs="Times New Roman" w:eastAsia="Times New Roman" w:hAnsi="Times New Roman"/>
          <w:sz w:val="16"/>
          <w:szCs w:val="16"/>
          <w:color w:val="auto"/>
        </w:rPr>
        <w:t>We see an opportunity to generate value by expanding our cross-border financial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more broadly to additional customers and use cases around the world. While our global network spans over 5,100 corridors, we have plans to increase our reach to thousands of additional corridors. Although our customer base today is primarily immigrants that regularly send money home to family and friends in developing countries, we believe we can serve additional customers that have cross-border financial needs. We expect to deploy a data-driven approach to optimize the value we deliver to our customers, product features, marketing strategies, and customer economics as we expand and grow to new geographies and customers. Additionally, we expect to use our localization expertise and our technology to grow the number of disbursement, payment, and other partners in our global network and increase the quality and number of direct integrations with such partners. We will also continue to establish new disbursement partnerships and add new payment methods to enhance our cross-border payment remittance experience for current and potential customers in our existing corridors.</w:t>
      </w:r>
    </w:p>
    <w:p>
      <w:pPr>
        <w:spacing w:after="0" w:line="144" w:lineRule="exact"/>
        <w:rPr>
          <w:rFonts w:ascii="Times New Roman" w:cs="Times New Roman" w:eastAsia="Times New Roman" w:hAnsi="Times New Roman"/>
          <w:sz w:val="16"/>
          <w:szCs w:val="16"/>
          <w:color w:val="auto"/>
        </w:rPr>
      </w:pPr>
    </w:p>
    <w:p>
      <w:pPr>
        <w:ind w:left="660" w:hanging="328"/>
        <w:spacing w:after="0" w:line="260"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Deepening our customer relationships, including adjacent and novel use cases. </w:t>
      </w:r>
      <w:r>
        <w:rPr>
          <w:rFonts w:ascii="Times New Roman" w:cs="Times New Roman" w:eastAsia="Times New Roman" w:hAnsi="Times New Roman"/>
          <w:sz w:val="16"/>
          <w:szCs w:val="16"/>
          <w:color w:val="auto"/>
        </w:rPr>
        <w:t>We believe there are enormous opportunities to create a more inclusive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system that caters to customers that have cross-border financial needs. In connection with these opportunities, we are using the trust and insights we have with our customers to develop additional services and features that are highly relevant for our customers. We believe these investments will deepen and expand our relationship with our customers, creating a unique and virtuous cycle that leads to increased customer value, long-term customer engagement, and a competitive advantage for Remitly.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Sets Us Apart</w:t>
      </w:r>
    </w:p>
    <w:p>
      <w:pPr>
        <w:spacing w:after="0" w:line="169"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Our brand promise is to bring “peace of mind” into everything we do. We focus on bringing trust, reliability, and a fair and transparent price to cross-border financial services.</w:t>
      </w:r>
    </w:p>
    <w:p>
      <w:pPr>
        <w:spacing w:after="0" w:line="9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To deliver on our brand promise, we have a differentiated approach that aligns with the specific needs and interests of our customers who are sending money across borders and solves the problems they often face. There are four core elements to our differentiated approach:</w:t>
      </w:r>
    </w:p>
    <w:p>
      <w:pPr>
        <w:spacing w:after="0" w:line="122" w:lineRule="exact"/>
        <w:rPr>
          <w:sz w:val="20"/>
          <w:szCs w:val="20"/>
          <w:color w:val="auto"/>
        </w:rPr>
      </w:pPr>
    </w:p>
    <w:p>
      <w:pPr>
        <w:ind w:left="660" w:right="60" w:hanging="328"/>
        <w:spacing w:after="0" w:line="256"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Mobile First</w:t>
      </w:r>
      <w:r>
        <w:rPr>
          <w:rFonts w:ascii="Times New Roman" w:cs="Times New Roman" w:eastAsia="Times New Roman" w:hAnsi="Times New Roman"/>
          <w:sz w:val="16"/>
          <w:szCs w:val="16"/>
          <w:color w:val="auto"/>
        </w:rPr>
        <w:t>. Our mobile app for cross-border remittances provides an easy-to-use, end-to-end process with a simple and reliable user experience that delivers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 quality network, and empathetic customer service. This mobile-first experience enables us to engage beyond the initial transaction, generating strong repeat usage and high customer loyalty. Our services are highly non-discretionary for many of our customers which results in high revenue visibility throughout economic cycles. As of December 31, 2024, our Remitly app had a 4.9 iOS App Store rating with approximately 3.2 million reviewers and a 4.8 Android Google Play rating with over 950,000 reviewers. App rating is based on all countries or regions and the rating may vary based on user location and device type.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328"/>
        <w:spacing w:after="0" w:line="258" w:lineRule="auto"/>
        <w:tabs>
          <w:tab w:leader="none" w:pos="649"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Global Presence and High Quality Money Movement Network. </w:t>
      </w:r>
      <w:r>
        <w:rPr>
          <w:rFonts w:ascii="Times New Roman" w:cs="Times New Roman" w:eastAsia="Times New Roman" w:hAnsi="Times New Roman"/>
          <w:sz w:val="16"/>
          <w:szCs w:val="16"/>
          <w:color w:val="auto"/>
        </w:rPr>
        <w:t>Our global network of funding and disbursement partnerships enables us to complete money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transfers efficiently in over 5,100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significant global presence and direct integration strategy allows us to negotiate favorable terms with both funding and disbursement partners while providing a great end-to-end customer experience including rapid and reliable transfers.</w:t>
      </w:r>
    </w:p>
    <w:p>
      <w:pPr>
        <w:spacing w:after="0" w:line="143" w:lineRule="exact"/>
        <w:rPr>
          <w:rFonts w:ascii="Times New Roman" w:cs="Times New Roman" w:eastAsia="Times New Roman" w:hAnsi="Times New Roman"/>
          <w:sz w:val="16"/>
          <w:szCs w:val="16"/>
          <w:b w:val="1"/>
          <w:bCs w:val="1"/>
          <w:color w:val="auto"/>
        </w:rPr>
      </w:pPr>
    </w:p>
    <w:p>
      <w:pPr>
        <w:jc w:val="both"/>
        <w:ind w:left="660" w:right="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provide broad and high 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w:t>
      </w:r>
    </w:p>
    <w:p>
      <w:pPr>
        <w:spacing w:after="0" w:line="116" w:lineRule="exact"/>
        <w:rPr>
          <w:rFonts w:ascii="Times New Roman" w:cs="Times New Roman" w:eastAsia="Times New Roman" w:hAnsi="Times New Roman"/>
          <w:sz w:val="16"/>
          <w:szCs w:val="16"/>
          <w:b w:val="1"/>
          <w:bCs w:val="1"/>
          <w:color w:val="auto"/>
        </w:rPr>
      </w:pPr>
    </w:p>
    <w:p>
      <w:pPr>
        <w:ind w:left="66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disbursement network enables us to send (or pay-out) funds to over 5.0 billion bank accounts and mobile wallets and approximately 470,000 cash pick-up options.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spacing w:after="0" w:line="114" w:lineRule="exact"/>
        <w:rPr>
          <w:rFonts w:ascii="Times New Roman" w:cs="Times New Roman" w:eastAsia="Times New Roman" w:hAnsi="Times New Roman"/>
          <w:sz w:val="16"/>
          <w:szCs w:val="16"/>
          <w:b w:val="1"/>
          <w:bCs w:val="1"/>
          <w:color w:val="auto"/>
        </w:rPr>
      </w:pPr>
    </w:p>
    <w:p>
      <w:pPr>
        <w:ind w:left="660" w:right="200" w:hanging="328"/>
        <w:spacing w:after="0" w:line="264"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Highly Attractive Unit Economics. </w:t>
      </w:r>
      <w:r>
        <w:rPr>
          <w:rFonts w:ascii="Times New Roman" w:cs="Times New Roman" w:eastAsia="Times New Roman" w:hAnsi="Times New Roman"/>
          <w:sz w:val="16"/>
          <w:szCs w:val="16"/>
          <w:color w:val="auto"/>
        </w:rPr>
        <w:t>Our data driven approach to optimizing customer lifetime value combined with a localized and scalable marketing solution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allows us to acquire new customers at highly attractive unit economics. As we continue to improve customer lifetime value through product enhancements and improvements to variable operating costs, we can optimize marketing spend to drive both growth and efficiency with a focus on maintaining strong unit economics.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w:t>
      </w:r>
    </w:p>
    <w:p>
      <w:pPr>
        <w:spacing w:after="0" w:line="122" w:lineRule="exact"/>
        <w:rPr>
          <w:rFonts w:ascii="Times New Roman" w:cs="Times New Roman" w:eastAsia="Times New Roman" w:hAnsi="Times New Roman"/>
          <w:sz w:val="16"/>
          <w:szCs w:val="16"/>
          <w:color w:val="auto"/>
        </w:rPr>
      </w:pPr>
    </w:p>
    <w:p>
      <w:pPr>
        <w:ind w:left="660" w:right="40" w:hanging="328"/>
        <w:spacing w:after="0" w:line="259"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Superior Technology. </w:t>
      </w:r>
      <w:r>
        <w:rPr>
          <w:rFonts w:ascii="Times New Roman" w:cs="Times New Roman" w:eastAsia="Times New Roman" w:hAnsi="Times New Roman"/>
          <w:sz w:val="16"/>
          <w:szCs w:val="16"/>
          <w:color w:val="auto"/>
        </w:rPr>
        <w:t>We believe that our differentiated approach to building our technology infrastructure enables a great customer experience and allows us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meet customer demands in a more flexible way. We have been able to reach more customers, more regions, and more use cases while continuing to get better at our reliability, speed, and performance due to our investments and approach to our technology. This enables not only our ability to scale, but also accelerates innovation on behalf of our customers - whether that is doing simple things well or about enabling new use cases like seafarers or micro businesses. Because our customers initiate transfers digitally, we capture a body of transaction-related data that provides insight into customer behavior and customer experience. This data and our analytics inform our marketing investments and product development prioritization. In addition, we use data and our proprietary models to improve our compliance systems and manage pricing, treasury, fraud risk, and customer support. Finally, our proactive investments in artificial intelligence and machine learning have continued to drive improvement in the areas of fraud and risk, pricing, customer support, and marketing.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Global Network</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Our global network of funding and disbursement partners is at the core of our business. Over the last decade, we have strategically expanded and improved the quality of our network in existing corridors to provide our customers with increasing disbursement options and in new corridors as part of our expansion strategy. A key focus of our global network strategy is continuing to expand the number of direct integrations with local partners. These direct integrations allow for a better customer experience and lower costs and are a significant competitive advantage. Our partners, including those that are among the most trusted and recognized brands around the world, create a broad and effective payment acceptance (pay-in) and payment delivery (pay-out) ecosystem for our customers:</w:t>
      </w:r>
    </w:p>
    <w:p>
      <w:pPr>
        <w:spacing w:after="0" w:line="139" w:lineRule="exact"/>
        <w:rPr>
          <w:sz w:val="20"/>
          <w:szCs w:val="20"/>
          <w:color w:val="auto"/>
        </w:rPr>
      </w:pPr>
    </w:p>
    <w:p>
      <w:pPr>
        <w:ind w:left="660" w:right="140" w:hanging="328"/>
        <w:spacing w:after="0" w:line="283"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Payment acceptance. </w:t>
      </w:r>
      <w:r>
        <w:rPr>
          <w:rFonts w:ascii="Times New Roman" w:cs="Times New Roman" w:eastAsia="Times New Roman" w:hAnsi="Times New Roman"/>
          <w:sz w:val="16"/>
          <w:szCs w:val="16"/>
          <w:color w:val="auto"/>
        </w:rPr>
        <w:t>We have relationships with top tier banks and leading global payment processors and networks. These relationships provide our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array of payment (or pay-in) options to fund remittances with a bank account, card-based payments, and alternative payment methods.</w:t>
      </w:r>
    </w:p>
    <w:p>
      <w:pPr>
        <w:spacing w:after="0" w:line="108" w:lineRule="exact"/>
        <w:rPr>
          <w:rFonts w:ascii="Times New Roman" w:cs="Times New Roman" w:eastAsia="Times New Roman" w:hAnsi="Times New Roman"/>
          <w:sz w:val="16"/>
          <w:szCs w:val="16"/>
          <w:color w:val="auto"/>
        </w:rPr>
      </w:pPr>
    </w:p>
    <w:p>
      <w:pPr>
        <w:ind w:left="660" w:right="2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can accept and settle transfers from hundreds of millions of consumer bank accounts, payment methods such as Apple Pay and Google Pay, as well as Visa and Mastercard credit and debit cards. As a digital service, we typically do not have sending agents who accept cash. We, in turn, do not incur costs or commissions associated with physical agent-based sending and funding.</w:t>
      </w:r>
    </w:p>
    <w:p>
      <w:pPr>
        <w:spacing w:after="0" w:line="114" w:lineRule="exact"/>
        <w:rPr>
          <w:rFonts w:ascii="Times New Roman" w:cs="Times New Roman" w:eastAsia="Times New Roman" w:hAnsi="Times New Roman"/>
          <w:sz w:val="16"/>
          <w:szCs w:val="16"/>
          <w:color w:val="auto"/>
        </w:rPr>
      </w:pPr>
    </w:p>
    <w:p>
      <w:pPr>
        <w:ind w:left="660" w:right="100" w:hanging="328"/>
        <w:spacing w:after="0" w:line="264"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Payment disbursement. </w:t>
      </w:r>
      <w:r>
        <w:rPr>
          <w:rFonts w:ascii="Times New Roman" w:cs="Times New Roman" w:eastAsia="Times New Roman" w:hAnsi="Times New Roman"/>
          <w:sz w:val="16"/>
          <w:szCs w:val="16"/>
          <w:color w:val="auto"/>
        </w:rPr>
        <w:t>We provide broad access to disbursement options for our customers including cash and digital disbursement options. Our broad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disbursement network provides peace of mind and allows customers to choose whatever method works best for their family and friends to receive funds. We have access to many disbursement partners across the globe including major banks, aggregators, cash pick-up, and mobile wallet partners. These relationships provide our customers with choice of disbursement and enable us to send funds within minutes, or even seconds, to over 5.0 billion bank accounts and mobile wallets and approximately 470,000 cash pick-up options (including retail outlets and banks).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6"/>
          <w:szCs w:val="16"/>
          <w:color w:val="auto"/>
        </w:rPr>
        <w:t>We select our disbursement partners based on our recipients’ preferences, quality of service, cost,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regions in which they operate; (2) our robust compliance and regulatory requirements; and (3) our specific operating metrics such as credit worthiness and error rates.</w:t>
      </w:r>
    </w:p>
    <w:p>
      <w:pPr>
        <w:spacing w:after="0" w:line="126" w:lineRule="exact"/>
        <w:rPr>
          <w:sz w:val="20"/>
          <w:szCs w:val="20"/>
          <w:color w:val="auto"/>
        </w:rPr>
      </w:pPr>
    </w:p>
    <w:p>
      <w:pPr>
        <w:jc w:val="both"/>
        <w:ind w:left="660" w:right="100"/>
        <w:spacing w:after="0" w:line="272" w:lineRule="auto"/>
        <w:rPr>
          <w:sz w:val="20"/>
          <w:szCs w:val="20"/>
          <w:color w:val="auto"/>
        </w:rPr>
      </w:pPr>
      <w:r>
        <w:rPr>
          <w:rFonts w:ascii="Times New Roman" w:cs="Times New Roman" w:eastAsia="Times New Roman" w:hAnsi="Times New Roman"/>
          <w:sz w:val="16"/>
          <w:szCs w:val="16"/>
          <w:color w:val="auto"/>
        </w:rPr>
        <w:t>As a result of our significant global presence, we are able to establish multi-faceted partnerships. These partnerships enable the ability to source and settle foreign exchange rates locally, accept payments, or deposit customer funds directly to customer accounts. In addition, we have redundancies built into our global network for our various partnerships.</w:t>
      </w:r>
    </w:p>
    <w:p>
      <w:pPr>
        <w:spacing w:after="0" w:line="117"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Today, our customers primarily send money from the United States and Canada. Our customers and their recipients are located in over 170 countries around the world; our largest receive countries include India, Mexico, and the Philippines.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Technology</w:t>
      </w:r>
    </w:p>
    <w:p>
      <w:pPr>
        <w:spacing w:after="0" w:line="185"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Our purpose-built technology powers localized consumer experiences, enables a robust network of partner integrations, and uses data to optimize business performance, while enabling our ability to expand into complementary new products.</w:t>
      </w:r>
    </w:p>
    <w:p>
      <w:pPr>
        <w:spacing w:after="0" w:line="11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Our technology has broad and complex capabilities and, together with our proprietary data, gives us a distinct advantage in understanding our customers and being able to meet their needs. Given the scale of our business, the local nuances of the regions we serve, and the complexity of digital cross-border payments, investments in our technology have positioned us for efficiency and continued growth. Our technology is comprised of the following:</w:t>
      </w:r>
    </w:p>
    <w:p>
      <w:pPr>
        <w:spacing w:after="0" w:line="130"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transaction engine that underpins the entire transaction lifecycle along with a sophisticated pricing engine that enables ongoing price optimization;</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experience interface, across Android, iOS, and Web with corridor-specific user journeys and multilingual self-service or real-time support;</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Disbursement network for partner integrations that supports a diverse set of disbursement methods for our customers and their recipients in over 170 countries;</w:t>
      </w:r>
    </w:p>
    <w:p>
      <w:pPr>
        <w:spacing w:after="0" w:line="72" w:lineRule="exact"/>
        <w:rPr>
          <w:rFonts w:ascii="Times New Roman" w:cs="Times New Roman" w:eastAsia="Times New Roman" w:hAnsi="Times New Roman"/>
          <w:sz w:val="16"/>
          <w:szCs w:val="16"/>
          <w:color w:val="auto"/>
        </w:rPr>
      </w:pPr>
    </w:p>
    <w:p>
      <w:pPr>
        <w:ind w:left="660" w:right="100" w:hanging="328"/>
        <w:spacing w:after="0" w:line="280"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electronic Know Your Customer (“KYC”), machine learning-based fraud scoring and payment authentication processes that all take place in real-time to give our customers immediate feedback and are in compliance with highly complex and continuously evolving global and local regulations; and</w:t>
      </w:r>
    </w:p>
    <w:p>
      <w:pPr>
        <w:spacing w:after="0" w:line="16" w:lineRule="exact"/>
        <w:rPr>
          <w:rFonts w:ascii="Times New Roman" w:cs="Times New Roman" w:eastAsia="Times New Roman" w:hAnsi="Times New Roman"/>
          <w:sz w:val="16"/>
          <w:szCs w:val="16"/>
          <w:color w:val="auto"/>
        </w:rPr>
      </w:pPr>
    </w:p>
    <w:p>
      <w:pPr>
        <w:ind w:left="660" w:right="640" w:hanging="328"/>
        <w:spacing w:after="0" w:line="280"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Experience</w:t>
      </w:r>
    </w:p>
    <w:p>
      <w:pPr>
        <w:spacing w:after="0" w:line="18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We strive to make each customer interaction on our digital products intuitive and free of unnecessary friction. New customers can typically initiate a transaction with only a few taps after setting up their account and adding their recipient’s information. We have further streamlined the experience for existing customers completing repeat transactions. In addition, we recognize that customers' needs and preferences vary across corridors and continue to localize the customer journey in select corridors, from language, to product selection, to the specific flow and product options. Finally, when errors or delays do occur, we strive to enable our customers to take control of the issues and resolve directly within our product, whenever possible. For customers who want to contact us, we redesigned the Remitly Help Center and launched a new artificial intelligence powered virtual assistant which can resolve an issue faster than when interacting with associates.</w:t>
      </w:r>
    </w:p>
    <w:p>
      <w:pPr>
        <w:spacing w:after="0" w:line="12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invest substantial resources and rely on data and insights to understand our customers’ needs in order to continually innovate to deliver even richer features, products, and services. We therefore have significant resources dedicated to technology and development across multiple teams including product, engineering, design, analytics, compliance, marketing, and customer service. These teams are responsible for the envisioning, design, development, and testing of our services. We focus the majority of our investment on developing new functionality, making it accessible and relevant globally, improving the customer experience and optimizing fraud loss rates, and further enhancing the usability, reliability, and performance of our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6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We have experienced, and expect to continue to experience, competition from a number of companies, including those who are well-established or who may have greater resources, and those who may become meaningful competitors in the future. Our competitors generally fall into the following categories:</w:t>
      </w:r>
    </w:p>
    <w:p>
      <w:pPr>
        <w:spacing w:after="0" w:line="95" w:lineRule="exact"/>
        <w:rPr>
          <w:sz w:val="20"/>
          <w:szCs w:val="20"/>
          <w:color w:val="auto"/>
        </w:rPr>
      </w:pPr>
    </w:p>
    <w:p>
      <w:pPr>
        <w:ind w:left="660" w:right="160" w:hanging="328"/>
        <w:spacing w:after="0" w:line="301"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Incumbent providers with a scaled legacy footprint. </w:t>
      </w:r>
      <w:r>
        <w:rPr>
          <w:rFonts w:ascii="Times New Roman" w:cs="Times New Roman" w:eastAsia="Times New Roman" w:hAnsi="Times New Roman"/>
          <w:sz w:val="16"/>
          <w:szCs w:val="16"/>
          <w:color w:val="auto"/>
        </w:rPr>
        <w:t>Traditional providers with large networks of brick-and-mortar locations and agents around the world,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been slow to adopt digital solutions.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hanging="328"/>
        <w:spacing w:after="0" w:line="283"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Traditional banks. </w:t>
      </w:r>
      <w:r>
        <w:rPr>
          <w:rFonts w:ascii="Times New Roman" w:cs="Times New Roman" w:eastAsia="Times New Roman" w:hAnsi="Times New Roman"/>
          <w:sz w:val="16"/>
          <w:szCs w:val="16"/>
          <w:color w:val="auto"/>
        </w:rPr>
        <w:t>Traditional bank networks that offer a wide variety of financial services, including international remittances, but have limited disbursement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options and may have burdensome KYC processes that do not cater to immigrants or other global citizens.</w:t>
      </w:r>
    </w:p>
    <w:p>
      <w:pPr>
        <w:spacing w:after="0" w:line="119" w:lineRule="exact"/>
        <w:rPr>
          <w:rFonts w:ascii="Times New Roman" w:cs="Times New Roman" w:eastAsia="Times New Roman" w:hAnsi="Times New Roman"/>
          <w:sz w:val="16"/>
          <w:szCs w:val="16"/>
          <w:color w:val="auto"/>
        </w:rPr>
      </w:pPr>
    </w:p>
    <w:p>
      <w:pPr>
        <w:ind w:left="660" w:right="760" w:hanging="328"/>
        <w:spacing w:after="0" w:line="283"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Digital-first cross-border payment providers. </w:t>
      </w:r>
      <w:r>
        <w:rPr>
          <w:rFonts w:ascii="Times New Roman" w:cs="Times New Roman" w:eastAsia="Times New Roman" w:hAnsi="Times New Roman"/>
          <w:sz w:val="16"/>
          <w:szCs w:val="16"/>
          <w:color w:val="auto"/>
        </w:rPr>
        <w:t>Digital-first providers of payments, money transfer, and remittance products that aim to be convenient,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transparent, and affordable, with varying corridor-related focuses, such as developed-to-developing or developed-to-developed corridors.</w:t>
      </w:r>
    </w:p>
    <w:p>
      <w:pPr>
        <w:spacing w:after="0" w:line="119" w:lineRule="exact"/>
        <w:rPr>
          <w:rFonts w:ascii="Times New Roman" w:cs="Times New Roman" w:eastAsia="Times New Roman" w:hAnsi="Times New Roman"/>
          <w:sz w:val="16"/>
          <w:szCs w:val="16"/>
          <w:color w:val="auto"/>
        </w:rPr>
      </w:pPr>
    </w:p>
    <w:p>
      <w:pPr>
        <w:ind w:left="660" w:hanging="328"/>
        <w:spacing w:after="0" w:line="26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Emerging players focused on complementary financial products and services. </w:t>
      </w:r>
      <w:r>
        <w:rPr>
          <w:rFonts w:ascii="Times New Roman" w:cs="Times New Roman" w:eastAsia="Times New Roman" w:hAnsi="Times New Roman"/>
          <w:sz w:val="16"/>
          <w:szCs w:val="16"/>
          <w:color w:val="auto"/>
        </w:rPr>
        <w:t>Digital-only banks, wallets, and other emerging digital players typically offer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subset of the financial services offered by traditional banks, and generally place a greater emphasis on convenience and user experience. Similarly, those utilizing blockchain technology and digital or crypto assets often claim benefits of lower cost transactions and higher transfer speeds relative to incumbent money-movement providers. However, price volatility, various fiat conversion fees, user friction, lack of trust, legal and regulatory uncertainty, and other factors have limited the utility of cryptocurrencies, as well as digital assets broadly, for remittances. Still, Remitly continues to assess blockchain technologies and digital assets (and our users’ preferences towards them) as both an opportunity and competitive risk, particularly as the technology continues to evolve.</w:t>
      </w:r>
    </w:p>
    <w:p>
      <w:pPr>
        <w:spacing w:after="0" w:line="127" w:lineRule="exact"/>
        <w:rPr>
          <w:rFonts w:ascii="Times New Roman" w:cs="Times New Roman" w:eastAsia="Times New Roman" w:hAnsi="Times New Roman"/>
          <w:sz w:val="16"/>
          <w:szCs w:val="16"/>
          <w:color w:val="auto"/>
        </w:rPr>
      </w:pPr>
    </w:p>
    <w:p>
      <w:pPr>
        <w:ind w:left="660" w:right="240" w:hanging="328"/>
        <w:spacing w:after="0" w:line="264"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Informal person-to-person channels. </w:t>
      </w:r>
      <w:r>
        <w:rPr>
          <w:rFonts w:ascii="Times New Roman" w:cs="Times New Roman" w:eastAsia="Times New Roman" w:hAnsi="Times New Roman"/>
          <w:sz w:val="16"/>
          <w:szCs w:val="16"/>
          <w:color w:val="auto"/>
        </w:rPr>
        <w:t>Bringing cash home when immigrants travel, trusting others to deliver cash back home, established networks of “IOUs”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based on documentation or passwords, and other systems of trust-based cash transfers that evade tracking and regulation. As digital-first cross-border payment providers continue to expand reach and provide higher quality and accessible services, we believe the share of informal person-to-person channels will likely diminish over time, expanding the addressable market for the competitor categories above.</w:t>
      </w:r>
    </w:p>
    <w:p>
      <w:pPr>
        <w:spacing w:after="0" w:line="124"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Digital-first companies are increasingly gaining market share from legacy providers and traditional banks. We believe that the principal competitive factors across experience, product, network, and technology include:</w:t>
      </w:r>
    </w:p>
    <w:p>
      <w:pPr>
        <w:spacing w:after="0" w:line="95" w:lineRule="exact"/>
        <w:rPr>
          <w:sz w:val="20"/>
          <w:szCs w:val="20"/>
          <w:color w:val="auto"/>
        </w:rPr>
      </w:pPr>
    </w:p>
    <w:p>
      <w:pPr>
        <w:ind w:left="660" w:right="80" w:hanging="328"/>
        <w:spacing w:after="0" w:line="273" w:lineRule="auto"/>
        <w:tabs>
          <w:tab w:leader="none" w:pos="649"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Experience: </w:t>
      </w:r>
      <w:r>
        <w:rPr>
          <w:rFonts w:ascii="Times New Roman" w:cs="Times New Roman" w:eastAsia="Times New Roman" w:hAnsi="Times New Roman"/>
          <w:sz w:val="16"/>
          <w:szCs w:val="16"/>
          <w:color w:val="auto"/>
        </w:rPr>
        <w:t>Digital-first companies, like Remitly, are focusing on the customer experience, by providing a trusted relationship with customers and their families,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especially during challenging times, which ranges from family emergencies to natural disasters. Digital-first companies also provide a simple and convenient customer experience, which is specialized to customers by region, which appeals to customers and their families on a hyper-local level.</w:t>
      </w:r>
    </w:p>
    <w:p>
      <w:pPr>
        <w:spacing w:after="0" w:line="6" w:lineRule="exact"/>
        <w:rPr>
          <w:rFonts w:ascii="Times New Roman" w:cs="Times New Roman" w:eastAsia="Times New Roman" w:hAnsi="Times New Roman"/>
          <w:sz w:val="16"/>
          <w:szCs w:val="16"/>
          <w:b w:val="1"/>
          <w:bCs w:val="1"/>
          <w:color w:val="auto"/>
        </w:rPr>
      </w:pPr>
    </w:p>
    <w:p>
      <w:pPr>
        <w:ind w:left="660" w:right="100" w:hanging="328"/>
        <w:spacing w:after="0" w:line="273"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Product: </w:t>
      </w:r>
      <w:r>
        <w:rPr>
          <w:rFonts w:ascii="Times New Roman" w:cs="Times New Roman" w:eastAsia="Times New Roman" w:hAnsi="Times New Roman"/>
          <w:sz w:val="16"/>
          <w:szCs w:val="16"/>
          <w:color w:val="auto"/>
        </w:rPr>
        <w:t>Digital-first companies have the ability to focus on the product. With the various pay-in and pay-out options, the speed and certainty of transactions is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competitive advantage. Additionally, these companies are able to provide an adjacent suite of digital-first financial services with fair and transparent product pricing, while providing global and local customer service.</w:t>
      </w:r>
    </w:p>
    <w:p>
      <w:pPr>
        <w:spacing w:after="0" w:line="20" w:lineRule="exact"/>
        <w:rPr>
          <w:rFonts w:ascii="Times New Roman" w:cs="Times New Roman" w:eastAsia="Times New Roman" w:hAnsi="Times New Roman"/>
          <w:sz w:val="16"/>
          <w:szCs w:val="16"/>
          <w:color w:val="auto"/>
        </w:rPr>
      </w:pPr>
    </w:p>
    <w:p>
      <w:pPr>
        <w:ind w:left="660" w:right="300" w:hanging="328"/>
        <w:spacing w:after="0" w:line="281"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Network: </w:t>
      </w:r>
      <w:r>
        <w:rPr>
          <w:rFonts w:ascii="Times New Roman" w:cs="Times New Roman" w:eastAsia="Times New Roman" w:hAnsi="Times New Roman"/>
          <w:sz w:val="16"/>
          <w:szCs w:val="16"/>
          <w:color w:val="auto"/>
        </w:rPr>
        <w:t>Digital-first companies leverage their expansive global network, which allows the companies to provide a vast array of easy-to-access disbursement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options and the ability to accept alternative payment methods.</w:t>
      </w:r>
    </w:p>
    <w:p>
      <w:pPr>
        <w:spacing w:after="0" w:line="1" w:lineRule="exact"/>
        <w:rPr>
          <w:rFonts w:ascii="Times New Roman" w:cs="Times New Roman" w:eastAsia="Times New Roman" w:hAnsi="Times New Roman"/>
          <w:sz w:val="16"/>
          <w:szCs w:val="16"/>
          <w:color w:val="auto"/>
        </w:rPr>
      </w:pPr>
    </w:p>
    <w:p>
      <w:pPr>
        <w:ind w:left="660" w:right="260" w:hanging="328"/>
        <w:spacing w:after="0" w:line="273"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Technology: </w:t>
      </w:r>
      <w:r>
        <w:rPr>
          <w:rFonts w:ascii="Times New Roman" w:cs="Times New Roman" w:eastAsia="Times New Roman" w:hAnsi="Times New Roman"/>
          <w:sz w:val="16"/>
          <w:szCs w:val="16"/>
          <w:color w:val="auto"/>
        </w:rPr>
        <w:t>In a world of being digitally connected, digital-first companies focus on technological differentiation, through service availability, performance,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scalability, and reliability. The ability to innovate continues to be a competitive advantage. Additionally, technology allows for efficient fraud, compliance, and regulatory management in the highly regulated industry.</w:t>
      </w:r>
    </w:p>
    <w:p>
      <w:pPr>
        <w:spacing w:after="0" w:line="13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By focusing on the unique needs of our customers, we believe that we have built a differentiated and compelling value proposition, and that we compete favorably on the basis of these factors.</w:t>
      </w:r>
    </w:p>
    <w:p>
      <w:pPr>
        <w:spacing w:after="0" w:line="111"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Specifically, we believe that our mobile-first suite of products, our vast global network, our localization expertise at scale, and our data-driven approach create sustainable differentiation against competitors.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Environment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business is subject to a wide range of federal, state, and foreign laws, regulations, and supervisory guidance across the globe. The majority of these are applicable to us on the basis of the jurisdictions in which we operate and conduct our activities. These include, without limitation, the United States, Canada, the United Kingdom, and the European Economic Area (the “EEA”). We may also be subject to laws, regulations, and guidance on the basis of the jurisdictions in which recipients receive disbursements. These include India, Mexico, and the Philippines as well as other receive countries. These laws and regulations include strict requirements intended to help detect and prevent money laundering, terrorist financing, sanctioned persons and activity, fraud, data misuse, theft and misappropriation, and other illicit activity. In addition, the applicable regulatory framework includes laws, regulations, and guidance regarding money transmission and financial services licensing, operational risk frameworks including outsourcing oversight, consumer protections including disclosures, foreign exchange, safeguarding of customer funds, currency controls, unclaimed property, privacy, data sharing, and cybersecurity. The regulatory requirements applicable to our business in any given jurisdiction are typically extensive, complex, frequently evolving, and increasing in scope, and may impose overlapping and/or conflicting requirements or obligations. For more information, see the section titled “Risk Factors— Legal and Compliance Risks.”</w:t>
      </w:r>
    </w:p>
    <w:p>
      <w:pPr>
        <w:spacing w:after="0" w:line="13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have developed and implemented a compliance program, including our anti-money laundering (“AML”) and consumer protection programs, composed of policies and procedures designed to comply with applicable regulatory frameworks. We also monitor these areas closely to continue to adapt our business practices and strategies to help us comply with the current and evolving regulatory environment.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Anti-Money Laundering. </w:t>
      </w:r>
      <w:r>
        <w:rPr>
          <w:rFonts w:ascii="Times New Roman" w:cs="Times New Roman" w:eastAsia="Times New Roman" w:hAnsi="Times New Roman"/>
          <w:sz w:val="16"/>
          <w:szCs w:val="16"/>
          <w:color w:val="auto"/>
        </w:rPr>
        <w:t>In the United States, our business is subject to federal AML laws, regulations, and supervisory guidance, which includes the Bank Secrecy Act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amended, the “BSA”), as well as similar state laws, regulations, and supervisory guidance. The BSA, among other things, requires companies engaged in money transmission to register with the Financial Crimes Enforcement Network (“FinCEN”) of the U.S. Department of the Treasury as money services businesses and to develop and maintain risk-based AML programs, report suspicious activity, and collect and maintain information about their customers and certain transaction records. These requirements may also apply to our disbursement partners and, if our partners have relationships with their own disbursement providers, those partners’ disbursement providers (“disbursement sub-partners”). Furthermore, FinCEN has interpreted the BSA to require money services businesses to conduct risk-based monitoring of their counterparties.</w:t>
      </w:r>
    </w:p>
    <w:p>
      <w:pPr>
        <w:spacing w:after="0" w:line="3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Similar AML laws, regulations, and supervisory guidance in the countries where we operate and those where we are licensed apply to our business internationally. These include laws, regulations, and supervisory guidance to detect and prevent money laundering and terrorist financing, including obligations to collect and maintain information about our users, recordkeeping, reporting, and due diligence and supervision of our counterparties similar to, and in some cases exceeding, those required under the BSA. We may also be impacted by AML laws, regulations, and supervisory guidance in the other countries in which our disbursement partners and disbursement sub-partners operate.</w:t>
      </w:r>
    </w:p>
    <w:p>
      <w:pPr>
        <w:spacing w:after="0" w:line="33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As a money services business, we maintain a stringent AML compliance program that includes internal policies and controls, designation of AML compliance officers for each of our regulated entities, ongoing employee training and monitoring programs, and annual independent reviews.</w:t>
      </w:r>
    </w:p>
    <w:p>
      <w:pPr>
        <w:spacing w:after="0" w:line="10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Sanctions. </w:t>
      </w:r>
      <w:r>
        <w:rPr>
          <w:rFonts w:ascii="Times New Roman" w:cs="Times New Roman" w:eastAsia="Times New Roman" w:hAnsi="Times New Roman"/>
          <w:sz w:val="16"/>
          <w:szCs w:val="16"/>
          <w:color w:val="auto"/>
        </w:rPr>
        <w:t>Our business must also comply with U.S. economic and trade sanctions programs administered by the U.S. Department of the Treasury’s Office of Foreign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Control (“OFAC”) and with similar sanctions administered by sanctions authorities in other jurisdictions in which we operate or where we are licensed. These laws, regulations, and supervisory guidance prohibit or restrict transactions in, to, or from certain countries, regions, or governments, as well as with certain individuals and entities such as traffickers in illegal goods or services, terrorists, and terrorist organizations. Sanctions are imposed to address acute foreign policy and national security threats and may change rapidly and unpredictably in response to world events or domestic or international political developments.</w:t>
      </w:r>
    </w:p>
    <w:p>
      <w:pPr>
        <w:spacing w:after="0" w:line="12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have implemented policies, procedures, and internal controls that are designed to comply with these economic and trade sanctions programs. These measures include, without limitation, controls designed to prevent transactions to or from countries or territories that are subject to comprehensive sanctions, screening certain transactions and customer information against OFAC and other international government watch-lists, blocking funds of persons named on OFAC’s list of Specially Designated Nationals and Blocked Persons and other persons and entities designated as prohibited persons by U.S. and non-U.S. sanctions authorities, and preparing and submitting blocking and other reports as required by relevant authorities.</w:t>
      </w:r>
    </w:p>
    <w:p>
      <w:pPr>
        <w:spacing w:after="0" w:line="1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Anti-Bribery. </w:t>
      </w:r>
      <w:r>
        <w:rPr>
          <w:rFonts w:ascii="Times New Roman" w:cs="Times New Roman" w:eastAsia="Times New Roman" w:hAnsi="Times New Roman"/>
          <w:sz w:val="16"/>
          <w:szCs w:val="16"/>
          <w:color w:val="auto"/>
        </w:rPr>
        <w:t>We are subject to regulations imposed by the Foreign Corrupt Practices Act (the “FCPA”) in the United States, the Corruption of Foreign Public Officials Act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Canada (“CFPOA”), the U.K. Bribery Act in the United Kingdom, and similar laws in the other jurisdictions in which we or our disbursement partners or disbursement sub-partners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comply with applicable anti-bribery laws, regulations, and supervisory guidance.</w:t>
      </w:r>
    </w:p>
    <w:p>
      <w:pPr>
        <w:spacing w:after="0" w:line="1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Money Transmission and Stored Value Licensing or Registration. </w:t>
      </w:r>
      <w:r>
        <w:rPr>
          <w:rFonts w:ascii="Times New Roman" w:cs="Times New Roman" w:eastAsia="Times New Roman" w:hAnsi="Times New Roman"/>
          <w:sz w:val="16"/>
          <w:szCs w:val="16"/>
          <w:color w:val="auto"/>
        </w:rPr>
        <w:t>We are subject to licensing and registration requirements in relation to our money transmission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stored value issuance activities on a state-by-state and federal basis in the United States and in almost every other jurisdiction from which our customers initiate transactions, including, but not limited to, Canada, the United Kingdom, and the EEA.</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In the United States, we are registered as a Money Services Business with FinCEN, and we hold licenses to operate as a money transmitter (or its equivalent) in the 48 states where such licenses are required, as well as in the District of Columbia and various U.S. Territories.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AML and sanctions compliance, third-party risk management requirements, privacy and cybersecurity program requirements, requirements related to unclaimed property and escheatment, and examination by state regulatory agencies. In connection with certain licenses we hold in the United States, there are also different equity holding thresholds that may require a stockholder to obtain regulatory approval prior to exceeding such thresholds.</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Outside the United States, we provide services to our customers in a variety of ways. In several jurisdictions, we have obtained licenses or are registered to operate as a money services business, payment service provider, or payment institution, as applicable. In Canada, we are registered with the Financial Transactions and Reports Analysis Centre of Canada as a money services business and are pending registration with the Bank of Canada as a payment service provider. In the United Kingdom, we have obtained a payment institution license from the Financial Conduct Authority (the “FCA”). In Ireland, we have obtained a payment institution license from the Central Bank of Ireland, and such license permits us to provide certain payment services across the EEA. We also hold licenses in several other jurisdictions and plan to apply for money transmitter licenses or their equivalents in additional jurisdictions. Under these licensing regimes and associated regulations and supervision, we are subject to requirements such as capital and safeguarding rules, consumer protection requirements, privacy and cybersecurity requirements (including those under the EU Digital Operational Resilience Act), outsourcing oversight requirements, requirements related to unclaimed property and escheatment, and periodic regulatory examinations. Additionally, in several foreign jurisdictions, we work with disbursement partners to make funds available to recipients, and such partners may be locally licensed businesses or regulated banks subject to compliance requirements with local laws.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Consumer Disclosure and Consumer Protection. </w:t>
      </w:r>
      <w:r>
        <w:rPr>
          <w:rFonts w:ascii="Times New Roman" w:cs="Times New Roman" w:eastAsia="Times New Roman" w:hAnsi="Times New Roman"/>
          <w:sz w:val="16"/>
          <w:szCs w:val="16"/>
          <w:color w:val="auto"/>
        </w:rPr>
        <w:t>We are subject to laws, regulations, and disclosure requirements relating to consumer protection in the United States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jurisdictions in which we have operations, where such laws, regulations, and supervisory guidance are enforced by numerous government agencies. In the United States, the Consumer Financial Protection Bureau (the “CFPB”) implements, examines compliance with, and enforces federal consumer financial laws governing financial products and services, including the Electronic Fund Transfer Act and its implementing regulation, Regulation E, which includes the Remittance Transfer Rule. The Remittance Transfer Rule requirements include: (1) a disclosure requirement to provide consumers sending funds internationally from the United States with pre-transaction written disclosures and receipts; (2) an obligation to investigate and resolve certain errors, including errors that may be outside our control; and (3) an obligation, upon a customer’s request, to cancel certain transactions that have not been completed. The CFPB has issued guidance regarding consumer fees and disclosures generally. We expect the CFPB to remain focused on remittance companies and their transparency of fees, delivery speed, and exchange rates.</w:t>
      </w:r>
    </w:p>
    <w:p>
      <w:pPr>
        <w:spacing w:after="0" w:line="1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under the Dodd-Frank Act, it is unlawful for any provider of consumer financial products or services to engage in unfair, deceptive, or abusive acts or practice (“UDAAP violations”). The CFPB has substantial rule-making and enforcement authority to prevent UDAAP violations in connection with any transaction involving a consumer financial product or service. As a larger participant in the industry for international money transfers, we are subject to direct CFPB supervisory authority over our business. This includes the authority to fine and provide consumer restitution for violations and request information and data about our compliance activities. In addition, the CFPB requires that we track and respond to consumer complaints.</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Similar laws, regulations, and supervisory guidance in the countries where we operate and those where we are licensed apply to our business outside the United States. These include laws, regulations, and supervisory guidance to provide disclosures, an obligation to investigate and resolve certain errors and complaints, and obligations to cancel certain transactions. In addition, there has been an increase in the level and regulatory scrutiny of consumer protection laws, regulations, and supervisory guidance relating to “treating customers fairly.” These laws apply to our international business (including in the United Kingdom and the EEA). In the United Kingdom, the FCA has issued, supervises, and enforces the Consumer Duty that places an obligation on firms to act to deliver good outcomes for retail customers.</w:t>
      </w:r>
    </w:p>
    <w:p>
      <w:pPr>
        <w:spacing w:after="0" w:line="1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Indirect Regulatory Requirements. </w:t>
      </w:r>
      <w:r>
        <w:rPr>
          <w:rFonts w:ascii="Times New Roman" w:cs="Times New Roman" w:eastAsia="Times New Roman" w:hAnsi="Times New Roman"/>
          <w:sz w:val="16"/>
          <w:szCs w:val="16"/>
          <w:color w:val="auto"/>
        </w:rPr>
        <w:t>In addition to the licenses discussed above, we also seek, obtain, and maintain additional licenses to support new products and use cases,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we also are subject to indirect regulatory requirements based on the requirements of our product partners. At the current time, none of the businesses supported by these indirect or new licenses is material to our business.</w:t>
      </w:r>
    </w:p>
    <w:p>
      <w:pPr>
        <w:spacing w:after="0" w:line="11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For an additional discussion on governmental regulations affecting our business, please see “Item 1A. Risk Factors—Financial Risks” and “Item 3. Legal Proceedings” in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6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Intellectual property and proprietary rights (“IP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obtain, maintain, protect, defend, and enforce our IP Rights, including our proprietary technology, software, know-how, and brand.</w:t>
      </w:r>
    </w:p>
    <w:p>
      <w:pPr>
        <w:spacing w:after="0" w:line="130" w:lineRule="exact"/>
        <w:rPr>
          <w:sz w:val="20"/>
          <w:szCs w:val="20"/>
          <w:color w:val="auto"/>
        </w:rPr>
      </w:pPr>
    </w:p>
    <w:p>
      <w:pPr>
        <w:ind w:right="140"/>
        <w:spacing w:after="0" w:line="196" w:lineRule="exact"/>
        <w:rPr>
          <w:sz w:val="20"/>
          <w:szCs w:val="20"/>
          <w:color w:val="auto"/>
        </w:rPr>
      </w:pPr>
      <w:r>
        <w:rPr>
          <w:rFonts w:ascii="Times New Roman" w:cs="Times New Roman" w:eastAsia="Times New Roman" w:hAnsi="Times New Roman"/>
          <w:sz w:val="16"/>
          <w:szCs w:val="16"/>
          <w:color w:val="auto"/>
        </w:rPr>
        <w:t xml:space="preserve">As of December 31, 2024, we owned six U.S. registered trademarks, two pending U.S. trademark applications, 122 foreign registered trademarks, and 23 pending foreign trademark applications covering the mark REMITLY, our collapsed Clasped Hand logo, REMITLY (+ Clasped Hand logo), PASSBOOK BY REMITLY, </w:t>
      </w:r>
      <w:r>
        <w:rPr>
          <w:rFonts w:ascii="SimSun" w:cs="SimSun" w:eastAsia="SimSun" w:hAnsi="SimSun"/>
          <w:sz w:val="16"/>
          <w:szCs w:val="16"/>
          <w:color w:val="auto"/>
        </w:rPr>
        <w:t>汇安易</w:t>
      </w:r>
      <w:r>
        <w:rPr>
          <w:rFonts w:ascii="Times New Roman" w:cs="Times New Roman" w:eastAsia="Times New Roman" w:hAnsi="Times New Roman"/>
          <w:sz w:val="16"/>
          <w:szCs w:val="16"/>
          <w:color w:val="auto"/>
        </w:rPr>
        <w:t xml:space="preserve"> (Hui Mei Yi in Chinese characters), and </w:t>
      </w:r>
      <w:r>
        <w:rPr>
          <w:rFonts w:ascii="SimSun" w:cs="SimSun" w:eastAsia="SimSun" w:hAnsi="SimSun"/>
          <w:sz w:val="16"/>
          <w:szCs w:val="16"/>
          <w:color w:val="auto"/>
        </w:rPr>
        <w:t>睿每易</w:t>
      </w:r>
      <w:r>
        <w:rPr>
          <w:rFonts w:ascii="Times New Roman" w:cs="Times New Roman" w:eastAsia="Times New Roman" w:hAnsi="Times New Roman"/>
          <w:sz w:val="16"/>
          <w:szCs w:val="16"/>
          <w:color w:val="auto"/>
        </w:rPr>
        <w:t xml:space="preserve"> (Rui Mei Yi in Chinese characters). This includes six foreign registered trademarks for the REWIRE mark and REWIRE logo resulting from the purchase of Rewire (O.S.G.) Research and Development Ltd. (“Rewire”). We are pursuing additional trademark registrations to the extent we believe it would be beneficial and cost effective. Additionally, we own common law trademark rights in the above referenced marks as well as the REMITLY PROMISES DELIVERED (+ Clasped Hand logo) mark in the United States and certain other jurisdictions where common law rights are recognized. We also own several domain names, including www.remitly.com.</w:t>
      </w:r>
    </w:p>
    <w:p>
      <w:pPr>
        <w:spacing w:after="0" w:line="14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service marks, trade names, and domain names when we deem it appropriate by sending cease and desist letters, filing complaints, and commencing administrative and other legal proceedings in the United States and various other jurisdictions.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rely upon a substantial amount of IP Rights licensed from third parties, including under certain open source licenses.</w:t>
      </w:r>
    </w:p>
    <w:p>
      <w:pPr>
        <w:spacing w:after="0" w:line="16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also seek to preserve the integrity and confidentiality of our IP Rights through contractual protections and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IP Rights on our behalf. We seek to enter into confidentiality agreements with other third parties to limit access to, and disclosure and use of, our confidential information and proprietary information. We further seek to control the use of our proprietary technology and other IP Rights through provisions in our terms of service.</w:t>
      </w:r>
    </w:p>
    <w:p>
      <w:pPr>
        <w:spacing w:after="0" w:line="126"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See the section titled “Risk Factors—Cybersecurity, Privacy, Intellectual Property, and Technology Risks” for a more comprehensive description of risks related to our IP Rights.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and Cybersecurity</w:t>
      </w:r>
    </w:p>
    <w:p>
      <w:pPr>
        <w:spacing w:after="0" w:line="16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We collect, use, receive, store, transmit, disclose, and otherwise process a wide variety of data and information (including personal information and sensitive personal information) for various purposes in our business. This aspect of our business is subject to numerous laws, rules, regulations, industry standards, and other obligations in the United States and globally. Laws, rules, regulations, industry standards, and proposals thereof in this area have increased significantly in recent years and are expected to continue to do so. Our practices with respect to such data and information are also subject to contractual obligations.</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In the United States, various federal, state, and local laws, rules, and regulations apply to the collection, use, receipt, storage, transmission, disclosure, deletion, and other processing of personal information, including the Electronic Communications Privacy Act, the Computer Fraud and Abuse Act, the Federal Trade Commission Act, the Gramm-Leach-Bliley Act (along with its implementing regulations, the “GLBA”), and various state laws, rules, and regulations relating to privacy and cybersecurity. The GLBA, a federal privacy law that applies to financial institutions, like Remitly, restricts certain collection, use, receipt, storage, transmission, disclosure, deletion, and other processing of certain nonpublic or otherwise legally protected information, requires notice to individuals of privacy policies and practices relating to sharing such information, and provides individuals with certain rights to prevent the use and disclosure of such information. The GLBA also imposes requirements for the safeguarding and proper disposal of such information through the issuance of privacy and cybersecurity standards or guidelines.</w:t>
      </w:r>
    </w:p>
    <w:p>
      <w:pPr>
        <w:spacing w:after="0" w:line="14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In addition to numerous privacy and cybersecurity laws, rules, and regulations already in place, U.S. states are increasingly adopting laws imposing comprehensive privacy and cybersecurity obligations, which may be more stringent, broader in scope, or offer greater individual rights with respect to personal information (including sensitive personal information) than foreign, federal, or other state laws, rules, and regulations, and such laws, rules, and regulations may differ from or conflict with each other. For example, the California Consumer Privacy Act, as amended by the California Privacy Rights Act of 2020 (collectively, the “CCPA”), broadly defines personal information, gives California residents expanded privacy rights and protections, and provides for civil penalties for violations and a private right of action for data breaches. A growing number of other states also have enacted, or are considering enacting, comprehensive privacy and cybersecurity laws that share similarities with the CCPA. There are also ongoing discussions in the U.S. Congress of a new federal privacy and cybersecurity law to which we may become subject if it is enacted. Additionally, the U.S. Federal Trade Commission and many state attorneys general are interpreting federal and state consumer protection laws as imposing standards for the online collection, use, receipt, storage, transmission, disclosure, deletion, and other processing of personal information.</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Outside the United States, many countries have established their own privacy and cybersecurity legal frameworks with which we, our customers, and/or partners may need to comply. For example, we are subject to the EU General Data Protection Regulation (the “GDPR”), which imposes stringent privacy and cybersecurity requirements. The GDPR includes numerous requirements and changes from previously existing European laws, including more robust obligations on data controllers and processors, and more fulsome documentation requirements for data protection compliance programs by covered companies. Failure to comply with the GDPR can result in fines up to the greater of €20 million or 4% of annual global revenues of the violator. The GDPR also imposes strict rules on the transfer of personal data to countries outside of the EEA in respect of which the European Commission or other relevant regulatory body has not issued a so called “adequacy decision,” unless the parties to the transfer have implemented specific safeguards to protect the transferred personal data. As discussed in further detail below, the European Commission has adopted adequacy decisions with respect to transfers of personal data to the United States and the United Kingdom, but such adequacy decisions remain subject to legal uncertainty.</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Moreover, following the exit of the United Kingdom from the European Union, the GDPR was transposed into U.K. law as supplemented by the U.K. Data Protection Act 2018 (collectively, the “U.K. GDPR”), which currently imposes the same obligations as the GDPR in most material respects. Failure to comply with the U.K. GDPR can result in fines up to the greater of £17.5 million or 4% of annual global revenues of the violator. However, the U.K. GDPR will not automatically incorporate changes made to the GDPR going forward (which would need to be specifically incorporated by the U.K. government), which creates a risk of divergent parallel regimes and related uncertainty. For example, in 2021, the European Commission announced an adequacy decision concluding that the United Kingdom ensures an equivalent level of data protection to the GDPR, which provides some relief regarding the legality of continued personal data flows from the EEA to the United Kingdom. This adequacy determination will automatically expire in June 2025 unless the European Commission renews or extends it and may be modified or revoked in the interim. We cannot predict how the U.K. GDPR and other U.K. privacy and cybersecurity laws, rules, or regulations may develop, including as compared to the GDPR, nor can we predict the effects of divergent laws and related guidance. Moreover, the U.K. government has publicly announced plans, including legislative proposals, to reform the U.K. GDPR in ways that, if formalized, are likely to deviate from the GDPR. This may lead to future divergence and variance between the two regimes.</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Recent legal developments in Europe have created complexity and uncertainty regarding data transfers from the EEA to countries outside of the EEA in respect of which the European Commission or other relevant regulatory body has not issued an adequacy decision. Furthermore, the United Kingdom similarly restricts transfers of personal data to countries outside of the United Kingdom to countries such as the United States that the U.K. government does not consider to provide an adequate level of personal data protection. While we currently rely on the standard contractual clauses promulgated and recently substantially revised by the European Commission and the United Kingdom’s International Data Transfer Agreement (or the United Kingdom’s approved international data transfer addendum to the European Union’s standard contractual clauses) for such transfers, on July 10, 2023, the European Commission adopted an adequacy decision concluding that the United States ensures an adequate level of protection for personal data transferred from the European Union to the United States under the EU-U.S. Data Privacy Framework (followed on October 12, 2023 with the adoption of an adequacy decision in the United Kingdom for the U.K.-U.S. Data Bridge). However, the EU-U.S. Data Privacy Framework (and the U.K.-U.S. Data Bridge) may be in flux as such new adequacy decision has been challenged, and is likely to face additional challenges, including at the Court of Justice of the European Union.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Additionally, many statutory requirements, both in the United States and abroad, include obligations for companies to notify individuals of data breaches involving certain personal information. For example, laws in all U.S. states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Furthermore, in July 2023, the SEC adopted new cybersecurity disclosure rules requiring public companies to disclose, among other things, a material cybersecurity incident within four days of determining that an incident is material. In addition, the enactment of the Cyber Incident Reporting for Critical Infrastructure Act (the “CIRCIA”) in 2022, once rulemaking is complete, will require, among other things, certain companies to report significant cyber incidents to the Cybersecurity and Infrastructure Security Agency (the “CISA”) within 72 hours from the time the company reasonably believes the incident occurred (and within 24 hours of making a ransom payment as a result of a ransomware attack). On April 4, 2024, the CISA proposed a rule under the CIRCIA that would clarify the scope of cyber incidents to be reported and would further define covered entities subject to the CIRCIA to expressly include companies in the financial services industry that are required to report cyber incidents to their primary federal regulators. We also may be contractually required to notify consumers or other third parties of a cyberattack, cybersecurity breach, service outage, or other similar incident.</w:t>
      </w:r>
    </w:p>
    <w:p>
      <w:pPr>
        <w:spacing w:after="0" w:line="12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There are a number of pending legislative and regulatory proposals in the European Union, the United Kingdom, and the U.S., at both the federal and state level, as well as other jurisdictions that could impose new obligations in areas affecting our business. We expect that our efforts to comply with the GDPR, U.K. GDPR, GLBA, CCPA, and other legislative and regulatory requirements will continue to require substantial investments, including investments in compliance processes and technical infrastructure. In addition, some countries are considering or have passed legislation implementing additional privacy and cybersecurity requirements, including requiring local storage and processing of data or similar requirements that could increase the cost and complexity of delivering our services.</w:t>
      </w:r>
    </w:p>
    <w:p>
      <w:pPr>
        <w:spacing w:after="0" w:line="126"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We are engaged in ongoing privacy and cybersecurity compliance and oversight efforts, including in connection with the requirements of privacy and cybersecurity laws, rules, regulations, industry standards, and other obligations. Many of these privacy and cybersecurity obligations are subject to change, have uncertain and inconsistent interpretation and enforcement, and may conflict with one another, other requirements or obligations, or our practices or the features of our services.</w:t>
      </w:r>
    </w:p>
    <w:p>
      <w:pPr>
        <w:spacing w:after="0" w:line="117"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For additional information about privacy, cybersecurity, and associated risks, see the section titled “Risk Factors—Cybersecurity, Privacy, Intellectual Property, and Technology Risks.”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83"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6"/>
          <w:szCs w:val="16"/>
          <w:color w:val="auto"/>
        </w:rPr>
        <w:t>As we continue to grow and serve customers around the world, we strive to build a global team that is open, curious, and values individuals’ unique experiences, cultural backgrounds, strengths, and perspectives. Fostering a sense of belonging in all environments allows for every Remitly employee around the world to do their best work in service to our customers.</w:t>
      </w:r>
    </w:p>
    <w:p>
      <w:pPr>
        <w:spacing w:after="0" w:line="13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Global Team. </w:t>
      </w:r>
      <w:r>
        <w:rPr>
          <w:rFonts w:ascii="Times New Roman" w:cs="Times New Roman" w:eastAsia="Times New Roman" w:hAnsi="Times New Roman"/>
          <w:sz w:val="16"/>
          <w:szCs w:val="16"/>
          <w:color w:val="auto"/>
        </w:rPr>
        <w:t>As of December 31, 2024, we had over 2,800 full-time equivalent employees working out of our global offices, which includes our headquarters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Seattle, Washington, several other office locations, or remotely. None of our team members is represented by a labor union or is covered by a collective bargaining agreement. We believe the positive relationship between our customers, our team members, and our mission-oriented culture differentiates us and is a key driver of our business success. Attracting, recruiting, growing, and retaining globally diverse talent enables us to deliver on our brand promise to customers and serve our broad set of stakeholders. We are focused on supporting our employees from recruitment and onboarding, to ongoing development, and have implemented programs designed to encourage engagement and personal wellness.</w:t>
      </w:r>
    </w:p>
    <w:p>
      <w:pPr>
        <w:spacing w:after="0" w:line="122"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Culture and Values. </w:t>
      </w:r>
      <w:r>
        <w:rPr>
          <w:rFonts w:ascii="Times New Roman" w:cs="Times New Roman" w:eastAsia="Times New Roman" w:hAnsi="Times New Roman"/>
          <w:sz w:val="16"/>
          <w:szCs w:val="16"/>
          <w:color w:val="auto"/>
        </w:rPr>
        <w:t>Culture is the set of habits that allows a group of people to cooperate by assumption rather than by negotiation. It is composed of artifacts, norms,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values, and behaviors—and it is not what we say, but what we do without asking. Culture serves as the invisible glue that binds together the intangibles (e.g., how we treat each other, how we make decisions, how we serve our customers) with business objectives.</w:t>
      </w:r>
    </w:p>
    <w:p>
      <w:pPr>
        <w:spacing w:after="0" w:line="114"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Remitly’s cultural values define our ideal behaviors and interactions. Each of us as individuals, teams, and as a company has strengths and growth opportunities. We view our values as a north star and, with a ‘growth mindset,’ our aspiration to work towards. Our values give us a common language to guide our work, behavior, and decision making every day.</w:t>
      </w:r>
    </w:p>
    <w:p>
      <w:pPr>
        <w:spacing w:after="0" w:line="11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Remitly’s culture is the foundation of our success. We invested in our culture and values the day we started this company more than a decade ago, and we will continue to invest for the decades to come. Our values are not stagnant. Every so often we take a step back to refresh our values with the goal of continuously improving as we grow to serve millions of new customers, attract exceptional employees, globalize, grasp opportunities, and face challenges in our ever-changing world. Our cultural values define how we get things done. At Remitly we believe that how we accomplish our work leads to great outcomes in what we accomplish.</w:t>
      </w:r>
    </w:p>
    <w:p>
      <w:pPr>
        <w:spacing w:after="0" w:line="1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Diversity, Equity, Inclusion, and Belonging. </w:t>
      </w:r>
      <w:r>
        <w:rPr>
          <w:rFonts w:ascii="Times New Roman" w:cs="Times New Roman" w:eastAsia="Times New Roman" w:hAnsi="Times New Roman"/>
          <w:sz w:val="16"/>
          <w:szCs w:val="16"/>
          <w:color w:val="auto"/>
        </w:rPr>
        <w:t>Diversity, Equity, Inclusion, and Belonging (“DEIB”) is deeply rooted in our purpose, culture, and values at Remitly.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intentionally built education, support, and awareness for DEIB into all parts of our employee experience and continue to find new ways to learn, grow, and lead in ways that leverage the diverse strengths and experiences of our global team. Our focus every day is to tirelessly deliver for our customers. We invest in resources and created programs that encourage continuous learning and constructive dialogue at all levels of our organization, including employee-led global resource groups and delivery of DEIB-related learning content.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Engagement and Retention. </w:t>
      </w:r>
      <w:r>
        <w:rPr>
          <w:rFonts w:ascii="Times New Roman" w:cs="Times New Roman" w:eastAsia="Times New Roman" w:hAnsi="Times New Roman"/>
          <w:sz w:val="16"/>
          <w:szCs w:val="16"/>
          <w:color w:val="auto"/>
        </w:rPr>
        <w:t>Employee voice and engagement is a cornerstone to how we foster a culture of belonging. This focus allows all of us to do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personal best to deliver for our customers every day. Activities and initiatives include annual employee engagement surveys, pulse surveys and action planning, ongoing feedback sessions, office hours, and 1:1s. Our cultural values are woven throughout our employee lifecycle processes including onboarding, performance management, and development planning, which help us to attract, inspire, and retain a world-class and globally diverse team.</w:t>
      </w:r>
    </w:p>
    <w:p>
      <w:pPr>
        <w:spacing w:after="0" w:line="1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Benefits and Compensation. </w:t>
      </w:r>
      <w:r>
        <w:rPr>
          <w:rFonts w:ascii="Times New Roman" w:cs="Times New Roman" w:eastAsia="Times New Roman" w:hAnsi="Times New Roman"/>
          <w:sz w:val="16"/>
          <w:szCs w:val="16"/>
          <w:color w:val="auto"/>
        </w:rPr>
        <w:t>In every geography with employees, we offer competitive compensation that includes equity to reward high performers and align our employee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incentives with the long-term and customer-oriented success of Remitly.</w:t>
      </w:r>
    </w:p>
    <w:p>
      <w:pPr>
        <w:spacing w:after="0" w:line="10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provide comprehensive benefits and services that help meet the unique needs of our employees, including medical, dental, and vision insurance, a health savings account with company contribution, family and medical leave, flexible work schedules, paid holidays and flexible vacation time, as well as mental wellness access, which provides coaching and counseling services for employees and dependents in their household. To support parents and families, we offer benefits so all employees on any path to parenthood have 24/7 access to virtual care, ranging from prenatal support and family planning, to delivery, postpartum, and pediatrics that support diverse family structures. Remitly also participates in the World Professional Association for Transgender Health (the “WPATH”) so our teammates who identify as Transsexual, Transgender, and Gender Nonconforming People have access to the care they need. We sponsor a 401(k) plan that includes a matching contribution and offer financial coaching through a third-party provider. We also offer an employee stock purchase plan to enable eligible employees to purchase shares of common stock at a discount via accumulated payroll deductions.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Philanthropy</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When people have access to financial tools and resources, they have the power to change the future for themselves, their loved ones, and the global communities where they live. These communities have a variety of needs and concerns that are best addressed by the people who live in them. That’s why we design our products to remove financial barriers so people can make an impact in their own families and communities. Yet, with such a vast array of communities around the world, we also understand that there are communities that need financial support in ways and places beyond what, where, and how our remittance offerings can serve today. To address this, we and our global teams participate in philanthropic programs and partnerships that advance financial inclusion and increase community resilience around the world. These partnerships are built on listening to, and learning from, our people and global communities—those who know each place’s local needs best. This creates an opportunity to extend our global impact and ignite long-term change around the world together. Our major corporate philanthropy programs include the following:</w:t>
      </w:r>
    </w:p>
    <w:p>
      <w:pPr>
        <w:spacing w:after="0" w:line="13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Pledge 1%. </w:t>
      </w:r>
      <w:r>
        <w:rPr>
          <w:rFonts w:ascii="Times New Roman" w:cs="Times New Roman" w:eastAsia="Times New Roman" w:hAnsi="Times New Roman"/>
          <w:sz w:val="16"/>
          <w:szCs w:val="16"/>
          <w:color w:val="auto"/>
        </w:rPr>
        <w:t>Our Pledge 1% commitment publicly acknowledges our intent to give back and expand our social impact in order to sustainably further our vision. As such,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July 2021, our board of directors approved the reservation of up to 1,819,609 shares of our common stock (which was approximately 1.0% of our fully diluted capitalization as of June 30, 2021) that we may issue to or for the benefit of a 501(c)(3) nonprofit foundation or a similar charitable organization pursuant to our Pledge 1% commitment in equal installments over ten years. From 2021 to 2024, we donated 181,961 shares of our common stock each year to the Remitly Foundation. We also have a multifaceted social good program that aligns with our Pledge 1% philanthropic commitment.</w:t>
      </w:r>
    </w:p>
    <w:p>
      <w:pPr>
        <w:spacing w:after="0" w:line="13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and Employee Giving. </w:t>
      </w:r>
      <w:r>
        <w:rPr>
          <w:rFonts w:ascii="Times New Roman" w:cs="Times New Roman" w:eastAsia="Times New Roman" w:hAnsi="Times New Roman"/>
          <w:sz w:val="16"/>
          <w:szCs w:val="16"/>
          <w:color w:val="auto"/>
        </w:rPr>
        <w:t>We are committed to corporate and employee-giving programs that align with our long-term impact priorities, as detailed in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 Impact Report available on our investor relations website.</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Our initiatives include the Remitly Scholars Program, which provides financial assistance to elevate opportunity with students in the Philippines to pay for school fees, books, food, school supplies, and other resources they might need to successfully graduate from college. Through a multi-year partnership with a global micro-lending nonprofit, we contribute to advancing financial security and resilience around the world to build brighter futures. Additionally, we support communities affected by disasters through our disaster response program, prioritizing direct support to our customers and their loved ones. This includes offering $0 fee promotions and discount promotions for remittances to impacted regions, ensuring customers' funds can go further during critical times. We supplement this with philanthropic donations to aid in recovery efforts and strengthen community resilience for the future. These programs reflect our ongoing commitment to making a positive impact on our customers, their families, and the global communities we serve.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6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Copies of our Annual Reports on Form 10-K, Quarterly Reports on Form 10-Q, Current Reports on Form 8-K, and amendments to these reports filed or furnished pursuant to Section 13(a) or 15(d) of the Securities Exchange Act of 1934, as amended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site is www.sec.gov.</w:t>
      </w:r>
    </w:p>
    <w:p>
      <w:pPr>
        <w:spacing w:after="0" w:line="12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We webcast our earnings calls and certain events we participate in or host with members of the investment community on our investor relations website. Additionally, we offer notifications of news or announcements regarding our financial performance, including SEC filings, investor events, and press and earnings releases through our investor relations website. We have used, and intend to continue to use, the Investor Relations section of our website at https://ir.remitly.com as a means of disclosing material nonpublic information and for complying with our disclosure obligations under Regulation FD. Further corporate governance information, including our board committee composition and charters, global code of conduct, and corporate governance guidelines,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6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our consolidated financial statements, and the accompanying notes included elsewhere in this Annual Report on Form 10-K,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reputation, and future prospects could be materially and adversely affected. In that event, the market price of our common stock could decline, and you could lose part or all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Some of the material risks that we face include:</w:t>
      </w:r>
    </w:p>
    <w:p>
      <w:pPr>
        <w:spacing w:after="0" w:line="181" w:lineRule="exact"/>
        <w:rPr>
          <w:sz w:val="20"/>
          <w:szCs w:val="20"/>
          <w:color w:val="auto"/>
        </w:rPr>
      </w:pPr>
    </w:p>
    <w:p>
      <w:pPr>
        <w:ind w:left="660" w:right="2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and evolving industry and may be unable to compete successfully against existing and future competitors that employ a variety of existing business models and technologies or new innovations;</w:t>
      </w:r>
    </w:p>
    <w:p>
      <w:pPr>
        <w:spacing w:after="0" w:line="11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innovate, improve existing products, or develop new products that achieve acceptance;</w:t>
      </w:r>
    </w:p>
    <w:p>
      <w:pPr>
        <w:spacing w:after="0" w:line="180" w:lineRule="exact"/>
        <w:rPr>
          <w:rFonts w:ascii="Times New Roman" w:cs="Times New Roman" w:eastAsia="Times New Roman" w:hAnsi="Times New Roman"/>
          <w:sz w:val="16"/>
          <w:szCs w:val="16"/>
          <w:color w:val="auto"/>
        </w:rPr>
      </w:pPr>
    </w:p>
    <w:p>
      <w:pPr>
        <w:ind w:left="660" w:right="64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partner with third parties to support fulfillment of our service, including risk management, payment processing, customer support, cloud hosting, and disbursement, which exposes us to risks outside of our control;</w:t>
      </w:r>
    </w:p>
    <w:p>
      <w:pPr>
        <w:spacing w:after="0" w:line="11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cybersecurity breaches, service outages, or other similar incidents such as phishing;</w:t>
      </w:r>
    </w:p>
    <w:p>
      <w:pPr>
        <w:spacing w:after="0" w:line="180" w:lineRule="exact"/>
        <w:rPr>
          <w:rFonts w:ascii="Times New Roman" w:cs="Times New Roman" w:eastAsia="Times New Roman" w:hAnsi="Times New Roman"/>
          <w:sz w:val="16"/>
          <w:szCs w:val="16"/>
          <w:color w:val="auto"/>
        </w:rPr>
      </w:pPr>
    </w:p>
    <w:p>
      <w:pPr>
        <w:ind w:left="660" w:right="26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numerous privacy and cybersecurity laws, rules, regulations, industry standards, and other obligations across multiple jurisdictions which are highly complex, overlapping, frequently changing, and which create compliance challenges;</w:t>
      </w:r>
    </w:p>
    <w:p>
      <w:pPr>
        <w:spacing w:after="0" w:line="12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our service for illegal or fraudulent activities could harm our business, financial condition, operating results, reputation, and future prospects;</w:t>
      </w:r>
    </w:p>
    <w:p>
      <w:pPr>
        <w:spacing w:after="0" w:line="167"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anti-corruption laws and sanctions laws, anti-terrorist financing laws, anti-money laundering laws, and similar laws could subject us to penalties and other adverse consequences;</w:t>
      </w:r>
    </w:p>
    <w:p>
      <w:pPr>
        <w:spacing w:after="0" w:line="124" w:lineRule="exact"/>
        <w:rPr>
          <w:rFonts w:ascii="Times New Roman" w:cs="Times New Roman" w:eastAsia="Times New Roman" w:hAnsi="Times New Roman"/>
          <w:sz w:val="16"/>
          <w:szCs w:val="16"/>
          <w:color w:val="auto"/>
        </w:rPr>
      </w:pPr>
    </w:p>
    <w:p>
      <w:pPr>
        <w:ind w:left="660" w:right="42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12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any material change of service terms or loss of coverage in our payment processors and disbursement network, our business could be harmed;</w:t>
      </w:r>
    </w:p>
    <w:p>
      <w:pPr>
        <w:spacing w:after="0" w:line="167" w:lineRule="exact"/>
        <w:rPr>
          <w:rFonts w:ascii="Times New Roman" w:cs="Times New Roman" w:eastAsia="Times New Roman" w:hAnsi="Times New Roman"/>
          <w:sz w:val="16"/>
          <w:szCs w:val="16"/>
          <w:color w:val="auto"/>
        </w:rPr>
      </w:pPr>
    </w:p>
    <w:p>
      <w:pPr>
        <w:ind w:left="660" w:right="40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disbursement partners do not provide a positive recipient experience, our business, financial condition, operating results, and future prospects could be harmed;</w:t>
      </w:r>
    </w:p>
    <w:p>
      <w:pPr>
        <w:spacing w:after="0" w:line="124" w:lineRule="exact"/>
        <w:rPr>
          <w:rFonts w:ascii="Times New Roman" w:cs="Times New Roman" w:eastAsia="Times New Roman" w:hAnsi="Times New Roman"/>
          <w:sz w:val="16"/>
          <w:szCs w:val="16"/>
          <w:color w:val="auto"/>
        </w:rPr>
      </w:pPr>
    </w:p>
    <w:p>
      <w:pPr>
        <w:ind w:left="660" w:right="22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operations outside the United States and foreign currencies could adversely affect our business, financial condition, operating results, and future prospects;</w:t>
      </w:r>
    </w:p>
    <w:p>
      <w:pPr>
        <w:spacing w:after="0" w:line="12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effective internal control over financial reporting, the accuracy and timing of our financial reporting may be adversely affected;</w:t>
      </w:r>
    </w:p>
    <w:p>
      <w:pPr>
        <w:spacing w:after="0" w:line="167"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material losses; and</w:t>
      </w:r>
    </w:p>
    <w:p>
      <w:pPr>
        <w:spacing w:after="0" w:line="124" w:lineRule="exact"/>
        <w:rPr>
          <w:rFonts w:ascii="Times New Roman" w:cs="Times New Roman" w:eastAsia="Times New Roman" w:hAnsi="Times New Roman"/>
          <w:sz w:val="16"/>
          <w:szCs w:val="16"/>
          <w:color w:val="auto"/>
        </w:rPr>
      </w:pPr>
    </w:p>
    <w:p>
      <w:pPr>
        <w:jc w:val="both"/>
        <w:ind w:left="660" w:right="120" w:hanging="328"/>
        <w:spacing w:after="0" w:line="272"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and business operations in countries and regions that account for a significant amount of our send volume and our operations are exposed to rapid changes in laws and the enforcement of laws, macroeconomic conditions, and geopolitical developments that expose us to a risk of loss and that could adversely affect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and Industry Risks</w:t>
      </w:r>
    </w:p>
    <w:p>
      <w:pPr>
        <w:spacing w:after="0" w:line="165" w:lineRule="exact"/>
        <w:rPr>
          <w:sz w:val="20"/>
          <w:szCs w:val="20"/>
          <w:color w:val="auto"/>
        </w:rPr>
      </w:pPr>
    </w:p>
    <w:p>
      <w:pPr>
        <w:ind w:right="3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and evolving industry and may be unable to compete successfully against existing and future competitors that employ a variety of existing business models and technologies or new innovations.</w:t>
      </w:r>
    </w:p>
    <w:p>
      <w:pPr>
        <w:spacing w:after="0" w:line="9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industry for remittances is global, highly competitive, and fragmented and includes a mix of traditional and digital players. This includes monoline remittance companies as well as competitors that offer multiple financial services, including remittances. These competitors include traditional banks, digital-first cross-border payment providers, online-only banks, and cryptocurrency providers. Some competitors are significantly larger than we are and have longer operating histories,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12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Some of these competitors may introduce new products or services that render us unable to retain our existing customers or attract new customers at prices that are consistent with our pricing model and operating budget. In addition, these competitors use a variety of funding, money measurement and pricing methodologies which may be more attractive to customers in some geographies or demographics. Our pricing strategy for our cross-border payments may also prove to be unappealing to our customers for other reasons, too. If this were to occur, it is possible that we would have to change our pricing strategies or reduce our prices, which could harm our business, financial condition, operating results, and future prospects.</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addition, the broader financial services sector is experiencing rapid evolution in technologies, and there has recently been significant advancement in the development of neobanking, as well as other real-time payment technologies, including cryptocurrency and stablecoins. Any failure to timely anticipate changes in customer behavior related to new payment technologies, or to successfully integrate such technologies into our services, could harm our ability to compete and result in a loss of customers and corresponding loss of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innovate, improve existing products, or develop new products that achieve acceptance.</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Our products and services rely on technology-driven systems that require innovation to remain competitive. Our process for innovation is complex and relies upon both internally developed and third-party technologies and services, including automation, machine learning and cloud-based and other emerging technologies. We may not be able to make product or technological improvements as quickly as our competitors and/or as demanded by our customers, or to market them effectively, which could harm our ability to attract or retain customers. This includes the incorporation of artificial intelligence (“AI”) technologies. In addition, we continue to develop new products and services, including products and services complementary to our current offerings, which requires ongoing investment. New products and services are inherently risky, due to, among other things, risks associated with the product or technology underlying the service not performing at all, or not performing as expected, customer acceptance, technological outages or failures, applicable legal and regulatory requirements, or failure to meet customer or industry expectations. As a result, we could experience increased claims, reputational damage, or other adverse effects, any of which could be material. The profile of potential customers using our new products and services also may not be as attractive as the profile of the customers that we currently serve, which may lead to higher customer acquisition costs or losses than we have historically experienced. Additionally, we can provide no assurance that we will be able to develop, commercially market, and achieve acceptance of any new products and services and we may also fail to accurately predict the demand for, or growth of, such offerings in the future. Finally, our investment of resources, including management attention and talent allocation, to develop new products and services, or make related changes or updates to our services, may either be insufficient or result in expenses or losses of alternative growth opportunities that exceed the revenue actually generated from these new offerings.</w:t>
      </w:r>
    </w:p>
    <w:p>
      <w:pPr>
        <w:spacing w:after="0" w:line="13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It is also possible that these new products may not return our investment or be profitable, or may experience disruptions in development or availability as a result of a variety of factors outside our control, which may have an adverse effect on our business, financial condition, operating results, and future prospects. See the section titled “Risk Factors—General Risks.” Additionally, the majority of our customers access our products through our website and mobile app, and we must ensure that our offerings are optimized for such devices and that our mobile apps are interoperable with popular third-party mobile operating systems such as Google Android and Apple iOS. If we are unable to successfully and in a timely fashion innovate and improve our existing products and achieve acceptance, and continue to deliver a superior customer experience, our growth, business, financial condition, operating results, and future prospects could be impacted.</w:t>
      </w:r>
    </w:p>
    <w:p>
      <w:pPr>
        <w:spacing w:after="0" w:line="123"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grown rapidly in recent years and have limited operating experience at our current scale of operations. If we are unable to manage our growth effectively, our business and operating results may be impacted. We also may not be able to sustain our growth rate in the future.</w:t>
      </w:r>
    </w:p>
    <w:p>
      <w:pPr>
        <w:spacing w:after="0" w:line="9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experienced rapid growth in recent periods, which places substantial demands on our management and operational resources. We expect we will need to continue to enhance our operational, financial, and management controls and our reporting systems and procedures to manage this growth.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Further, as we continue to grow, our business becomes increasingly complex and requires more resources. We have expended and anticipate continuing to expend, significant resources on expanding our infrastructure, streamlining our business and management processes, and expanding and streamlining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 Our limited operating history and experience may also lead to deficiencies in our governance and operational structures, including with respect to our internal controls, resulting in inefficient decision-making, internal oversight, or other operational inefficiencies, regulatory risks, failures to identify and capitalize on growth opportunities, and reputational damage. If our controls, policies, and procedures are not fully effective or we are not successful in identifying and mitigating significant risks to which we are or may be exposed, we may suffer uninsured liability, harm to our reputation, or be subject to litigation or regulatory actions that could affect our business, financial condition, operating results, and future prospects.</w:t>
      </w:r>
    </w:p>
    <w:p>
      <w:pPr>
        <w:spacing w:after="0" w:line="34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Further, as a public company listed in the United States, we have and will continue to incur significant legal, accounting, and other expenses. In addition, changing laws, regulations, and standards relating to corporate governance and public disclosure, including regulations implemented by the SEC and Nasdaq, or as a result of stockholder activism, may increase legal and financial compliance costs and make some activities more time-consuming. You should not rely on our growth rate in the number of customers, revenue, or send volume for any prior quarterly or annual periods as any indication of our future revenue, revenue growth, or other metrics of our financial performance.</w:t>
      </w:r>
    </w:p>
    <w:p>
      <w:pPr>
        <w:spacing w:after="0" w:line="124"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partner with third parties to support fulfillment of our service, including risk management, payment processing, customer support, cloud hosting, and disbursement, which exposes us to risks outside of our control.</w:t>
      </w:r>
    </w:p>
    <w:p>
      <w:pPr>
        <w:spacing w:after="0" w:line="9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partner with a variety of third parties to fulfill our services. For example, we integrate third-party technologies into our proprietary customer due diligence and risk management systems and information security program, and we also partner with an extensive network of third parties to deliver payment processing for customers and disbursement of funds to recipients. In addition, in certain regions there is a limited number of third-party service providers capable of processing payments on our behalf. Any failure or disruption to the services provided by these third parties could cause disruption or delay the delivery of our services and negatively impact our customer experience.</w:t>
      </w:r>
    </w:p>
    <w:p>
      <w:pPr>
        <w:spacing w:after="0" w:line="12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11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In addition, some of these third parties process personal information and customer payments subject to our security requirements. Any failure of these parties to implement and operate adequate privacy, cybersecurity,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spacing w:after="0" w:line="1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our partners, or our industry generally are unable to provide a high-quality and secure customer experience in the various locales in which we operate, our brand could suffer reputational damage and our business results could be harmed.</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Our business is largely driven by and reliant on customer trust in our handling of money remittances. The pricing and reliability of our service, the security of personal information (including sensitive personal information) of our customers, and a responsive and effective customer support function are each critical elements for the maintenance of this trust. Any significant interruption in either our internal or our partners’ risk management, payment processing, or disbursement systems could reduce customer confidence in our services. In addition, any actual or reported cyberattack, cybersecurity breach, service outage, or other similar incident with respect to our systems or networks, or violation of our privacy or cybersecurity policies, or applicable legal, regulatory, or contractual obligations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business, financial condition, operating results, reputation, and future prospects could be harmed. In addition, any erosion in confidence in digital financial service providers as a means to transfer money generally could have a similar negative effect on 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Our business is subject to the risk of financial losses as a result of operational errors, fraudulent activity, employee misconduct, or other similar actions or errors on our or our partners’ solutions. Such behavior, either by our employees, vendors, counterparties, or other third parties, may include fraudulent actions, breaches of applicable laws, rules, regulations, as well as contractual obligations, including confidentiality or non-disclosure agreements, or failure to adhere to our policies and procedures or those of our partners and other counterparties. We have been, in the past, and will continue to be, subject to losses due to software errors in our systems and operational errors by our employees and third-party service providers. In addition, we also are regularly targeted by parties who seek to commit acts of financial fraud, using a variety of techniques, including stolen bank accounts, compromised business email accounts, employee fraud, account takeover, and false account creation. We are also routinely targeted for illegitimate transactions, including transactions to facilitate money laundering, and transactions in which customers authorize transfers requested by third parties under false or misleading pretenses (“scams”). These risks are inherently greater for us because many of our corridors for remittances are from developed to developing economies, which have traditionally been highly targeted by bad actors perpetrating fraud or other unwanted activity. We also in certain instances have a business practice of transferring money to recipients before funds are actually received from our customers, which also increases these risks. The methods used to perpetrate these illegal activities are continually evolving, and we expend considerable resources to detect,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$57.9 million, or 0.11%, $39.0 million, or 0.10%, and $41.9 million, or 0.15%, of total send volume in connection with such errors, fraud, and misconduct in the years ended December 31, 2024, 2023, and 2022, respectively. We expect that losses of similar or greater magnitude may occur again in the future. If any of these errors or illegitimate or fraudulent activities are significant, we may be subject to regulatory enforcement actions and termination of services provided by third parties and suffer significant losses or reputational harm, and our business, financial condition, operating results, and future prospects could be adversely affected.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manage our customer funds properly could materially harm our business.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We hold a substantial amount of funds belonging to our customers, including funds in process of being remitted, at third-party financial institutions. We hold, and in certain jurisdictions are required to hold and segregate, eligible assets equal to at least 100% of the aggregate amount of all customer funds held by our licensed entities. Our ability to manage and accurately account for the assets underlying our customer funds and comply with applicable asset requirements and applicable regulations requires a high level of internal controls. As our business continues to grow and we expand our product offerings, we must continue to strengthen our associated internal controls. Our success requires our customers’ confidence in our ability to properly manage customer balances and handle large and growing transaction volumes and amounts of customer funds. Any failure to maintain the necessary controls or to appropriately manage our customer funds in compliance with applicable regulatory requirements could result in reputational harm, lead customers to discontinue or reduce their use of our services and products, and result in significant penalties and fines and additional restrictions, which could materially harm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operating losses and there is no assurance that our business will become consistently profitable.</w:t>
      </w:r>
    </w:p>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We were incorporated in 2011 and we have experienced annual net losses since inception. We generated net losses of $37.0 million, $117.8 million, and $114.0 million for the years ended December 31, 2024, 2023, and 2022, respectively. While we have experienced significant revenue increases, achieved profitability on an Adjusted EBITDA basis in recent periods, and achieved profitability on a GAAP basis in the third quarter of 2024, if the assumptions we use to plan our business are incorrect or change, or if we are unable to maintain consistent revenue, it may be difficult to maintain profitability. Our revenue from any prior quarterly or annual periods should not be relied upon as an indication of our future revenue or revenue growth. We have historically spent, and intend to continue to spend, significant funds to further develop and secure our services,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financial performance each quarter is also impacted by circumstances beyond our control, such as corridor mix, revenue mix, and seasonality. We may incur significant losses in the future for several reasons, including the other risks described herein, and unforeseen expenses, difficulties, complications and delays, and other unknown events. If we are unable to sustain profitability, our business, financial condition, operating results, and future prospects may be adversely affected.</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1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Our revenue was $1,264.0 million, $944.3 million, and $653.6 million, and our send volume was $54.6 billion, $39.5 billion, and $28.6 billion, for the years ended December 31, 2024, 2023, and 2022, respectively. Although a large market segment for remittance services remains untapped by us, we have recently experienced significant growth in our revenue and send volume. However, even if our revenue continues to increase, we expect that our growth rate will likely decline in the future as a result of a variety of factors, including the increasing scale of our business. Overall growth of our revenue depends on a number of factors, including our ability to:</w:t>
      </w:r>
    </w:p>
    <w:p>
      <w:pPr>
        <w:spacing w:after="0" w:line="125"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rates at which customers transact on our service;</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new customers;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right="18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expand the functionality and scope of the products we offer</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auto"/>
        </w:rPr>
        <w:t xml:space="preserve"> including by successfully developing and commercializing products and services complementary to our current offerings;</w:t>
      </w:r>
    </w:p>
    <w:p>
      <w:pPr>
        <w:spacing w:after="0" w:line="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our services competitively;</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high-quality, highly available products;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trust with our customers;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our brand recognition and reputation;</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send volume;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our customers with high-quality customer support that meets their needs;</w:t>
      </w:r>
    </w:p>
    <w:p>
      <w:pPr>
        <w:spacing w:after="0" w:line="72" w:lineRule="exact"/>
        <w:rPr>
          <w:rFonts w:ascii="Times New Roman" w:cs="Times New Roman" w:eastAsia="Times New Roman" w:hAnsi="Times New Roman"/>
          <w:sz w:val="16"/>
          <w:szCs w:val="16"/>
          <w:color w:val="auto"/>
        </w:rPr>
      </w:pPr>
    </w:p>
    <w:p>
      <w:pPr>
        <w:ind w:left="660" w:right="380" w:hanging="328"/>
        <w:spacing w:after="0" w:line="280"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introduce our services in new payment corridors and jurisdictions, including maintaining existing and obtaining new money transmitter and payment services licenses;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localize our services;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identify and acquire or invest in businesses, products, or technologies that we believe could complement or expand our product suite;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compete with other companies.</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may not successfully accomplish any of these objectives, which makes it difficult for us to forecast our future operating results. If the assumptions that we use to plan our business are incorrect or change in reaction to changes in our industry, or if we are unable to maintain consistent revenue or revenue growth, our stock price could be volatile, and it may be difficult to sustain profitability. Additionally if we fail to address the risks and difficulties that we face, including those associated with the factors listed above as well as those described elsewhere in this “Risk Factors” section, our growth rate may be adversely affected. You should not rely on our revenue for any prior quarterly or annual periods as any indication of our future revenue or revenue growth.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Privacy, Intellectual Property, and Technology Risks</w:t>
      </w:r>
    </w:p>
    <w:p>
      <w:pPr>
        <w:spacing w:after="0" w:line="16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Cyberattacks, cybersecurity breaches, service outages, or other similar incidents could result in serious harm to our business, financial condition, operating results, reputation, and future prospects, including by triggering regulatory action or a breach of our agreements with significant partners that we rely on to deliver our services.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Cyberattacks, cybersecurity breaches, service outages, and other similar incidents continue to increase in frequency and severity, evolve in nature, and become more sophisticated (including through the increased use of AI), and may evade detection for substantial periods of time. Moreover, we regularly encounter attempts to create false or undesirable accounts or take other actions on our systems for purposes such as spamming, spreading misinformation, or other objectionable ends. Threats to our computer systems and networks and those of third parties with whom we partner come from a variety of sources, including organized criminal threat actors, terrorists, hacktivists, nation states, state-sponsored organizations, and other external threat actors with significant financial and technological resources, any of which may see the effectiveness of their efforts enhanced by the use of AI. In addition, working from home and using private residential networks to access the internet may further exacerbate risks associated with cyberattacks, cybersecurity breaches, service outages, and other similar incidents as private work environments and electronic connections to our work environment may not have the same security measures as those deployed in our offices. We, like other financial technology organizations, have experienced from time to time, and may experience in the future, cybersecurity incidents, including, among other things, advanced and persisting cyberattacks, ransomware, cyber extortion, phishing, and social engineering schemes, the introduction of computer viruses or other malware, computer hacking, fraudulent use attempts (including attempts to create false or undesirable accounts or take other actions on our service for purposes such as spamming, spreading misinformation, or other objectionable ends), denial-of-service attacks, credential stuffing, and the physical destruction of all or portions of our IT infrastructure and those of third parties with whom we partner, due to, among other things, human error, fraud, malice, malfeasance, insider threats, system errors or vulnerabilities, accidental technological failure, or other irregularities on the part of employees, contractors, vendors, or other third parties.</w:t>
      </w:r>
    </w:p>
    <w:p>
      <w:pPr>
        <w:spacing w:after="0" w:line="1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Because we rely on third parties in our business, we rely on the cybersecurity practices and policies adopted by such third parties, including our disbursement partners and downstream service providers. Our ability to monitor the cybersecurity practices of third parties with whom we partner is limited, and there can be no assurance that we can prevent, mitigate, or remediate the risk of any compromise or failure in the systems or networks owned or controlled by such third parties. Additionally, any contractual protections with such third parties, including our right to indemnification, if any at all, may be limited or insufficient to prevent a negative impact on our business from such compromise or failure. Any such compromises or failures with respect to our systems or networks, including the systems or networks owned or controlled by third parties with whom we partner, could, among other things: cause interruptions to our service; compromise the privacy, confidentiality, availability, and integrity of the data, including personal information, in such systems and networks; degrade the user experience; cause users to lose confidence and trust in our service; impair our internal systems and networks; harm our reputation and our ability to retain existing customers and attract new customers; and otherwise result in financial harm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cyberattack, cybersecurity breach, service outage, or other similar incident could lead to, among other things, any of the following:</w:t>
      </w:r>
    </w:p>
    <w:p>
      <w:pPr>
        <w:spacing w:after="0" w:line="167"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and other losses for us or our customers;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identity theft for our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expand our business;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oversight, assessments, audits, scrutiny, restrictions, fines, or penalties from regulatory or governmental authorities;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customers and customer confidence in our services;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in user growth or engagement;</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civil litigation (including civil claims, such as representative actions and other class action-type litigation);</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to cease or change our processing of our data;</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breach of our contracts with lenders or other third parties;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services provided to us; or</w:t>
      </w:r>
    </w:p>
    <w:p>
      <w:pPr>
        <w:spacing w:after="0" w:line="72" w:lineRule="exact"/>
        <w:rPr>
          <w:rFonts w:ascii="Times New Roman" w:cs="Times New Roman" w:eastAsia="Times New Roman" w:hAnsi="Times New Roman"/>
          <w:sz w:val="16"/>
          <w:szCs w:val="16"/>
          <w:color w:val="auto"/>
        </w:rPr>
      </w:pPr>
    </w:p>
    <w:p>
      <w:pPr>
        <w:ind w:left="660" w:right="340" w:hanging="328"/>
        <w:spacing w:after="0" w:line="28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risks or a negative impact on our relationships with our financial services providers, including payment processors or relevant network organizations, disbursement partners, and other third parties.</w:t>
      </w:r>
    </w:p>
    <w:p>
      <w:pPr>
        <w:spacing w:after="0" w:line="12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Further, we could be forced to expend significant financial and operational resources in response to such incidents, including repairing system damage, increasing security costs, investigating and remediating any cybersecurity vulnerabilities, complying with data breach notification obligations and applicable laws and regulations, and defending against and resolving legal and regulatory claims, all of which could divert resources and the attention of our management and key personnel away from our business operations. Our efforts to remediate or mitigate any such incident may also be unsuccessful due to, among other things: software bugs or other technical malfunctions; employee, contractor, or third-party error or malfeasance; government surveillance; or other threats that evolve. As a result, any cyberattack, cybersecurity breach, service outage, or other similar incident could harm our business, financial condition, operating results, reputation, and future prospects.</w:t>
      </w:r>
    </w:p>
    <w:p>
      <w:pPr>
        <w:spacing w:after="0" w:line="22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While we maintain insurance policies, our coverage may be insufficient to compensate us for all losses caused by cyberattacks, cybersecurity breaches, service outages, or other similar incidents, and any such incidents may result in increased costs for such insurance. We also cannot ensure that our existing cybersecurity insurance coverage will be sufficient to cover the successful assertion of one or more large claims against us, continue to be available on acceptable terms, or at all, or that the insurer will not deny coverage as to any future claim.</w:t>
      </w:r>
    </w:p>
    <w:p>
      <w:pPr>
        <w:spacing w:after="0" w:line="12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6"/>
          <w:szCs w:val="16"/>
          <w:color w:val="auto"/>
        </w:rPr>
        <w:t>For additional information, see “—Our business is subject to the risks of earthquakes, fires, floods, public health crises (including epidemics or pandemics such as the COVID-19 pandemic), and other natural catastrophic events, and to interruption by man-made problems such as cyberattacks, cybersecurity breaches, service outages, or other similar incidents, internal or third-party system failures, political unrest, market or currency disruptions, and terrorism, which could result in system and process failures and interruptions which could harm our business.”</w:t>
      </w:r>
    </w:p>
    <w:p>
      <w:pPr>
        <w:spacing w:after="0" w:line="11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subject to numerous privacy and cybersecurity laws, rules, regulations, industry standards, and other obligations across multiple jurisdictions which are highly complex, overlapping, frequently changing, and which create compliance challenges that may expose us to substantial costs, liabilities, or loss of customer trust. Our actual or perceived failure to comply with these obligations could harm our business.</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various privacy and cybersecurity laws, rules, regulations, industry standards, and other obligations with which we must comply, including with respect to technologies, such as cloud computing, AI, and machine learning, are complex and evolving. In addition, state, federal, and foreign lawmakers and regulatory authorities have increased their attention on the collection, use, receipt, storage, transmission, disclosure, and other processing of personal information, and increasing fraudulent activity and cyberattacks have encouraged further legislative and regulatory intervention in the financial technology industry. Moreover, many jurisdictions in which we operate have or are developing laws and regulations that protect the privacy and security of sensitive and personal information. Further, we have internal and publicly posted privacy policies regarding our collection, use, receipt, storage, transmission, disclosure, and other processing of personal information, and the publication of such privacy policies and other documentation that provide commitments about privacy and cybersecurity can subject us to potential enforcement actions and litigation if they are found to be deceptive, unfair, or otherwise misrepresentative of our actual practices. Our agreements with third parties, including significant agreements with payment processors, credit card and debit card issuers, and bank partners, contain contractual commitments with which we are required to adhere related to privacy and cybersecurity.</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Compliance with such laws, rules, regulations, industry standards, and other obligations requires that we expend significant resources, and we cannot guarantee that we will be able to successfully comply with all such privacy and cybersecurity obligations, especially where they do or may in the future conflict with one another, nor can we predict the extent to which such new and evolving regulatory and legal requirements will impact our business strategies and the cost or availability of previously useful personal information, increase our potential liability and compliance costs, require changes in business practices and policies, or otherwise adversely affect our business. Our failure to adequately address privacy and cybersecurity-related concerns, even if unfounded, or to comply with applicable laws, rules, regulations, industry standards, and other obligations could result in regulatory or government investigations, monetary penalties, fines, sanctions, claims, litigation (including civil claims, such as representative actions and other class action-type litigation), orders to cease or change our processing of personal information, enforcement notices, assessment notices (for a compulsory audit), compensation or damages liabilities, increased cost of operations, changes to our business practices (including changes to the manner in which we transfer personal information between and among countries and regions in which we operate or the manner in which we provide our services and the geographical location or segregation of our relevant systems and operations), declines in user growth or engagement, or diversion of internal resources, all of which could have a material adverse effect on our business, financial condition, operating results, reputation, and future prospects.</w:t>
      </w:r>
    </w:p>
    <w:p>
      <w:pPr>
        <w:spacing w:after="0" w:line="12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For additional discussion about privacy and cybersecurity and the legal and regulatory environment that we operate in, please see the section titled “Business—Privacy and Cybersecurity.”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Any significant interruption or failure of our system availability, including failure to successfully implement upgrades or new technologies to our mobile app or website, could adversely affect our business, financial condition, operating results, reputation, and future prospects.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efficient and uninterrupted operation of technologies that we use to deliver our services is essential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cyberattacks, cybersecurity breaches, service outages, and other similar incidents, insider threats, hardware and software defects or malfunctions, development delays, installation difficulties, human error, earthquakes, hurricanes, floods, fires, and other natural disasters, public health crises (including epidemics or pandemics such as the COVID-19 pandemic), power losses, disruptions in telecommunications services, fraud, military or political conflicts, terrorist attacks, or other events. In addition, our service is currently vulnerable to downtime should a major physical disaster or other event affect the west coast of the United States, where our cloud services provider is based and our physical system architecture resides. While we have backups for these systems, our service would be unavailable for some time were our normal systems to go down. Further, some of our systems are not fully redundant, and our disaster recovery program has not been fully tested and may not be sufficient for all eventualities. To the extent we cannot effectively address capacity constraints, upgrade our systems, or implement redundant systems as needed, and continually develop our technology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new customers and could decrease the frequency with which existing customers use our website and mobile solutions. As a result, our business, financial condition, operating results, reputation, and future prospects could be harmed.</w:t>
      </w:r>
    </w:p>
    <w:p>
      <w:pPr>
        <w:spacing w:after="0" w:line="135"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adequately obtain, maintain, protect, defend, or enforce our IP Rights, our business, financial condition, operating results, reputation, and future prospects could be harmed.</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Our brand and proprietary technology, trademarks, service marks, trade names, copyrights, domain names, trade dress, patents, trade secrets, and other IP Rights that support that brand are important to our business. We rely on, and expect to continue to rely on, a combination of intellectual property laws, technological restrictions, provisions in our terms of service, and contractual provisions including confidentiality, invention assignment, and license agreements with our employees, contractors, consultants, and other third parties with whom we partner, to establish and protect our brand, proprietary technology, and other IP Rights. Such contractual provisions may not be self-executing and may not otherwise adequately protect our IP Rights, particularly with respect to conflicts of ownership relating to work product generated by employees, contractors, consultants, or other third parties with whom we partner, and we cannot be certain that such contractual provisions will not be breached or that third parties will not gain access to our trade secrets or other confidential information.</w:t>
      </w:r>
    </w:p>
    <w:p>
      <w:pPr>
        <w:spacing w:after="0" w:line="14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In particular, the laws of some foreign countries, particularly certain developing countries, do not favor the enforcement of IP Rights to the same extent as U.S. laws. This could make it difficult for us to stop the infringement, misappropriation, or other violation of our IP Rights. Any failure to adequately obtain, maintain, protect, defend, or enforce our IP Rights, or significant costs incurred in doing so, could materially harm our business, financial condition, operating results, reputation, and future prospects.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and provision of AI-powered solutions could lead to operational or reputational damage, legal and regulatory risk, and additional costs.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We use AI in certain aspects of our business and operations, including in our Help Center’s virtual assistant. There are evolving risks involved in utilizing AI and no assurance can be provided that the usage of such AI-powered solutions will enhance our business, help our operations become more effective, efficient, or profitable, or otherwise result in our intended outcomes.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customers or partners, or otherwise interfere with the performance of our business. Further, our competitors or other third parties may incorporate AI into their business or operations more quickly or more successfully than us, which could impair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color w:val="auto"/>
        </w:rPr>
        <w:t>We may not have adequate rights to use the data on which our AI-powered solutions rely. To the extent that we do not have sufficient rights to use the data used in, or produced by, the AI-powered solutions employed in our business and operations, we may be subject to litigation by the owners of the content or other materials that comprise such data. Further, any content or other output created by us using AI-powered solutions may not be subject to copyright protection, which may adversely affect our ability to commercialize or use, or the validity or enforceability of any IP Rights in, such content or other output. In addition, the use of AI by other companies has resulted in, and our use of AI may in the future result in, cyberattacks, cybersecurity breaches, service outages or other similar incidents, including those that implicate the confidential and personal information of users of AI-powered solutions. If any of our employees, contractors, third-party providers,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 Any of the foregoing could adversely affect our reputation and expose us to legal liability or regulatory risks, including with respect to third-party IP Rights or privacy, publicity, contractual, or other rights.</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Regulation of AI is rapidly evolving worldwide as legislatures and regulators are increasingly focusing on these emerging technologies. For example, the European Union’s Artificial Intelligence Act (the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limited or low risk. There is a risk that our current or future AI-powered solutions may obligate us to comply with the applicable requirements of the AI Act, which may impose additional costs on us, increase our risk of liability and fines, or otherwise adversely affect our business, financial condition, operating results, and future prospects.</w:t>
      </w:r>
    </w:p>
    <w:p>
      <w:pPr>
        <w:spacing w:after="0" w:line="14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Further, public and regulatory focus on ethical use and privacy and cybersecurity concerns regarding AI could lead to reputational damage if we fail, or are perceived to fail, to align with societal expectations or regulatory standards relating to the use of AI. Such scrutiny may result in financial or other penalties and may also erode customer trust. Although we take steps designed to mitigate the risks associated with the use of AI in our business and operations, our use of AI may present ethical, reputational, technical, operational, legal, competitive, or regulatory risks, any of which could adversely affect our business, financial condition, operating results, and future prospects.</w:t>
      </w:r>
    </w:p>
    <w:p>
      <w:pPr>
        <w:spacing w:after="0" w:line="121"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under license or technology agreements with third parties, or if we cannot license rights to use technologies on reasonable terms, we could be required to pay damages, lose license rights that are critical to our business, or be unable to commercialize new products and services in the future.</w:t>
      </w:r>
    </w:p>
    <w:p>
      <w:pPr>
        <w:spacing w:after="0" w:line="9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We license certain third-party IP Rights that are important to our business, including technologies, data, content, and software from third parties, and in the future, we may license additional valuable third-party IP Rights. If we fail to comply with any of the obligations under our license agreements, we may be required to pay damages and the licensor may have the right to terminate the license, which would cause us to lose valuable rights and could prevent us from selling our products and services or inhibit our ability to commercialize current or future products and services. Our business may suffer if any current or future licenses or other grants of rights to us terminate, if the licensors (or other applicable counterparties) fail to abide by the terms of the license or other applicable agreement, if the licensors fail to maintain, protect, defend, or enforce the licensed IP Rights against infringing third parties, or if the licensed IP Rights are found to be invalid or unenforceable. Third parties from whom we currently license IP Rights could refuse to renew our agreements upon their expiration or could impose additional terms and fees that we otherwise would not deem acceptable requiring us to obtain IP Rights from another third party, if any are available, or to pay increased licensing fees or be subject to additional restrictions on our use of such third-party IP Rights.</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the future, we may also identify additional third-party IP Rights that we may need to license or otherwise obtain rights to, in order to conduct our business, including to develop or commercialize new products and services. However, such licenses or other grants of rights may not be available on acceptable terms, or at all. The licensing or acquisition of third-party IP Rights is a competitive area, and several more established companies may pursue strategies to license or acquire third-party IP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license, or otherwise grant rights to us. Even if such licenses or other grants of rights are available, we may be required to pay the licensor (or other applicable counterparty) substantial royalties, which may affect the margins on our products and services. In addition, such licenses or other grants of rights may be non-exclusive, which could give our competitors access to the same IP Rights licensed to us. Failure to obtain the necessary licenses or otherwise obtain adequate grants of rights on favorable terms, or at all, could prevent us from commercializing products and services or otherwise inhibit our ability to commercialize current or future products and services, which could impact our competitive position, business, financial condition, operating results, reputation, and future prospects.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Assertions by third parties of infringement, misappropriation, or other violations by us of their IP Rights could result in significant costs and substantially harm our business and operating results.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Intellectual property disputes are common in our industry. We may become involved in lawsuits to protect, defend, or enforce our IP Rights, and we may be subject to claims by third parties that we have infringed, misappropriated, or otherwise violated their IP Rights. Some companies in our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IP Rights against us, as we have and may in the future do so against them. As the number of services and competitors in our industry increases and overlaps occur, claims of infringement, misappropriation, and other violations of IP Rights may increase. Claims of infringement, misappropriation, or other violation of IP Rights by a third party, even those without merit, have caused us to incur costs defending against the claims, and could in the future cause us to incur costs defending against the claims and could distract our management. In addition, an adverse outcome of a dispute may require us to: pay substantial damages; cease making, licensing, or using products or services that are alleged to infringe, misappropriate, or otherwise violate the IP Rights of others; expend additional development resources to attempt to redesign our products and services or otherwise develop non-infringing technology, which may not be successful; enter into potentially unfavorable royalty or license agreements to obtain the right to use necessary technologies or IP Rights; and indemnify our disbursement partners and other third parties with whom we partner. Royalty or license agreements, if required or desirable, may be unavailable on terms acceptable to us, or at all, and may require significant royalty payments and other expenditures. Any of these events could harm our business, financial condition, operating results, and future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open source and third-party technology could impose limitations on our ability to offer our products and services to customers.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We use open source software in connection with our products and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products and services to conditions we do not intend to accept,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products and services, to make our proprietary code generally available in source code form, to re-engineer our products and services, or to discontinue our products and services if re-engineering could not be accomplished on a timely basis, any of which could harm our business, financial condition, operating results, and future prospects. The terms of certain open source licenses to which we are subject have not been interpreted by U.S. or foreign courts, and there is a risk that these licenses could be construed in a way that could impose unanticipated conditions or restrictions on our ability to provide our products and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adversely affect our business, financial condition, operating results, reputation, and future prospects.</w:t>
      </w:r>
    </w:p>
    <w:p>
      <w:pPr>
        <w:spacing w:after="0" w:line="135"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do not or cannot maintain the compatibility of our product offerings with the most popular mobile, desktop, and tablet device and browser platforms, our revenue and growth prospects may decline.</w:t>
      </w:r>
    </w:p>
    <w:p>
      <w:pPr>
        <w:spacing w:after="0" w:line="9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Our customers access our product offerings increasingly through mobile phones and also through the use of various hardware devices, browser, and software platforms. If any of the device, browser, or software platforms that our product offerings depend upon change features of their application programming interfaces (“APIs”), discontinue their support of such APIs, restrict our access to their APIs, or alter the terms governing their use in a manner that is adverse to our business, we will not be able to provide compatible product offerings, which could significantly diminish the value of our product offerings and harm our business, financial condition, operating results, and future prospects.</w:t>
      </w:r>
    </w:p>
    <w:p>
      <w:pPr>
        <w:spacing w:after="0" w:line="1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functionality and popularity of our product offerings depends, in part, on our ability to integrate our systems with the systems of our strategic partners. These strategic partners periodically update and change their systems, and although we have been able to adapt our systems to their evolving needs in the past, there can be no guarantee that we will be able to do so in the future. While we have multiple API integrations and certain partner redundancies built into our systems, if we are unable to adapt to the needs of our strategic partners’ systems,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and Compliance Risks</w:t>
      </w:r>
    </w:p>
    <w:p>
      <w:pPr>
        <w:spacing w:after="0" w:line="165" w:lineRule="exact"/>
        <w:rPr>
          <w:sz w:val="20"/>
          <w:szCs w:val="20"/>
          <w:color w:val="auto"/>
        </w:rPr>
      </w:pPr>
    </w:p>
    <w:p>
      <w:pPr>
        <w:ind w:right="5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Any failure to obtain or maintain necessary licenses, permissions, approvals, or registrations (“Licenses”) across our global footprint could adversely affect our operations.</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provision of money transfer, payment, and stored value/e-money services is highly regulated, and the requirements vary from jurisdiction to jurisdiction. As an entity Licensed by various governmental authorities to provide certain of these services, we are subject to extensive financial, operational, and other regulatory requirements to maintain our Licenses and conduct business. These may include: net worth requirements; restrictions or obligations with respect to customer funds, including requirements to maintain insurance or reserves in an amount equivalent to outstanding payment obligations and restrictions on our investment of customer funds; bonding requirements; liquidity requirements; limitations on the amount and type of receivables we may be owed by our affiliates or third parties; requirements for regulatory approval of controlling stockholders; reporting requirements; anti-money laundering and countering the finance of terrorism compliance requirements; privacy and cybersecurity requirements; customer disclosure requirements; and monitoring, examination, and oversight by local, state, federal, and foreign regulatory agencies. Failure by us or our service providers to comply with any of these or related requirements or interpretation of them by governmental authorities could result in the suspension or revocation of a License required to provide money transfer, payment, stored value/e-money, or foreign exchange services; the limitation, suspension, or termination of services; changes to our business model; loss of consumer confidence; exposure to civil litigation (including civil claims, such as representative actions and other class action-type litigation); the seizure of our assets; and/or the imposition of civil and criminal penalties, including fines and restrictions on our ability to offer services. If our Licenses are not renewed or we are denied Licenses in additional jurisdictions where we choose to apply for a License, we could be forced to change our business practices or be required to bear substantial cost to comply with the requirements of the additional jurisdictions. Further, if we were found by these governmental authorities to be in violation of any applicable laws or regulations required to provide money transfer, payment, stored value/e-money or foreign exchange services, we could be subject to: fines, penalties, lawsuits, and enforcement actions; additional compliance requirements; increased regulatory scrutiny of our business; restriction or suspension of our operations; or damage to our reputation or brand. In addition, our regulators could further restrict the type of instruments that qualify as permissible investments or require our regulated subsidiaries to maintain higher levels of eligible assets, which could have a financial and operational impact on our business. Regulatory requirements are constantly evolving, and we cannot predict whether we will be able to meet changes to existing regulations or the introduction of new regulations without harming our business, financial condition, operating results, and future prospects.</w:t>
      </w:r>
    </w:p>
    <w:p>
      <w:pPr>
        <w:spacing w:after="0" w:line="3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Certain jurisdictions have enacted rules that require entities Licensed to provide money transfer, payment, and stored value/e-money services to establish and maintain transaction monitoring and filtering programs and privacy and cybersecurity programs. Wherever we are subject to these rules, we are required to adopt additional business practices that could also require additional capital expenditures or impact our operating results. If any governmental authority were to take actions that interfered with our ability to transfer money or provide our services reliably—including if they attempted to seize transaction funds or to limit or prohibit us, our payment processors, or our disbursement partners from transferring money in certain countries, whether by imposing sanctions or otherwise—such actions could harm our business. Governmental authorities could also impose other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124" w:lineRule="exact"/>
        <w:rPr>
          <w:sz w:val="20"/>
          <w:szCs w:val="20"/>
          <w:color w:val="auto"/>
        </w:rPr>
      </w:pPr>
    </w:p>
    <w:p>
      <w:pPr>
        <w:ind w:right="4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fees, profit margins, and/or our ability to offer foreign exchange spreads may be reduced or limited because of regulatory initiatives and changes in laws and regulations or their interpretation and industry practices and standards that are either industry-wide or specifically targeted at our Company.</w:t>
      </w:r>
    </w:p>
    <w:p>
      <w:pPr>
        <w:spacing w:after="0" w:line="9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The evolving policy and regulatory environment—including increased fees or taxes, regulatory initiatives, and changes in laws and regulations or their interpretation, industry practices and standards imposed by state, federal, or foreign governments, and expectations regarding our compliance efforts—impacts the manner in which we operate our business, may change the competitive landscape, and may adversely affect our financial results. Existing, new, and proposed legislation relating to financial services providers and consumer protection in various jurisdictions around the world has affected and may continue to affect the manner in which we provide our services. Recently proposed and enacted legislation related to financial services providers and consumer protection in various jurisdictions around the world and at the federal and state level in the United States has subjected and may continue to subject us to additional regulatory oversight, mandate additional consumer disclosures and remedies, including refunds to consumers, or otherwise impact the manner in which we provide our services.</w:t>
      </w:r>
    </w:p>
    <w:p>
      <w:pPr>
        <w:spacing w:after="0" w:line="14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particular, the U.S. Consumer Financial Protection Bureau (“CFPB”) has authority over Regulation E, which implements the Electronic Fund Transfer Act (“EFTA”) and among other things, consumer protection requirements under the Remittance Transfer Rule. The CFPB could modify the Remittance Transfer Rule or issue administrative guidance that may impose limitations on remittance providers, such as the type of fees charged by remittance companies, how remittances are advertised to consumers, how the exchange rate is applied to transactions by these companies, and the level of transparency surrounding such fees and exchange rates. Such changes may require us to assume fees and charges by third-party providers that are outside of our control.</w:t>
      </w:r>
    </w:p>
    <w:p>
      <w:pPr>
        <w:spacing w:after="0" w:line="14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operating results, and future prospects, and force us to change the way we operate our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There has also been an increase in the level and regulatory scrutiny of consumer protection laws, regulation, and supervisory guidance relating to “treating customers fairly.” These laws apply to our international business (including in the United Kingdom and the EEA). In the United Kingdom, the Financial Conduct Authority (the “FCA”) has issued, supervises, and enforces the Consumer Duty that places an obligation on firms to act to deliver good outcomes for retail customers. To achieve better customer outcomes, the FCA has issued a set of rules and guidance, among others, providing more detailed expectations for firms’ conduct that form part of an optimal firm-customer relationship that includes the price and value offered. Any changes by the FCA’s and other regulatory authorities to such laws, regulations, and supervisory guidance could have an adverse impact on our business, financial condition, operating results, and future prospects, and/or change our business operations.</w:t>
      </w:r>
    </w:p>
    <w:p>
      <w:pPr>
        <w:spacing w:after="0" w:line="12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Governmental authorities could also regulate foreign exchange rates or tax foreign exchange purchases in countries in which we do business, and this could harm our business. Similarly, if governments implement new laws or regulations that limit our right to set fees and/or foreign exchange spreads, then our business, financial condition, operating results, and future prospects could be adversely affected.</w:t>
      </w:r>
    </w:p>
    <w:p>
      <w:pPr>
        <w:spacing w:after="0" w:line="13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Furthermore, governmental agencies both in the United States and worldwide have imposed, and may impose new or additional rules on money transfers affecting us; our third-party providers, including our payment processors and disbursement partners; partner banks; or commercial counterparties, including regulations that:</w:t>
      </w:r>
    </w:p>
    <w:p>
      <w:pPr>
        <w:spacing w:after="0" w:line="111"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restrict, and/or impose taxes or fees on remittance transactions in, to, or from certain countries or with certain governments, individuals, and entities;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new requirements, change requirements, or re-interpret existing requirements regarding the acquisition of local currency for disbursement to recipients;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customer identification or due diligence requirements, including requirements to verify the immigration or other status of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third-party provider due diligence and vendor management requirements;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foreign exchange disclosures, reporting or recordkeeping requirements, or require enhanced transaction monitoring;</w:t>
      </w:r>
    </w:p>
    <w:p>
      <w:pPr>
        <w:spacing w:after="0" w:line="59" w:lineRule="exact"/>
        <w:rPr>
          <w:rFonts w:ascii="Times New Roman" w:cs="Times New Roman" w:eastAsia="Times New Roman" w:hAnsi="Times New Roman"/>
          <w:sz w:val="16"/>
          <w:szCs w:val="16"/>
          <w:color w:val="auto"/>
        </w:rPr>
      </w:pPr>
    </w:p>
    <w:p>
      <w:pPr>
        <w:ind w:left="660" w:right="140" w:hanging="328"/>
        <w:spacing w:after="0" w:line="29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types of entities capable of providing remittance services, impose additional licensing or registration requirements on us, or our third-party providers, or impose additional requirements on us with regard to selection or oversight of our third-party providers;</w:t>
      </w: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minimum capital or other financial requirements on us or our third-party providers;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or restrict the revenue which may be generated from money transfers, including transaction fees and revenue derived from foreign exchange;</w:t>
      </w:r>
    </w:p>
    <w:p>
      <w:pPr>
        <w:spacing w:after="0" w:line="72" w:lineRule="exact"/>
        <w:rPr>
          <w:rFonts w:ascii="Times New Roman" w:cs="Times New Roman" w:eastAsia="Times New Roman" w:hAnsi="Times New Roman"/>
          <w:sz w:val="16"/>
          <w:szCs w:val="16"/>
          <w:color w:val="auto"/>
        </w:rPr>
      </w:pPr>
    </w:p>
    <w:p>
      <w:pPr>
        <w:ind w:left="660" w:right="60" w:hanging="328"/>
        <w:spacing w:after="0" w:line="28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we provide additional consumer protection rights to our customers (including enhanced disclosures, “treating customers fairly” rules and consumer duties, and rights to refund in the event our customers authorize transactions under fraudulent or false pretenses);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principal amount of money originated in a country to be invested in that country or held in a trust until they are paid;</w:t>
      </w:r>
    </w:p>
    <w:p>
      <w:pPr>
        <w:spacing w:after="0" w:line="59" w:lineRule="exact"/>
        <w:rPr>
          <w:rFonts w:ascii="Times New Roman" w:cs="Times New Roman" w:eastAsia="Times New Roman" w:hAnsi="Times New Roman"/>
          <w:sz w:val="16"/>
          <w:szCs w:val="16"/>
          <w:color w:val="auto"/>
        </w:rPr>
      </w:pPr>
    </w:p>
    <w:p>
      <w:pPr>
        <w:ind w:left="660" w:right="80" w:hanging="328"/>
        <w:spacing w:after="0" w:line="28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number or principal amount of remittances, which may be sent to or from a jurisdiction, whether by an individual, through one third-party provider, or in aggregate;</w:t>
      </w:r>
    </w:p>
    <w:p>
      <w:pPr>
        <w:spacing w:after="0" w:line="16" w:lineRule="exact"/>
        <w:rPr>
          <w:rFonts w:ascii="Times New Roman" w:cs="Times New Roman" w:eastAsia="Times New Roman" w:hAnsi="Times New Roman"/>
          <w:sz w:val="16"/>
          <w:szCs w:val="16"/>
          <w:color w:val="auto"/>
        </w:rPr>
      </w:pPr>
    </w:p>
    <w:p>
      <w:pPr>
        <w:ind w:left="660" w:right="240" w:hanging="328"/>
        <w:spacing w:after="0" w:line="28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more stringent information technology, cybersecurity, privacy, and operational security requirements on us or our third-party providers and their service providers, including relating to data transfers and the use of cloud infrastructure;</w:t>
      </w:r>
    </w:p>
    <w:p>
      <w:pPr>
        <w:spacing w:after="0" w:line="16" w:lineRule="exact"/>
        <w:rPr>
          <w:rFonts w:ascii="Times New Roman" w:cs="Times New Roman" w:eastAsia="Times New Roman" w:hAnsi="Times New Roman"/>
          <w:sz w:val="16"/>
          <w:szCs w:val="16"/>
          <w:color w:val="auto"/>
        </w:rPr>
      </w:pPr>
    </w:p>
    <w:p>
      <w:pPr>
        <w:ind w:left="660" w:right="120" w:hanging="328"/>
        <w:spacing w:after="0" w:line="28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risk management and related governance and oversight requirements, including relating to the outsources of services to other group companies or to third parties; and</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or limit exclusive arrangements with our third-party providers.</w:t>
      </w:r>
    </w:p>
    <w:p>
      <w:pPr>
        <w:spacing w:after="0" w:line="181"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In addition, changes in regulatory expectations, interpretations, or practices could increase the risk of regulatory enforcement actions, fines, and penalties. If the CFPB or other similar regulatory bodies adopt, or customer advocacy groups are able to generate widespread support for, positions that are detrimental to our business, then our business, financial condition, operating results, and future prospects could be harmed.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enhanced supervisory and compliance environment in the financial sector increases the risk of regulatory action against us, whether formal or informal.</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Our service is subject to a variety of laws and regulations worldwide, and a large number of regulatory and enforcement authorities in each of the jurisdictions in which we operate. Regulators across the globe subject financial sector institutions, including us, to intense review, supervision, and scrutiny. This heightened level of review and scrutiny or any changes in the existing regulatory supervision framework increases the possibility that we will face adverse legal or regulatory actions. Regulators regularly review our operations, and there can be no guarantee that all regulators will agree with our internal assessments of compliance with applicable laws, regulations, or regulatory policies.</w:t>
      </w:r>
    </w:p>
    <w:p>
      <w:pPr>
        <w:spacing w:after="0" w:line="12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have been and continue to be subject to examination by the CFPB, which has defined participants of the international money transfer market that make at least one million aggregate annual international money transfers, such as Remitly, to be “larger participants” subject to such supervisory examination. The CFPB has the authority to examine and supervise us and our larger competitors, which will involve providing reports to the CFPB. The CFPB has used information gained in these examinations as the basis for enforcement actions resulting in settlements involving monetary penalties and other remedies.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Regulators, including the CFPB, may take formal or informal actions against us. Such formal or informal actions might force us to adopt new compliance programs or policies, remove personnel including senior executives, provide remediation or refunds to customers, or undertake other changes to our business operations. Any weaknesses in our compliance management system or Remittance Transfer Rule program may also subject us to penalties or enforcement action by the CFPB.</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If we fail to manage our legal and regulatory risk in the many jurisdictions in which we operate, our business could suffer, our reputation could be harmed, and we would be subject to additional legal and regulatory risks. This could, in turn, increase the size and number of claims and damages asserted against us and/or subject us to regulatory investigations, enforcement actions, or other proceedings, or lead to increased regulatory concerns. We may also be required to spend additional time and resources on remedial measures and conducting inquiries, beyond those already initiated and ongoing, which could have an adverse effect on our business. Similarly, a failure to comply with the applicable regulations in various jurisdictions by our employees, representatives, and third-party service providers either in or outside the course of their services, or suspected or perceived failures by them, may result in further inquiries or investigations by regulatory and enforcement authorities and in additional regulatory or enforcement action against either us, or such employees, representatives, and third-party service providers.</w:t>
      </w:r>
    </w:p>
    <w:p>
      <w:pPr>
        <w:spacing w:after="0" w:line="1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While we have implemented policies and procedures designed to help ensure compliance with applicable laws and regulations, there are a number of risks that cannot be completely controlled. Our international presence, especially in high-risk jurisdictions such as the United Arab Emirates, the Philippines, and India, has led to increased legal and regulatory risks. Regulators in every jurisdiction in which we operate have the power to restrict our operations or bring administrative or judicial proceedings against us (or our employees, representatives, and third-party service providers), which could result, among other things, in suspension or revocation of one or more of our Licenses, cease and desist orders, fines, civil penalties, criminal penalties, or other disciplinary action which could materially harm our business, financial condition, operating results, reputation, and future prospects. Expansion into additional jurisdictions also increases the complexity of our risks in a number of areas including currency risks, interest rate risks, compliance risk, regulatory risk, reputational risk, and operational risk. We, or our employees, may from time to time, and as is common in the financial services industry, be the subject of inquiries, examinations, or investigations that could lead to proceedings against us or our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our service for illegal, improper, or fraudulent activities could harm our business, financial condition, operating results, reputation, and future prospects.</w:t>
      </w:r>
    </w:p>
    <w:p>
      <w:pPr>
        <w:spacing w:after="0" w:line="171"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Our service is susceptible to illegal, improper, or fraudulent uses, including money laundering, terrorist financing, sanctions evasion, bank fraud, payments involving child pornography or human trafficking, consumer “scams,” and the facilitation of other illegal, improper, or fraudulent activity. The digital financial services industry is under increasing scrutiny from federal, state, and foreign regulators in connection with the potential for such illegal, improper, or fraudulent activities.</w:t>
      </w:r>
    </w:p>
    <w:p>
      <w:pPr>
        <w:spacing w:after="0" w:line="13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We offer our customers the ability to fund transactions utilizing their credit card or debit card. We also offer bank funding and alternative payment methods. Because these are card-not-present/online/non face-to-face transactions, they involve a greater risk of fraud. We also release some funded transactions for disbursement prior to our receiving funds from our customers, which exposes us to repayment risk in the event that these customers have insufficient funds in their bank account or their transactions are otherwise invalidated. Additionally, we carry chargeback liability for a large portion of disputed card payment transactions. In addition, our remittance service facilitates payments to jurisdictions which may in some cases have higher levels of illegal or improper payments. For example, the United States to Colombia and United States to Nigeria payment corridors have historically been characterized by a high volume of fraudulent payments and are thus particularly high-risk.</w:t>
      </w:r>
    </w:p>
    <w:p>
      <w:pPr>
        <w:spacing w:after="0" w:line="12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Our payment system may have been utilized for illegal, improper, and fraudulent uses in the past, and we cannot guarantee that our policies, procedures, and internal controls, or insurance, would adequately protect our business, maintain our continued ability to operate in the jurisdictions that we serve, or protect our reputation, especially if such illegal, improper, or fraudulent activities were discovered to have taken place on our service in the future.</w:t>
      </w:r>
    </w:p>
    <w:p>
      <w:pPr>
        <w:spacing w:after="0" w:line="11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Our transaction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improper, or fraudulent activity levels involving our services were to rise, it could lead to changes in liability regimes, regulatory intervention, and reputational and financial damage to us. This, in turn, could lead to government enforcement actions and investigations, a suspension or termination of our Licenses, a reduction in the use and acceptance of our services, or an increase in our compliance costs, any of which may harm our business, financial condition, operating results, and future prospects.</w:t>
      </w:r>
    </w:p>
    <w:p>
      <w:pPr>
        <w:spacing w:after="0" w:line="20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Governments may decide to impose restrictions or levy new taxes on money transfers or other digital financial services provided by us, which would harm our business, financial condition, operating results, and future prospects.</w:t>
      </w:r>
    </w:p>
    <w:p>
      <w:pPr>
        <w:spacing w:after="0" w:line="1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Our business could be harmed if a local, state, federal, or foreign government were to levy taxes on money transfers, as has been proposed periodically at the federal and state level in the United States. Budget shortfalls and sentiment towards immigration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3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For example, the Central Bank of Nigeria previously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could impose substantial costs and involve considerable delay in the provision or development of our services in a given jurisdiction, or could require significant and costly operational changes or prevent us from providing any services in a given jurisdiction.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operating results, and future prospects. In addition, the general state of telecommunications and infrastructure in some developing countries, including countries where we have a large number of transactions, creates operational risks for us and our disbursement partners.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Policy-makers have also discussed potential legislation to add taxes to remittances from the United States to Mexico and/or other countries. Further, one state and an unincorporated U.S. territory have passed laws imposing a fee on certain money transfer transactions, and certain other states have proposed or are considering similar legislation. Several foreign countries have enacted or proposed rules imposing taxes or fees on certain money transfer transactions as well. The approach of policy-makers and the ongoing budget shortfalls in many jurisdictions, combined with future federal action or inaction on immigration reform, may lead other states or localities to impose similar taxes or fees or other requirements or restrictions. Foreign countries in similar circumstances have invoked and could continue to invoke the imposition of sales, service, or similar taxes, or other requirements or restrictions, on money transfer services. A tax, fee, or other requirement or restriction exclusively on money transfer services by us could put us at a competitive disadvantage to other means of remittance which are not subject to the same taxes, fees, requirements, or restrictions. Other examples of changes to our financial environment include the possibility of regulatory initiatives that focus on lowering international remittance costs, such as efforts by various central banks to connect their real-time payment rails. Such initiatives may have a material adverse impact on our business, financial condition, operating results, and future prospects.</w:t>
      </w:r>
    </w:p>
    <w:p>
      <w:pPr>
        <w:spacing w:after="0" w:line="128"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In addition,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and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sanctions laws, anti-terrorist financing laws, anti-money laundering laws, and similar laws associated with our activities outside of the United States, and anti-corruption laws could subject us to penalties and other adverse consequences.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We have implemented policies and procedures designed to allow us to comply with anti-money laundering laws and economic sanctions laws and prevent our service from being used to facilitate business in countries or with persons or entities designated on lists promulgated by OFAC and equivalent international authorities or that are otherwise the target of sanctions.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color w:val="auto"/>
        </w:rPr>
        <w:t>Law enforcement and regulators continue to scrutinize compliance with these obligations, which may require us to further revise or expand our compliance program, including the procedures that we use to verify the identity of our customers or monitor our service for potential illegal activity. In addition, any policies and procedures that we implement to comply with sanctions laws may not be effective, including in preventing customers from using our services for transactions with sanctioned persons or jurisdictions subject to comprehensive sanctions, including Cuba, North Korea, Syria, Iran, and the Crimea, Donetsk People’s Republic, and Luhansk People’s Republic regions of Ukraine. Given the technical limitations in developing controls to prevent, among other things, the ability of customers to publish on our service false or deliberately misleading information or to develop sanctions-evasion methods, it is possible that we may inadvertently and without our knowledge provide services to individuals or entities that have been designated by OFAC or other relevant sanctions authorities or are located in a jurisdiction subject to comprehensive sanctions or an embargo by the United States or another country in which we operate or are licensed to do business, and such services may not be in compliance with applicable economic sanctions regulations.</w:t>
      </w:r>
    </w:p>
    <w:p>
      <w:pPr>
        <w:spacing w:after="0" w:line="144"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Sanctions are imposed to address acute foreign policy and national security threats and may change rapidly and unpredictably in response to world events or domestic or international political developments. Additionally, as we expand our services into additional jurisdictions, we may become subject to additional sanctions requirements imposed by those jurisdictions or face increased risk of processing transactions in violation of sanctions requirements to which we are currently subject. We may be unable to update policies, procedures, or controls to timely and effectively address changes in applicable legal requirements or in our sanctions risk environment.</w:t>
      </w:r>
    </w:p>
    <w:p>
      <w:pPr>
        <w:spacing w:after="0" w:line="12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In addition, U.S. policy-makers have sought and may continue to seek heightened customer due diligence requirements on, or restrict, remittances from the United States to certain jurisdictions. For example, government sanctions imposed in February 2022 with respect to Russia and Ukraine are impacting our ability to offer services in the region, and additional sanctions could be imposed in the future.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Our operating companies in a number of jurisdictions, including Canada, the United Kingdom, and the EEA, are increasingly becoming or will become directly subject to reporting, recordkeeping, and anti-money laundering regulations, partner oversight and monitoring requirements, as well as broader supervision by a variety of governmental authorities. Additionally, the financial penalties associated with the failure to comply with anti-money laundering laws have increased recently in a number of jurisdictions. Legislation that has been enacted or proposed in other jurisdictions could have similar effects.</w:t>
      </w:r>
    </w:p>
    <w:p>
      <w:pPr>
        <w:spacing w:after="0" w:line="139"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6"/>
          <w:szCs w:val="16"/>
          <w:color w:val="auto"/>
        </w:rPr>
        <w:t>We also face significant risks if we cannot comply with the FCPA and other anti-corruption laws that prohibit companies and their third-party providers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third-party providers, as well as those contractors to which we outsource certain of our business operations, will not take actions in violation of our policies or agreements and applicable law, for which we may be ultimately held responsible.</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Consequences for failing to comply with applicable rules and regulations could include fines, criminal and civil lawsuits, forfeiture of significant assets, including Licenses, or other enforcement actions. We could also be required to make changes to our business practices or compliance programs as a result of regulatory scrutiny. In addition, any perceived or actual breach of compliance by us, our customers, vendors, or third-party providers (including our payment or disbursement partners) with respect to applicable laws, rules, and regulations could have a significant impact on our reputation and could cause us to lose existing customers, prevent us from obtaining new customers, cause other third-party providers (including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financial condition, operating results, and future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disbursement partners fail to comply with applicable laws, it could harm our business.</w:t>
      </w:r>
    </w:p>
    <w:p>
      <w:pPr>
        <w:spacing w:after="0" w:line="18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We work with disbursement partners in various receive jurisdictions whom we believe are complying with local laws and regulations. We rely on such disbursement partners to facilitate transactions with recipients in their local jurisdictions and such disbursement partners could fail or be unable to satisfy their obligations to us. This could lead to our inability to access funds and/or credit losses for us and could adversely impact our ability to conduct our business.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services are regulated by state, federal, and foreign governments, regulators, and agencies. Many of our disbursement partners are banks that are heavily regulated in their home jurisdictions. Our non-bank disbursement partners are also subject to various regulations, including money transfer regulations. We require regulatory compliance as a condition to our continued relationship with our disbursement partners, perform due diligence on them, and monitor them periodically with the goal of meeting regulatory expectations. However, there are limits to the extent to which we can monitor and confirm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exercise sufficient oversight over their vendors and agents, which also could harm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global and evolving marketing laws could subject us to claims or otherwise harm our business.</w:t>
      </w:r>
    </w:p>
    <w:p>
      <w:pPr>
        <w:spacing w:after="0" w:line="1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marketing practices rely upon a wide range of referral programs, exchange rate and fee-based promotions, e-mail, digital and social media marketing and direct marketing practices, among other tactics. These marketing practices are subject to a variety of advertising and consumer protection laws and regulatory oversight in the United States, Canada, the United Kingdom, and the EEA, and the other jurisdictions in which we do business. In the United States, some examples of applicable legislation include, among others, the CAN-SPAM Act of 2003; the U.S. Federal Trade Commission guidelines with respect to misleading or deceptive advertising or marketing practices; the Telephone Consumer Protection Act of 1991, state banking laws that prohibit non-banks, including licensed money transmitters, from holding themselves out as banks or providing banking services; and the CCPA and other comprehensive state privacy and cybersecurity laws.</w:t>
      </w:r>
    </w:p>
    <w:p>
      <w:pPr>
        <w:spacing w:after="0" w:line="1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These laws are continuously evolving and developing in light of technological change and regulatory objectives. These laws are overseen by regulators at the national, provincial,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are not presently a party to any legal or regulatory proceedings that in the opinion of our management, if determined adversely to us, would individually or taken together have a material adverse effect on our business, financial condition, operating results, and future prospects.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 practices or customer experience, our business could be harmed or our relationship with our partners and other commercial counterparties, could be adversely affected.</w:t>
      </w:r>
    </w:p>
    <w:p>
      <w:pPr>
        <w:spacing w:after="0" w:line="14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operating results, and future prospects.</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have been and may in the future be involved in various legal proceedings, claims, investigations, or similar matters from time to time. Such matters can be time-consuming,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operating results, and future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Risks</w:t>
      </w:r>
    </w:p>
    <w:p>
      <w:pPr>
        <w:spacing w:after="0" w:line="16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financial condition, operating results, and future prospects could be harmed. We are also subject to risk of loss if funds are disbursed before customer funds are guaranteed to be sufficient, which could also harm our business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there is any material change of service terms or loss of coverage in our payment processors and disbursement network, our business could be harmed.</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various means, including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1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disbursement partners do not provide a positive recipient experience, our business could be harmed.</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they deliver poor customer service, our disbursement partners’ compliance processes and approvals take longer than expected, the wait times at our disbursement partners’ pick-up locations are too long, or cash pick-up locations are not located in convenient and safe locations and open for business at convenient times, customers may choose to not use our services in the future and our business could be harmed.</w:t>
      </w:r>
    </w:p>
    <w:p>
      <w:pPr>
        <w:spacing w:after="0" w:line="122"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9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local or foreign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122"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loss of one or more key members of our management team, or our failure to attract, integrate, and retain other highly qualified personnel in the future, could harm our business.</w:t>
      </w:r>
    </w:p>
    <w:p>
      <w:pPr>
        <w:spacing w:after="0" w:line="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believe our success has depended, and continues to depend, on the efforts and talents of our employees and senior management team, including our CEO and co-founder Matthew Oppenheimer. Our future success depends on our continuing ability to attract, develop, motivate, and retain highly qualified and skilled employees. Qualified individuals are in high demand, and we may be unable to find the number of technically talented employees we need to continue our growth, or we may incur significant costs—costs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could be difficult to replace. We cannot ensure that we will be able to retain the services of any of our senior management or other senior employees. Furthermore, our performance and competitiveness as an employer are influenced by our ability to effectively manage our talent pool, address employee complaints, tensions, and disagreements, as well as comply with, anticipate, and adapt to changes in employment and tax laws and regulations, including those related to labor relations, health and safety standards, immigration policies, and taxation of equity-based compensation. Changes in such regulations could impose additional burdens on our operations and limit our flexibility in effectively recruiting, maintaining, and managing our workforce across different geographies and during different business and economic cycles. If we do not succeed in attracting well-qualified employees or retaining and motivating existing employees, our business could be harmed.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cannot maintain our company culture as we grow, our success and our business may be harmed.</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believe our culture has been a key contributor to our success to date and that our Company’s vision promotes a sense of greater purpose and fulfillment in our employees. Inorganic growth through mergers and acquisitions may pose significant challenges to integrating the company cultures of acquired companies.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12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Interruptions or delays in the services provided by data centers or internet service providers could impair the delivery of our services and our business could be impacted.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host our service offerings using third-party cloud infrastructure services that we do not control. We depend on their ability to protect their data centers against damage or interruption from natural disasters, power or telecommunications failures, cyberattacks, cybersecurity breaches, service outages and other similar incidents, criminal acts, and similar events. We also depend on their ability to meet our capacity requirements as increasing numbers of customers access our offerings. In addition, our operations depend on protecting the cloud infrastructure hosted by such providers by maintaining their respective configuration, architecture, and interconnection specifications, as well as the information stored in these data centers and which third-party internet service providers transmit. In the event that any third-party provider’s systems or service abilities are hindered by any of the events discussed above, our ability to operate may be impaired and data may be compromised. All of the aforementioned risks may be augmented if our or our partners’ business continuity and disaster recovery plans prove to be inadequate. Any prolonged service disruption affecting our offerings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 We have from time to time in the past experienced service disruptions due to such issues, and we cannot assure you that we will not experience interruptions or delays in our service in the future.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Moreover, we are heavily reliant on the cloud services provided by a single provider. We may not be able to easily switch our reliance on that provider’s operations to another cloud or other data center provider if there are disruptions or interference with our use of or relationship with our existing provider, and, even if we do switch our operations, other cloud and data center providers are subject to the same risks. If our provider unexpectedly terminates our cloud services agreement, we would be forced to incur additional expenses to locate an alternative provider and may experience outages or disruptions to our service. Any service disruption affecting our offerings during such migration or while operating on our provider’s cloud infrastructure could damage our reputation with current and potential customers, expose us to liability, cause us to lose customers, or otherwise harm our business.</w:t>
      </w:r>
    </w:p>
    <w:p>
      <w:pPr>
        <w:spacing w:after="0" w:line="123" w:lineRule="exact"/>
        <w:rPr>
          <w:sz w:val="20"/>
          <w:szCs w:val="20"/>
          <w:color w:val="auto"/>
        </w:rPr>
      </w:pPr>
    </w:p>
    <w:p>
      <w:pPr>
        <w:ind w:right="3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Sustained financial market illiquidity, or illiquidity at our partner financial institutions, could harm our business, financial condition, operating results, and future prospects.</w:t>
      </w:r>
    </w:p>
    <w:p>
      <w:pPr>
        <w:spacing w:after="0" w:line="93"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We face risks in the event of a sustained deterioration of financial market liquidity, as well as in the event of sustained deterioration in the liquidity or failure of financial institutions where we deposit money. This includes financial institutions that hold prefunding accounts for our disbursement partners. In particular:</w:t>
      </w:r>
    </w:p>
    <w:p>
      <w:pPr>
        <w:spacing w:after="0" w:line="97" w:lineRule="exact"/>
        <w:rPr>
          <w:sz w:val="20"/>
          <w:szCs w:val="20"/>
          <w:color w:val="auto"/>
        </w:rPr>
      </w:pPr>
    </w:p>
    <w:p>
      <w:pPr>
        <w:ind w:left="660" w:right="40" w:hanging="328"/>
        <w:spacing w:after="0" w:line="27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access funds in our accounts on a timely basis to pay transactions and receive settlement funds. Any resulting need to access other sources of liquidity or short-term borrowing could increase our costs. Any delay or inability to pay transactions could harm our business, financial condition, operating results, and future prospects; and</w:t>
      </w:r>
    </w:p>
    <w:p>
      <w:pPr>
        <w:spacing w:after="0" w:line="8" w:lineRule="exact"/>
        <w:rPr>
          <w:rFonts w:ascii="Times New Roman" w:cs="Times New Roman" w:eastAsia="Times New Roman" w:hAnsi="Times New Roman"/>
          <w:sz w:val="16"/>
          <w:szCs w:val="16"/>
          <w:color w:val="auto"/>
        </w:rPr>
      </w:pPr>
    </w:p>
    <w:p>
      <w:pPr>
        <w:ind w:left="660" w:right="40" w:hanging="328"/>
        <w:spacing w:after="0" w:line="258"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funds are held by us and our disbursement partners, which includes banks, non-bank financial institutions, and aggregators, both in the United States and abroad. For instance, historically a substantial portion of our send volume has been derived from remittances being sent to India, Mexico, and the Philippines.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timely basis as required to pay transactions and receive settlement funds; loss of prefunded balances; or a breach in our capital or other regulatory requirements if we are unable to recover our funds.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financial liquidity deteriorates, our ability to access capital may be harmed and we could become insolvent.</w:t>
      </w:r>
    </w:p>
    <w:p>
      <w:pPr>
        <w:spacing w:after="0" w:line="163"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Acquisitions, strategic investments, partnerships, collaborations, or alliances could be difficult to identify and integrate, divert the attention of management, disrupt our business, dilute stockholder value, and adversely affect our business, financial condition, operating results, and future prospects.</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have in the past, and we may in the future, seek to acquire or invest in businesses, products, or technologies that we believe could complement or expand our offerings, address additional customer needs, enhance our technical capabilities, or otherwise offer growth opportunities. The pursuit of potentially material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identify key risks during the due diligence phase, or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financial condition, operating results, and future prospects may suffer.</w:t>
      </w:r>
    </w:p>
    <w:p>
      <w:pPr>
        <w:spacing w:after="0" w:line="13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We may also make significant investments in new products, marketing campaigns, technologies, or services developed solely by us or in conjunction with strategic partners we identify. It is possible that our strategic investments may not become profitable and fail to return our initial investment, and this may have a harmful effect on our business, financial condition, operating results, and future prospects.</w:t>
      </w:r>
    </w:p>
    <w:p>
      <w:pPr>
        <w:spacing w:after="0" w:line="113" w:lineRule="exact"/>
        <w:rPr>
          <w:sz w:val="20"/>
          <w:szCs w:val="20"/>
          <w:color w:val="auto"/>
        </w:rPr>
      </w:pPr>
    </w:p>
    <w:p>
      <w:pPr>
        <w:ind w:right="3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Remitly Global is a holding company with no operations of its own and is the ultimate parent of a network of local subsidiaries, each of which is subject to different local regulations. In the future, we may depend on our subsidiaries to fund our operations and expenses.</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Remitly Global is a holding company and relies on our operating subsidiaries for cash flow. Therefore, our ability to fund and conduct our business, service our debt, and pay dividends, if any, in the future may depend on the ability of our subsidiaries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as regulated entities in the jurisdictions where they do business. Such requirements may limit the ability of these regulated subsidiaries to dividend or distribute funds to Remitly Global. Our subsidiaries are separate legal entities, and although they are directly or indirectly wholly owned and controlled by our ultimate parent,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Expansion into new international jurisdictions and payment corridors exposes us to risks associated with handling of additional currencies and compliance with local regulations and law.</w:t>
      </w:r>
    </w:p>
    <w:p>
      <w:pPr>
        <w:spacing w:after="0" w:line="119"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significant costs and risks inherent in conducting business in international jurisdictions, including:</w:t>
      </w:r>
    </w:p>
    <w:p>
      <w:pPr>
        <w:spacing w:after="0" w:line="167"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effective controls at international locations and the associated costs;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from local providers;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foreign laws and regulations, including privacy and cybersecurity frameworks similar to the GDPR;</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adapting to doing business in other languages or cultures;</w:t>
      </w:r>
    </w:p>
    <w:p>
      <w:pPr>
        <w:spacing w:after="0" w:line="72"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local tax regimes, including potential double taxation of our international earnings, and potentially adverse tax consequences due to U.S. and foreign tax laws as they relate to our international operations;</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anti-bribery laws, such as the FCPA, the CFPOA, and the U.K. Bribery Act;</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rate fluctuations and related effects on our operating results;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and political instability in some countries;</w:t>
      </w:r>
    </w:p>
    <w:p>
      <w:pPr>
        <w:spacing w:after="0" w:line="59" w:lineRule="exact"/>
        <w:rPr>
          <w:rFonts w:ascii="Times New Roman" w:cs="Times New Roman" w:eastAsia="Times New Roman" w:hAnsi="Times New Roman"/>
          <w:sz w:val="16"/>
          <w:szCs w:val="16"/>
          <w:color w:val="auto"/>
        </w:rPr>
      </w:pPr>
    </w:p>
    <w:p>
      <w:pPr>
        <w:ind w:left="660" w:right="260" w:hanging="328"/>
        <w:spacing w:after="0" w:line="29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of protection for IP Rights in some countries and practical difficulties of obtaining, maintaining, protecting, defending, and enforcing IP Rights abroad; and</w:t>
      </w: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costs of doing business internationally.</w:t>
      </w:r>
    </w:p>
    <w:p>
      <w:pPr>
        <w:spacing w:after="0" w:line="18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As we expand into more international jurisdictions,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to deal with such unfavorable laws and policies.</w:t>
      </w:r>
    </w:p>
    <w:p>
      <w:pPr>
        <w:spacing w:after="0" w:line="138"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These and other factors could harm our international operations and, consequently, materially impact our business, financial condition, operating results, and future prospects.</w:t>
      </w:r>
    </w:p>
    <w:p>
      <w:pPr>
        <w:spacing w:after="0" w:line="1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Further, we may incur significant operating expenses as a result of our international expansion, and such expansion may not be successful. We have limited experience with certain international regulatory environments and practices, and we may not be able to penetrate or successfully operate in those regions. We also have more limited brand recognition in certain parts of the world, leading to delayed acceptance of our services by international customers. If we cannot continue to expand internationally and manage the complexity of our global operations successfully, our business, financial condition, operating results, and future prospects could be adversely affected.</w:t>
      </w:r>
    </w:p>
    <w:p>
      <w:pPr>
        <w:spacing w:after="0" w:line="121"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Risks associated with operations outside the United States and with foreign currencies could adversely affect our business, financial condition, operating results, and future prospects.</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Since a substantial portion of our send volume is exposed to the U.S. dollar, deterioration in the value of the U.S. dollar, including as a result of macroeconomic factors, including inflation, could have a material impact on our business. In addition, a substantial portion of our revenue is generated in currencies other than the U.S. dollar, a significant portion of which occurs in Canada and Europe. As a result, we are subject to risks associated with changes in the value of our revenues and net monetary assets denominated in foreign currencies. For example, a considerable portion of our revenue is generated in Euros. In an environment of a rising U.S. dollar relative to the Euro, the value of our Euro-denominated revenue, operating income, and net monetary assets would be reduced when translated into U.S. dollars for inclusion in our financial statements. Some of these adverse financial effects may be partially mitigated by our efforts to offset these financial impacts through natural hedging of our assets and liabilities held in foreign currencies. In an environment of a declining U.S. dollar relative to the Euro, some of the translation benefits on our reported financial results could be limited by the impact of foreign currency hedging activities.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are also subject to risks related to changes in the value of other foreign currencies. For instance, we have seen increased money transfer volume if the U.S. dollar strengthens against certain currencies, especially the Indian rupee, the Mexican peso, or the Philippine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receives the funds through our disbursement partners because the foreign exchange rate quoted to the customer is not adjusted for changes between the initiation date and the settlement date. In addition, our international subsidiary financial statements are denominated in, and operated in, currencies other than the U.S. dollar. Our financial results are also subject to changes in exchange rates that impact the settlement of transactions in non-local currencies. As a result, it could be more difficult to detect underlying trends in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 substantial portion of our revenue is generated outside the United States. We utilize a variety of planning and financial strategies to help ensure that our worldwide cash is available where needed, including decisions related to the amounts, timing, and manner by which cash is repatriated or otherwise made available from our international subsidiaries. Changes in the amounts, timing, and manner by which cash is repatriated (or deemed repatriated) or otherwise made available from our international subsidiaries, including changes arising from new legal or tax rules, disagreements with legal or tax authorities concerning existing rules that are ultimately resolved in their favor, or changes in our operations or business, could result in material adverse effects on our business, financial condition, operating results, and future prospects.</w:t>
      </w:r>
    </w:p>
    <w:p>
      <w:pPr>
        <w:spacing w:after="0" w:line="1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 time the hedges are in place, and may introduce additional risks and costs if we are unable to structure effective hedges with such instruments.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Money transfers and payments to, from, within, or between countries may be limited or prohibited by law. Additionally, economic or political instability or natural disasters may make money transfers to, from, within, or between particular countries difficult or impossible, such as when banks are closed, when currency devaluation makes exchange rates difficult to manage, or when natural disasters or civil unrest makes access to agent locations unsafe. These risks could negatively impact our ability to offer our services, to make payments to or receive payments from international agents or our subsidiaries or to recoup funds that have been advanced to international agents or are held by our subsidiaries, and as a result could adversely affect our business, financial condition, operating results, and future prospects. In addition, the general state of telecommunications and infrastructure in some lesser developed countries, including countries where we have a large number of transactions, creates operational risks for us and our third-party providers that generally are not present in our operations in the United States and other more developed countries.</w:t>
      </w:r>
    </w:p>
    <w:p>
      <w:pPr>
        <w:spacing w:after="0" w:line="124" w:lineRule="exact"/>
        <w:rPr>
          <w:sz w:val="20"/>
          <w:szCs w:val="20"/>
          <w:color w:val="auto"/>
        </w:rPr>
      </w:pPr>
    </w:p>
    <w:p>
      <w:pPr>
        <w:ind w:right="4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Historically, a substantial amount of our revenue has been derived from remittances to Mexico, India, and the Philippines, and our business could be significantly affected by any adverse changes in these regions.</w:t>
      </w:r>
    </w:p>
    <w:p>
      <w:pPr>
        <w:spacing w:after="0" w:line="9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Historically, our revenue has been substantially derived from remittances to Mexico, India, and the Philippines. Remittances sent to these three countries represented approximately 49%, 55%, and 65% of our revenue for the years ended December 31, 2024, 2023, and 2022, respectively. Because remittances to these countries have accounted for a substantial portion of our revenue, our business is exposed to adverse regulatory and competitive changes, economic conditions, and changes in political conditions in each of these countries. Moreover, due to the concentration of our revenue related to these geographies, our business may be less diversified and, accordingly, subject to greater regional risks as compared to some of our competitors.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Risks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maintain effective internal control over financial reporting, the accuracy and timing of our financial reporting may be adversely affected.</w:t>
      </w:r>
    </w:p>
    <w:p>
      <w:pPr>
        <w:spacing w:after="0" w:line="18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As a public company, we are required, among other things, to maintain effective internal controls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w:t>
      </w:r>
    </w:p>
    <w:p>
      <w:pPr>
        <w:spacing w:after="0" w:line="12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 cannot assure you that the measures that we have taken, and that we continue to take, will be sufficient to prevent material weaknesses from occurring. If we fail to establish and maintain effective internal controls, our ability to accurately and timely report our financial results could be adversely affected and may result in a restatement of our annual or interim financial statements, which could cause us to fail to meet our reporting obligations, any of which could diminish investor confidence in us and cause a decline in the price of our common stock.</w:t>
      </w:r>
    </w:p>
    <w:p>
      <w:pPr>
        <w:spacing w:after="0" w:line="11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We have significant amounts of cash, cash equivalents, and receivables outstanding on deposit or in accounts with banks or other counterparties in the United States and foreign jurisdictions. While we do not currently enter into derivative financial instrument transactions as part of currency hedging activities, we may in the future enter into such transactions with various financial institutions. Certain banks and financial institutions also act as our lenders.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particular, we maintain cash at commercial banks in the United States in amounts in excess of the Federal Deposit Insurance Corporation limit of $250,000, and in the event of a failure at a commercial bank where we maintain our deposits, we may incur a loss to the extent such loss exceeds the insurance limitation. In the event of default or failure of one or more of our counterparties, we could incur significant losses, which could negatively impact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built proprietary financial systems as part of our technology stack. Such systems could become unstable, include defects, experience outages, and include undetected errors, each of which could adversely affect our business, financial condition, operating results, and future prospects.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Our proprietary financial systems are an integral part of our technology stack, which is a complex system composed of many interoperating components and which incorporates other third-party software. We have from time to time found defects or errors in 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bugs or human error. If sustained or repeated, any of these outages could impact the accuracy and completeness of our financial information over several reporting periods. In addition, our release of new software functionality, including through the integration of component systems, may result in future interruptions in the availability of, or errors in, our financial information. Our financial systems may now, or in the future, contain undetected errors, defects, and vulnerabilities. Errors, defects, outages, vulnerabilities, and other unintended systems issues could result in an interruption in the availability of our financial information, failure to accurately or timely comply with domestic and international regulatory financial reporting obligations, or inaccurate and incomplete financial information, any of which could adversely affect our business, financial condition, operating results, and future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development and use of quantitative models in our business may present risks and challenges that could adversely impact us.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We rely on quantitative models across our business in areas such as liquidity management, monitoring and managing of risk, and forecasting. The accuracy of our calculations depends on the reliability of the underlying models and assumptions. These models are constructed based on historical data, which, by its nature, may not be fully indicative of future results, especially in the face of unprecedented conditions or shifts. An overreliance on historical data without adequate consideration for potential future changes can lead to miscalculations, potentially impacting our ability to manage risks effectively. Moreover, the quantitative models we employ are subject to the risk of oversimplification. In an effort to make complex assumptions comprehensible, we may inadvertently omit crucial variables or interactions, leading to an incomplete understanding of relevant dynamics. This simplification, while necessary for computational feasibility, increases the risk of discrepancies between model predictions and actual outcomes.</w:t>
      </w:r>
    </w:p>
    <w:p>
      <w:pPr>
        <w:spacing w:after="0" w:line="1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Further, the assumptions underlying our models are inherently speculative. These assumptions are influenced by a myriad of factors, all of which are fluid and can evolve in unpredictable ways. A failure to accurately anticipate or quickly adapt to these changes could render our models less effective, which could adversely affect our business, financial condition, operating results, and future prospects.</w:t>
      </w:r>
    </w:p>
    <w:p>
      <w:pPr>
        <w:spacing w:after="0" w:line="13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Finally, the potential for model failure or significant prediction errors poses a risk to our financial stability. Any discrepancies between model forecasts and actual outcomes may lead to unexpected losses. Such situations could strain our financial resources, require us to obtain additional funding, which may not be available on terms attractive to us, if at all, and negatively impact our ability to capitalize on growth opportunities.</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1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operating results have fluctuated in the past and are expected to fluctuate in the future due to a variety of factors, many of which are outside of our control. In particular, we expect our revenue mix to vary from period to period, especially if newly-introduced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w:t>
      </w:r>
    </w:p>
    <w:p>
      <w:pPr>
        <w:spacing w:after="0" w:line="125"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demand for our services or pricing of our fees associated with our services;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grow trust and engagement with our existing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relationships with our marketing, payment processing, disbursement, and banking partners, or identify and attract new strategic partners;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growth rates and the revenue derived from and quantity of existing customers retained;</w:t>
      </w:r>
    </w:p>
    <w:p>
      <w:pPr>
        <w:spacing w:after="0" w:line="59" w:lineRule="exact"/>
        <w:rPr>
          <w:rFonts w:ascii="Times New Roman" w:cs="Times New Roman" w:eastAsia="Times New Roman" w:hAnsi="Times New Roman"/>
          <w:sz w:val="16"/>
          <w:szCs w:val="16"/>
          <w:color w:val="auto"/>
        </w:rPr>
      </w:pPr>
    </w:p>
    <w:p>
      <w:pPr>
        <w:ind w:left="660" w:right="48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preference for mobile-first services as a result of cyberattacks, cybersecurity breaches, service outages, or other similar incidents in the industry or privacy concerns, or other security or reliability concerns regarding our services;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customers’ budgets and in the timing of their budget cycles and money transfer decisions;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and existing strategic partners choosing our competitors’ products or developing their own solutions in-house;</w:t>
      </w:r>
    </w:p>
    <w:p>
      <w:pPr>
        <w:spacing w:after="0" w:line="72" w:lineRule="exact"/>
        <w:rPr>
          <w:rFonts w:ascii="Times New Roman" w:cs="Times New Roman" w:eastAsia="Times New Roman" w:hAnsi="Times New Roman"/>
          <w:sz w:val="16"/>
          <w:szCs w:val="16"/>
          <w:color w:val="auto"/>
        </w:rPr>
      </w:pPr>
    </w:p>
    <w:p>
      <w:pPr>
        <w:ind w:left="660" w:right="58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or introduction of new platforms or services by our competitors that are easier to use or more advanced than our current suite of services, especially in respect of the application of AI-based services;</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adapt to new forms of payment that become widely accepted, including cryptocurrency;</w:t>
      </w:r>
    </w:p>
    <w:p>
      <w:pPr>
        <w:spacing w:after="0" w:line="72" w:lineRule="exact"/>
        <w:rPr>
          <w:rFonts w:ascii="Times New Roman" w:cs="Times New Roman" w:eastAsia="Times New Roman" w:hAnsi="Times New Roman"/>
          <w:sz w:val="16"/>
          <w:szCs w:val="16"/>
          <w:color w:val="auto"/>
        </w:rPr>
      </w:pPr>
    </w:p>
    <w:p>
      <w:pPr>
        <w:ind w:left="660" w:right="6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cybersecurity breaches, service outages, or other similar incidents with respect to the delivery and use of our offerings which may result in data theft and/or misappropriation;</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or retention of more entrenched or rival services in the international regions where we compete;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costs, including our operating expenses;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payment for operating expenses, particularly technology and development and marketing expenses;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noncash expenses, including stock-based compensation expense, depreciation and amortization, and other noncash charges;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costs associated with recruiting, training, and integrating new employees and retaining and motivating existing employees;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market interest rates, which impacts interest earned on funds held for customers;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currency exchange rates;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acquisitions and their integration;</w:t>
      </w:r>
    </w:p>
    <w:p>
      <w:pPr>
        <w:spacing w:after="0" w:line="59" w:lineRule="exact"/>
        <w:rPr>
          <w:rFonts w:ascii="Times New Roman" w:cs="Times New Roman" w:eastAsia="Times New Roman" w:hAnsi="Times New Roman"/>
          <w:sz w:val="16"/>
          <w:szCs w:val="16"/>
          <w:color w:val="auto"/>
        </w:rPr>
      </w:pPr>
    </w:p>
    <w:p>
      <w:pPr>
        <w:ind w:left="660" w:right="200" w:hanging="328"/>
        <w:spacing w:after="0" w:line="280"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geopolitical forces, both domestically and abroad, as well as economic conditions specifically affecting industries in which our customers participate;</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epidemics, pandemics, or other public health crises, such as the COVID-19 pandemic;</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new accounting pronouncements;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competitive dynamics of our industry;</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awareness of our brand and our reputation;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introduce our services in new corridors and jurisdictions, including maintaining existing and obtaining new Licenses.</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Any of these and other factors, or the cumulative effect of some of these factors, may cause our operating results to vary significantly. As a result, our past results may not be indicative of our future performance. In addition, if our quarterly operating results fall below the expectations of investors and securities analysts who follow our stock, the price of our common stock could decline, and we could face costly lawsuits, including securities class action suits.</w:t>
      </w:r>
    </w:p>
    <w:p>
      <w:pPr>
        <w:spacing w:after="0" w:line="138"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Our operating results and metrics are also subject to seasonality.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w:t>
      </w:r>
    </w:p>
    <w:p>
      <w:pPr>
        <w:spacing w:after="0" w:line="1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Furthermore, 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regions. As a result, period-to-period comparisons of our statements of cash flows may not be meaningful, and you should not rely on them as an indication of our liquidity or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Inaccurate forecasts of our customer growth and retention could result in higher operating expenses relative to actual revenue and ultimately harm our business.</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Our customer growth forecast is a key driver in our business plan which affects our ability to accurately forecast revenue and expenses. In addition, we plan a portion of our operating expenses, specifically related to our marketing expenses and customer service and operations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of our business, and our business, financial condition, operating results, and future prospects may be harmed.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 revenue generated by new customers differs significantly from our expectations, or if our customer acquisition costs or costs associated with servicing our customers increase, we may not be able to recover our customer acquisition costs or generate profits from this investment.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We invest significant resources in marketing with the aim to acquire new customers and expect to continue to spend significant amounts to acquire additional customers, primarily through online advertising and marketing promotions. When making decisions regarding investments in customer acquisition, we analyze the revenue and transaction expenses we have historically generated per customer over the expected lifetime value of the customer, and, where relevant, look to the estimated future revenue and transaction expenses on a long-term basis. Our analysis of the revenue and transaction expenses that we expect a new customer to generate over their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revenue and transaction expenses may be subject to greater variance in new or recently added corridors, as compared to our more established corridors.</w:t>
      </w:r>
    </w:p>
    <w:p>
      <w:pPr>
        <w:spacing w:after="0" w:line="13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losses to offset future taxable income may be subject to certain limitations which could harm our business, financial condition, operating results, and future prospects.</w:t>
      </w:r>
    </w:p>
    <w:p>
      <w:pPr>
        <w:spacing w:after="0" w:line="10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and NOLs generated in taxable years beginning after December 31, 2017 may be carried forward indefinitely, but the deductibility of such NOLs generally will be limited to 80% of current year taxable income under applicable U.S. federal income tax law. For these reasons, we may not be able to utilize a material portion of the NOLs reflected on our balance sheets, even if we attain consistent profitability, which could potentially result in increased future tax liability to us and could adversely affect our operating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and evolving requirements in tax laws or their interpretation, including as applied to us and our customers, could adversely affect our business.</w:t>
      </w:r>
    </w:p>
    <w:p>
      <w:pPr>
        <w:spacing w:after="0" w:line="17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indirect tax accrual estimates, the amount of our cash flow, our liquidity, business, financial condition, operating results, and future prospects.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Organization for Economic Cooperation and Development (the “OECD”) introduced significant changes to the international tax law framework through the Pillar Two guidelines. The framework outlines a coordinated set of rules to prevent multinational enterprises from shifting profits to low-tax jurisdictions by implementing a 15% global minimum tax. Many countries in which we operate have enacted Pillar Two. Pillar Two rules will apply to us beginning in our fiscal year 2025. The potential effects of Pillar Two may vary depending on the specific provisions and rules implemented by each country that adopts Pillar Two and may include tax rate changes, higher effective tax rates, potential tax disputes and adverse impacts to our cash flows, tax liabilities, results of operations, and financial position. Many of the jurisdictions in which we conduct business have detailed transfer pricing rules or may comply with the OECD guidelines, which require contemporaneous documentation establishing that all transactions with non-resident related parties be priced using arm’s-length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business, financial condition, operating results, and future prospects.</w:t>
      </w:r>
    </w:p>
    <w:p>
      <w:pPr>
        <w:spacing w:after="0" w:line="12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are subject to regular review and audit by the relevant tax authorities in the jurisdictions we operate in and, as a result, the authorities in these jurisdictions could review our tax returns and impose additional significant taxes, interest, and penalties, challenge the transfer pricing policies adopted by us, claim that our operations constitute a taxable presence in different jurisdictions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14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12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determination of our worldwide provision for income taxes and other tax liabilities requires estimation and significant judgment, and there are many transactions and calculations for which the ultimate tax determination is uncertain. Any adverse outcome of potential future audits, reviews, or investigations by tax authorities in U.S. or foreign tax jurisdictions could result in unforeseen tax-related liabilities that differ from the amounts recorded in our financial statements, which may, individually or in the aggregate, materially affect our financial results in the periods for which such determination is made. While we have established reserves based on assumptions and estimates that we believe are reasonable to cover such eventualities, these reserves may prove to be insufficient.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 number of U.S. states, the U.S. federal government, and foreign jurisdictions have implemented and may impose reporting or recordkeeping obligations on companies that engage in or facilitate e-commerce. A number of jurisdictions are also reviewing whether payment service providers and other intermediaries could be deemed to be the legal agent of merchants for certain tax purposes.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13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 addition, the failure by our customers to comply with reporting obligations in connection with transactions on our service could result in regulatory inquiry, reputational damage, and potential enforcement actions and additional reporting and withholding requirements.</w:t>
      </w:r>
    </w:p>
    <w:p>
      <w:pPr>
        <w:spacing w:after="0" w:line="107"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9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believe that, combined with our cash and cash equivalents, we will be able to maintain sufficient access to financing, including debt financing, to meet our operating and capital requirements for at least the next twelve months. However, since inception through December 31, 2024 and December 31, 2023, the Company has incurred losses from operations, negative cash flows from operations, and had an accumulated deficit of $528.3 million and of $491.3 million, respectively, and has been dependent on equity and debt financing to fund operations. As such, we may require additional capital to respond to business opportunities (including increasing the number of customers acquired or acquisitions), capital needed during high volume sending periods, new capital or liquidity requirements introduced or required by our regulators and payment processors, challenges, or unforeseen circumstances and may determine to engage in equity or debt financings for other reasons.</w:t>
      </w:r>
    </w:p>
    <w:p>
      <w:pPr>
        <w:spacing w:after="0" w:line="1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 xml:space="preserve">We have a revolving credit facility with certain lenders and JPMorgan Chase Bank, N.A. acting as administrative agent and collateral agent (the “2021 Revolving Credit Facility,” as defined in Note 9.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in the notes to the Company’s consolidated financial statements included in Part II, Item 8 of this Annual Report on Form 10-K) under that certain Revolving Credit and Guaranty Agreement dated as of September 13, 2021 (as amended by Amendment No. 1 dated as of June 26, 2023 and as further amended by Amendment No. 2 and Joinder Agreement dated as of December 20, 2023 (“Amendment No. 2”)). Pursuant to Amendment No. 2, the aggregate amount of the revolving commitments under the 2021 Revolving Credit Facility were increased from $250.0 million to $325.0 million. We may incur additional indebtedness in the future. We expect to rely on the 2021 Revolving Credit Facility or other financing (including debt financing) to finance a portion of the capital and liquidity requirements and obligations we are subject to in connection with our remittance business. Additionally, certain borrowings under the 2021 Revolving Credit Facility are subject to variable interest rates. If the interest rate on the 2021 Revolving Credit Facility or any alternative financing were to increase, our operating results could be harmed. The credit agreement governing our 2021 Revolving Credit Facility contains conditions to borrowing and significant restrictive covenants; any failure to satisfy these conditions to borrowing or covenants could result in us being unable to borrow additional amounts under the 2021 Revolving Credit Facility or having to repay outstanding amounts, and could limit our ability to execute on our business or growth strategies. If we were unable to refinance the 2021 Revolving Credit Facility or enter into an alternative facility on similar terms, our business may be adversely impacted. Additionally, the restrictive covenants impose significant operating and financial restrictions that may impact our ability to engage in certain transactions or make investments that could be in our long-term best interests. The restrictive covenants also require us to comply with financial maintenance covenants in certain circumstances; our ability to satisfy these covenants can be affected by events beyond our control and we cannot assure you that we will be able to comply. Any debt financing secured by us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maintain sufficient capital could harm our business, financial condition, operating results, and future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significant working capital requirements driven by:</w:t>
      </w:r>
    </w:p>
    <w:p>
      <w:pPr>
        <w:spacing w:after="0" w:line="167" w:lineRule="exact"/>
        <w:rPr>
          <w:sz w:val="20"/>
          <w:szCs w:val="20"/>
          <w:color w:val="auto"/>
        </w:rPr>
      </w:pPr>
    </w:p>
    <w:p>
      <w:pPr>
        <w:ind w:left="660" w:right="120" w:hanging="328"/>
        <w:spacing w:after="0" w:line="280" w:lineRule="auto"/>
        <w:tabs>
          <w:tab w:leader="none" w:pos="6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delay between when we release funds for disbursement and when we receive customer funds from our payment processors, which can be exacerbated by time zone differences, bank holidays, national or governmental holidays, and weekends;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capital requirements pertaining to net worth;</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requirements pertaining to permissible investments and safeguarding of customer funds;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contained in the credit agreement governing our 2021 Revolving Credit Facility;</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requirements imposed on us by our payment processors;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 requirements imposed on us by our disbursement partners.</w:t>
      </w:r>
    </w:p>
    <w:p>
      <w:pPr>
        <w:spacing w:after="0" w:line="18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 volume increases.</w:t>
      </w:r>
    </w:p>
    <w:p>
      <w:pPr>
        <w:spacing w:after="0" w:line="11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transaction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In addition, we may not be able to meet new capital or liquidity requirements introduced or required by our regulators and payment processors. We currently have the 2021 Revolving Credit Facility to mitigate capital fluctuations, but there can be no assurance that the 2021 Revolving Credit Facility will be sufficient or renewed or replaced at favorable rates or that we will have access to additional capital as needed, or at 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our effective tax rate or tax liability may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could increase due to several factors, including:</w:t>
      </w:r>
    </w:p>
    <w:p>
      <w:pPr>
        <w:spacing w:after="0" w:line="167" w:lineRule="exact"/>
        <w:rPr>
          <w:sz w:val="20"/>
          <w:szCs w:val="20"/>
          <w:color w:val="auto"/>
        </w:rPr>
      </w:pPr>
    </w:p>
    <w:p>
      <w:pPr>
        <w:ind w:left="660" w:right="60" w:hanging="328"/>
        <w:spacing w:after="0" w:line="28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relative amounts of income before taxes in the various U.S. and international jurisdictions in which we operate due to differing statutory tax rates in various jurisdictions;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tax treaties, and regulations or the interpretations of them, including the Tax Act as modified by the CARES Act;</w:t>
      </w:r>
    </w:p>
    <w:p>
      <w:pPr>
        <w:spacing w:after="0" w:line="59" w:lineRule="exact"/>
        <w:rPr>
          <w:rFonts w:ascii="Times New Roman" w:cs="Times New Roman" w:eastAsia="Times New Roman" w:hAnsi="Times New Roman"/>
          <w:sz w:val="16"/>
          <w:szCs w:val="16"/>
          <w:color w:val="auto"/>
        </w:rPr>
      </w:pPr>
    </w:p>
    <w:p>
      <w:pPr>
        <w:ind w:left="660" w:right="140" w:hanging="328"/>
        <w:spacing w:after="0" w:line="29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assessment of our ability to realize our deferred tax assets that are based on estimates of our future results, the prudence and feasibility of possible tax planning strategies, and the economic and political environment in which we do business; and</w:t>
      </w:r>
    </w:p>
    <w:p>
      <w:pPr>
        <w:ind w:left="640" w:hanging="308"/>
        <w:spacing w:after="0"/>
        <w:tabs>
          <w:tab w:leader="none" w:pos="6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current and future tax audits, examinations, or administrative appeals.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these developments could adversely affect our business, financial condition, operating results, and future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estimates or judgments relating to our critical accounting estimates prove to be incorrect, our operating results could be adversely affected.</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Operating Results, in the section titled “Critical Accounting Estimates.” The results of these estimates form the basis for making judgments about the carrying values of assets, liabilities, and equity, and the amount of revenue and expenses that are not readily apparent from other sources. Significant estimates and judgments include revenue recognition and impairment assessments.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13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 count or over 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performance or customer base,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Risks</w:t>
      </w:r>
    </w:p>
    <w:p>
      <w:pPr>
        <w:spacing w:after="0" w:line="16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customers and business operations in countries and regions that account for a significant amount of our send volume and our operations are exposed to rapid changes in laws and the enforcement of laws, macroeconomic conditions, and geopolitical developments that expose us to a risk of loss and that could adversely affect our business, financial condition, operating results, and future prospects.</w:t>
      </w:r>
    </w:p>
    <w:p>
      <w:pPr>
        <w:spacing w:after="0" w:line="11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The majority of our total revenue is currently derived from remittances being sent from the United States and Canada to India, Mexico, and the Philippines. Further, we maintain business operations in a number of foreign jurisdictions such as Nicaragua and the Philippines. As a result, any macroeconomic trends and conditions (including a rise in inflation) or geopolitical trends (including changes in U.S. or Canadian social, political, regulatory, and economic conditions or in laws and policies governing immigration, fiscal policy, foreign trade, and foreign investment following recent or future administration changes in those jurisdictions) that disrupt these regions or alter their immigration patterns, economic conditions, or cultural norms could have an impact on the demand for our services or our ability to provide such services. Any economic or political instability, regional and global conflicts, natural disasters, public health crises, or other similar circumstances affecting these regions also could have a disproportionately harmful impact on our business, financial condition, operating results, and future prospects. For example, the COVID-19 pandemic and stay at home protocols imposed operational challenges on our business, and future pandemics or other public health crises could result in similar challenges that may negatively impact our business. In addition, although our operations in Ukraine and the Middle East do not currently represent a significant portion of our business, the continuation or further escalation of the conflicts in these regions could negatively impact our broader European operations, affect the ability of our development teams in Israel to operate effectively, or otherwise disrupt the development or availability of our products on a timely basis.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Global trade policy or international relations between larger developed countries could also impact our services or our ability to serve those regions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for Chinese companies and create obstacles for us.</w:t>
      </w:r>
    </w:p>
    <w:p>
      <w:pPr>
        <w:spacing w:after="0" w:line="12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Changes in U.S. or other immigration laws that discourage immigration or international migration, or that prohibit, limit, or discourage use of remittances, as well as other events that impact global migration to the United States or other key remittance jurisdictions, could adversely affect our gross send volume or growth rate in the future.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13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the risks of earthquakes, fires, floods, public health crises (including epidemics or pandemics such as the COVID-19 pandemic), and other natural catastrophic events, and to interruption by man-made problems such as cyberattacks, cybersecurity breaches, service outages, or other similar incidents, internal or third-party system failures, political unrest, market or currency disruptions, and terrorism, which could result in system and process failures and interruptions which could harm our business.</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Our corporate headquarters is located in Seattle, Washington, and our cloud services providers and data centers are also largely located in the western United States. The west coast of the United States contains active earthquake zones. Further,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cybersecurity breaches, service outages, or other similar incidents, human error, hardware or software defects or malfunctions (including defects or malfunctions of components of our systems and networks that are supplied by third-party vendors and service providers), and similar events or disruptions. As we rely heavily on our servers, computer and communications systems, and the internet to conduct our business and provide high-quality customer service, disruptions in these systems and networks could harm our ability to operate our business, impede our employees’ ability to conduct business activities whether at our facilities or from a remote location, and cause lengthy delays, which could harm our business, financial condition, operating results, and future prospects.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12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Additionally, some of the countries in which we operate, as well as to which our disbursement partners deliver the funds we transfer, regularly experience serious political unrest or upheaval. Such political unrest may lead to temporary or long-term disruptions to our business operations or disbursement network in the affected countries. If such disruption were ongoing, our customers may look to other methods of transferring funds, or we may be unable to resume our services or operations in such countries, and our business and financial results may be harmed.</w:t>
      </w:r>
    </w:p>
    <w:p>
      <w:pPr>
        <w:spacing w:after="0" w:line="139"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The insurance we maintain may be insufficient to cover our losses resulting from any such incidents or events, and any such incidents or events may result in loss of, or increased costs of, such insurance.</w:t>
      </w:r>
    </w:p>
    <w:p>
      <w:pPr>
        <w:spacing w:after="0" w:line="11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For additional information regarding risks associated with cyberattacks, cybersecurity breaches, service outages, and other similar incidents, see “—Cyberattacks, cybersecurity breaches, service outages, or other similar incidents could result in serious harm to our business, financial condition, operating results, reputation, and future prospects, including by triggering regulatory action or a breach of our agreements with significant partners that we rely on to deliver our services.”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6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price of our common stock has been, and may continue to be, volatile or may decline regardless of our operating performance, and you may lose part or all of your investment.</w:t>
      </w:r>
    </w:p>
    <w:p>
      <w:pPr>
        <w:spacing w:after="0" w:line="11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market prices of the securities of newly public companies, including ours, have historically been highly volatile and will likely continue to be volatile. In addition to the factors discussed in this Annual Report on Form 10-K, the market price of our common stock may fluctuate significantly in response to numerous factors, many of which are beyond our control, including:</w:t>
      </w:r>
    </w:p>
    <w:p>
      <w:pPr>
        <w:spacing w:after="0" w:line="138"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performance of the equity markets;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revenue and other operating results;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financial projections we may provide to the public or our failure to meet these projections;</w:t>
      </w:r>
    </w:p>
    <w:p>
      <w:pPr>
        <w:spacing w:after="0" w:line="59" w:lineRule="exact"/>
        <w:rPr>
          <w:rFonts w:ascii="Times New Roman" w:cs="Times New Roman" w:eastAsia="Times New Roman" w:hAnsi="Times New Roman"/>
          <w:sz w:val="16"/>
          <w:szCs w:val="16"/>
          <w:color w:val="auto"/>
        </w:rPr>
      </w:pPr>
    </w:p>
    <w:p>
      <w:pPr>
        <w:ind w:left="660" w:right="220" w:hanging="328"/>
        <w:spacing w:after="0" w:line="28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securities analysts to initiate or maintain coverage of us, changes in financial estimates by any securities analysts who follow us, or our failure to meet these estimates or the expectations of investors;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recruitment or departure of key personnel;</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economy as a whole and conditions in our industry;</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publicity related to the real or perceived quality of our service, as well as the failure to timely launch new products and services that achieve acceptance;</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rumors and speculation involving us or other companies in our industry or newly public companies;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820" w:hanging="328"/>
        <w:spacing w:after="0" w:line="280"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products or services (including with respect to cryptocurrency or blockchain technology), commercial relationships, or significant technical innovations;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strategic partnerships, joint ventures, or capital commitments;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laws or regulations or new interpretations of existing laws or regulations applicable to our business;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lawsuits threatened or filed against us, litigation involving our industry, or both;</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our or other parties’ products, services, or IP Rights;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policies, guidelines, interpretations, or principles;</w:t>
      </w:r>
    </w:p>
    <w:p>
      <w:pPr>
        <w:spacing w:after="0" w:line="72" w:lineRule="exact"/>
        <w:rPr>
          <w:rFonts w:ascii="Times New Roman" w:cs="Times New Roman" w:eastAsia="Times New Roman" w:hAnsi="Times New Roman"/>
          <w:sz w:val="16"/>
          <w:szCs w:val="16"/>
          <w:color w:val="auto"/>
        </w:rPr>
      </w:pPr>
    </w:p>
    <w:p>
      <w:pPr>
        <w:ind w:left="660" w:right="60" w:hanging="328"/>
        <w:spacing w:after="0" w:line="280"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interpretations of any of the above or other factors by trading algorithms, including those that employ natural language processing and related methods to evaluate our public disclosures;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those resulting from war, incidents of terrorism, natural disasters, pandemics, or responses to those events; and</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shares of our common stock by us, our directors and executive officers, or our stockholders.</w:t>
      </w:r>
    </w:p>
    <w:p>
      <w:pPr>
        <w:spacing w:after="0" w:line="167"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operating results, and future prospects.</w:t>
      </w:r>
    </w:p>
    <w:p>
      <w:pPr>
        <w:spacing w:after="0" w:line="122" w:lineRule="exact"/>
        <w:rPr>
          <w:sz w:val="20"/>
          <w:szCs w:val="20"/>
          <w:color w:val="auto"/>
        </w:rPr>
      </w:pPr>
    </w:p>
    <w:p>
      <w:pPr>
        <w:ind w:right="6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9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Based upon the information available to us about our shares outstanding as of December 31, 2024, our executive officers, directors, and current beneficial owners of 5% or more of our common stock, in the aggregate, beneficially own a substantial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sales of our common stock in the public market could cause the market price of our common stock to decline.</w:t>
      </w:r>
    </w:p>
    <w:p>
      <w:pPr>
        <w:spacing w:after="0" w:line="1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17"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11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24" w:lineRule="exact"/>
        <w:rPr>
          <w:sz w:val="20"/>
          <w:szCs w:val="20"/>
          <w:color w:val="auto"/>
        </w:rPr>
      </w:pPr>
    </w:p>
    <w:p>
      <w:pPr>
        <w:ind w:left="660" w:right="34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any action to be taken by our stockholders be effected at a duly called annual or special meeting and not by written consent;</w:t>
      </w:r>
    </w:p>
    <w:p>
      <w:pPr>
        <w:spacing w:after="0" w:line="72"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that special meetings of our stockholders can be called only by our board of directors, the chairperson of our board of directors, or our Chief Executive Officer;</w:t>
      </w:r>
    </w:p>
    <w:p>
      <w:pPr>
        <w:spacing w:after="0" w:line="2" w:lineRule="exact"/>
        <w:rPr>
          <w:rFonts w:ascii="Times New Roman" w:cs="Times New Roman" w:eastAsia="Times New Roman" w:hAnsi="Times New Roman"/>
          <w:sz w:val="16"/>
          <w:szCs w:val="16"/>
          <w:color w:val="auto"/>
        </w:rPr>
      </w:pPr>
    </w:p>
    <w:p>
      <w:pPr>
        <w:ind w:left="660" w:right="20" w:hanging="328"/>
        <w:spacing w:after="0" w:line="29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 advance notice procedure for stockholder proposals to be brought before an annual meeting, including proposed nominations of persons for election to our board of directors;</w:t>
      </w: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with each class serving three-year staggered terms;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cumulative voting in the election of directors;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for cause only upon the vote of sixty-six and two-thirds percent (66 2/3%) of our outstanding shares of common stock;</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vote of directors then in office, even though less than a quorum; and</w:t>
      </w:r>
    </w:p>
    <w:p>
      <w:pPr>
        <w:spacing w:after="0" w:line="72" w:lineRule="exact"/>
        <w:rPr>
          <w:rFonts w:ascii="Times New Roman" w:cs="Times New Roman" w:eastAsia="Times New Roman" w:hAnsi="Times New Roman"/>
          <w:sz w:val="16"/>
          <w:szCs w:val="16"/>
          <w:color w:val="auto"/>
        </w:rPr>
      </w:pPr>
    </w:p>
    <w:p>
      <w:pPr>
        <w:ind w:left="660" w:right="240" w:hanging="328"/>
        <w:spacing w:after="0" w:line="280"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including indirect ownership, in a licensed money transmitter. Accordingly, current or prospective investors seeking to acquire ownership of securities above certain thresholds in the aggregate may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2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Increased scrutiny from regulators, investors, and other stakeholders regarding our environmental, social, governance or sustainability responsibilities, strategy, and related disclosures could result in additional costs or risks and adversely impact our reputation, employee retention, and willingness of consumers and merchants to do business with us.</w:t>
      </w:r>
    </w:p>
    <w:p>
      <w:pPr>
        <w:spacing w:after="0" w:line="11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Regulators, investor advocacy groups, certain institutional investors, investment funds, stockholders, consumers and other industry participants have focused increasingly on the environmental, social, and governance (“ESG”) or “sustainability” practices of companies. These parties have placed increased importance on the implications of the social cost of their investments. We may incur additional costs and require additional resources as we evolve our ESG or global impact strategy, practices, and related disclosures. If our ESG or global impact strategy, practices, and related disclosures, including the impact of our business on climate change, do not meet (or are viewed as not meeting) regulator, investor, or other industry stakeholder expectations and standards, which continue to evolve and may emphasize different priorities than the ones we choose to focus on, our brand, reputation, and employee retention may be negatively impacted. We could also incur additional costs and require additional resources to monitor, report, and comply with various ESG practices and regulations. Also, our failure, or perceived failure, to manage reputational threats and meet expectations with respect to socially responsible activities and sustainability commitments could negatively impact our brand, reputation, employee retention, and the willingness of our customers to do business with us.</w:t>
      </w:r>
    </w:p>
    <w:p>
      <w:pPr>
        <w:spacing w:after="0" w:line="14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0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do not intend to pay any cash dividends in the foreseeable future. In addition, our 2021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publish unfavorable or inaccurate research about our business, our stock price and trading volume could decline.</w:t>
      </w:r>
    </w:p>
    <w:p>
      <w:pPr>
        <w:spacing w:after="0" w:line="17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Our stock price and trading volume is heavily influenced by the way analysts and investors interpret our financial information and other disclosures. If industry analysts cease coverage of us, our stock price would likely be negatively affected. If securities or industry analysts do not publish research or reports about our business, downgrade our common stock, or publish negative reports about our business, our stock price would likely decline.</w:t>
      </w:r>
    </w:p>
    <w:p>
      <w:pPr>
        <w:spacing w:after="0" w:line="113" w:lineRule="exact"/>
        <w:rPr>
          <w:sz w:val="20"/>
          <w:szCs w:val="20"/>
          <w:color w:val="auto"/>
        </w:rPr>
      </w:pPr>
    </w:p>
    <w:p>
      <w:pPr>
        <w:ind w:right="3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9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Cybersecurity risk management is an integral part of our overall enterprise risk management program. Our cybersecurity risk management program is designed to follow our industry’s best practices and provides a framework for identifying, monitoring, assessing, and responding to cybersecurity threats and incidents, including threats and incidents associated with the use of third-party vendors and service providers, and facilitating coordination across the Company.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strategies, evaluating any related disclosure obligations, and informing management, our audit and risk committee, and our board of directors of potentially material cybersecurity threats and incidents or other significant changes in the evolving cybersecurity threat landscape.</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Our information security team is responsible for assessing and maintaining our cybersecurity risk management program. In addition, our information security team engages third-party security experts on an as-needed basis for risk assessment and system enhancements. Our information security team also facilitates training to all employees during the onboarding process and annually, with additional training as we deem appropriate. We review or update our cybersecurity policies annually, or more frequently on an as-needed basis, to account for changes in the evolving cybersecurity threat landscape as well as legal and regulatory developments. Although we have continued to invest in our due diligence, onboarding, and monitoring capabilities over critical third parties with whom we do business, including our third-party vendors and service providers, our control over the security posture of, and ability to monitor the cybersecurity practices of, such third parties remains limited, and there can be no assurance that we can prevent, mitigate, or remediate the risk of any compromise or failure in the cybersecurity infrastructure owned or controlled by such third parties. When we do become aware that a third-party vendor or service provider has experienced such compromise or failure, we attempt to mitigate our risk, including by terminating such third party’s connection to our information systems and networks where appropriate.</w:t>
      </w:r>
    </w:p>
    <w:p>
      <w:pPr>
        <w:spacing w:after="0" w:line="14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 2024,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Factors–Cybersecurity, Privacy, Intellectual Property, and Technology Risks” in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management, Chief Information Security Officer (“CISO”), information security team, and legal team are responsible for identifying and assessing cybersecurity risks on an ongoing basis, establishing processes designed to ensure that such potential cybersecurity risk exposures are monitored, putting in place appropriate mitigation and remediation measures, and maintaining cybersecurity programs. Our cybersecurity programs are managed under the direction of our CISO, who receives reports from our information security team and monitors the prevention, detection, mitigation, and remediation of cybersecurity risks. Our CISO and dedicated information security personnel maintain certain cybersecurity-related certifications and are experienced information systems security professionals and information security managers with many years of experience. In particular, our CISO maintains the following certifications: Certified Information Systems Auditor from the Information System Audit and Control Association and Certified Information Systems Security Professional from ISC2. Our management, CISO, and information security team provide updates on at least a quarterly basis to our audit and risk committee on the Company’s cybersecurity programs and material cybersecurity risks and mitigation strategies, and provide cybersecurity reports on at least a quarterly basis that cover, among other topics, third-party assessments of the Company’s cybersecurity programs, updates to the Company’s cybersecurity programs and mitigation strategies, and other cybersecurity developments. In addition to such regular updates, and as part of our incident response processes, our CISO also provides updates on certain cybersecurity threats and incidents to the audit and risk committee and, as necessary, to the full board of directors, based on the assessment of risk by our management, CISO, information security team, and legal team.</w:t>
      </w:r>
    </w:p>
    <w:p>
      <w:pPr>
        <w:spacing w:after="0" w:line="1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board of directors has oversight responsibility for our overall enterprise risk management, and delegates cybersecurity risk management oversight to our audit and risk committee. As part of its enterprise risk management efforts, our board of directors also meets with management to assess and respond to critical business risks, including those that may arise from cybersecurity threats and incidents. Our audit and risk committee is responsible for ensuring that management has policies and processes in place designed to identify, monitor, assess, and respond to cybersecurity, data privacy, and other information technology risks to which the Company is exposed. Further, our audit and risk committee reports material cybersecurity risks to our full board of directors, based on the assessment of risk by our management, CISO, information security team, internal audit team, and legal team.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6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As of December 31, 2024, we leased and occupied facilities in various countries. Our corporate headquarters are located in Seattle, Washington, where we currently occupy facilities totaling approximately 79,000 square feet under a lease that expires in June 2025. In addition, during 2024 we entered into a separate agreement to lease certain office space in Seattle, Washington for use of our corporate headquarters. The payment terms for this lease begin in July 2025 for a period of seven years with optional renewal periods available. Other significant leased properties include facilities in Israel, Nicaragua, the United Kingdom, the Philippines, Poland, and Ireland. We use these facilities for administration, finance, legal, human resources, IT, marketing, software engineering, and customer service.</w:t>
      </w:r>
    </w:p>
    <w:p>
      <w:pPr>
        <w:spacing w:after="0" w:line="126" w:lineRule="exact"/>
        <w:rPr>
          <w:sz w:val="20"/>
          <w:szCs w:val="20"/>
          <w:color w:val="auto"/>
        </w:rPr>
      </w:pPr>
    </w:p>
    <w:p>
      <w:pPr>
        <w:jc w:val="both"/>
        <w:ind w:right="520"/>
        <w:spacing w:after="0" w:line="272" w:lineRule="auto"/>
        <w:rPr>
          <w:sz w:val="20"/>
          <w:szCs w:val="20"/>
          <w:color w:val="auto"/>
        </w:rPr>
      </w:pPr>
      <w:r>
        <w:rPr>
          <w:rFonts w:ascii="Times New Roman" w:cs="Times New Roman" w:eastAsia="Times New Roman" w:hAnsi="Times New Roman"/>
          <w:sz w:val="16"/>
          <w:szCs w:val="16"/>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From time to time, we may be subject to legal or regulatory proceedings and claims in the ordinary course of business, including intellectual property,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6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Our common stock began trading on the Nasdaq Global Select Market (the “NASDAQ”) under the symbol “RELY” on September 23, 2021. Prior to that date, there was no public trading market for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69"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As of February 17, 2025, there were 20 stockholders of record of our common stock. The actual number of stockholders is significantly greater than this number of record holders, and includes stockholders who are beneficial owners but whose shares are held in street name by brokers and other nominees.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The information in this “Stock Performance” section shall not be deemed to be “soliciting material” or to be “filed” with the SEC for purposes of Section 18 of the Exchange Act, or otherwise subject to liabilities under that Section, and shall not be deemed to be incorporated by reference into any of our filings under the Securities Act of 1933, as amended.</w:t>
      </w:r>
    </w:p>
    <w:p>
      <w:pPr>
        <w:spacing w:after="0" w:line="13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following data and graph show a comparison of the cumulative total stockholder return for our common stock, the Russell 2000 Growth Index, and the KBW NASDAQ Financial Technology Index from September 23, 2021, through December 31, 2024. This data assumes simultaneous investments of $100 on September 23, 2021, and reinvestment of any dividends.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88265</wp:posOffset>
            </wp:positionV>
            <wp:extent cx="6660515" cy="3086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051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Authorized for Issuance Under Equity Compensation Plans</w:t>
      </w:r>
    </w:p>
    <w:p>
      <w:pPr>
        <w:spacing w:after="0" w:line="171"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For information on securities authorized for issuance under our equity compensation plans see “Item 12. Security Ownership of Certain Beneficial Owners and Management and Related Stockholders Matters” of this Annual Report on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Sales of Unregistered Securities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In April 2024, we issued 112,888 shares of our common stock to former shareholders of Rewire in connection with the release of equity proceeds held back pursuant to the terms of the Rewire acquisition. The shares were issued to former shareholders that were not a “U.S. person,” as defined in Rule 902 of Regulation S under the Securities Act, or were an “accredited investor,” and the issuances were exempt from the registration requirements of the Securities Act under Regulation S and Rule 506 of Regulation D, respectively. The shares bear a restrictive Securities Act legend. See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in our notes to the consolidated financial statements included in Part II, Item 8 of this Annual Report on Form 10-K for further details.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Issuer Purchase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Proceeds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 All of the shares issued and sold in our IPO were registered under the Securities Act pursuant to a registration statement on Form S-1 (File No. 333-259167), which was declared effective by the SEC on September 22, 2021. As of December 31, 2024, the proceeds from the IPO have been applied as described in our final prospectus filed with the SEC on September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our consolidated financial statements and the related notes appearing elsewhere in this Annual Report on Form 10-K and our audited consolidated financial statements and the related notes.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10-K represent our views as of the date of this Form 10-K.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10-K.</w:t>
      </w:r>
    </w:p>
    <w:p>
      <w:pPr>
        <w:spacing w:after="0" w:line="125"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6"/>
          <w:szCs w:val="16"/>
          <w:i w:val="1"/>
          <w:iCs w:val="1"/>
          <w:color w:val="auto"/>
        </w:rPr>
        <w:t>This section generally discusses the results of our operations for the year ended December 31, 2024, compared to the year ended December 31, 2023. For a discussion of the year ended December 31, 2023, compared to the year ended December 31, 2022, please refer to Part I, Item 7, “Management’s Discussion and Analysis of Financial Condition and Results of Operations” in our Annual Report on Form 10-K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3"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Model</w:t>
      </w:r>
    </w:p>
    <w:p>
      <w:pPr>
        <w:spacing w:after="0" w:line="16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9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24"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w:t>
      </w:r>
    </w:p>
    <w:p>
      <w:pPr>
        <w:spacing w:after="0" w:line="11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Performance Metrics</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Active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 customers, measured as of the quarterly periods ended December 31, 2024, 2023, and 2022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Active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number of our active customers is an important indicator of customer engagement, customer retention, and the overall growth of our business.</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Active customers increased to approximately 7.8 million, or 32% growth, for the three months ended December 31, 2024, compared to the three months ended December 31, 2023. This increase was primarily due to an increase in the number of new customers, driven by investments in our mobile app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(India, Mexico, and the Philippines), our successful diversification of our corridor portfolio across both send and receive countries has contributed to new customer growth.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Send Volume</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Send volume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54,615</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28,631</w:t>
            </w:r>
          </w:p>
        </w:tc>
      </w:tr>
    </w:tbl>
    <w:p>
      <w:pPr>
        <w:spacing w:after="0" w:line="24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We measure send volume to assess the scale of remittances sent by our customers. Our customers mostly send from the United States and Canada. Our customers and their recipients are located in over 170 countries and territories across the globe; the largest receive countries by send volume include India, Mexico, and the Philippines.</w:t>
      </w:r>
    </w:p>
    <w:p>
      <w:pPr>
        <w:spacing w:after="0" w:line="124"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Send volume increased 38%, to $54.6 billion for the year ended December 31, 2024, compared to $39.5 billion for the year ended December 31, 2023, driven by the increase in active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Retention and High Customer Engagement</w:t>
      </w:r>
    </w:p>
    <w:p>
      <w:pPr>
        <w:spacing w:after="0" w:line="171"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Our send volume is primarily driven by existing customers who regularly use our remittance product to send money to family and friends. We believe our mobile-first products and superior customer experience encourage high retention and repeat usage, which are significant though not the only drivers of our performance.</w:t>
      </w:r>
    </w:p>
    <w:p>
      <w:pPr>
        <w:spacing w:after="0" w:line="97" w:lineRule="exact"/>
        <w:rPr>
          <w:sz w:val="20"/>
          <w:szCs w:val="20"/>
          <w:color w:val="auto"/>
        </w:rPr>
      </w:pPr>
    </w:p>
    <w:p>
      <w:pPr>
        <w:ind w:right="760"/>
        <w:spacing w:after="0" w:line="298" w:lineRule="auto"/>
        <w:rPr>
          <w:sz w:val="20"/>
          <w:szCs w:val="20"/>
          <w:color w:val="auto"/>
        </w:rPr>
      </w:pPr>
      <w:r>
        <w:rPr>
          <w:rFonts w:ascii="Times New Roman" w:cs="Times New Roman" w:eastAsia="Times New Roman" w:hAnsi="Times New Roman"/>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Attracting New Customers</w:t>
      </w:r>
    </w:p>
    <w:p>
      <w:pPr>
        <w:spacing w:after="0" w:line="1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continued ability to attract new customers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loss and Adjusted EBITDA in the quarter they are acquired, but are expected to favorably impact net loss and Adjusted EBITDA in subsequent periods as many customers continue to send transactions in the periods after they are acquired.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Acquisition Costs</w:t>
      </w:r>
    </w:p>
    <w:p>
      <w:pPr>
        <w:spacing w:after="0" w:line="17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 w:cs="Times New Roman" w:eastAsia="Times New Roman" w:hAnsi="Times New Roman"/>
          <w:sz w:val="16"/>
          <w:szCs w:val="16"/>
          <w:i w:val="1"/>
          <w:iCs w:val="1"/>
          <w:color w:val="auto"/>
        </w:rPr>
        <w:t>Basis of Presentation and 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Significant Accounting Policies </w:t>
      </w:r>
      <w:r>
        <w:rPr>
          <w:rFonts w:ascii="Times New Roman" w:cs="Times New Roman" w:eastAsia="Times New Roman" w:hAnsi="Times New Roman"/>
          <w:sz w:val="16"/>
          <w:szCs w:val="16"/>
          <w:color w:val="auto"/>
        </w:rPr>
        <w:t>in the notes to the consolidated financial statements included in Part II, Item 8 of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Corridor Mix</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Additionally, the number of business days in a quarter and the day of the week that the last day of the quarter falls on may also introduce variability in our results, working capital balances, or cash flows period over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Technology</w:t>
      </w:r>
    </w:p>
    <w:p>
      <w:pPr>
        <w:spacing w:after="0" w:line="17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 will continue to invest significant resources in our technology.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Risk and Fraud</w:t>
      </w:r>
    </w:p>
    <w:p>
      <w:pPr>
        <w:spacing w:after="0" w:line="17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Macroeconomic and Geopolitical Changes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Global macroeconomic and geopolitical factors, including inflation, currency fluctuations, immigration and immigration policy, regulatory changes, trade and regulatory policies,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or immigration policy, and changes to digital adoption trends may shift the timing and volume of transactions, or the number of customers using our service. 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Refer to Note 2. </w:t>
      </w:r>
      <w:r>
        <w:rPr>
          <w:rFonts w:ascii="Times New Roman" w:cs="Times New Roman" w:eastAsia="Times New Roman" w:hAnsi="Times New Roman"/>
          <w:sz w:val="16"/>
          <w:szCs w:val="16"/>
          <w:i w:val="1"/>
          <w:iCs w:val="1"/>
          <w:color w:val="auto"/>
        </w:rPr>
        <w:t xml:space="preserve">Basis of Presentation and Summary of Significant Accounting Policies </w:t>
      </w:r>
      <w:r>
        <w:rPr>
          <w:rFonts w:ascii="Times New Roman" w:cs="Times New Roman" w:eastAsia="Times New Roman" w:hAnsi="Times New Roman"/>
          <w:sz w:val="16"/>
          <w:szCs w:val="16"/>
          <w:color w:val="auto"/>
        </w:rPr>
        <w:t>in the notes to the consolidated financial statements included in Part II, Item 8 of this Annual Report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Form 10-K for a more comprehensive description of current business concentrations.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7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Our revenue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 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liabilities’ </w:t>
      </w:r>
      <w:r>
        <w:rPr>
          <w:rFonts w:ascii="Times New Roman" w:cs="Times New Roman" w:eastAsia="Times New Roman" w:hAnsi="Times New Roman"/>
          <w:sz w:val="16"/>
          <w:szCs w:val="16"/>
          <w:color w:val="auto"/>
        </w:rPr>
        <w:t>on the Consolidated Balance Sheets included in Part II, Item 8 of this Annual Report on Form 10-K. Over the long term we expect to continue to benefit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improvements in our proprietary fraud models, although we expect some variability in transaction expense from quarter to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17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w:t>
      </w:r>
    </w:p>
    <w:p>
      <w:pPr>
        <w:spacing w:after="0" w:line="17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are separately presented under the caption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Consolidated Statements of Operations included in Part II, Item 8 of this Annual Report on Form 10-K.</w:t>
      </w:r>
    </w:p>
    <w:p>
      <w:pPr>
        <w:spacing w:after="0" w:line="12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Such expenses primarily include external legal, accounting, valuation, and due diligence costs, advisory and other professional services fees necessary to integrate acquired businesses. Refer to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 for further details.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Depreciation and amortization expense includes depreciation on property and equipment and leasehold improvements, as well as the amortization of internal-use software costs and 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primarily of the interest expense on our borrowings.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8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Other income (expense), net, primarily includes foreign currency exchange gains and losses due to remeasurement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We expect to maintain this full valuation allowance in the United States for the foreseeable future as it is more likely than not that the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together with the dollar and percentage change for the years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00" w:type="dxa"/>
            <w:vAlign w:val="bottom"/>
          </w:tcPr>
          <w:p>
            <w:pPr>
              <w:spacing w:after="0"/>
              <w:rPr>
                <w:sz w:val="19"/>
                <w:szCs w:val="19"/>
                <w:color w:val="auto"/>
              </w:rPr>
            </w:pPr>
          </w:p>
        </w:tc>
        <w:tc>
          <w:tcPr>
            <w:tcW w:w="138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4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944,285</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319,678</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37"/>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3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1,303,049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1,058,480</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244,569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3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5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4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3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4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4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discussion and analysis is for the year ended December 31, 2024 compared to the same period in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Revenue increased $319.7 million, or 34%, for the year ended December 31, 2024, compared to the year ended December 31, 2023. The increase was primarily driven by a 32% increase in active customers period over period, continued strength in the retention of existing customers, favorable customer behavior based on foreign currency movement,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country to which the funds are transferred.</w:t>
      </w:r>
    </w:p>
    <w:p>
      <w:pPr>
        <w:spacing w:after="0" w:line="14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 a reflection of this growth, send volume increased 38% to $54.6 billion for the year ended December 31, 2024, as compared to $39.5 billion for the year ended December 31,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8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Transaction expenses increased $102.5 million, or 31%, to $431.6 million for the year ended December 31, 2024, compared to $329.1 million for the year ended December 31, 2023. The increase was primarily due to an $80.5 million, or 30%, increase in direct costs associated with processing a higher volume of our customers’ remittance transactions and the disbursement of our customers’ funds to their recipients, and a $19.6 million increase in our provision for transaction losses.</w:t>
      </w:r>
    </w:p>
    <w:p>
      <w:pPr>
        <w:spacing w:after="0" w:line="117" w:lineRule="exact"/>
        <w:rPr>
          <w:sz w:val="20"/>
          <w:szCs w:val="20"/>
          <w:color w:val="auto"/>
        </w:rPr>
      </w:pPr>
    </w:p>
    <w:p>
      <w:pPr>
        <w:ind w:right="1040"/>
        <w:spacing w:after="0" w:line="466" w:lineRule="auto"/>
        <w:rPr>
          <w:sz w:val="20"/>
          <w:szCs w:val="20"/>
          <w:color w:val="auto"/>
        </w:rPr>
      </w:pPr>
      <w:r>
        <w:rPr>
          <w:rFonts w:ascii="Times New Roman" w:cs="Times New Roman" w:eastAsia="Times New Roman" w:hAnsi="Times New Roman"/>
          <w:sz w:val="16"/>
          <w:szCs w:val="16"/>
          <w:color w:val="auto"/>
        </w:rPr>
        <w:t xml:space="preserve">As a percentage of revenue, transaction expenses decreased to 34% for the year ended December 31, 2024, from 35% for the year ended December 31, 2023. </w:t>
      </w:r>
      <w:r>
        <w:rPr>
          <w:rFonts w:ascii="Times New Roman" w:cs="Times New Roman" w:eastAsia="Times New Roman" w:hAnsi="Times New Roman"/>
          <w:sz w:val="16"/>
          <w:szCs w:val="16"/>
          <w:b w:val="1"/>
          <w:bCs w:val="1"/>
          <w:i w:val="1"/>
          <w:iCs w:val="1"/>
          <w:color w:val="auto"/>
        </w:rPr>
        <w:t>Customer Support and Operations Expenses</w:t>
      </w:r>
    </w:p>
    <w:p>
      <w:pPr>
        <w:spacing w:after="0" w:line="1"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Customer support and operations expenses increased $1.4 million, or 2%, for the year ended December 31, 2024, compared to the year ended December 31, 2023. The increase was primarily driven by a $1.0 million increase in personnel-related costs compared to the year ended December 31, 2023.</w:t>
      </w:r>
    </w:p>
    <w:p>
      <w:pPr>
        <w:spacing w:after="0" w:line="11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As a percentage of revenue, customer support and operations expenses decreased to 7% for the year ended December 31, 2024, from 9% for the year ended December 31, 2023. The decrease was primarily due to process improvements and automation across customer support headcount at internal and third-party customer support sites.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Expenses</w:t>
      </w:r>
    </w:p>
    <w:p>
      <w:pPr>
        <w:spacing w:after="0" w:line="171"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Marketing expenses increased $69.4 million, or 30%, for the year ended December 31, 2024, compared to the year ended December 31, 2023, primarily due to an increase of $56.2 million in advertising expense and other targeted marketing expense, including online and offline marketing spend and promotion costs to acquire new customers. In addition, personnel-related costs increased by $9.1 million, driven by a 22% increase in marketing headcount compared to year ended December 31, 2023.</w:t>
      </w:r>
    </w:p>
    <w:p>
      <w:pPr>
        <w:spacing w:after="0" w:line="130" w:lineRule="exact"/>
        <w:rPr>
          <w:sz w:val="20"/>
          <w:szCs w:val="20"/>
          <w:color w:val="auto"/>
        </w:rPr>
      </w:pPr>
    </w:p>
    <w:p>
      <w:pPr>
        <w:ind w:right="1060"/>
        <w:spacing w:after="0" w:line="457" w:lineRule="auto"/>
        <w:rPr>
          <w:sz w:val="20"/>
          <w:szCs w:val="20"/>
          <w:color w:val="auto"/>
        </w:rPr>
      </w:pPr>
      <w:r>
        <w:rPr>
          <w:rFonts w:ascii="Times New Roman" w:cs="Times New Roman" w:eastAsia="Times New Roman" w:hAnsi="Times New Roman"/>
          <w:sz w:val="16"/>
          <w:szCs w:val="16"/>
          <w:color w:val="auto"/>
        </w:rPr>
        <w:t xml:space="preserve">As a percentage of revenue, marketing expenses decreased to 24% for the year ended December 31, 2024, from 25% for the year ended December 31, 2023. </w:t>
      </w:r>
      <w:r>
        <w:rPr>
          <w:rFonts w:ascii="Times New Roman" w:cs="Times New Roman" w:eastAsia="Times New Roman" w:hAnsi="Times New Roman"/>
          <w:sz w:val="16"/>
          <w:szCs w:val="16"/>
          <w:b w:val="1"/>
          <w:bCs w:val="1"/>
          <w:i w:val="1"/>
          <w:iCs w:val="1"/>
          <w:color w:val="auto"/>
        </w:rPr>
        <w:t>Technology and Development Expenses</w:t>
      </w:r>
    </w:p>
    <w:p>
      <w:pPr>
        <w:spacing w:after="0" w:line="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Technology and development expenses increased $49.9 million, or 23%, for the year ended December 31, 2024, compared to the year ended December 31, 2023. The increase was driven by $41.2 million in personnel-related expenses, net of personnel-related expenses capitalized as internal-use software. This was the result of a 23% increase in headcount compared to the year ended December 31, 2023, as part of our continued investment in our technology. The increase in technology and development expense was also driven by an $8.1 million increase in software costs for cloud services to support incremental transaction volume.</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As a percentage of revenue, technology and development expenses decreased to 21% for the year ended December 31, 2024, from 23% for the year ended December 31, 2023, as we benefited from increasing efficiencies.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71"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increased $16.5 million, or 9%, for the year ended December 31, 2024, compared to the year ended December 31, 2023. The increase was primarily driven by a $24.4 million increase in personnel-related expenses resulting from a 24% increase in headcount compared to the year ended December 31, 2023. This was partially offset by $4.9 million decrease in professional fees, $4.3 million decrease in operational taxes, and a $2.0 million decrease in the fair market value of our charitable contributions related to our annual Pledge 1% donation.</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a percentage of revenue, general and administrative expenses decreased to 15% for the year ended December 31, 2024, from 19% for the year ended December 31, 2023, as we continue to leverage efficiencies in our general and administrative functions.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85"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Depreciation and amortization increased $4.9 million, or 38%, for the year ended December 31, 2024, compared to the year ended December 31, 2023. The increase is primarily driven by an increase in amortization of internal-use software.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71"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Interest income increased $0.6 million for the year ended December 31, 2024, as compared to the year ended December 31, 2023. The increase is primarily due to an increase in average invested balances throughout the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Interest expense increased by $0.9 million for the year ended December 31, 2024, as compared to the year ended December 31, 2023, primarily due to draws on the 2021 Revolving Credit Facility.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Other income (expense), net is primarily driven by unrealized losses and gains on foreign exchange remeasurements of certain foreign currency denominated monetary assets and liabilities.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8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provision for income taxes increased $0.8 million for the year ended December 31, 2024, as compared to the year ended December 31, 2023. The increase is primarily due to increases in taxable income in certain foreign jurisdictions and decreases in income tax benefits related to excess stock-based compensation deductions. This was partially offset by non-recurring uncertain tax positions recorded in the year ended December 31, 2023 related to intercompany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 Adjusted EBITDA, a non-GAAP financial measure to supplement net loss. Adjusted EBITDA is calculated as net loss adjusted by (i) interest (income) expense, net;</w:t>
      </w:r>
    </w:p>
    <w:p>
      <w:pPr>
        <w:spacing w:after="0" w:line="23" w:lineRule="exact"/>
        <w:rPr>
          <w:sz w:val="20"/>
          <w:szCs w:val="20"/>
          <w:color w:val="auto"/>
        </w:rPr>
      </w:pPr>
    </w:p>
    <w:p>
      <w:pPr>
        <w:ind w:right="20" w:firstLine="8"/>
        <w:spacing w:after="0" w:line="260" w:lineRule="auto"/>
        <w:tabs>
          <w:tab w:leader="none" w:pos="23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income taxes; (iii) noncash charges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and other costs.</w:t>
      </w:r>
    </w:p>
    <w:p>
      <w:pPr>
        <w:spacing w:after="0" w:line="14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11" w:lineRule="exact"/>
        <w:rPr>
          <w:sz w:val="20"/>
          <w:szCs w:val="20"/>
          <w:color w:val="auto"/>
        </w:rPr>
      </w:pPr>
    </w:p>
    <w:p>
      <w:pPr>
        <w:ind w:right="760"/>
        <w:spacing w:after="0" w:line="298" w:lineRule="auto"/>
        <w:rPr>
          <w:sz w:val="20"/>
          <w:szCs w:val="20"/>
          <w:color w:val="auto"/>
        </w:rPr>
      </w:pPr>
      <w:r>
        <w:rPr>
          <w:rFonts w:ascii="Times New Roman" w:cs="Times New Roman" w:eastAsia="Times New Roman" w:hAnsi="Times New Roman"/>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97" w:lineRule="exact"/>
        <w:rPr>
          <w:sz w:val="20"/>
          <w:szCs w:val="20"/>
          <w:color w:val="auto"/>
        </w:rPr>
      </w:pPr>
    </w:p>
    <w:p>
      <w:pPr>
        <w:ind w:left="660" w:right="480" w:hanging="328"/>
        <w:spacing w:after="0" w:line="29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changes in, or cash requirements for, our working capital needs;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income taxes that may represent a reduction in cash available to us;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gains and losses from the remeasurement of foreign currency assets and liabilities into their functional currency;</w:t>
      </w:r>
    </w:p>
    <w:p>
      <w:pPr>
        <w:spacing w:after="0" w:line="59"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noncash charges associated with the donation of our common stock in connection with our Pledge 1% commitment, which is recorded in general and administrative expenses;</w:t>
      </w:r>
    </w:p>
    <w:p>
      <w:pPr>
        <w:spacing w:after="0" w:line="16" w:lineRule="exact"/>
        <w:rPr>
          <w:rFonts w:ascii="Times New Roman" w:cs="Times New Roman" w:eastAsia="Times New Roman" w:hAnsi="Times New Roman"/>
          <w:sz w:val="16"/>
          <w:szCs w:val="16"/>
          <w:color w:val="auto"/>
        </w:rPr>
      </w:pPr>
    </w:p>
    <w:p>
      <w:pPr>
        <w:ind w:left="660" w:right="420" w:hanging="328"/>
        <w:spacing w:after="0" w:line="28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stock-based compensation expense, net, which has recently been, and will continue to be for the foreseeable future, a significant recurring expense for our business and an important part of our compensation strategy;</w:t>
      </w:r>
    </w:p>
    <w:p>
      <w:pPr>
        <w:spacing w:after="0" w:line="16" w:lineRule="exact"/>
        <w:rPr>
          <w:rFonts w:ascii="Times New Roman" w:cs="Times New Roman" w:eastAsia="Times New Roman" w:hAnsi="Times New Roman"/>
          <w:sz w:val="16"/>
          <w:szCs w:val="16"/>
          <w:color w:val="auto"/>
        </w:rPr>
      </w:pPr>
    </w:p>
    <w:p>
      <w:pPr>
        <w:ind w:left="660" w:right="280" w:hanging="328"/>
        <w:spacing w:after="0" w:line="263"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certain transaction costs, related to acquisition, integration, restructuring, and other costs. The acquisition and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w:t>
      </w:r>
    </w:p>
    <w:p>
      <w:pPr>
        <w:spacing w:after="0" w:line="17"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9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(114,019)</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Donation of common stock</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r>
      <w:tr>
        <w:trPr>
          <w:trHeight w:val="23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136,967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95,293</w:t>
            </w:r>
          </w:p>
        </w:tc>
      </w:tr>
      <w:tr>
        <w:trPr>
          <w:trHeight w:val="25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integration, restructuring, and other costs</w:t>
            </w:r>
            <w:r>
              <w:rPr>
                <w:rFonts w:ascii="Times New Roman" w:cs="Times New Roman" w:eastAsia="Times New Roman" w:hAnsi="Times New Roman"/>
                <w:sz w:val="21"/>
                <w:szCs w:val="21"/>
                <w:color w:val="auto"/>
                <w:vertAlign w:val="superscript"/>
              </w:rPr>
              <w:t>(2)</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r>
      <w:tr>
        <w:trPr>
          <w:trHeight w:val="23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134,765</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44,452</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(13,633)</w:t>
            </w:r>
          </w:p>
        </w:tc>
      </w:tr>
      <w:tr>
        <w:trPr>
          <w:trHeight w:val="21"/>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right="200" w:firstLine="8"/>
        <w:spacing w:after="0" w:line="261" w:lineRule="auto"/>
        <w:tabs>
          <w:tab w:leader="none" w:pos="132"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Note 11.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xml:space="preserve"> within the notes to the consolidated financial statements included in Part II, Item 8 of this Annual Report on Form 10-K for further detail on the donation of common stock.</w:t>
      </w:r>
    </w:p>
    <w:p>
      <w:pPr>
        <w:ind w:right="40" w:firstLine="8"/>
        <w:spacing w:after="0" w:line="396" w:lineRule="auto"/>
        <w:tabs>
          <w:tab w:leader="none" w:pos="132" w:val="left"/>
        </w:tabs>
        <w:numPr>
          <w:ilvl w:val="0"/>
          <w:numId w:val="3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Acquisition, integration, restructuring, and other costs for the year ended December 31, 2024 consisted primarily of $0.8 million in restructuring charges incurred, $0.5 million of non-recurring legal charges, and $0.2 million related to the change in the fair value of the holdback liability associated with the acquisition of Rewire. Acquisition, integration, restructuring, and other costs for the year ended December 31, 2023 consisted primarily of $1.7 million of expenses incurred in connection with the acquisition and integration of Rewire, $1.4 million in restructuring charges incurred, and $1.1 million related to the change in the fair value of the holdback liability associated with the acquisition of Rewire. Refer to Note 6. </w:t>
      </w:r>
      <w:r>
        <w:rPr>
          <w:rFonts w:ascii="Times New Roman" w:cs="Times New Roman" w:eastAsia="Times New Roman" w:hAnsi="Times New Roman"/>
          <w:sz w:val="11"/>
          <w:szCs w:val="11"/>
          <w:i w:val="1"/>
          <w:iCs w:val="1"/>
          <w:color w:val="auto"/>
        </w:rPr>
        <w:t>Business Combinations</w:t>
      </w:r>
      <w:r>
        <w:rPr>
          <w:rFonts w:ascii="Times New Roman" w:cs="Times New Roman" w:eastAsia="Times New Roman" w:hAnsi="Times New Roman"/>
          <w:sz w:val="11"/>
          <w:szCs w:val="11"/>
          <w:color w:val="auto"/>
        </w:rPr>
        <w:t xml:space="preserve"> and Note 13. </w:t>
      </w:r>
      <w:r>
        <w:rPr>
          <w:rFonts w:ascii="Times New Roman" w:cs="Times New Roman" w:eastAsia="Times New Roman" w:hAnsi="Times New Roman"/>
          <w:sz w:val="11"/>
          <w:szCs w:val="11"/>
          <w:i w:val="1"/>
          <w:iCs w:val="1"/>
          <w:color w:val="auto"/>
        </w:rPr>
        <w:t xml:space="preserve">Restructuring Initiatives </w:t>
      </w:r>
      <w:r>
        <w:rPr>
          <w:rFonts w:ascii="Times New Roman" w:cs="Times New Roman" w:eastAsia="Times New Roman" w:hAnsi="Times New Roman"/>
          <w:sz w:val="11"/>
          <w:szCs w:val="11"/>
          <w:color w:val="auto"/>
        </w:rPr>
        <w:t>in the notes to the consolidated financial statements included in Part II, Item 8 of this Annual Report on Form 10-K for more information on these costs. Acquisition,</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integration, restructuring, and other costs for the year ended December 31, 2022 primarily represent expenses related to the acquisition of Rewire.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Sources of Liquidity and Material Future Cash Requirements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As of December 31, 2024 and December 31, 2023, our principal sources of liquidity were cash and cash equivalents of $368.1 million and $323.7 million, respectively, as well as funds available under the 2021 Revolving Credit Facility, which we entered into in September 2021. The 2021 Revolving Credit Facility was amended in December 2023 to increase the revolving commitments from $250.0 million (including a $60.0 million letter of credit sub-facility) to $325.0 million. 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primarily to support customer transaction volumes during peak periods and weekends, which we expect to continue to do in the future. During the years ended December 31, 2024 and 2023, the average term of outstanding borrowings under our 2021 Revolving Credit Facility was approximately four days. Operations continue to be substantially funded by the existing cash we have on hand and ongoing utilization of the 2021 Revolving Credit Facility (including the letter of credit sub-facility). During the year ended December 31, 2024, we cumulatively borrowed $1,453.0 million against this credit facility and repaid $1,583.0 million, including outstanding amounts from the prior year. As of December 31, 2024, we had no outstanding borrowings under the 2021 Revolving Credit Facility. As of December 31, 2024, we have unused borrowing capacity of $277.3 million.</w:t>
      </w:r>
    </w:p>
    <w:p>
      <w:pPr>
        <w:spacing w:after="0" w:line="14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believe that our cash, cash equivalents, and funds available under the 2021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w:t>
      </w:r>
    </w:p>
    <w:p>
      <w:pPr>
        <w:spacing w:after="0" w:line="1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Annual Report on Form 10-K,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w:t>
      </w:r>
    </w:p>
    <w:p>
      <w:pPr>
        <w:spacing w:after="0" w:line="1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Consolidated Statements of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194,485</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(53,590)</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(108,656)</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14,587</w:t>
            </w:r>
          </w:p>
        </w:tc>
      </w:tr>
      <w:tr>
        <w:trPr>
          <w:trHeight w:val="24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(102,579)</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6"/>
          <w:szCs w:val="16"/>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 These balances within our Consolidated Statements of Cash Flows include disbursement prefunding, customer funds receivable, customer liabilities, and trade settlement liabilities, which are included within the line item ‘</w:t>
      </w:r>
      <w:r>
        <w:rPr>
          <w:rFonts w:ascii="Times New Roman" w:cs="Times New Roman" w:eastAsia="Times New Roman" w:hAnsi="Times New Roman"/>
          <w:sz w:val="16"/>
          <w:szCs w:val="16"/>
          <w:i w:val="1"/>
          <w:iCs w:val="1"/>
          <w:color w:val="auto"/>
        </w:rPr>
        <w:t>Accrued expenses and other liabilities.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For the year ended December 31, 2024, net cash provided by operating activities was $194.5 million, which was primarily driven by timing impacts of current growth in our global network. Specifically, as a result of both growth and timing, we saw an increase in cash flow due to customer funds working capital changes of $80.9 million related to combined customer funds receivable, customer liabilities, disbursement prefunding, and trade settlement liability. In addition to these and other changes in working capital, the cash generated from operations reflects the $37.0 million net loss for the period exclusive of the $173.2 million of noncash charges.</w:t>
      </w:r>
    </w:p>
    <w:p>
      <w:pPr>
        <w:spacing w:after="0" w:line="13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6"/>
          <w:szCs w:val="16"/>
          <w:color w:val="auto"/>
        </w:rPr>
        <w:t>For the year ended December 31, 2023, net cash used in operating activities was $53.6 million, which was primarily driven by an increase in overall growth in our global network of funding and disbursement partnerships, and an increase in volume of customer transactions. Specifically, as a result of both growth and timing, we saw an increase in disbursement prefunding of $31.8 million and customer funds receivable of $183.4 million, offset by an increase in customer liabilities of $61.7 million and accrued expenses and other liabilities, which is inclusive of our trade settlement liability, of $47.4 million, which were the key drivers for the unfavorable changes in our operating assets and liabilities of $91.2 million. This change in our operating assets and liabilities was also partially offset by cash generated from our operations, when excluding the $155.4 million of noncash charges included within the $117.8 million net loss for the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69"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Cash used in investing activities consists primarily of purchases of property and equipment, capitalization of internal-use software, and cash paid for acquisitions of businesses, net of acquired cash, cash equivalents, and restricted cash.</w:t>
      </w:r>
    </w:p>
    <w:p>
      <w:pPr>
        <w:spacing w:after="0" w:line="97"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Net cash used in investing activities was $17.7 million for the year ended December 31, 2024, a decrease of $32.3 million, compared to net cash used in investing activities of $50.0 million for the year ended December 31, 2023. This decrease was primarily driven by the acquisition of Rewire in the first quarter of 2023 of $40.9 million, offset by an increase in capitalized internal-use software costs of $5.5 million for the year ended December 31, 2024, as compared to the year ended December 31, 2023.</w:t>
      </w:r>
    </w:p>
    <w:p>
      <w:pPr>
        <w:spacing w:after="0" w:line="11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Net cash used in investing activities was $50.0 million for the year ended December 31, 2023, an increase of $42.7 million, compared to net cash used in investing activities of $7.3 million for the year ended December 31, 2022. This increase was primarily driven by the acquisition of Rewire in the first quarter of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6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Cash used in financing activities consists primarily of borrowings on our 2021 Revolving Credit Facility, proceeds from the exercise of stock options, and proceeds from the issuance of common stock in connection with the ESPP, offset by repayments of our 2021 Revolving Credit Facility borrowings and other indebtedness.</w:t>
      </w:r>
    </w:p>
    <w:p>
      <w:pPr>
        <w:spacing w:after="0" w:line="9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2024, was $127.4 million, a decrease of $254.1 million, compared to net cash provided by financing activities for the year ended December 31, 2023, of $126.7 million. The decrease was primarily driven by the increase in net repayments on our 2021 Revolving Credit Facility of $260.0 million and the settlement of amounts previously held back for the Rewire acquisition of $10.3 million in the year ended December 31, 2024, offset by the repayment of assumed indebtedness of $17.1 million that occurred in the year ended December 31, 2023.</w:t>
      </w:r>
    </w:p>
    <w:p>
      <w:pPr>
        <w:spacing w:after="0" w:line="13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Net cash provided by financing activities for the year ended December 31, 2023, was $126.7 million, an increase of $112.1 million, compared to net cash provided by financing activities for the year ended December 31, 2022, of $14.6 million. This increase was primarily driven by net borrowings on our 2021 Revolving Credit Facility of $130.0 million, offset by the repayment of assumed indebtedness of $17.1 million that occurred in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As of December 31, 2024, we had approximately $37.7 million in total purchase commitments under these arrangements, of which $23.0 million are expected to be paid within the next year.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2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6"/>
          <w:szCs w:val="16"/>
          <w:color w:val="auto"/>
        </w:rPr>
        <w:t xml:space="preserve">For further discussion of commitments and contingencies, also refer to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6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 xml:space="preserve">As of December 31, 2024, we had no material off-balance sheet arrangements that have, or are reasonably likely to have, a current or future material effect on our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we elected not to record leases on our Consolidated Balance Sheets if the lease term is 12 months or less. For further information on our lease arrangements, refer to Note 18.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8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and accompanying notes included in this Annual Report on Form 10-K are prepared in accordance with GAAP. The preparation of these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41"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While our significant accounting policies are described in the notes to the consolidated financial statements included in Part II, Item 8 of this Annual Report on Form 10-K, we believe that the following critical accounting estimates involve a greater degree of judgment and complexity. Accordingly, these are the policies we believe are the most important to aid in fully understanding and evaluating our reported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71"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Our primary source of revenue is generated from our remittance business. Revenue is earned from transaction fees charged to customers and the foreign exchange spreads earned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3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Customers engage us to perform one integrated service—collect the customer’s money and deliver funds to the intended recipient in the currency requested. Payment is generally due from the customer upfront upon initiation of a transaction, when the customer simultaneously agrees to our terms and conditions.</w:t>
      </w:r>
    </w:p>
    <w:p>
      <w:pPr>
        <w:spacing w:after="0" w:line="12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1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 at which time a receivable is recorded, along with a corresponding customer liability. None of our contracts contains a significant financing component.</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recognize transaction revenue on a gross basis as we are the principal for fulfilling payment transactions. As the principal to the transaction, we control the service of completing payments for our customers.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within the Consolidated Statements of Operations. We do not have any capitalized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assessments</w:t>
      </w:r>
    </w:p>
    <w:p>
      <w:pPr>
        <w:spacing w:after="0" w:line="171"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We monitor conditions related to long-lived assets and test for impairment whenever events or circumstances indicate that their carrying amount may not be recoverable, such as historical operating and/or cash flow losses of an asset group.</w:t>
      </w:r>
    </w:p>
    <w:p>
      <w:pPr>
        <w:spacing w:after="0" w:line="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perform a goodwill impairment test annually on October 31 or whenever events or changes in circumstances indicate that the carrying amount may not be fully recoverable. We have determined that our business comprises one reporting unit. The assessment of impairment involves the use of accounting estimates and assumptions, changes in which could materially impact our financial condition or operating performance if actual results differ from such estimates and assumptions. In performing the impairment assessment of goodwill, we have an option to first assess qualitative factors to determine whether events or circumstances indicate it is more likely than not that the fair value is greater than its carrying amount. We consider factors in performing a qualitative assessment, including, but not limited to, general macroeconomic conditions, industry and market conditions, company financial performance, changes in strategy, and other relevant entity-specific events. If we elect to bypass the qualitative assessment or do not pass the qualitative assessment, a quantitative assessment is then performed. The quantitative assessment compares the carrying value to the fair value of goodwill, with the difference representing an impairment loss.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8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 xml:space="preserve">Refer to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consolidated financial statements included in Part II, Item 8 of this Annual Report on Form 10-K for a discussion of recent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83" w:lineRule="exact"/>
        <w:rPr>
          <w:sz w:val="20"/>
          <w:szCs w:val="20"/>
          <w:color w:val="auto"/>
        </w:rPr>
      </w:pPr>
    </w:p>
    <w:p>
      <w:pPr>
        <w:jc w:val="both"/>
        <w:ind w:right="300"/>
        <w:spacing w:after="0" w:line="272" w:lineRule="auto"/>
        <w:rPr>
          <w:sz w:val="20"/>
          <w:szCs w:val="20"/>
          <w:color w:val="auto"/>
        </w:rPr>
      </w:pPr>
      <w:r>
        <w:rPr>
          <w:rFonts w:ascii="Times New Roman" w:cs="Times New Roman" w:eastAsia="Times New Roman" w:hAnsi="Times New Roman"/>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and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nature of our business, we are exposed to foreign exchange rate risk in a number of ways. Our principal exposure to foreign exchange rate risk includes:</w:t>
      </w:r>
    </w:p>
    <w:p>
      <w:pPr>
        <w:spacing w:after="0" w:line="167" w:lineRule="exact"/>
        <w:rPr>
          <w:sz w:val="20"/>
          <w:szCs w:val="20"/>
          <w:color w:val="auto"/>
        </w:rPr>
      </w:pPr>
    </w:p>
    <w:p>
      <w:pPr>
        <w:ind w:left="660" w:right="60" w:hanging="328"/>
        <w:spacing w:after="0" w:line="260"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40" w:lineRule="exact"/>
        <w:rPr>
          <w:rFonts w:ascii="Times New Roman" w:cs="Times New Roman" w:eastAsia="Times New Roman" w:hAnsi="Times New Roman"/>
          <w:sz w:val="16"/>
          <w:szCs w:val="16"/>
          <w:color w:val="auto"/>
        </w:rPr>
      </w:pPr>
    </w:p>
    <w:p>
      <w:pPr>
        <w:ind w:left="660" w:right="40" w:hanging="328"/>
        <w:spacing w:after="0" w:line="260"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December 31, 2024 and December 31, 2023,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$17.4 million and $19.3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remittance transactions. For example, an increase in the value of a send currency against a receive currency may accelerate the timing or amount of remittances.</w:t>
      </w:r>
    </w:p>
    <w:p>
      <w:pPr>
        <w:spacing w:after="0" w:line="144"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however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Page</w:t>
            </w:r>
          </w:p>
        </w:tc>
      </w:tr>
      <w:tr>
        <w:trPr>
          <w:trHeight w:val="189"/>
        </w:trPr>
        <w:tc>
          <w:tcPr>
            <w:tcW w:w="20" w:type="dxa"/>
            <w:vAlign w:val="bottom"/>
          </w:tcPr>
          <w:p>
            <w:pPr>
              <w:spacing w:after="0"/>
              <w:rPr>
                <w:sz w:val="16"/>
                <w:szCs w:val="16"/>
                <w:color w:val="auto"/>
              </w:rPr>
            </w:pPr>
          </w:p>
        </w:tc>
        <w:tc>
          <w:tcPr>
            <w:tcW w:w="5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Accounting Firm </w:t>
            </w:r>
            <w:r>
              <w:rPr>
                <w:rFonts w:ascii="Times New Roman" w:cs="Times New Roman" w:eastAsia="Times New Roman" w:hAnsi="Times New Roman"/>
                <w:sz w:val="16"/>
                <w:szCs w:val="16"/>
                <w:color w:val="000000"/>
              </w:rPr>
              <w:t>(PCAOB ID 238)</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57</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6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2480" w:type="dxa"/>
            <w:vAlign w:val="bottom"/>
            <w:gridSpan w:val="5"/>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1820" w:type="dxa"/>
            <w:vAlign w:val="bottom"/>
            <w:gridSpan w:val="2"/>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20" w:type="dxa"/>
            <w:vAlign w:val="bottom"/>
            <w:gridSpan w:val="2"/>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64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65</w:t>
            </w:r>
          </w:p>
        </w:tc>
        <w:tc>
          <w:tcPr>
            <w:tcW w:w="20" w:type="dxa"/>
            <w:vAlign w:val="bottom"/>
          </w:tcPr>
          <w:p>
            <w:pPr>
              <w:spacing w:after="0"/>
              <w:rPr>
                <w:sz w:val="19"/>
                <w:szCs w:val="19"/>
                <w:color w:val="auto"/>
              </w:rPr>
            </w:pPr>
          </w:p>
        </w:tc>
      </w:tr>
      <w:tr>
        <w:trPr>
          <w:trHeight w:val="1108"/>
        </w:trPr>
        <w:tc>
          <w:tcPr>
            <w:tcW w:w="20" w:type="dxa"/>
            <w:vAlign w:val="bottom"/>
          </w:tcPr>
          <w:p>
            <w:pPr>
              <w:spacing w:after="0"/>
              <w:rPr>
                <w:sz w:val="24"/>
                <w:szCs w:val="24"/>
                <w:color w:val="auto"/>
              </w:rPr>
            </w:pPr>
          </w:p>
        </w:tc>
        <w:tc>
          <w:tcPr>
            <w:tcW w:w="18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20" w:type="dxa"/>
            <w:vAlign w:val="bottom"/>
          </w:tcPr>
          <w:p>
            <w:pPr>
              <w:jc w:val="right"/>
              <w:ind w:right="5279"/>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20" w:type="dxa"/>
            <w:vAlign w:val="bottom"/>
            <w:tcBorders>
              <w:bottom w:val="single" w:sz="8" w:color="9A9A9A"/>
            </w:tcBorders>
          </w:tcPr>
          <w:p>
            <w:pPr>
              <w:spacing w:after="0"/>
              <w:rPr>
                <w:sz w:val="23"/>
                <w:szCs w:val="23"/>
                <w:color w:val="auto"/>
              </w:rPr>
            </w:pPr>
          </w:p>
        </w:tc>
        <w:tc>
          <w:tcPr>
            <w:tcW w:w="18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c>
          <w:tcPr>
            <w:tcW w:w="60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Remitly Global,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Remitly Global, Inc. and its subsidiaries (the “Company”) as of December 31, 2024 and 2023, and the related consolidated statements of operations, of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7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w:t>
      </w:r>
    </w:p>
    <w:p>
      <w:pPr>
        <w:spacing w:after="0" w:line="12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Our audits also included performing such other procedures as we considered necessary in the circumstances. We believe that our audits provide a reasonable basis for our opinions.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described in Note 3 to the consolidated financial statements, the Company's consolidated revenue was $1.26 billion for the year ended December 31, 2024. 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Company's service comprises a single performance obligation to complete transactions for the Company's customers.</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spacing w:after="0" w:line="124" w:lineRule="exact"/>
        <w:rPr>
          <w:sz w:val="20"/>
          <w:szCs w:val="20"/>
          <w:color w:val="auto"/>
        </w:rPr>
      </w:pPr>
    </w:p>
    <w:p>
      <w:pPr>
        <w:jc w:val="both"/>
        <w:ind w:firstLine="4"/>
        <w:spacing w:after="0" w:line="259"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related to the revenue recognition process, including controls over the completeness, accuracy and occurrence of revenue recognized. These procedures also included, among others, testing the completeness, accuracy and occurrence of revenue recognized for a sample of revenue transactions by (i) obtaining and inspecting source documents, which included customer transaction records, incoming cash receipts, and cash disbursement statements, and (ii) evaluating the appropriateness of revenue recognized based on the terms of the related customer transaction record.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Seattle, Washington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19,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2"/>
        </w:trPr>
        <w:tc>
          <w:tcPr>
            <w:tcW w:w="580" w:type="dxa"/>
            <w:vAlign w:val="bottom"/>
            <w:tcBorders>
              <w:top w:val="single" w:sz="8" w:color="0000FF"/>
            </w:tcBorders>
          </w:tcPr>
          <w:p>
            <w:pPr>
              <w:spacing w:after="0"/>
              <w:rPr>
                <w:sz w:val="24"/>
                <w:szCs w:val="24"/>
                <w:color w:val="auto"/>
              </w:rPr>
            </w:pPr>
          </w:p>
        </w:tc>
        <w:tc>
          <w:tcPr>
            <w:tcW w:w="7660" w:type="dxa"/>
            <w:vAlign w:val="bottom"/>
          </w:tcPr>
          <w:p>
            <w:pPr>
              <w:jc w:val="center"/>
              <w:ind w:left="233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660" w:type="dxa"/>
            <w:vAlign w:val="bottom"/>
          </w:tcPr>
          <w:p>
            <w:pPr>
              <w:jc w:val="center"/>
              <w:ind w:left="23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7660" w:type="dxa"/>
            <w:vAlign w:val="bottom"/>
          </w:tcPr>
          <w:p>
            <w:pPr>
              <w:jc w:val="center"/>
              <w:ind w:left="235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 except share and per share data</w:t>
            </w: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5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bottom w:val="single" w:sz="8" w:color="CCEEFF"/>
            </w:tcBorders>
          </w:tcPr>
          <w:p>
            <w:pPr>
              <w:spacing w:after="0"/>
              <w:rPr>
                <w:sz w:val="20"/>
                <w:szCs w:val="20"/>
                <w:color w:val="auto"/>
              </w:rPr>
            </w:pPr>
          </w:p>
        </w:tc>
        <w:tc>
          <w:tcPr>
            <w:tcW w:w="7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323,710</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Disbursement prefunding</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288,934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195,848</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379,417</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897,514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932,118</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16,642</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0" w:type="dxa"/>
            <w:vAlign w:val="bottom"/>
          </w:tcPr>
          <w:p>
            <w:pPr>
              <w:spacing w:after="0"/>
              <w:rPr>
                <w:sz w:val="1"/>
                <w:szCs w:val="1"/>
                <w:color w:val="auto"/>
              </w:rPr>
            </w:pPr>
          </w:p>
        </w:tc>
      </w:tr>
      <w:tr>
        <w:trPr>
          <w:trHeight w:val="268"/>
        </w:trPr>
        <w:tc>
          <w:tcPr>
            <w:tcW w:w="82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1,012,871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1,036,306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16,159</w:t>
            </w:r>
          </w:p>
        </w:tc>
        <w:tc>
          <w:tcPr>
            <w:tcW w:w="8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188,984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177,473</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Short-term debt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145,802</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366,839</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347,400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506,969</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2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725,000,000 shares authorized as of both December 31, 2024 and 2023; 200,534,626</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and 188,435,952 shares issued and outstanding as of December 31, 2024 and 2023, respectively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46"/>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68"/>
        </w:trPr>
        <w:tc>
          <w:tcPr>
            <w:tcW w:w="82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1,012,871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1,036,306</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2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82"/>
        </w:trPr>
        <w:tc>
          <w:tcPr>
            <w:tcW w:w="580" w:type="dxa"/>
            <w:vAlign w:val="bottom"/>
            <w:tcBorders>
              <w:top w:val="single" w:sz="8" w:color="0000FF"/>
            </w:tcBorders>
          </w:tcPr>
          <w:p>
            <w:pPr>
              <w:spacing w:after="0"/>
              <w:rPr>
                <w:sz w:val="24"/>
                <w:szCs w:val="24"/>
                <w:color w:val="auto"/>
              </w:rPr>
            </w:pPr>
          </w:p>
        </w:tc>
        <w:tc>
          <w:tcPr>
            <w:tcW w:w="3280" w:type="dxa"/>
            <w:vAlign w:val="bottom"/>
          </w:tcPr>
          <w:p>
            <w:pPr>
              <w:spacing w:after="0"/>
              <w:rPr>
                <w:sz w:val="24"/>
                <w:szCs w:val="24"/>
                <w:color w:val="auto"/>
              </w:rPr>
            </w:pPr>
          </w:p>
        </w:tc>
        <w:tc>
          <w:tcPr>
            <w:tcW w:w="312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12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16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 except share and per share data</w:t>
            </w: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661"/>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r>
      <w:tr>
        <w:trPr>
          <w:trHeight w:val="237"/>
        </w:trPr>
        <w:tc>
          <w:tcPr>
            <w:tcW w:w="58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653,560</w:t>
            </w:r>
          </w:p>
        </w:tc>
      </w:tr>
      <w:tr>
        <w:trPr>
          <w:trHeight w:val="21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5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258,827</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68,106</w:t>
            </w: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303,799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170,970</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138,719</w:t>
            </w: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131,250</w:t>
            </w:r>
          </w:p>
        </w:tc>
      </w:tr>
      <w:tr>
        <w:trPr>
          <w:trHeight w:val="237"/>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6,724</w:t>
            </w:r>
          </w:p>
        </w:tc>
      </w:tr>
      <w:tr>
        <w:trPr>
          <w:trHeight w:val="237"/>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5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1,303,049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1,058,480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774,596</w:t>
            </w:r>
          </w:p>
        </w:tc>
      </w:tr>
      <w:tr>
        <w:trPr>
          <w:trHeight w:val="23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(121,036)</w:t>
            </w: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4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5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r>
      <w:tr>
        <w:trPr>
          <w:trHeight w:val="23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(112,976)</w:t>
            </w:r>
          </w:p>
        </w:tc>
      </w:tr>
      <w:tr>
        <w:trPr>
          <w:trHeight w:val="24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5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4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3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(114,019)</w:t>
            </w: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2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3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r>
      <w:tr>
        <w:trPr>
          <w:trHeight w:val="225"/>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attributable to common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2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 and diluted</w:t>
            </w:r>
          </w:p>
        </w:tc>
        <w:tc>
          <w:tcPr>
            <w:tcW w:w="2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194,646,436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180,818,399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167,774,123</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ind w:left="160" w:hanging="152"/>
        <w:spacing w:after="0" w:line="222" w:lineRule="auto"/>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Exclusive of depreciation and amortization, shown separately.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82"/>
        </w:trPr>
        <w:tc>
          <w:tcPr>
            <w:tcW w:w="58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404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4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040" w:type="dxa"/>
            <w:vAlign w:val="bottom"/>
            <w:gridSpan w:val="2"/>
          </w:tcPr>
          <w:p>
            <w:pPr>
              <w:jc w:val="center"/>
              <w:ind w:left="5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823"/>
        </w:trPr>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r>
      <w:tr>
        <w:trPr>
          <w:trHeight w:val="236"/>
        </w:trPr>
        <w:tc>
          <w:tcPr>
            <w:tcW w:w="58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4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(114,019)</w:t>
            </w:r>
          </w:p>
        </w:tc>
      </w:tr>
      <w:tr>
        <w:trPr>
          <w:trHeight w:val="21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4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40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(38,971)</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(116,762)</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(115,015)</w:t>
            </w:r>
          </w:p>
        </w:tc>
      </w:tr>
      <w:tr>
        <w:trPr>
          <w:trHeight w:val="21"/>
        </w:trPr>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2"/>
        </w:trPr>
        <w:tc>
          <w:tcPr>
            <w:tcW w:w="580" w:type="dxa"/>
            <w:vAlign w:val="bottom"/>
            <w:tcBorders>
              <w:top w:val="single" w:sz="8" w:color="0000FF"/>
            </w:tcBorders>
          </w:tcPr>
          <w:p>
            <w:pPr>
              <w:spacing w:after="0"/>
              <w:rPr>
                <w:sz w:val="24"/>
                <w:szCs w:val="24"/>
                <w:color w:val="auto"/>
              </w:rPr>
            </w:pPr>
          </w:p>
        </w:tc>
        <w:tc>
          <w:tcPr>
            <w:tcW w:w="380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40" w:type="dxa"/>
            <w:vAlign w:val="bottom"/>
            <w:gridSpan w:val="10"/>
          </w:tcPr>
          <w:p>
            <w:pPr>
              <w:jc w:val="center"/>
              <w:ind w:left="255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 except share data</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58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826,305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0" w:type="dxa"/>
            <w:vAlign w:val="bottom"/>
          </w:tcPr>
          <w:p>
            <w:pPr>
              <w:spacing w:after="0"/>
              <w:rPr>
                <w:sz w:val="1"/>
                <w:szCs w:val="1"/>
                <w:color w:val="auto"/>
              </w:rPr>
            </w:pPr>
          </w:p>
        </w:tc>
      </w:tr>
      <w:tr>
        <w:trPr>
          <w:trHeight w:val="225"/>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 stock</w:t>
            </w: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11,267,883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25"/>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previously held back for acquisition</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consideration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158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auto"/>
              </w:rPr>
              <w:t>(308,982)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0" w:type="dxa"/>
            <w:vAlign w:val="bottom"/>
          </w:tcPr>
          <w:p>
            <w:pPr>
              <w:spacing w:after="0"/>
              <w:rPr>
                <w:sz w:val="1"/>
                <w:szCs w:val="1"/>
                <w:color w:val="auto"/>
              </w:rPr>
            </w:pPr>
          </w:p>
        </w:tc>
      </w:tr>
      <w:tr>
        <w:trPr>
          <w:trHeight w:val="25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156,865</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4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64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200,534,626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8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8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58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173,250,865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854,276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480,087</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631,574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225"/>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14,009,751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5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conditions, in connection with acquisition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5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1580" w:type="dxa"/>
            <w:vAlign w:val="bottom"/>
            <w:gridSpan w:val="2"/>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(333,117)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0" w:type="dxa"/>
            <w:vAlign w:val="bottom"/>
          </w:tcPr>
          <w:p>
            <w:pPr>
              <w:spacing w:after="0"/>
              <w:rPr>
                <w:sz w:val="1"/>
                <w:szCs w:val="1"/>
                <w:color w:val="auto"/>
              </w:rPr>
            </w:pPr>
          </w:p>
        </w:tc>
      </w:tr>
      <w:tr>
        <w:trPr>
          <w:trHeight w:val="23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140,099</w:t>
            </w:r>
          </w:p>
        </w:tc>
        <w:tc>
          <w:tcPr>
            <w:tcW w:w="0" w:type="dxa"/>
            <w:vAlign w:val="bottom"/>
          </w:tcPr>
          <w:p>
            <w:pPr>
              <w:spacing w:after="0"/>
              <w:rPr>
                <w:sz w:val="1"/>
                <w:szCs w:val="1"/>
                <w:color w:val="auto"/>
              </w:rPr>
            </w:pPr>
          </w:p>
        </w:tc>
      </w:tr>
      <w:tr>
        <w:trPr>
          <w:trHeight w:val="25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0" w:type="dxa"/>
            <w:vAlign w:val="bottom"/>
          </w:tcPr>
          <w:p>
            <w:pPr>
              <w:spacing w:after="0"/>
              <w:rPr>
                <w:sz w:val="1"/>
                <w:szCs w:val="1"/>
                <w:color w:val="auto"/>
              </w:rPr>
            </w:pPr>
          </w:p>
        </w:tc>
      </w:tr>
      <w:tr>
        <w:trPr>
          <w:trHeight w:val="26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jc w:val="right"/>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9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164,239,555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739,503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(259,444)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480,328</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8,458,814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97,114</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(114,019)</w:t>
            </w:r>
          </w:p>
        </w:tc>
        <w:tc>
          <w:tcPr>
            <w:tcW w:w="0" w:type="dxa"/>
            <w:vAlign w:val="bottom"/>
          </w:tcPr>
          <w:p>
            <w:pPr>
              <w:spacing w:after="0"/>
              <w:rPr>
                <w:sz w:val="1"/>
                <w:szCs w:val="1"/>
                <w:color w:val="auto"/>
              </w:rPr>
            </w:pPr>
          </w:p>
        </w:tc>
      </w:tr>
      <w:tr>
        <w:trPr>
          <w:trHeight w:val="26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173,250,865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854,276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(373,463)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480,087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2"/>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120" w:type="dxa"/>
            <w:vAlign w:val="bottom"/>
          </w:tcPr>
          <w:p>
            <w:pPr>
              <w:jc w:val="center"/>
              <w:ind w:left="3879"/>
              <w:spacing w:after="0"/>
              <w:rPr>
                <w:sz w:val="20"/>
                <w:szCs w:val="20"/>
                <w:color w:val="auto"/>
              </w:rPr>
            </w:pPr>
            <w:r>
              <w:rPr>
                <w:rFonts w:ascii="Times New Roman" w:cs="Times New Roman" w:eastAsia="Times New Roman" w:hAnsi="Times New Roman"/>
                <w:sz w:val="16"/>
                <w:szCs w:val="16"/>
                <w:b w:val="1"/>
                <w:bCs w:val="1"/>
                <w:color w:val="auto"/>
              </w:rPr>
              <w:t>REMITLY GLOBAL, INC.</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40" w:type="dxa"/>
            <w:vAlign w:val="bottom"/>
            <w:gridSpan w:val="2"/>
          </w:tcPr>
          <w:p>
            <w:pPr>
              <w:jc w:val="center"/>
              <w:ind w:left="34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20" w:type="dxa"/>
            <w:vAlign w:val="bottom"/>
          </w:tcPr>
          <w:p>
            <w:pPr>
              <w:jc w:val="center"/>
              <w:ind w:left="38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 thousands</w:t>
            </w: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(114,019)</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Donation of common stock</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Disbursement prefunding</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Customer funds receivable</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(126,942)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Customer liabilities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42,979</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194,485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acquisition, net of acquired cash, cash equivalents, and restricted cash</w:t>
            </w:r>
          </w:p>
        </w:tc>
        <w:tc>
          <w:tcPr>
            <w:tcW w:w="4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6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ESPP</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(1,583,000)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settlement of amounts previously held back for acquisition consideration</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of assumed indebtedness</w:t>
            </w:r>
          </w:p>
        </w:tc>
        <w:tc>
          <w:tcPr>
            <w:tcW w:w="4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61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(127,440)</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126,650</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300,734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403,313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323,710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300,635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 net</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369,817</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42" w:lineRule="exact"/>
        <w:rPr>
          <w:sz w:val="20"/>
          <w:szCs w:val="20"/>
          <w:color w:val="auto"/>
        </w:rPr>
      </w:pPr>
    </w:p>
    <w:p>
      <w:pPr>
        <w:ind w:right="8080" w:firstLine="8"/>
        <w:spacing w:after="0" w:line="467" w:lineRule="auto"/>
        <w:tabs>
          <w:tab w:leader="none" w:pos="283"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Description of Business</w:t>
      </w:r>
    </w:p>
    <w:p>
      <w:pPr>
        <w:spacing w:after="0" w:line="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spacing w:after="0" w:line="13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spacing w:after="0" w:line="12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Unless otherwise expressly stated or the context otherwise requires, the terms “Remitly” and the “Company” within these notes to the consolidated financial statements refer to Remitly Global, Inc. and its wholly owned subsidiaries.</w:t>
      </w:r>
    </w:p>
    <w:p>
      <w:pPr>
        <w:spacing w:after="0" w:line="109" w:lineRule="exact"/>
        <w:rPr>
          <w:sz w:val="20"/>
          <w:szCs w:val="20"/>
          <w:color w:val="auto"/>
        </w:rPr>
      </w:pPr>
    </w:p>
    <w:p>
      <w:pPr>
        <w:ind w:right="6120" w:firstLine="8"/>
        <w:spacing w:after="0" w:line="467" w:lineRule="auto"/>
        <w:tabs>
          <w:tab w:leader="none" w:pos="283"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Basis of Presentation</w:t>
      </w:r>
    </w:p>
    <w:p>
      <w:pPr>
        <w:spacing w:after="0" w:line="1"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of America (“GAAP”) and applicable rules and regulations of the U.S. Securities and Exchange Commission (the “SEC”) regarding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6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Remitly Global, Inc. and its wholly-owned subsidiaries. All intercompany transactions and balances have been eliminated in consolidation.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Out-of-Period Adjustment</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 xml:space="preserve">The consolidated financial statements include an adjustment of $4.4 million to stock-based compensation expense and additional paid-in capital, to correct for an error identified by management during the preparation of the financial statements for the three months ended June 30, 2022. This adjustment is to reflect the straight-lining of expense over the full service period for graded-vested stock-based compensation awards under Accounting Standards Codification (“ASC”) 718, </w:t>
      </w:r>
      <w:r>
        <w:rPr>
          <w:rFonts w:ascii="Times New Roman" w:cs="Times New Roman" w:eastAsia="Times New Roman" w:hAnsi="Times New Roman"/>
          <w:sz w:val="16"/>
          <w:szCs w:val="16"/>
          <w:i w:val="1"/>
          <w:iCs w:val="1"/>
          <w:color w:val="auto"/>
        </w:rPr>
        <w:t>Compensation -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and relates to annual fiscal periods prior to 2022. Management has determined that this error was not material to the historical financial statements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 period or in the aggregate and did not result in the previously issued financial statements being materially misstated. Additionally, although the impact to the three months ended June 30, 2022 was considered material, the impact to full year 2022 results was not material. As such, management recorded the correction as an out-of-period adjustment in the three months ended June 30, 2022. Substantially all of the cumulative adjustment was related to stock-based compensation for personnel who support the Company’s general and administrative functions and was recorded to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xml:space="preserve"> within the Consolidated Statements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The preparation of the accompanying consolidated financial statements requires management to make estimates and assumptions that affect the amounts reported and disclosed within the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6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on the Consolidated Balance Sheets, typically as disbursement prefunding balances. Cash and cash equivalents consist of cash on hand and various deposit accounts, including accounts held in the Company’s name for the benefit of the Company’s customers for which the Company has control.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6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In addition, the Company may be required to maintain restricted cash as a result of other contractual arrangements with vendors and partners. Restricted cash is classified within ‘</w:t>
      </w:r>
      <w:r>
        <w:rPr>
          <w:rFonts w:ascii="Times New Roman" w:cs="Times New Roman" w:eastAsia="Times New Roman" w:hAnsi="Times New Roman"/>
          <w:sz w:val="16"/>
          <w:szCs w:val="16"/>
          <w:i w:val="1"/>
          <w:iCs w:val="1"/>
          <w:color w:val="auto"/>
        </w:rPr>
        <w:t>Prepaid expenses and other 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Other noncurrent assets, net</w:t>
      </w:r>
      <w:r>
        <w:rPr>
          <w:rFonts w:ascii="Times New Roman" w:cs="Times New Roman" w:eastAsia="Times New Roman" w:hAnsi="Times New Roman"/>
          <w:sz w:val="16"/>
          <w:szCs w:val="16"/>
          <w:color w:val="auto"/>
        </w:rPr>
        <w:t>’ on the Consolidated Balance Sheets, based on its contractual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Disbursement Prefunding</w:t>
      </w:r>
    </w:p>
    <w:p>
      <w:pPr>
        <w:spacing w:after="0" w:line="16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The Company maintains relationships with disbursement partners in various countries. These partners are responsible for disbursing funds to recipients. The Company may maintain prefunding balances with these disbursement partners so that they are able to fulfill customer requests. The Company is exposed to the risk of loss in the event the Company’s disbursement partners fail, for any reason, to disburse funds to recipients according to the Company’s instructions. However, historical losses for the disbursement funding accounts have been immaterial.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earn interest on these balances. The balances are not compensating balances and are not legally restricted.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Funds Receivable</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 xml:space="preserve">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 cash usually in one to three business days. These card and electronic funds are treated as a receivable from the bank until the cash is received by the Company. The Company evaluates the collectability of its customer funds receivable on a number of factors, including historical losses, aging, payment processor risks, and forecasted losses. At December 31, 2024 and 2023, the Company’s reserve recorded for uncollectible customer funds receivable was immaterial. The Reserve for Transaction Losses, which includes fraud losses, is further discussed in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16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The functional currencies of the Company’s international subsidiaries include, but are not limited to, the Canadian dollar, Euro, and British pound. The functional currency of the Company’s international subsidiaries including, but not limited to, Poland, Nicaragua, and Israel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acquisition date fair value of net assets, including the amount assigned to identifiable intangible assets, acquired in a business combination. The Company evaluates goodwill for impairment annually on October 31 and whenever events or circumstances make it more likely than not that impairment may have occurred. The Company has the option to first assess qualitative factors to determine whether events or circumstances indicate it is more likely than not that the fair value of a reporting unit is greater than its carrying amount. The Company considers factors in performing a qualitative assessment, including, but not limited to, general macroeconomic conditions, industry and market conditions, company financial performance, changes in strategy, and other relevant entity-specific events. If the Company elects to bypass the qualitative assessment or does not pass the qualitative assessment, a quantitative assessment is performed. The quantitative assessment compares the carrying value to the fair value of goodwill, with the difference representing an impairment loss. Based on the results of qualitative assessment performed, the Company did not recognize any impairment losses on its goodwill during the periods presented herein.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6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Intangible assets with finite lives primarily consist of developed technology, customer relationships, and trade names acquired through business combinations or asset acquisitions. Intangible assets acquired through business combinations are recorded at their respective estimated acquisition date fair value and amortized over their estimated useful lives. Other intangible assets acquired through asset acquisitions are recorded at their respective cost. Intangible assets are amortized using a method that reflects the pattern in which the economic benefits of the intangible asset are expected to be realized over their estimated useful lives, or straight lined if not materially different. Intangible asset lives are periodically reviewed, assessed, and adjusted as necessary based on changes in facts and circumstances that could impact estimated remaining useful lives.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Long-Lived Assets</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Company assesses potential impairments to its long-lived assets when events or changes in circumstances indicate the carrying amount of the asset may not be recoverable. If any indicators of impairment are present, the Company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 During the years ended December 31, 2024, 2023, and 2022, no material impairment of long-lived assets was recorded.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Liabilities</w:t>
      </w:r>
    </w:p>
    <w:p>
      <w:pPr>
        <w:spacing w:after="0" w:line="167"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6"/>
          <w:szCs w:val="16"/>
          <w:color w:val="auto"/>
        </w:rPr>
        <w:t>The Company recognizes transactions processed from customers but not yet disbursed to recipients as ‘</w:t>
      </w:r>
      <w:r>
        <w:rPr>
          <w:rFonts w:ascii="Times New Roman" w:cs="Times New Roman" w:eastAsia="Times New Roman" w:hAnsi="Times New Roman"/>
          <w:sz w:val="16"/>
          <w:szCs w:val="16"/>
          <w:i w:val="1"/>
          <w:iCs w:val="1"/>
          <w:color w:val="auto"/>
        </w:rPr>
        <w:t>Customer liabilities</w:t>
      </w:r>
      <w:r>
        <w:rPr>
          <w:rFonts w:ascii="Times New Roman" w:cs="Times New Roman" w:eastAsia="Times New Roman" w:hAnsi="Times New Roman"/>
          <w:sz w:val="16"/>
          <w:szCs w:val="16"/>
          <w:color w:val="auto"/>
        </w:rPr>
        <w:t xml:space="preserve">’ on the accompanying Consolidated Balance Sheets. Customer liabilities are typically funds in-transit and the duration is typically one to two days. The Reserve for Transaction Losses, which includes disbursement losses, is further discussed in Note 16.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within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12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124"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6"/>
          <w:szCs w:val="16"/>
          <w:color w:val="auto"/>
        </w:rPr>
        <w:t>Level 1</w:t>
        <w:tab/>
        <w:t>Inputs are unadjusted quoted prices in active markets for identical assets or liabilities.</w:t>
      </w:r>
    </w:p>
    <w:p>
      <w:pPr>
        <w:spacing w:after="0" w:line="167" w:lineRule="exact"/>
        <w:rPr>
          <w:sz w:val="20"/>
          <w:szCs w:val="20"/>
          <w:color w:val="auto"/>
        </w:rPr>
      </w:pPr>
    </w:p>
    <w:p>
      <w:pPr>
        <w:ind w:left="980" w:right="100" w:hanging="647"/>
        <w:spacing w:after="0" w:line="298" w:lineRule="auto"/>
        <w:tabs>
          <w:tab w:leader="none" w:pos="960" w:val="left"/>
        </w:tabs>
        <w:rPr>
          <w:sz w:val="20"/>
          <w:szCs w:val="20"/>
          <w:color w:val="auto"/>
        </w:rPr>
      </w:pPr>
      <w:r>
        <w:rPr>
          <w:rFonts w:ascii="Times New Roman" w:cs="Times New Roman" w:eastAsia="Times New Roman" w:hAnsi="Times New Roman"/>
          <w:sz w:val="16"/>
          <w:szCs w:val="16"/>
          <w:color w:val="auto"/>
        </w:rPr>
        <w:t>Level 2</w:t>
        <w:tab/>
        <w:t>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97" w:lineRule="exact"/>
        <w:rPr>
          <w:sz w:val="20"/>
          <w:szCs w:val="20"/>
          <w:color w:val="auto"/>
        </w:rPr>
      </w:pPr>
    </w:p>
    <w:p>
      <w:pPr>
        <w:ind w:left="980" w:right="260" w:hanging="647"/>
        <w:spacing w:after="0" w:line="280" w:lineRule="auto"/>
        <w:tabs>
          <w:tab w:leader="none" w:pos="960" w:val="left"/>
        </w:tabs>
        <w:rPr>
          <w:sz w:val="20"/>
          <w:szCs w:val="20"/>
          <w:color w:val="auto"/>
        </w:rPr>
      </w:pPr>
      <w:r>
        <w:rPr>
          <w:rFonts w:ascii="Times New Roman" w:cs="Times New Roman" w:eastAsia="Times New Roman" w:hAnsi="Times New Roman"/>
          <w:sz w:val="16"/>
          <w:szCs w:val="16"/>
          <w:color w:val="auto"/>
        </w:rPr>
        <w:t>Level 3</w:t>
        <w:tab/>
        <w:t>Inputs are unobservable inputs based on the Company’s own assumptions used to measure assets and liabilities at fair value. The inputs require significant management judgment or estimation.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years ended December 31, 2024, 2023, and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2024, 2023, and 2022, no individual customer represented 10% or more of total revenues or customer funds receivable.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is stated at cost, less accumulated depreciation and amortization.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are calculated using the straight-line method over the estimated useful lives of the assets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Borders>
              <w:bottom w:val="single" w:sz="8" w:color="CCEEFF"/>
            </w:tcBorders>
          </w:tcPr>
          <w:p>
            <w:pPr>
              <w:spacing w:after="0"/>
              <w:rPr>
                <w:sz w:val="19"/>
                <w:szCs w:val="19"/>
                <w:color w:val="auto"/>
              </w:rPr>
            </w:pPr>
          </w:p>
        </w:tc>
        <w:tc>
          <w:tcPr>
            <w:tcW w:w="38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5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years</w:t>
            </w: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Lesser of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When assets are retired or disposed of, the cost and accumulated depreciation are removed from the accounts, and any resulting gains or losses are included within the Consolidated Statements of Operations in the period of disposition. Maintenance and repairs that do not improve or extend the lives of the respective assets are charged to expense in the period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Internal-Use Software Costs</w:t>
      </w:r>
    </w:p>
    <w:p>
      <w:pPr>
        <w:spacing w:after="0" w:line="183"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The Company capitalizes internal and external direct costs incurred related to obtaining or developing internal-use software. Costs incurred during the application development stage are capitalized and are amortized using the straight-line method over the estimated useful lives of the software, generally three years. Costs related to planning and other preliminary project activities and post-implementation activities are expensed as incurred.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 lease is defined as a contract, or part of a contract, that conveys the right to control the use of identified property, plant or equipment for a period of time in exchange for consideration. The Company’s lease commitments consist primarily of real estate property, used for office space, under various noncancellable operating leases that expire between 2025 and 2032. The majority of the leases contain renewal options and provisions for increases in rental rates based on a predetermined schedule or an agreed upon index. If, at lease inception, the Company considers the exercise of a renewal option to be reasonably certain, the Company will include the extended term in the calculation of the right-of-use (“ROU”) asset and lease liability.</w:t>
      </w:r>
    </w:p>
    <w:p>
      <w:pPr>
        <w:spacing w:after="0" w:line="126" w:lineRule="exact"/>
        <w:rPr>
          <w:sz w:val="20"/>
          <w:szCs w:val="20"/>
          <w:color w:val="auto"/>
        </w:rPr>
      </w:pPr>
    </w:p>
    <w:p>
      <w:pPr>
        <w:jc w:val="both"/>
        <w:ind w:right="120"/>
        <w:spacing w:after="0" w:line="280" w:lineRule="auto"/>
        <w:rPr>
          <w:sz w:val="20"/>
          <w:szCs w:val="20"/>
          <w:color w:val="auto"/>
        </w:rPr>
      </w:pPr>
      <w:r>
        <w:rPr>
          <w:rFonts w:ascii="Times New Roman" w:cs="Times New Roman" w:eastAsia="Times New Roman" w:hAnsi="Times New Roman"/>
          <w:sz w:val="16"/>
          <w:szCs w:val="16"/>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w:t>
      </w:r>
    </w:p>
    <w:p>
      <w:pPr>
        <w:spacing w:after="0" w:line="1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ROU assets represent the Company’s right to use an underlying asset for the lease term, and lease liabilities represent the Company’s obligation to make lease payments arising from the lease. The lease liability is recognized at the commencement date based on the present value of lease payments over the lease term. The ROU asset is initially measured at cost, which is based on the lease liability adjusted for lease prepayments, plus any initial direct costs incurred less any lease incentives received or expected to be received. As presented on the Consolidated Balance Sheets, the ROU asset and lease liability amounts are reduced by tenant improvement allowances which are deemed to be reasonably certain of collection. As the rate implicit in most of its leases is not readily determinable, the Company generally uses its incremental borrowing rate based on the estimated rate of interest for collateralized borrowing over a similar term of the lease payments at the commencement date. When the Company’s lease terms include options to extend or terminate the lease and it is reasonably certain that the Company will exercise that option, the Company considers the option in determining the classification and measurement of the lease. 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128"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6"/>
          <w:szCs w:val="16"/>
          <w:color w:val="auto"/>
        </w:rPr>
        <w:t>Lease expense for operating leases is recognized on a straight-line basis over the lease term, which is the noncancellable term adjusted for any renewal and termination options that are considered reasonably certain. Operating leases are included in ‘</w:t>
      </w:r>
      <w:r>
        <w:rPr>
          <w:rFonts w:ascii="Times New Roman" w:cs="Times New Roman" w:eastAsia="Times New Roman" w:hAnsi="Times New Roman"/>
          <w:sz w:val="16"/>
          <w:szCs w:val="16"/>
          <w:i w:val="1"/>
          <w:iCs w:val="1"/>
          <w:color w:val="auto"/>
        </w:rPr>
        <w:t>Operating lease right-of-use assets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Operating lease liabilities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Operating 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liabilities, noncurrent</w:t>
      </w:r>
      <w:r>
        <w:rPr>
          <w:rFonts w:ascii="Times New Roman" w:cs="Times New Roman" w:eastAsia="Times New Roman" w:hAnsi="Times New Roman"/>
          <w:sz w:val="16"/>
          <w:szCs w:val="16"/>
          <w:color w:val="auto"/>
        </w:rPr>
        <w:t>’ on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December 31, 2024, 2023, and 2022, the Company did not have any material finance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Combinations and Asset Acquisitions</w:t>
      </w:r>
    </w:p>
    <w:p>
      <w:pPr>
        <w:spacing w:after="0" w:line="16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The Company evaluates acquisitions to determine if they meet the definition of a business. If the acquisition does meet the definition of a business, it is accounted for as a business combination. For a business combination, assets acquired and liabilities assumed are generally recorded at their fair value at the date of acquisition. Any excess of the fair value of consideration transferred for the business, over the fair values of the identifiable assets acquired and liabilities assumed, is recognized as goodwill.</w:t>
      </w:r>
    </w:p>
    <w:p>
      <w:pPr>
        <w:spacing w:after="0" w:line="117" w:lineRule="exact"/>
        <w:rPr>
          <w:sz w:val="20"/>
          <w:szCs w:val="20"/>
          <w:color w:val="auto"/>
        </w:rPr>
      </w:pPr>
    </w:p>
    <w:p>
      <w:pPr>
        <w:jc w:val="both"/>
        <w:ind w:right="420"/>
        <w:spacing w:after="0" w:line="272" w:lineRule="auto"/>
        <w:rPr>
          <w:sz w:val="20"/>
          <w:szCs w:val="20"/>
          <w:color w:val="auto"/>
        </w:rPr>
      </w:pPr>
      <w:r>
        <w:rPr>
          <w:rFonts w:ascii="Times New Roman" w:cs="Times New Roman" w:eastAsia="Times New Roman" w:hAnsi="Times New Roman"/>
          <w:sz w:val="16"/>
          <w:szCs w:val="16"/>
          <w:color w:val="auto"/>
        </w:rPr>
        <w:t>Acquisitions that do not meet the criteria to be accounted for as a business combination are accounted for as an asset acquisition. In an asset acquisition, the cost of the acquisition, including transaction costs, is allocated to the acquired assets and assumed liabilities based upon their relative fair values as of the acquisition date, and no goodwill is recognized.</w:t>
      </w:r>
    </w:p>
    <w:p>
      <w:pPr>
        <w:spacing w:after="0" w:line="11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Transaction costs related to business combinations are expensed as incurred and are included in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xml:space="preserve">’ within the Consolidated Statements of Operations. Transaction costs primarily include external legal, accounting, valuation, and due diligence costs, as well as advisory and other professional services fees necessary to integrate acquired businesses. Refer to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for detail on transaction costs for the year.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Trade Settlement Liabilities</w:t>
      </w:r>
    </w:p>
    <w:p>
      <w:pPr>
        <w:spacing w:after="0" w:line="16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Company’s trade settlement liability represents the total of disbursement postfunding liabilities and book overdrafts owed to its disbursement partners. Disbursement postfunding liabilities are created when the sum of customer transactions related to a specific account held with a disbursement partner are in excess of funds on deposit for the respective account. Book overdrafts are created when the sum of outstanding disbursements related to a bank account or series of accounts to which the Company has legal title are in excess of funds on deposit. Trade settlement liabilities are included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xml:space="preserve">’ on the Consolidated Balance Sheets. Refer to Note 17. </w:t>
      </w:r>
      <w:r>
        <w:rPr>
          <w:rFonts w:ascii="Times New Roman" w:cs="Times New Roman" w:eastAsia="Times New Roman" w:hAnsi="Times New Roman"/>
          <w:sz w:val="16"/>
          <w:szCs w:val="16"/>
          <w:i w:val="1"/>
          <w:iCs w:val="1"/>
          <w:color w:val="auto"/>
        </w:rPr>
        <w:t>Accrued Expenses &amp; Other Current Liabilities</w:t>
      </w:r>
      <w:r>
        <w:rPr>
          <w:rFonts w:ascii="Times New Roman" w:cs="Times New Roman" w:eastAsia="Times New Roman" w:hAnsi="Times New Roman"/>
          <w:sz w:val="16"/>
          <w:szCs w:val="16"/>
          <w:color w:val="auto"/>
        </w:rPr>
        <w:t xml:space="preserve"> for the trade settlement liabilities balances. The Company’s policy is to report the change in trade settlement liabilities as an operating activity in the Consolidated Statements of Cash Flows based on the underlying nature of the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for information related to the Company’s revenue recognition policy.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Incentives</w:t>
      </w:r>
    </w:p>
    <w:p>
      <w:pPr>
        <w:spacing w:after="0" w:line="1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Consolidated Statements of Operations. In addition, referral credits given to a referrer are classified as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as these incentives are paid in exchange for a distinct service.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Expenses</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The Company establishes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current liabilities’ </w:t>
      </w:r>
      <w:r>
        <w:rPr>
          <w:rFonts w:ascii="Times New Roman" w:cs="Times New Roman" w:eastAsia="Times New Roman" w:hAnsi="Times New Roman"/>
          <w:sz w:val="16"/>
          <w:szCs w:val="16"/>
          <w:color w:val="auto"/>
        </w:rPr>
        <w:t>on the Consolidated Balance Sheets. Refer to Note 16.</w:t>
      </w:r>
      <w:r>
        <w:rPr>
          <w:rFonts w:ascii="Times New Roman" w:cs="Times New Roman" w:eastAsia="Times New Roman" w:hAnsi="Times New Roman"/>
          <w:sz w:val="16"/>
          <w:szCs w:val="16"/>
          <w:i w:val="1"/>
          <w:iCs w:val="1"/>
          <w:color w:val="auto"/>
        </w:rPr>
        <w:t xml:space="preserve"> Commitments and Contingencies </w:t>
      </w:r>
      <w:r>
        <w:rPr>
          <w:rFonts w:ascii="Times New Roman" w:cs="Times New Roman" w:eastAsia="Times New Roman" w:hAnsi="Times New Roman"/>
          <w:sz w:val="16"/>
          <w:szCs w:val="16"/>
          <w:color w:val="auto"/>
        </w:rPr>
        <w:t>for a rollforward of the Company’s reserve for transaction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years ended December 31, 2024, 2023, and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Support and Operations</w:t>
      </w:r>
    </w:p>
    <w:p>
      <w:pPr>
        <w:spacing w:after="0" w:line="18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customer protection and risk teams, investments in tools to effectively service the Company’s customers, and increased customer self-service capabilities. Customer support and operations expenses also include corporate communication costs and professional services fees.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w:t>
      </w:r>
    </w:p>
    <w:p>
      <w:pPr>
        <w:spacing w:after="0" w:line="16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costs for software subscription services dedicated for use by the Company’s marketing functions, and outside services contracted for marketing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167"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6"/>
          <w:szCs w:val="16"/>
          <w:color w:val="auto"/>
        </w:rPr>
        <w:t>Advertising expenses are charged to operations as incurred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Consolidated Statements of Operations. Advertising expenses are used primarily to attract new customers. Advertising expenses totaled $225.4 million, $181.3 million and $139.3 million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and Development</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the Company’s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are separately presented under the caption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Consolidated Statements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 xml:space="preserve">General and administrative expenses consist primarily of personnel-related expenses for the Company’s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Such expenses primarily include external legal, accounting, valuation, and due diligence costs, advisory and other professional services fees necessary to integrate acquired businesses. Refer to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for further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Common Stockholders</w:t>
      </w:r>
    </w:p>
    <w:p>
      <w:pPr>
        <w:spacing w:after="0" w:line="16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Basic net loss per share is computed by dividing net loss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unvested restricted stock units (“RSUs”), and ESPP related shares. As the Company had losses for the years ended December 31, 2024, 2023, and 2022 all potentially dilutive securities are anti-dilutive, and accordingly, basic net loss per share equaled diluted net loss per share.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 and Employee Stock Purchase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grants equity awards under its equity incentive plans, as well as its employee stock purchase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Plans</w:t>
      </w:r>
    </w:p>
    <w:p>
      <w:pPr>
        <w:spacing w:after="0" w:line="169"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In 2011, the Company adopted the Equity Incentive Plan (as amended, the “2011 Plan”), which provided for the issuance of up to 43,899,677 incentive stock options, nonqualified stock options, restricted common stock, RSUs and stock appreciation rights to employees, directors, officers, and consultants of the Company.</w:t>
      </w:r>
    </w:p>
    <w:p>
      <w:pPr>
        <w:spacing w:after="0" w:line="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 September 2021, the Company adopted the Remitly Global, Inc. 2021 Equity Incentive Plan (as amended, the “2021 Plan,” and together with the 2011 Plan, the “Plan”) as a successor to the 2011 Plan. The 2021 Plan authorizes the issuance of incentive stock options, nonqualified stock options, 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provided for the initial issuance of up to 25,000,000 shares of common stock, plus any reserved shares not issued or subject to outstanding grants under the 2011 Plan, which was 552,736 on the effective date of the 2021 Plan, for a total of 25,552,736 shares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 addition, in September 2021, the Company adopted the Remitly Global, Inc. 2021 Employee Stock Purchase Plan (the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Assumptions</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Company measures stock-based compensation expense for both stock options granted under its equity incentive plans, and purchase rights issued under its ESPP, by calculating the estimated fair value of each employee and nonemployee award at the grant date or modification date by applying the Black-Scholes option pricing model (the “model”). The model utilizes the fair market value of the Company’s common stock at the measurement date, the expected or contractual term of the option, the expected stock price volatility, risk-free interest rate, and expected dividend yield of the common stock. Stock-based compensation for restricted stock units are measured based on the fair market value of the Company’s common stock on the date of grant. The fair value of the Company’s common stock is determined by the closing price, on the date of grant, of its common stock, which is traded on the NASDAQ.</w:t>
      </w:r>
    </w:p>
    <w:p>
      <w:pPr>
        <w:spacing w:after="0" w:line="139"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The Company calculates the expected term based on the average period the options are expected to remain outstanding using the simplified method,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generally calculated as the midpoint of the requisite service period and the contractual term of the award.</w:t>
      </w:r>
    </w:p>
    <w:p>
      <w:pPr>
        <w:spacing w:after="0" w:line="12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The Company bases its estimate of expected volatility on the historical volatility of the Company’s common stock as well as the historical volatility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comparable companies from a representative peer group selected based on industry, financial, and market capitalization data.</w:t>
      </w:r>
    </w:p>
    <w:p>
      <w:pPr>
        <w:spacing w:after="0" w:line="106"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The risk-free interest rate used in the model is based on the implied yield currently available for the U.S. Treasury securities at maturity with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equivalent term.</w:t>
      </w:r>
    </w:p>
    <w:p>
      <w:pPr>
        <w:spacing w:after="0" w:line="9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Expected dividend yield. </w:t>
      </w:r>
      <w:r>
        <w:rPr>
          <w:rFonts w:ascii="Times New Roman" w:cs="Times New Roman" w:eastAsia="Times New Roman" w:hAnsi="Times New Roman"/>
          <w:sz w:val="16"/>
          <w:szCs w:val="16"/>
          <w:color w:val="auto"/>
        </w:rPr>
        <w:t>The Company’s expected dividend yield is zero as it has not declared nor paid any dividends during the years ended December 31, 2024, 2023,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2022 and does not currently expect to do so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Expense Recognition</w:t>
      </w:r>
    </w:p>
    <w:p>
      <w:pPr>
        <w:spacing w:after="0" w:line="16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Stock-based compensation expense is generally recognized on a straight-line basis over the requisite service period, which is typically the vesting period of the respective award; however, in some instances, the vesting percentages differ throughout the service period. In all instances, the amount of compensation cost recognized at any date is at least equal to the portion of the grant-date value of the award that is legally vested. Forfeitures are recognized in the period in which they occur.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Options</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Units</w:t>
      </w:r>
    </w:p>
    <w:p>
      <w:pPr>
        <w:spacing w:after="0" w:line="18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Beginning in August 2021, the Company grants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Stock Purchase Plan</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ESPP provides for offering periods during which eligible employees can participate in the ESPP and be granted the right to purchase shares. Offering periods commence on March 1 and September 1, with each offering period consisting of four six-month purchase periods, for a total of a 24-month offering period. The plan includes a rollover feature for the purchase price if the Company's stock price at the end of the purchase period is less than the Company's stock price on the first day of the offering. If this rollover feature is triggered, a new 24-month offering period begins. No offering periods may last longer than 27 months. The grant date for accounting purposes is generally the first date of each offering period and expense is recognized over the requisite service period, which is considered to be the 24-month offering period.</w:t>
      </w:r>
    </w:p>
    <w:p>
      <w:pPr>
        <w:spacing w:after="0" w:line="12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which requires the recognition of deferred tax assets and liabilities for the expected future tax consequences of events that have been included within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11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Tax benefits for uncertain tax positions are based upon management’s evaluation of the information available at the reporting date. The Company recognizes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Indirect Taxes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Company is subject to indirect taxation in various states and foreign jurisdictions in which it conducts business. The Company continually evaluates those jurisdictions in which indirect tax obligations exist to determine whether a loss is probable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with, or actions taken by, regulators and courts, potential or actual self-disclosure, and applicability of tax rules.</w:t>
      </w:r>
    </w:p>
    <w:p>
      <w:pPr>
        <w:spacing w:after="0" w:line="143"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6"/>
          <w:szCs w:val="16"/>
          <w:color w:val="auto"/>
        </w:rPr>
        <w:t>As a result of this assessment, management has recorded an estimated liability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xml:space="preserve"> The Company’s estimate is based on the totality of factors including applicability of the tax rules, correspondence with tax authorities including payments made, and tax analysis and documentation supporting the Company’s positions.</w:t>
      </w:r>
    </w:p>
    <w:p>
      <w:pPr>
        <w:spacing w:after="0" w:line="117"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Although the Company believes its indirect tax estimates and associated liabilities are reasonable, the final determination of indirect tax audits or settlements could be materially different than the amounts recorded.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Severance and Other Related Expenses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Company records severance-related expenses based on the applicable accounting guidance and whether the severance relates to an ongoing benefit arrangement or relates to a one-time involuntary benefit arrangement. Ongoing benefit arrangements, including statutorily required notice periods, are recorded when both probable of being paid and estimable. One-time involuntary benefit arrangements and other associated costs are generally recognized when a liability is incurred. The Company also evaluates whether these costs are associated with restructuring activities. Severance costs are expensed within the appropriate Costs and expenses component within our Consolidated Statements of Operations and associated accruals are recorded within ‘</w:t>
      </w:r>
      <w:r>
        <w:rPr>
          <w:rFonts w:ascii="Times New Roman" w:cs="Times New Roman" w:eastAsia="Times New Roman" w:hAnsi="Times New Roman"/>
          <w:sz w:val="16"/>
          <w:szCs w:val="16"/>
          <w:i w:val="1"/>
          <w:iCs w:val="1"/>
          <w:color w:val="auto"/>
        </w:rPr>
        <w:t>Accrued expenses and other liabilities</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In November 2023, the Financial Accounting Standards Board (“FASB”) issued Accounting Standards Update (“ASU”)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The Company adopted this new guidance beginning with its annual report for fiscal year ending December 31, 2024. Refer to the Segments policy within Note 20. </w:t>
      </w:r>
      <w:r>
        <w:rPr>
          <w:rFonts w:ascii="Times New Roman" w:cs="Times New Roman" w:eastAsia="Times New Roman" w:hAnsi="Times New Roman"/>
          <w:sz w:val="16"/>
          <w:szCs w:val="16"/>
          <w:i w:val="1"/>
          <w:iCs w:val="1"/>
          <w:color w:val="auto"/>
        </w:rPr>
        <w:t>Segment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Reporting </w:t>
      </w:r>
      <w:r>
        <w:rPr>
          <w:rFonts w:ascii="Times New Roman" w:cs="Times New Roman" w:eastAsia="Times New Roman" w:hAnsi="Times New Roman"/>
          <w:sz w:val="16"/>
          <w:szCs w:val="16"/>
          <w:color w:val="auto"/>
        </w:rPr>
        <w:t>for additional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18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does not expect the adoption of the new guidance to have a material impact on its consolidated financial statements other than the expanded footnote disclosure.</w:t>
      </w:r>
    </w:p>
    <w:p>
      <w:pPr>
        <w:spacing w:after="0" w:line="12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color w:val="auto"/>
        </w:rPr>
        <w:t>In November 2024, the FASB issued ASU No. 2024-03, “Disaggregation of Income Statement Expenses (DISE)”, which requires disclosure of disaggregated income statement expenses based on their natural classification. The guidance is effective for fiscal years beginning after December 15, 2026. Early adoption is permitted. ASU 2024-03 may be applied on a prospective basis, and retrospective application is permitted. The Company is currently evaluating the potential impact of adopting this new guidance to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There are other new accounting pronouncements issued by the FASB that the Company has adopted or will adopt, as applicable. The Company does not believe any of these accounting pronouncements have had, or will have, a material impact on the consolidated financial statements or disclosures.</w:t>
      </w:r>
    </w:p>
    <w:p>
      <w:pPr>
        <w:spacing w:after="0" w:line="122"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includes the following steps:</w:t>
      </w:r>
    </w:p>
    <w:p>
      <w:pPr>
        <w:spacing w:after="0" w:line="12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with a customer;</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 engage the Company to perform one integrated service—collect the customer’s money and deliver funds to the intended recipient in the currency requested.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 is generally due from the customer upfront upon initiation of a transaction, when the customer simultaneously agrees to the Company’s terms and conditions.</w:t>
      </w:r>
    </w:p>
    <w:p>
      <w:pPr>
        <w:spacing w:after="0" w:line="163"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2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 xml:space="preserve">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xml:space="preserve"> within the Consolidated Statements of Operations. The Company does not have any capitalized contract acquisition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Incentives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Company’s sales incentives for the years ended December 31, 2024,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to 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37,842</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24,796</w:t>
            </w:r>
          </w:p>
        </w:tc>
      </w:tr>
      <w:tr>
        <w:trPr>
          <w:trHeight w:val="24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expenses</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20,695</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17,638</w:t>
            </w:r>
          </w:p>
        </w:tc>
      </w:tr>
      <w:tr>
        <w:trPr>
          <w:trHeight w:val="257"/>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sales incentives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58,537</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9" w:lineRule="exact"/>
        <w:rPr>
          <w:sz w:val="20"/>
          <w:szCs w:val="20"/>
          <w:color w:val="auto"/>
        </w:rPr>
      </w:pPr>
    </w:p>
    <w:p>
      <w:pPr>
        <w:ind w:left="140" w:hanging="132"/>
        <w:spacing w:after="0"/>
        <w:tabs>
          <w:tab w:leader="none" w:pos="14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Sales incentives that are charged to marketing expenses are included in </w:t>
      </w:r>
      <w:r>
        <w:rPr>
          <w:rFonts w:ascii="Times New Roman" w:cs="Times New Roman" w:eastAsia="Times New Roman" w:hAnsi="Times New Roman"/>
          <w:sz w:val="12"/>
          <w:szCs w:val="12"/>
          <w:i w:val="1"/>
          <w:iCs w:val="1"/>
          <w:color w:val="auto"/>
        </w:rPr>
        <w:t>Advertising expenses</w:t>
      </w:r>
      <w:r>
        <w:rPr>
          <w:rFonts w:ascii="Times New Roman" w:cs="Times New Roman" w:eastAsia="Times New Roman" w:hAnsi="Times New Roman"/>
          <w:sz w:val="12"/>
          <w:szCs w:val="12"/>
          <w:color w:val="auto"/>
        </w:rPr>
        <w:t xml:space="preserve"> as disclosed in Note 2. </w:t>
      </w:r>
      <w:r>
        <w:rPr>
          <w:rFonts w:ascii="Times New Roman" w:cs="Times New Roman" w:eastAsia="Times New Roman" w:hAnsi="Times New Roman"/>
          <w:sz w:val="12"/>
          <w:szCs w:val="12"/>
          <w:i w:val="1"/>
          <w:iCs w:val="1"/>
          <w:color w:val="auto"/>
        </w:rPr>
        <w:t>Basis of Presentation and Summary of Significant Accounting Policies.</w:t>
      </w:r>
    </w:p>
    <w:p>
      <w:pPr>
        <w:spacing w:after="0" w:line="200" w:lineRule="exact"/>
        <w:rPr>
          <w:rFonts w:ascii="Times New Roman" w:cs="Times New Roman" w:eastAsia="Times New Roman" w:hAnsi="Times New Roman"/>
          <w:sz w:val="16"/>
          <w:szCs w:val="16"/>
          <w:color w:val="auto"/>
          <w:vertAlign w:val="superscript"/>
        </w:rPr>
      </w:pPr>
    </w:p>
    <w:p>
      <w:pPr>
        <w:spacing w:after="0" w:line="200" w:lineRule="exact"/>
        <w:rPr>
          <w:rFonts w:ascii="Times New Roman" w:cs="Times New Roman" w:eastAsia="Times New Roman" w:hAnsi="Times New Roman"/>
          <w:sz w:val="16"/>
          <w:szCs w:val="16"/>
          <w:color w:val="auto"/>
          <w:vertAlign w:val="superscript"/>
        </w:rPr>
      </w:pPr>
    </w:p>
    <w:p>
      <w:pPr>
        <w:spacing w:after="0" w:line="365" w:lineRule="exact"/>
        <w:rPr>
          <w:rFonts w:ascii="Times New Roman" w:cs="Times New Roman" w:eastAsia="Times New Roman" w:hAnsi="Times New Roman"/>
          <w:sz w:val="16"/>
          <w:szCs w:val="16"/>
          <w:color w:val="auto"/>
          <w:vertAlign w:val="superscript"/>
        </w:rPr>
      </w:pPr>
    </w:p>
    <w:p>
      <w:pPr>
        <w:ind w:left="554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by Geography</w:t>
      </w:r>
    </w:p>
    <w:p>
      <w:pPr>
        <w:spacing w:after="0" w:line="16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revenue disaggregated by primary geographical location for the years ended December 31, 2024, 2023, and 2022, attributed to the country in which the sending customer is located: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472,754</w:t>
            </w:r>
          </w:p>
        </w:tc>
      </w:tr>
      <w:tr>
        <w:trPr>
          <w:trHeight w:val="23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80,142</w:t>
            </w:r>
          </w:p>
        </w:tc>
      </w:tr>
      <w:tr>
        <w:trPr>
          <w:trHeight w:val="24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297,128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100,664</w:t>
            </w:r>
          </w:p>
        </w:tc>
      </w:tr>
      <w:tr>
        <w:trPr>
          <w:trHeight w:val="243"/>
        </w:trPr>
        <w:tc>
          <w:tcPr>
            <w:tcW w:w="6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944,285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653,560</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4.</w:t>
        <w:tab/>
        <w:t>Prepaid Expenses &amp; Other Current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w:t>
      </w:r>
    </w:p>
    <w:p>
      <w:pPr>
        <w:spacing w:after="0" w:line="7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card receivable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15,599</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receivable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cloud computing arrangement costs, net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compensation arrangements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5.</w:t>
        <w:tab/>
        <w:t>Property and Equipment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December 31, 2024 and 2023:</w:t>
      </w:r>
    </w:p>
    <w:p>
      <w:pPr>
        <w:spacing w:after="0" w:line="21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23,195</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Projects in process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$11.9 million, $8.3 million and $6.7 million for the years ended December 31, 2024, 2023, and 2022,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Internal-Use Software Costs</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Company’s capitalized internal-use software, including amortization expense recognized, for the years ended December 31, 2024, 2023, and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internal-use software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costs capitalized to internal-use software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9" w:lineRule="exact"/>
        <w:rPr>
          <w:sz w:val="20"/>
          <w:szCs w:val="20"/>
          <w:color w:val="auto"/>
        </w:rPr>
      </w:pPr>
    </w:p>
    <w:p>
      <w:pPr>
        <w:ind w:left="140" w:hanging="132"/>
        <w:spacing w:after="0"/>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inclusive of stock-based compensation costs capitalized to internal-use software as denoted within the table.</w:t>
      </w:r>
    </w:p>
    <w:p>
      <w:pPr>
        <w:spacing w:after="0" w:line="3"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included within ‘</w:t>
      </w: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within the Consolidated Statements of Operations.</w:t>
      </w:r>
    </w:p>
    <w:p>
      <w:pPr>
        <w:sectPr>
          <w:pgSz w:w="11900" w:h="16838" w:orient="portrait"/>
          <w:cols w:equalWidth="0" w:num="1">
            <w:col w:w="11240"/>
          </w:cols>
          <w:pgMar w:left="320" w:top="369" w:right="339" w:bottom="10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019"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Company’s long-lived assets based on geography, which consist of property and equipment, net and operating lease right-of-use assets for the years ended December 31, 2024 and 2023:</w:t>
      </w:r>
    </w:p>
    <w:p>
      <w:pPr>
        <w:spacing w:after="0" w:line="176"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long-lived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25,535</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183" w:lineRule="exact"/>
        <w:rPr>
          <w:sz w:val="20"/>
          <w:szCs w:val="20"/>
          <w:color w:val="auto"/>
        </w:rPr>
      </w:pPr>
    </w:p>
    <w:p>
      <w:pPr>
        <w:ind w:right="1960"/>
        <w:spacing w:after="0" w:line="466" w:lineRule="auto"/>
        <w:rPr>
          <w:sz w:val="20"/>
          <w:szCs w:val="20"/>
          <w:color w:val="auto"/>
        </w:rPr>
      </w:pPr>
      <w:r>
        <w:rPr>
          <w:rFonts w:ascii="Times New Roman" w:cs="Times New Roman" w:eastAsia="Times New Roman" w:hAnsi="Times New Roman"/>
          <w:sz w:val="16"/>
          <w:szCs w:val="16"/>
          <w:color w:val="auto"/>
        </w:rPr>
        <w:t xml:space="preserve">There were no significant acquisitions accounted for as business combinations or divestitures completed in the year ended December 31, 2024. </w:t>
      </w:r>
      <w:r>
        <w:rPr>
          <w:rFonts w:ascii="Times New Roman" w:cs="Times New Roman" w:eastAsia="Times New Roman" w:hAnsi="Times New Roman"/>
          <w:sz w:val="16"/>
          <w:szCs w:val="16"/>
          <w:b w:val="1"/>
          <w:bCs w:val="1"/>
          <w:color w:val="auto"/>
        </w:rPr>
        <w:t>Acquisition Completed in 2023</w:t>
      </w:r>
    </w:p>
    <w:p>
      <w:pPr>
        <w:spacing w:after="0" w:line="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spacing w:after="0" w:line="12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color w:val="auto"/>
        </w:rPr>
        <w:t xml:space="preserve">The acquisition met the criteria to be accounted for as a business combination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This method required,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Consideration Transferred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acquisition date fair value of consideration transferred for the acquisition totaled $77.9 million,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to selling shareholders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56,398</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issued to selling shareholders, including replacement of equity awards attributable to pre-combination services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Holdback liability to be settled in cash and Company equity</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r>
      <w:tr>
        <w:trPr>
          <w:trHeight w:val="23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Effective settlement of pre-existing net receivable owed to the Company</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excluded 133,309 shares and restricted stock units held back and not legally issued at the acquisition date, as further discussed below.</w:t>
      </w:r>
    </w:p>
    <w:p>
      <w:pPr>
        <w:spacing w:after="0" w:line="12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Approximately $11.9 million of the cash and equity proceeds were held back to satisfy any necessary adjustments, including without limitation, indemnification claims related to general representations and warranties, and any net working capital adjustments. As of the acquisition date, the majority of this holdback was expected to be settled in cash, with the remainder in 133,309 shares of Company common stock and restricted stock units. Such amounts were subject to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the Company’s common stock, subject to the aforementioned adjustments. Refer to the discussion below regarding the settlement of the holdback consideration during the year ended December 31, 2024.</w:t>
      </w:r>
    </w:p>
    <w:p>
      <w:pPr>
        <w:spacing w:after="0" w:line="12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 The change in the pre-existing receivable to an intercompany receivable has been considered as a noncash activity reflected within the operating activities of the Consolidated Statements of Cash Flows.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Holdback Liability</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The holdback of cash and equity proceeds discussed above was recorded at its acquisition date fair value and was classified as a liability within ‘</w:t>
      </w:r>
      <w:r>
        <w:rPr>
          <w:rFonts w:ascii="Times New Roman" w:cs="Times New Roman" w:eastAsia="Times New Roman" w:hAnsi="Times New Roman"/>
          <w:sz w:val="16"/>
          <w:szCs w:val="16"/>
          <w:i w:val="1"/>
          <w:iCs w:val="1"/>
          <w:color w:val="auto"/>
        </w:rPr>
        <w:t>Other noncurrent liabilities</w:t>
      </w:r>
      <w:r>
        <w:rPr>
          <w:rFonts w:ascii="Times New Roman" w:cs="Times New Roman" w:eastAsia="Times New Roman" w:hAnsi="Times New Roman"/>
          <w:sz w:val="16"/>
          <w:szCs w:val="16"/>
          <w:color w:val="auto"/>
        </w:rPr>
        <w:t xml:space="preserve">’ on the Consolidated Balance Sheets at the acquisition date. The portion of the holdback settled in Company shares was recorded at its fair value through its settlement date, with changes recorded to earnings. The estimated fair value of the portion of the holdback liability settled in equity used both observable and unobservable inputs, specifically considering the price of the Company’s common stock, as well as the probability of payout at the end of the holdback period, and was considered a Level 3 measurement, as defined in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w:t>
      </w:r>
    </w:p>
    <w:p>
      <w:pPr>
        <w:spacing w:after="0" w:line="12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2024, the Company recorded $0.2 million to reflect the change in the fair value of the holdback liability through the date of settlement, recorded within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within the Consolidated Statements of Operations. During the year ended December 31, 2023, the Company recorded $1.1 million to reflect the change in the fair value of the holdback liability.</w:t>
      </w:r>
    </w:p>
    <w:p>
      <w:pPr>
        <w:spacing w:after="0" w:line="13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April 2024, the holdback liability discussed above was settled with a cash payment of $10.3 million and with $2.8 million of equity consideration, consisting of 131,507 shares of the Company’s common stock and restricted stock units. The holdback settlement was adjusted for immaterial post-closing net purchase price adjustments identified during the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Assets Acquired and Liabilities Assumed</w:t>
      </w:r>
    </w:p>
    <w:p>
      <w:pPr>
        <w:spacing w:after="0" w:line="16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rates, as well as migration curves for developed technology. The following table summarizes the allocation of the purchase consideration to the assets acquired and liabilities assumed based on their acquisition-date fair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15,465</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Disbursement prefunding</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 net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5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r>
      <w:tr>
        <w:trPr>
          <w:trHeight w:val="23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liabilities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for future deposits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assumed indebtedness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net</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4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1"/>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the valuation of assets acquired and liabilities assumed of Rewire was complete.</w:t>
      </w:r>
    </w:p>
    <w:p>
      <w:pPr>
        <w:spacing w:after="0" w:line="16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Acquired Receivables</w:t>
      </w:r>
    </w:p>
    <w:p>
      <w:pPr>
        <w:spacing w:after="0" w:line="16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color w:val="auto"/>
        </w:rPr>
        <w:t>The fair value of the financial assets acquired include ‘</w:t>
      </w:r>
      <w:r>
        <w:rPr>
          <w:rFonts w:ascii="Times New Roman" w:cs="Times New Roman" w:eastAsia="Times New Roman" w:hAnsi="Times New Roman"/>
          <w:sz w:val="16"/>
          <w:szCs w:val="16"/>
          <w:i w:val="1"/>
          <w:iCs w:val="1"/>
          <w:color w:val="auto"/>
        </w:rPr>
        <w:t>Disbursement prefunding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Customer funds receivable, ne</w:t>
      </w:r>
      <w:r>
        <w:rPr>
          <w:rFonts w:ascii="Times New Roman" w:cs="Times New Roman" w:eastAsia="Times New Roman" w:hAnsi="Times New Roman"/>
          <w:sz w:val="16"/>
          <w:szCs w:val="16"/>
          <w:color w:val="auto"/>
        </w:rPr>
        <w:t>t,’ with a fair value of $6.0 million and $3.4 million, respectively, as disclosed above. The Company has collected substantially all of these receivables.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Costs</w:t>
      </w:r>
    </w:p>
    <w:p>
      <w:pPr>
        <w:spacing w:after="0" w:line="16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Transaction costs totaled $0.2 million and $2.1 million, which included $0.2 million and $1.1 million for the change in the fair value of the holdback liability, for the years ended December 31, 2024 and 2023, respectively. There were $3.5 million transaction costs incurred for the year ended December 31, 2022. Transaction costs are primarily related to the Company’s aforementioned acquisition of Rewire.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operations of Rewire are included within the accompanying Consolidated Statements of Operations and Comprehensive Loss since the date of the acquisition.</w:t>
      </w:r>
    </w:p>
    <w:p>
      <w:pPr>
        <w:spacing w:after="0" w:line="165" w:lineRule="exact"/>
        <w:rPr>
          <w:sz w:val="20"/>
          <w:szCs w:val="20"/>
          <w:color w:val="auto"/>
        </w:rPr>
      </w:pPr>
    </w:p>
    <w:p>
      <w:pPr>
        <w:ind w:right="8800" w:firstLine="8"/>
        <w:spacing w:after="0" w:line="467" w:lineRule="auto"/>
        <w:tabs>
          <w:tab w:leader="none" w:pos="283"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Intangible Assets Goodwill</w:t>
      </w:r>
    </w:p>
    <w:p>
      <w:pPr>
        <w:spacing w:after="0" w:line="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The goodwill recorded on the Consolidated Balance Sheets as of December 31, 2024 and 2023 was attributable to the acquisition of Rewire completed within the year ended December 31, 2023, including measurement period adjustments, as described further in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There were no adjustments to goodwill during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identifiable intangible assets as of December 31, 2024 and 2023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9"/>
        </w:trPr>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r>
      <w:tr>
        <w:trPr>
          <w:trHeight w:val="148"/>
        </w:trPr>
        <w:tc>
          <w:tcPr>
            <w:tcW w:w="1820" w:type="dxa"/>
            <w:vAlign w:val="bottom"/>
          </w:tcPr>
          <w:p>
            <w:pPr>
              <w:spacing w:after="0"/>
              <w:rPr>
                <w:sz w:val="12"/>
                <w:szCs w:val="1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r>
      <w:tr>
        <w:trPr>
          <w:trHeight w:val="180"/>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r>
      <w:tr>
        <w:trPr>
          <w:trHeight w:val="29"/>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3"/>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9"/>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95"/>
        </w:trPr>
        <w:tc>
          <w:tcPr>
            <w:tcW w:w="1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16,642</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acquired identified intangible assets have estimated useful lives ranging from three to four years. Amortization expense for intangible assets was $6.2 million and $4.9 million for the years ended December 31, 2024 and 2023, respectively.</w:t>
      </w:r>
    </w:p>
    <w:p>
      <w:pPr>
        <w:spacing w:after="0" w:line="12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Identifiable intangible asset balances as of December 31, 2022 were immaterial. Amortization expense for identifiable intangible assets for the year ended December 31, 2022 was immaterial.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intangible asset amortization as of December 31, 2024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w:t>
            </w:r>
          </w:p>
        </w:tc>
      </w:tr>
      <w:tr>
        <w:trPr>
          <w:trHeight w:val="23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8.</w:t>
        <w:tab/>
        <w:t>Fair Value Measurements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financial assets and liabilities that were measured at fair value on a recurring basis as of December 31, 2024.</w:t>
      </w:r>
    </w:p>
    <w:p>
      <w:pPr>
        <w:spacing w:after="0" w:line="165" w:lineRule="exact"/>
        <w:rPr>
          <w:sz w:val="20"/>
          <w:szCs w:val="20"/>
          <w:color w:val="auto"/>
        </w:rPr>
      </w:pPr>
    </w:p>
    <w:p>
      <w:pPr>
        <w:ind w:right="540"/>
        <w:spacing w:after="0" w:line="301" w:lineRule="auto"/>
        <w:rPr>
          <w:sz w:val="20"/>
          <w:szCs w:val="20"/>
          <w:color w:val="auto"/>
        </w:rPr>
      </w:pPr>
      <w:r>
        <w:rPr>
          <w:rFonts w:ascii="Times New Roman" w:cs="Times New Roman" w:eastAsia="Times New Roman" w:hAnsi="Times New Roman"/>
          <w:sz w:val="16"/>
          <w:szCs w:val="16"/>
          <w:color w:val="auto"/>
        </w:rPr>
        <w:t xml:space="preserve">Except for the holdback liability related to the Rewire acquisition discussed in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there were no financial assets and liabilities that were measured at fair value on a recurring basis as of December 31, 2023.</w:t>
      </w:r>
    </w:p>
    <w:p>
      <w:pPr>
        <w:spacing w:after="0" w:line="9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Revolving Credit Facility</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 xml:space="preserve">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that provided for revolving commitments of $250.0 million (including a $60.0 million letter of credit sub-facility) and terminated its then-existing 2020 Credit Agreement. The 2021 Revolving Credit Facility was amended on June 26, 2023 to reflect changes in the applicable interest rate as a result of the sunsetting of the LIBOR interest rate, as noted below. The 2021 Revolving Credit Facility was further amended on December 20, 2023 to increase the revolving commitments from $250.0 million (including a $60.0 million letter of credit sub-facility) to $325.0 million. All other terms of the 2021 Revolving Credit Facility remained unchanged. The Company evaluated both the June and December 2023 amendments as debt modifications pursuant to ASC 470-50, </w:t>
      </w:r>
      <w:r>
        <w:rPr>
          <w:rFonts w:ascii="Times New Roman" w:cs="Times New Roman" w:eastAsia="Times New Roman" w:hAnsi="Times New Roman"/>
          <w:sz w:val="16"/>
          <w:szCs w:val="16"/>
          <w:i w:val="1"/>
          <w:iCs w:val="1"/>
          <w:color w:val="auto"/>
        </w:rPr>
        <w:t>Debt —Modification and Extinguishment</w:t>
      </w:r>
      <w:r>
        <w:rPr>
          <w:rFonts w:ascii="Times New Roman" w:cs="Times New Roman" w:eastAsia="Times New Roman" w:hAnsi="Times New Roman"/>
          <w:sz w:val="16"/>
          <w:szCs w:val="16"/>
          <w:color w:val="auto"/>
        </w:rPr>
        <w:t>, noting no material impact.</w:t>
      </w:r>
    </w:p>
    <w:p>
      <w:pPr>
        <w:spacing w:after="0" w:line="20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color w:val="auto"/>
        </w:rPr>
        <w:t>As of December 31, 2024 and December 31, 2023, $0.8 million and $1.2 million, respectively, of unamortized debt issuance costs were included within ‘</w:t>
      </w:r>
      <w:r>
        <w:rPr>
          <w:rFonts w:ascii="Times New Roman" w:cs="Times New Roman" w:eastAsia="Times New Roman" w:hAnsi="Times New Roman"/>
          <w:sz w:val="16"/>
          <w:szCs w:val="16"/>
          <w:i w:val="1"/>
          <w:iCs w:val="1"/>
          <w:color w:val="auto"/>
        </w:rPr>
        <w:t>Other noncurrent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 on the Consolidated Balance Sheets.</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The 2021 Revolving Credit Facility has a maturity date of September 13, 2026. Borrowings under the 2021 Revolving Credit Facility after the June 26, 2023 amendment accrue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4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2021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December 31, 2024 and December 31, 2023, financial covenants in the 2021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2021 Revolving Credit Facility as of December 31, 2024 and December 31, 2023.</w:t>
      </w:r>
    </w:p>
    <w:p>
      <w:pPr>
        <w:spacing w:after="0" w:line="12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The obligations under the 2021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2021 Revolving Credit Facility may fluctuate depending on transaction volumes and seasonality.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Company had no outstanding borrowings under the 2021 Revolving Credit Facility. As of December 31, 2023, the Company had</w:t>
      </w:r>
    </w:p>
    <w:p>
      <w:pPr>
        <w:spacing w:after="0" w:line="2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6"/>
          <w:szCs w:val="16"/>
          <w:color w:val="auto"/>
        </w:rPr>
        <w:t>$130.0 million outstanding borrowings under the 2021 Revolving Credit Facility with a weighted-average interest rate of 9.0%. As of December 31, 2024 and December 31, 2023, the Company had unused borrowing capacity of $277.3 million and $146.8 million, respectively, under the 2021 Revolving Credit Facility. As of December 31, 2024 and December 31, 2023, the Company had $48.2 million and $49.4 million, respectively, in issued, but undrawn, standby letters of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Advance for Future Deposits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Advance for Future Deposits has a maturity date of November 2025 and provides for automatic extensions upon maturity. The Depositor made an advance payment to Rewire with respect to future deposits (the “Advance for Future Deposits”). The original amount of 9.0 million Israeli shekel, approximately $2.8 million, was transferred as an advance under the Amendment. As of both December 31, 2024 and December 31, 2023, the Company had $2.5 million outstanding under the Amendment, and was included within ‘</w:t>
      </w:r>
      <w:r>
        <w:rPr>
          <w:rFonts w:ascii="Times New Roman" w:cs="Times New Roman" w:eastAsia="Times New Roman" w:hAnsi="Times New Roman"/>
          <w:sz w:val="16"/>
          <w:szCs w:val="16"/>
          <w:i w:val="1"/>
          <w:iCs w:val="1"/>
          <w:color w:val="auto"/>
        </w:rPr>
        <w:t>Short-term debt</w:t>
      </w:r>
      <w:r>
        <w:rPr>
          <w:rFonts w:ascii="Times New Roman" w:cs="Times New Roman" w:eastAsia="Times New Roman" w:hAnsi="Times New Roman"/>
          <w:sz w:val="16"/>
          <w:szCs w:val="16"/>
          <w:color w:val="auto"/>
        </w:rPr>
        <w:t>’ on the Consolidated Balance Sheets. The change in the outstanding balance is driven by the change in the foreign exchange conversion rate. The Advance for Future Deposits bears a floating interest rate of 1.4%+ Israeli Prime per annum, paid on a monthly basis. The Israeli Prime rate is defined as the Bank of Israel rate + 1.5%. As of both December 31, 2024 and December 31, 2023, the weighted-average interest rate was 3.0%.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Assumed Short-term Debt of Rewire</w:t>
      </w:r>
    </w:p>
    <w:p>
      <w:pPr>
        <w:spacing w:after="0" w:line="18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part of the acquisition of Rewire, the Company assumed the amounts due on a revolving credit line that Rewire had entered into in 2021 and the amounts due on a bridge loan that Rewire had entered into in 2022. The total outstanding amounts were repaid during the year ended December 31, 2023, along with certain other acquired indebtedness, subsequent to the Company’s acquisition of Rewire and were included within the Consolidated Statements of Cash Flows as a financing activity.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Net Loss Per Common Share</w:t>
      </w:r>
    </w:p>
    <w:p>
      <w:pPr>
        <w:spacing w:after="0" w:line="16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calculation of basic and diluted net loss per share attributable to common stockholders for the years indicated. As the Company reported a net loss, diluted net loss per share was the same as basic net loss per share because the effects of potentially dilutive items were anti-dilutive for all years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r>
      <w:tr>
        <w:trPr>
          <w:trHeight w:val="237"/>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(114,019)</w:t>
            </w:r>
          </w:p>
        </w:tc>
      </w:tr>
      <w:tr>
        <w:trPr>
          <w:trHeight w:val="25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6"/>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attributable to common</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3"/>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194,646,436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180,818,399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167,774,123</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securities were not included in the computation of diluted shares outstanding because the effect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8,240,251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10,801,396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15,988,268</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23,886,131</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23,555,665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23,366,355</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2,005,433</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791,226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1,350,486</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130,929</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common stock, subject to service-based vesting conditions, issued in connection with</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w:t>
            </w:r>
            <w:r>
              <w:rPr>
                <w:rFonts w:ascii="Times New Roman" w:cs="Times New Roman" w:eastAsia="Times New Roman" w:hAnsi="Times New Roman"/>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issuable in connection with acquisition</w:t>
            </w:r>
            <w:r>
              <w:rPr>
                <w:rFonts w:ascii="Times New Roman" w:cs="Times New Roman" w:eastAsia="Times New Roman" w:hAnsi="Times New Roman"/>
                <w:sz w:val="21"/>
                <w:szCs w:val="21"/>
                <w:color w:val="auto"/>
                <w:vertAlign w:val="superscript"/>
              </w:rPr>
              <w:t>(1)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133,309</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34,183,855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35,394,333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40,836,038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ind w:left="160" w:hanging="152"/>
        <w:spacing w:after="0" w:line="225" w:lineRule="auto"/>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Refer to Note 6.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for further discussion of equity issued or to be issued in connection with the Rewire acquisition.</w:t>
      </w:r>
    </w:p>
    <w:p>
      <w:pPr>
        <w:spacing w:after="0" w:line="143"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w:t>
      </w:r>
    </w:p>
    <w:p>
      <w:pPr>
        <w:spacing w:after="0" w:line="18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As of December 31, 2024,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years ended December 31, 2024, 2023, and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Donation to Remitly Philanthropy Fund</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Company’s initial public offering.</w:t>
      </w:r>
    </w:p>
    <w:p>
      <w:pPr>
        <w:spacing w:after="0" w:line="1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The Company donated 181,961 shares of its common stock to Remitly Philanthropy Fund on September 18, 2024, September 20, 2023, and September 28, 2022, pursuant to the stock donation agreement, and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For the years ended December 31, 2024, 2023, and 2022, the Company recorded a charge of $2.6 million, $4.6 million, and $2.0 million, respectively, to ‘</w:t>
      </w:r>
      <w:r>
        <w:rPr>
          <w:rFonts w:ascii="Times New Roman" w:cs="Times New Roman" w:eastAsia="Times New Roman" w:hAnsi="Times New Roman"/>
          <w:sz w:val="16"/>
          <w:szCs w:val="16"/>
          <w:i w:val="1"/>
          <w:iCs w:val="1"/>
          <w:color w:val="auto"/>
        </w:rPr>
        <w:t>General and administrative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within the Consolidated Statements of Operations based on the closing price of its common stock as reported on the Nasdaq Global Select Market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“NASDAQ”) on September 18, 2024, September 20, 2023, and September 28, 2022,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980" w:firstLine="8"/>
        <w:spacing w:after="0" w:line="467" w:lineRule="auto"/>
        <w:tabs>
          <w:tab w:leader="none" w:pos="364"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Shares Available for Issuance</w:t>
      </w:r>
    </w:p>
    <w:p>
      <w:pPr>
        <w:spacing w:after="0" w:line="1" w:lineRule="exact"/>
        <w:rPr>
          <w:sz w:val="20"/>
          <w:szCs w:val="20"/>
          <w:color w:val="auto"/>
        </w:rPr>
      </w:pPr>
    </w:p>
    <w:p>
      <w:pPr>
        <w:ind w:right="2220"/>
        <w:spacing w:after="0" w:line="466" w:lineRule="auto"/>
        <w:rPr>
          <w:sz w:val="20"/>
          <w:szCs w:val="20"/>
          <w:color w:val="auto"/>
        </w:rPr>
      </w:pPr>
      <w:r>
        <w:rPr>
          <w:rFonts w:ascii="Times New Roman" w:cs="Times New Roman" w:eastAsia="Times New Roman" w:hAnsi="Times New Roman"/>
          <w:sz w:val="16"/>
          <w:szCs w:val="16"/>
          <w:color w:val="auto"/>
        </w:rPr>
        <w:t xml:space="preserve">As of December 31, 2024, 11,496,736 and 6,921,709 awards remain available for issuance under the 2021 Plan and the ESPP, respectively. </w:t>
      </w:r>
      <w:r>
        <w:rPr>
          <w:rFonts w:ascii="Times New Roman" w:cs="Times New Roman" w:eastAsia="Times New Roman" w:hAnsi="Times New Roman"/>
          <w:sz w:val="16"/>
          <w:szCs w:val="16"/>
          <w:b w:val="1"/>
          <w:bCs w:val="1"/>
          <w:color w:val="auto"/>
        </w:rPr>
        <w:t>Stock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year ended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00"/>
        </w:trPr>
        <w:tc>
          <w:tcPr>
            <w:tcW w:w="4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9"/>
        </w:trPr>
        <w:tc>
          <w:tcPr>
            <w:tcW w:w="474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r>
      <w:tr>
        <w:trPr>
          <w:trHeight w:val="245"/>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1"/>
                <w:szCs w:val="21"/>
                <w:b w:val="1"/>
                <w:bCs w:val="1"/>
                <w:color w:val="auto"/>
                <w:vertAlign w:val="superscript"/>
              </w:rPr>
              <w:t>(1)</w:t>
            </w: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January 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10,801,396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161,603</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(2,317,130)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32,263</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Balances as of December 31,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8,240,251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148,247</w:t>
            </w: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7,856,927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143,688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9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8,240,251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148,247</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160" w:hanging="152"/>
        <w:spacing w:after="0"/>
        <w:tabs>
          <w:tab w:leader="none" w:pos="160"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aggregate intrinsic value is calculated as the difference between the exercise price of the underlying stock options and the estimated fair value of the Company’s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stock options were granted during the years ended December 31, 2024 and 2023.</w:t>
      </w:r>
    </w:p>
    <w:p>
      <w:pPr>
        <w:spacing w:after="0" w:line="18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The fair value of each employee stock option granted during the year ended December 31, 2022 was estimated on the date of grant using the Black-Scholes option pricing model with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w:t>
            </w: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31,</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3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 w:type="dxa"/>
            <w:vAlign w:val="bottom"/>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years</w:t>
            </w:r>
          </w:p>
        </w:tc>
        <w:tc>
          <w:tcPr>
            <w:tcW w:w="20" w:type="dxa"/>
            <w:vAlign w:val="bottom"/>
          </w:tcPr>
          <w:p>
            <w:pPr>
              <w:spacing w:after="0"/>
              <w:rPr>
                <w:sz w:val="20"/>
                <w:szCs w:val="20"/>
                <w:color w:val="auto"/>
              </w:rPr>
            </w:pPr>
          </w:p>
        </w:tc>
      </w:tr>
      <w:tr>
        <w:trPr>
          <w:trHeight w:val="253"/>
        </w:trPr>
        <w:tc>
          <w:tcPr>
            <w:tcW w:w="20" w:type="dxa"/>
            <w:vAlign w:val="bottom"/>
          </w:tcPr>
          <w:p>
            <w:pPr>
              <w:spacing w:after="0"/>
              <w:rPr>
                <w:sz w:val="21"/>
                <w:szCs w:val="21"/>
                <w:color w:val="auto"/>
              </w:rPr>
            </w:pPr>
          </w:p>
        </w:tc>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r>
      <w:tr>
        <w:trPr>
          <w:trHeight w:val="473"/>
        </w:trPr>
        <w:tc>
          <w:tcPr>
            <w:tcW w:w="7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weighted-average grant date fair value of options granted during the year ended December 31, 2022 was $6.78.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8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years ended December 31, 2024, 2023, and 2022:</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43"/>
        </w:trPr>
        <w:tc>
          <w:tcPr>
            <w:tcW w:w="20" w:type="dxa"/>
            <w:vAlign w:val="bottom"/>
            <w:shd w:val="clear" w:color="auto" w:fill="CCEEFF"/>
          </w:tcPr>
          <w:p>
            <w:pPr>
              <w:spacing w:after="0"/>
              <w:rPr>
                <w:sz w:val="21"/>
                <w:szCs w:val="21"/>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grant-date fair value of options vested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14,125</w:t>
            </w:r>
          </w:p>
        </w:tc>
        <w:tc>
          <w:tcPr>
            <w:tcW w:w="6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9,406</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2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0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 activity during the year ended December 31, 2024 was as follows: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5"/>
        </w:trPr>
        <w:tc>
          <w:tcPr>
            <w:tcW w:w="5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3"/>
        </w:trPr>
        <w:tc>
          <w:tcPr>
            <w:tcW w:w="58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25"/>
        </w:trPr>
        <w:tc>
          <w:tcPr>
            <w:tcW w:w="58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Fair Value Per Share</w:t>
            </w:r>
          </w:p>
        </w:tc>
      </w:tr>
      <w:tr>
        <w:trPr>
          <w:trHeight w:val="24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2024</w:t>
            </w:r>
          </w:p>
        </w:tc>
        <w:tc>
          <w:tcPr>
            <w:tcW w:w="1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23,555,665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13,551,337</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r>
      <w:tr>
        <w:trPr>
          <w:trHeight w:val="25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(8,950,515)</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36"/>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Cancelled/forfeited</w:t>
            </w:r>
          </w:p>
        </w:tc>
        <w:tc>
          <w:tcPr>
            <w:tcW w:w="15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(4,270,356)</w:t>
            </w: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26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5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23,886,131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restricted stock unit activity during the years ended December 31, 2024,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RSUs granted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2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RSUs vested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 (“ESPP”)</w:t>
      </w:r>
    </w:p>
    <w:p>
      <w:pPr>
        <w:spacing w:after="0" w:line="18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 new 24-month ESPP offering period commences on March 1 and September 1 of each fiscal year, and the plan includes a rollover feature for the purchase price if the Company's stock price at the end of the purchase period is less than the Company's stock price on the first day of the offering. If this rollover feature is triggered, a new 24-month offering period begins. This feature under the ESPP was triggered on February 29, 2024 and August 30, 2024, resulting in incremental stock-based compensation expense of $1.7 million and $4.5 million, respectively, to be recognized over the new offering periods.</w:t>
      </w:r>
    </w:p>
    <w:p>
      <w:pPr>
        <w:spacing w:after="0" w:line="12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The fair value of the ESPP offerings, including those described above, were estimated using the Black-Scholes option-pricing model as of the respective offering dates, using the following assumptions. These assumptions represent the grant date fair value inputs for new offerings which commenced during the years ended December 31, 2024, 2023, and 2022, as well as updated valuation information as of the modification date for any offerings for which a modification occurred during the periods presented herein: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9"/>
                <w:szCs w:val="19"/>
                <w:color w:val="auto"/>
              </w:rPr>
            </w:pPr>
          </w:p>
        </w:tc>
      </w:tr>
      <w:tr>
        <w:trPr>
          <w:trHeight w:val="237"/>
        </w:trPr>
        <w:tc>
          <w:tcPr>
            <w:tcW w:w="6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to 5.20%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4.81% to 5.40%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 to 3.48%</w:t>
            </w: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0.5 to 2.0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r>
      <w:tr>
        <w:trPr>
          <w:trHeight w:val="25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 to 61.3%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47.8% to 65.2%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 to 73.0%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6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 xml:space="preserve">Stock-based compensation expense for stock options, RSUs, and ESPP, included within the Consolidated Statements of Operations, net of amounts capitalized to internal-use software, as described in Note 5.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was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20" w:type="dxa"/>
            <w:vAlign w:val="bottom"/>
            <w:tcBorders>
              <w:bottom w:val="single" w:sz="8" w:color="auto"/>
            </w:tcBorders>
          </w:tcPr>
          <w:p>
            <w:pPr>
              <w:spacing w:after="0"/>
              <w:rPr>
                <w:sz w:val="19"/>
                <w:szCs w:val="19"/>
                <w:color w:val="auto"/>
              </w:rPr>
            </w:pPr>
          </w:p>
        </w:tc>
      </w:tr>
      <w:tr>
        <w:trPr>
          <w:trHeight w:val="23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r>
      <w:tr>
        <w:trPr>
          <w:trHeight w:val="25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46,420</w:t>
            </w:r>
          </w:p>
        </w:tc>
      </w:tr>
      <w:tr>
        <w:trPr>
          <w:trHeight w:val="23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48,989</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37,545</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As of December 31, 2024, the total unamortized compensation cost related to all non-vested equity awards, including options and RSUs, was $309.0 million, which will be amortized over a weighted-average remaining requisite service period of approximately 2.6 years. As of December 31, 2024, the total unrecognized compensation expense related to the ESPP was $9.7 million, which is expected to be amortized over the next 1.7 years.</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13.</w:t>
        <w:tab/>
        <w:t>Restructuring Initiatives</w:t>
      </w:r>
    </w:p>
    <w:p>
      <w:pPr>
        <w:spacing w:after="0" w:line="16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In the year ended December 31, 2024, as a result of simplifying and scaling certain processes, functions, and team capabilities, the Company continued restructuring initiatives that commenced within the year ended December 31, 2023 in order to better serve the Company’s customers and allow the Company to centralize, transform, and automate global operations. Restructuring costs incurred primarily included severance and certain other associated costs. These specific restructuring initiatives are complete.</w:t>
      </w:r>
    </w:p>
    <w:p>
      <w:pPr>
        <w:spacing w:after="0" w:line="31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Company incurred charges of $0.8 million and $1.4 million for the years ended December 31, 2024 and 2023, respectively. There were no charges incurred related to restructuring initiatives for the year ended December 31, 2022.</w:t>
      </w:r>
    </w:p>
    <w:p>
      <w:pPr>
        <w:spacing w:after="0" w:line="124"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restructuring costs included within the Company’s Consolidated Statements of Operations for the years ended December 31, 2024 and 2023:</w:t>
      </w:r>
    </w:p>
    <w:p>
      <w:pPr>
        <w:spacing w:after="0" w:line="17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30480</wp:posOffset>
            </wp:positionV>
            <wp:extent cx="2040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4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changes in liabilities, including expenses incurred and cash payments resulting from the restructuring costs and related accruals, during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CCEEFF"/>
            </w:tcBorders>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CCEEFF"/>
            </w:tcBorders>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3"/>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14.  Income Taxes</w:t>
            </w: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components of loss before provision for income taxes were as follows: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1"/>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(42,708)</w:t>
            </w:r>
          </w:p>
        </w:tc>
        <w:tc>
          <w:tcPr>
            <w:tcW w:w="42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(74,776)</w:t>
            </w:r>
          </w:p>
        </w:tc>
        <w:tc>
          <w:tcPr>
            <w:tcW w:w="400" w:type="dxa"/>
            <w:vAlign w:val="bottom"/>
            <w:gridSpan w:val="4"/>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(37,162)</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(111,938)</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components of the provision for income taxes were as follows:</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1"/>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benefit (expense)</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60" w:type="dxa"/>
            <w:vAlign w:val="bottom"/>
          </w:tcPr>
          <w:p>
            <w:pPr>
              <w:spacing w:after="0"/>
              <w:rPr>
                <w:sz w:val="20"/>
                <w:szCs w:val="20"/>
                <w:color w:val="auto"/>
              </w:rPr>
            </w:pPr>
          </w:p>
        </w:tc>
        <w:tc>
          <w:tcPr>
            <w:tcW w:w="4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CCEEFF"/>
            </w:tcBorders>
            <w:shd w:val="clear" w:color="auto" w:fill="CCEEFF"/>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shd w:val="clear" w:color="auto" w:fill="CCEEFF"/>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tax expense</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benefit (expense)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CCEEFF"/>
            </w:tcBorders>
            <w:shd w:val="clear" w:color="auto" w:fill="CCEEFF"/>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CCEEFF"/>
            </w:tcBorders>
            <w:shd w:val="clear" w:color="auto" w:fill="CCEEFF"/>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deferred tax benefit</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CCEEFF"/>
            </w:tcBorders>
            <w:shd w:val="clear" w:color="auto" w:fill="CCEEFF"/>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4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9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911"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at the applicable federal statutory rate to the Company’s effective income tax rate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40" w:type="dxa"/>
            <w:vAlign w:val="bottom"/>
            <w:tcBorders>
              <w:bottom w:val="single" w:sz="8" w:color="auto"/>
            </w:tcBorders>
            <w:gridSpan w:val="5"/>
          </w:tcPr>
          <w:p>
            <w:pPr>
              <w:ind w:left="1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income taxes at statutory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 net of federal benefit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valuation allowance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tax on foreign earnings</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charges from integration of acquired companies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tax credits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cross border tax laws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80" w:type="dxa"/>
            <w:vAlign w:val="bottom"/>
          </w:tcPr>
          <w:p>
            <w:pPr>
              <w:spacing w:after="0"/>
              <w:rPr>
                <w:sz w:val="20"/>
                <w:szCs w:val="20"/>
                <w:color w:val="auto"/>
              </w:rPr>
            </w:pPr>
          </w:p>
        </w:tc>
        <w:tc>
          <w:tcPr>
            <w:tcW w:w="20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 %</w:t>
            </w:r>
          </w:p>
        </w:tc>
        <w:tc>
          <w:tcPr>
            <w:tcW w:w="8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 %</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(0.92) %</w:t>
            </w:r>
          </w:p>
        </w:tc>
      </w:tr>
      <w:tr>
        <w:trPr>
          <w:trHeight w:val="21"/>
        </w:trPr>
        <w:tc>
          <w:tcPr>
            <w:tcW w:w="6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As of December 31, 2024, the Company has U.S. net operating loss (“NOL”) carryforwards of $206.8 million, which substantially do not expire, and state NOL carryforwards of $177.6 million, which begin to expire between 2032 and 2044. NOL carryforwards are subject to further possible limitation should a change in ownership of the Company occur, as defined by Internal Revenue Code Section 382. As of December 31, 2024, the Company has foreign net operating loss (“NOL”) carryforwards of $18.2 million, of which $4.5 million will begin to expire in 2030.</w:t>
      </w:r>
    </w:p>
    <w:p>
      <w:pPr>
        <w:spacing w:after="0" w:line="13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As of December 31, 2024, the Company had U.S. Federal research and development credit carryforwards of $35.0 million, which begin to expire in 2041, U.S. State research and development credit carryforwards of $1.6 million, which do not expire, and foreign research and development credit carryforwards of $2.1 million, which will begin to expire in 2029, but which may also be used to satisfy payroll tax liabilities in the future.</w:t>
      </w:r>
    </w:p>
    <w:p>
      <w:pPr>
        <w:spacing w:after="0" w:line="138"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The Organization for Economic Cooperation and Development released Pillar Two model rules defining a 15% global minimum tax for multinational corporations. Many countries in which the Company operates have enacted Pillar Two. Pillar Two rules apply to the Company beginning in the Company’s fiscal year 2025. Pillar Two is not expected to materially impact the Company’s effective tax rate or cash flows in fiscal year 2025. New legislation or guidance could change the Company’s current assessment.</w:t>
      </w:r>
    </w:p>
    <w:p>
      <w:pPr>
        <w:spacing w:after="0" w:line="12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The total income tax benefit related to stock-based compensation expense and stock option exercises was $3.0 million and $2.9 million for the years ended December 31, 2024 and 2023, respectively. The Company did not record a material income tax benefit related to stock-based compensation expense and stock option exercises during the year ended December 31, 2022 since the Company maintained a full valuation allowance against its net deferred tax assets in the jurisdictions where material stock-compensation expense charges were incurred, and stock option exercises occurred.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0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tax effects of the temporary differences and carryforwards that give rise to deferred tax assets were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7"/>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59,255</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58,901</w:t>
            </w:r>
          </w:p>
        </w:tc>
      </w:tr>
      <w:tr>
        <w:trPr>
          <w:trHeight w:val="25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15,623</w:t>
            </w:r>
          </w:p>
        </w:tc>
      </w:tr>
      <w:tr>
        <w:trPr>
          <w:trHeight w:val="25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Capitalized research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69,279</w:t>
            </w:r>
          </w:p>
        </w:tc>
      </w:tr>
      <w:tr>
        <w:trPr>
          <w:trHeight w:val="25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w:t>
            </w: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tax credits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17,341</w:t>
            </w:r>
          </w:p>
        </w:tc>
      </w:tr>
      <w:tr>
        <w:trPr>
          <w:trHeight w:val="24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r>
      <w:tr>
        <w:trPr>
          <w:trHeight w:val="233"/>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180,105</w:t>
            </w:r>
          </w:p>
        </w:tc>
      </w:tr>
      <w:tr>
        <w:trPr>
          <w:trHeight w:val="266"/>
        </w:trPr>
        <w:tc>
          <w:tcPr>
            <w:tcW w:w="8020" w:type="dxa"/>
            <w:vAlign w:val="bottom"/>
            <w:gridSpan w:val="2"/>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37"/>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43"/>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56"/>
        </w:trPr>
        <w:tc>
          <w:tcPr>
            <w:tcW w:w="802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(174,863)</w:t>
            </w:r>
          </w:p>
        </w:tc>
      </w:tr>
      <w:tr>
        <w:trPr>
          <w:trHeight w:val="237"/>
        </w:trPr>
        <w:tc>
          <w:tcPr>
            <w:tcW w:w="8020" w:type="dxa"/>
            <w:vAlign w:val="bottom"/>
            <w:gridSpan w:val="2"/>
          </w:tcPr>
          <w:p>
            <w:pPr>
              <w:ind w:left="180"/>
              <w:spacing w:after="0" w:line="237" w:lineRule="exact"/>
              <w:rPr>
                <w:sz w:val="20"/>
                <w:szCs w:val="20"/>
                <w:color w:val="auto"/>
              </w:rPr>
            </w:pPr>
            <w:r>
              <w:rPr>
                <w:rFonts w:ascii="Times New Roman" w:cs="Times New Roman" w:eastAsia="Times New Roman" w:hAnsi="Times New Roman"/>
                <w:sz w:val="16"/>
                <w:szCs w:val="16"/>
                <w:color w:val="auto"/>
              </w:rPr>
              <w:t>Net deferred tax assets</w:t>
            </w:r>
            <w:r>
              <w:rPr>
                <w:rFonts w:ascii="Times New Roman" w:cs="Times New Roman" w:eastAsia="Times New Roman" w:hAnsi="Times New Roman"/>
                <w:sz w:val="21"/>
                <w:szCs w:val="21"/>
                <w:color w:val="auto"/>
                <w:vertAlign w:val="superscript"/>
              </w:rPr>
              <w:t>(2)</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3,165</w:t>
            </w:r>
          </w:p>
        </w:tc>
      </w:tr>
      <w:tr>
        <w:trPr>
          <w:trHeight w:val="20"/>
        </w:trPr>
        <w:tc>
          <w:tcPr>
            <w:tcW w:w="5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ind w:left="160" w:hanging="152"/>
        <w:spacing w:after="0" w:line="222" w:lineRule="auto"/>
        <w:tabs>
          <w:tab w:leader="none" w:pos="1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maintains a full valuation allowance against the U.S. net deferred tax assets, as it believes that these deferred tax assets do not meet the more likely than not threshold.</w:t>
      </w:r>
    </w:p>
    <w:p>
      <w:pPr>
        <w:spacing w:after="0" w:line="3" w:lineRule="exact"/>
        <w:rPr>
          <w:rFonts w:ascii="Times New Roman" w:cs="Times New Roman" w:eastAsia="Times New Roman" w:hAnsi="Times New Roman"/>
          <w:sz w:val="19"/>
          <w:szCs w:val="19"/>
          <w:color w:val="auto"/>
          <w:vertAlign w:val="superscript"/>
        </w:rPr>
      </w:pPr>
    </w:p>
    <w:p>
      <w:pPr>
        <w:ind w:left="140" w:hanging="132"/>
        <w:spacing w:after="0" w:line="224" w:lineRule="auto"/>
        <w:tabs>
          <w:tab w:leader="none" w:pos="140"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net deferred tax asset as of December 31, 2024 and 2023 was recorded within ‘</w:t>
      </w:r>
      <w:r>
        <w:rPr>
          <w:rFonts w:ascii="Times New Roman" w:cs="Times New Roman" w:eastAsia="Times New Roman" w:hAnsi="Times New Roman"/>
          <w:sz w:val="12"/>
          <w:szCs w:val="12"/>
          <w:i w:val="1"/>
          <w:iCs w:val="1"/>
          <w:color w:val="auto"/>
        </w:rPr>
        <w:t>Other noncurrent assets, net</w:t>
      </w:r>
      <w:r>
        <w:rPr>
          <w:rFonts w:ascii="Times New Roman" w:cs="Times New Roman" w:eastAsia="Times New Roman" w:hAnsi="Times New Roman"/>
          <w:sz w:val="12"/>
          <w:szCs w:val="12"/>
          <w:color w:val="auto"/>
        </w:rPr>
        <w:t>’ on the Company’s Consolidated Balance Sheets.</w:t>
      </w:r>
    </w:p>
    <w:p>
      <w:pPr>
        <w:spacing w:after="0" w:line="14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The net change in the total valuation allowance was an increase of $25.0 million, $73.4 million, and $27.2 million for the years ended December 31, 2024, 2023, and 2022, respectively. The change in valuation allowance as of December 31, 2024, 2023, and 2022 was primarily related to an increase in capitalized costs under IRC Sec 174 and certain credit carryforwards, offset by the utilization of U.S. federal and state net operating losses. The following represents the changes in the Company’s valuation allowance for the years ended December 31, 2024, 2023, and 2022, respectively:</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174,863</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74,244</w:t>
            </w:r>
          </w:p>
        </w:tc>
      </w:tr>
      <w:tr>
        <w:trPr>
          <w:trHeight w:val="233"/>
        </w:trPr>
        <w:tc>
          <w:tcPr>
            <w:tcW w:w="6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Charged to net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27,202</w:t>
            </w:r>
          </w:p>
        </w:tc>
      </w:tr>
      <w:tr>
        <w:trPr>
          <w:trHeight w:val="24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Charged to other accounts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199,831</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174,863</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101,446</w:t>
            </w:r>
          </w:p>
        </w:tc>
      </w:tr>
      <w:tr>
        <w:trPr>
          <w:trHeight w:val="21"/>
        </w:trPr>
        <w:tc>
          <w:tcPr>
            <w:tcW w:w="6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various state jurisdictions, and internationally. As of December 31, 2024, tax years 2012 through 2024 remain open for examination by taxing authorities. The Company’s 2022 federal tax return is currently under audit by the Internal Revenue Service.</w:t>
      </w:r>
    </w:p>
    <w:p>
      <w:pPr>
        <w:spacing w:after="0" w:line="1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 xml:space="preserve">The calculation of the Company’s tax obligations involves dealing with uncertainties in the application of complex tax laws and regulations.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a less than 50% likelihood that a tax benefit will be sustained, no tax benefit has been recognized.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represents the changes in the Company’s unrecognized income tax benefits for the years ended December 31, 2024, 2023, and 2022,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15,578</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Increases related to tax positions taken during the current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Increases related to tax positions taken during prior years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19,544</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15,578</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As of December 31, 2024, the Company had unrecognized tax benefits of $19.5 million, of which $10.2 million would impact the annual effective tax rate if recognized. The remainder of the unrecognized tax benefits would not affect the effective tax rate due to the valuation allowances recorded against deferred tax assets. Although it is reasonably possible that over the next 12-month period the Company could experience changes in its unrecognized tax position as a result of tax examinations or settlement activities, the Company does not anticipate any material change to its unrecognized tax position over the next 12 months. As of December 31, 2024, $7.4 million of uncertain tax positions were recorded within ‘</w:t>
      </w:r>
      <w:r>
        <w:rPr>
          <w:rFonts w:ascii="Times New Roman" w:cs="Times New Roman" w:eastAsia="Times New Roman" w:hAnsi="Times New Roman"/>
          <w:sz w:val="16"/>
          <w:szCs w:val="16"/>
          <w:i w:val="1"/>
          <w:iCs w:val="1"/>
          <w:color w:val="auto"/>
        </w:rPr>
        <w:t>Other noncurrent liabilities</w:t>
      </w:r>
      <w:r>
        <w:rPr>
          <w:rFonts w:ascii="Times New Roman" w:cs="Times New Roman" w:eastAsia="Times New Roman" w:hAnsi="Times New Roman"/>
          <w:sz w:val="16"/>
          <w:szCs w:val="16"/>
          <w:color w:val="auto"/>
        </w:rPr>
        <w:t>’ on the Consolidated Balance Sheets, and $12.1 million were recorded as a reduction in deferred tax assets, of which $9.3 million are subject to valuation allowance.</w:t>
      </w:r>
    </w:p>
    <w:p>
      <w:pPr>
        <w:spacing w:after="0" w:line="12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Company recognizes interest and, if applicable, penalties for any uncertain tax positions. Interest and penalties are recorded as a component of income tax expense. In the years ended December 31, 2024, 2023, and 2022, the Company did not have material accrued interest or penalties associated with any unrecognized tax benefits.</w:t>
      </w:r>
    </w:p>
    <w:p>
      <w:pPr>
        <w:spacing w:after="0" w:line="9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15.</w:t>
        <w:tab/>
        <w:t>401(k) Defined Contribution Plan</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4% of compensation that a participant contributes to the 401(k) plan. In addition, as part of the acquisition of Rewire, the Company inherited various employer sponsored contribution savings plans. The Company’s contributions were not material for the years ended December 31, 2024, 2023, and 2022.</w:t>
      </w:r>
    </w:p>
    <w:p>
      <w:pPr>
        <w:spacing w:after="0" w:line="139" w:lineRule="exact"/>
        <w:rPr>
          <w:sz w:val="20"/>
          <w:szCs w:val="20"/>
          <w:color w:val="auto"/>
        </w:rPr>
      </w:pPr>
    </w:p>
    <w:p>
      <w:pPr>
        <w:ind w:right="8540" w:firstLine="8"/>
        <w:spacing w:after="0" w:line="459" w:lineRule="auto"/>
        <w:tabs>
          <w:tab w:leader="none" w:pos="364"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Guarantees and Indemnification</w:t>
      </w:r>
    </w:p>
    <w:p>
      <w:pPr>
        <w:ind w:right="300"/>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December 31, 2024 and December 31,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Loss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Litigation</w:t>
      </w:r>
    </w:p>
    <w:p>
      <w:pPr>
        <w:spacing w:after="0" w:line="18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does not believe that there was a reasonable possibility that it had incurred a material loss with respect to such loss contingencies as of December 31, 2024 and December 31,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Commitments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 Most contracts are typically cancellable within a period of less than one year, although some of the larger software or cloud service subscriptions require multi-year commitments. The purchase commitments presented in the table below include amounts that are fixed with noncancellable minimum purchase terms with remaining terms in excess of one year. Obligations under contracts that are cancellable or with terms of twelve months or less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future minimum payments under the purchase commitments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22,952</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13,272</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and thereafter</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future minimum payments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37,692</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Reserve for Transaction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Company’s reserve for transaction losses for the years ended December 31, 2024 and 2023:</w:t>
      </w:r>
    </w:p>
    <w:p>
      <w:pPr>
        <w:spacing w:after="0" w:line="23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30480</wp:posOffset>
            </wp:positionV>
            <wp:extent cx="2040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w:t>
            </w:r>
          </w:p>
        </w:tc>
      </w:tr>
      <w:tr>
        <w:trPr>
          <w:trHeight w:val="233"/>
        </w:trPr>
        <w:tc>
          <w:tcPr>
            <w:tcW w:w="8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Provisions for transaction losses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38,553</w:t>
            </w:r>
          </w:p>
        </w:tc>
      </w:tr>
      <w:tr>
        <w:trPr>
          <w:trHeight w:val="246"/>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Losses incurred, net of recoveries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(38,956)</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17.</w:t>
        <w:tab/>
        <w:t>Accrued Expenses &amp; Other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w:t>
      </w:r>
    </w:p>
    <w:p>
      <w:pPr>
        <w:spacing w:after="0" w:line="21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30480</wp:posOffset>
            </wp:positionV>
            <wp:extent cx="20574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settlement liability</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58,950</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transaction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18,500</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marketing expense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salary, benefits, and related taxes</w:t>
            </w:r>
            <w:r>
              <w:rPr>
                <w:rFonts w:ascii="Times New Roman" w:cs="Times New Roman" w:eastAsia="Times New Roman" w:hAnsi="Times New Roman"/>
                <w:sz w:val="21"/>
                <w:szCs w:val="21"/>
                <w:color w:val="auto"/>
                <w:vertAlign w:val="superscript"/>
              </w:rPr>
              <w:t>(3)</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 and taxes payable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 employee contributions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 for transaction losses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property and equipment purchases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Holdback liability</w:t>
            </w:r>
            <w:r>
              <w:rPr>
                <w:rFonts w:ascii="Times New Roman" w:cs="Times New Roman" w:eastAsia="Times New Roman" w:hAnsi="Times New Roman"/>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w:t>
            </w:r>
          </w:p>
        </w:tc>
      </w:tr>
      <w:tr>
        <w:trPr>
          <w:trHeight w:val="23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15,295</w:t>
            </w:r>
          </w:p>
        </w:tc>
      </w:tr>
      <w:tr>
        <w:trPr>
          <w:trHeight w:val="268"/>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1" w:lineRule="exact"/>
        <w:rPr>
          <w:sz w:val="20"/>
          <w:szCs w:val="20"/>
          <w:color w:val="auto"/>
        </w:rPr>
      </w:pPr>
    </w:p>
    <w:p>
      <w:pPr>
        <w:ind w:right="200" w:firstLine="8"/>
        <w:spacing w:after="0" w:line="241" w:lineRule="auto"/>
        <w:tabs>
          <w:tab w:leader="none" w:pos="145"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trade settlement liability amount represents the total of disbursement postfunding liabilities and book overdrafts owed to the Company’s disbursement partners. Refer to Note 2. </w:t>
      </w:r>
      <w:r>
        <w:rPr>
          <w:rFonts w:ascii="Times New Roman" w:cs="Times New Roman" w:eastAsia="Times New Roman" w:hAnsi="Times New Roman"/>
          <w:sz w:val="13"/>
          <w:szCs w:val="13"/>
          <w:i w:val="1"/>
          <w:iCs w:val="1"/>
          <w:color w:val="auto"/>
        </w:rPr>
        <w:t>Basis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Presentation and Summary of Significant Accounting Policies </w:t>
      </w:r>
      <w:r>
        <w:rPr>
          <w:rFonts w:ascii="Times New Roman" w:cs="Times New Roman" w:eastAsia="Times New Roman" w:hAnsi="Times New Roman"/>
          <w:sz w:val="13"/>
          <w:szCs w:val="13"/>
          <w:color w:val="auto"/>
        </w:rPr>
        <w:t>within the notes to consolidated financial statements for further discussion.</w:t>
      </w:r>
    </w:p>
    <w:p>
      <w:pPr>
        <w:ind w:left="160" w:hanging="152"/>
        <w:spacing w:after="0"/>
        <w:tabs>
          <w:tab w:leader="none" w:pos="16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for further detail on the Holdback liability, which was settled in April 2024.</w:t>
      </w:r>
    </w:p>
    <w:p>
      <w:pPr>
        <w:spacing w:after="0" w:line="11" w:lineRule="exact"/>
        <w:rPr>
          <w:rFonts w:ascii="Times New Roman" w:cs="Times New Roman" w:eastAsia="Times New Roman" w:hAnsi="Times New Roman"/>
          <w:sz w:val="9"/>
          <w:szCs w:val="9"/>
          <w:color w:val="auto"/>
        </w:rPr>
      </w:pPr>
    </w:p>
    <w:p>
      <w:pPr>
        <w:ind w:right="40" w:firstLine="8"/>
        <w:spacing w:after="0" w:line="338" w:lineRule="auto"/>
        <w:tabs>
          <w:tab w:leader="none" w:pos="132" w:val="left"/>
        </w:tabs>
        <w:numPr>
          <w:ilvl w:val="0"/>
          <w:numId w:val="5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The accrued salary, benefits, and related taxes amount is inclusive of accrued severance as part of the Company’s restructuring that occurred during the year ended December 31, 2023. Refer to Note 13. </w:t>
      </w:r>
      <w:r>
        <w:rPr>
          <w:rFonts w:ascii="Times New Roman" w:cs="Times New Roman" w:eastAsia="Times New Roman" w:hAnsi="Times New Roman"/>
          <w:sz w:val="11"/>
          <w:szCs w:val="11"/>
          <w:i w:val="1"/>
          <w:iCs w:val="1"/>
          <w:color w:val="auto"/>
        </w:rPr>
        <w:t>Restructuring Initiatives</w:t>
      </w:r>
      <w:r>
        <w:rPr>
          <w:rFonts w:ascii="Times New Roman" w:cs="Times New Roman" w:eastAsia="Times New Roman" w:hAnsi="Times New Roman"/>
          <w:sz w:val="11"/>
          <w:szCs w:val="11"/>
          <w:color w:val="auto"/>
        </w:rPr>
        <w:t xml:space="preserve"> for further detail on the Company’s restructuring activities.</w:t>
      </w:r>
    </w:p>
    <w:p>
      <w:pPr>
        <w:spacing w:after="0" w:line="8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18.</w:t>
        <w:tab/>
        <w:t>Leases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leases office space in all of its locations under noncancellable operating leases with various expiration dates through 2032.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expense, lease term, and discount rate for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80" w:type="dxa"/>
            <w:vAlign w:val="bottom"/>
            <w:tcBorders>
              <w:bottom w:val="single" w:sz="8" w:color="auto"/>
            </w:tcBorders>
          </w:tcPr>
          <w:p>
            <w:pPr>
              <w:spacing w:after="0"/>
              <w:rPr>
                <w:sz w:val="19"/>
                <w:szCs w:val="19"/>
                <w:color w:val="auto"/>
              </w:rPr>
            </w:pPr>
          </w:p>
        </w:tc>
      </w:tr>
      <w:tr>
        <w:trPr>
          <w:trHeight w:val="236"/>
        </w:trPr>
        <w:tc>
          <w:tcPr>
            <w:tcW w:w="6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 (in thousands)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7,664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6,409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4,732</w:t>
            </w: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9"/>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net included in the measurement of operating lease liabilities – operating cash</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7,072</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0" w:type="dxa"/>
            <w:vAlign w:val="bottom"/>
          </w:tcPr>
          <w:p>
            <w:pPr>
              <w:spacing w:after="0"/>
              <w:rPr>
                <w:sz w:val="1"/>
                <w:szCs w:val="1"/>
                <w:color w:val="auto"/>
              </w:rPr>
            </w:pPr>
          </w:p>
        </w:tc>
      </w:tr>
      <w:tr>
        <w:trPr>
          <w:trHeight w:val="45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represents the maturity of lease liabilities as of December 31, 2024: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0" w:type="dxa"/>
            <w:vAlign w:val="bottom"/>
          </w:tcPr>
          <w:p>
            <w:pPr>
              <w:spacing w:after="0"/>
              <w:rPr>
                <w:sz w:val="1"/>
                <w:szCs w:val="1"/>
                <w:color w:val="auto"/>
              </w:rPr>
            </w:pPr>
          </w:p>
        </w:tc>
      </w:tr>
      <w:tr>
        <w:trPr>
          <w:trHeight w:val="24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and thereafter</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14,723</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39,272</w:t>
            </w: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0" w:type="dxa"/>
            <w:vAlign w:val="bottom"/>
          </w:tcPr>
          <w:p>
            <w:pPr>
              <w:spacing w:after="0"/>
              <w:rPr>
                <w:sz w:val="1"/>
                <w:szCs w:val="1"/>
                <w:color w:val="auto"/>
              </w:rPr>
            </w:pPr>
          </w:p>
        </w:tc>
      </w:tr>
      <w:tr>
        <w:trPr>
          <w:trHeight w:val="26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19.  Supplemental Cash Flow Information</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The supplemental disclosures of cash flow information consisted of the following:</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1,653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5,954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early exercised options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capitalized to internal-use software</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amounts previously held back for acquisition consideration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property and equipment purchases in accounts payable and accrued expenses and 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 conditions, in connection with acquisition</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held back for acquisition consideration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preexisting net receivable in exchange for net assets acquired in business combination</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20.</w:t>
      </w:r>
      <w:r>
        <w:rPr>
          <w:sz w:val="20"/>
          <w:szCs w:val="20"/>
          <w:color w:val="auto"/>
        </w:rPr>
        <w:tab/>
      </w:r>
      <w:r>
        <w:rPr>
          <w:rFonts w:ascii="Times New Roman" w:cs="Times New Roman" w:eastAsia="Times New Roman" w:hAnsi="Times New Roman"/>
          <w:sz w:val="15"/>
          <w:szCs w:val="15"/>
          <w:b w:val="1"/>
          <w:bCs w:val="1"/>
          <w:color w:val="auto"/>
        </w:rPr>
        <w:t>Segment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and Geographic Information</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and Note 5.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xml:space="preserve"> for information related to the Company’s geographic information for revenue and long-lived assets,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Loss and Performance Measurement</w:t>
      </w:r>
    </w:p>
    <w:p>
      <w:pPr>
        <w:spacing w:after="0" w:line="16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6"/>
          <w:szCs w:val="16"/>
          <w:color w:val="auto"/>
        </w:rPr>
        <w:t>The Company’s CODM is provided the financial performance of the Company's one operating segment showing net loss as the primary measure of segment profitability. Net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Company’s CODM is regularly provided results comparing actual performance against budgeted targets and prior periods. This measure aligns with how resources are managed and allocated within the Company’s one operating segment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Segment Expenses</w:t>
      </w:r>
    </w:p>
    <w:p>
      <w:pPr>
        <w:spacing w:after="0" w:line="16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On a regular basis, the Company’s CODM is provided certain significant segment expenses which include advertising expense and stock-based compensation expense in addition to those significant segment expenses reported within the Consolidated Statements of Operations.</w:t>
      </w:r>
    </w:p>
    <w:p>
      <w:pPr>
        <w:spacing w:after="0" w:line="9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reconciles the significant segment expenses regularly provided to the Company’s CODM for the years ended December 31, 2024, 2023, and 2022, to the primary measure of segment profitability, net loss: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1,263,963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944,285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653,560</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Significant segment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 expenses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(258,827)</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support and operations, excluding stock-based compensation expense</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(67,290)</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Marketing, excluding stock-based compensation expense and advertising expense</w:t>
            </w:r>
            <w:r>
              <w:rPr>
                <w:rFonts w:ascii="Times New Roman" w:cs="Times New Roman" w:eastAsia="Times New Roman" w:hAnsi="Times New Roman"/>
                <w:sz w:val="21"/>
                <w:szCs w:val="21"/>
                <w:color w:val="auto"/>
                <w:vertAlign w:val="superscript"/>
              </w:rPr>
              <w:t>(1)(2)</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(21,176)</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 and development, excluding stock-based compensation expense</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(92,299)</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excluding stock-based compensation expense</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(93,705)</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(139,282)</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(95,293)</w:t>
            </w:r>
          </w:p>
        </w:tc>
      </w:tr>
      <w:tr>
        <w:trPr>
          <w:trHeight w:val="23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segment disclosures: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33"/>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5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segment income (expense), net</w:t>
            </w:r>
            <w:r>
              <w:rPr>
                <w:rFonts w:ascii="Times New Roman" w:cs="Times New Roman" w:eastAsia="Times New Roman" w:hAnsi="Times New Roman"/>
                <w:sz w:val="21"/>
                <w:szCs w:val="21"/>
                <w:color w:val="auto"/>
                <w:vertAlign w:val="superscript"/>
              </w:rPr>
              <w:t>(3)</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r>
      <w:tr>
        <w:trPr>
          <w:trHeight w:val="23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(114,019)</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1" w:lineRule="exact"/>
        <w:rPr>
          <w:sz w:val="20"/>
          <w:szCs w:val="20"/>
          <w:color w:val="auto"/>
        </w:rPr>
      </w:pPr>
    </w:p>
    <w:p>
      <w:pPr>
        <w:ind w:right="360" w:firstLine="8"/>
        <w:spacing w:after="0" w:line="260" w:lineRule="auto"/>
        <w:tabs>
          <w:tab w:leader="none" w:pos="145"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The significant segment expenses reported within the Consolidated Statements of Operations are presented in this table excluding stock-based compensation expense. Stock-based compensation expense is presented separately as an additional significant segment expense and is regularly provided to the CODM. Refer to Note 12. </w:t>
      </w:r>
      <w:r>
        <w:rPr>
          <w:rFonts w:ascii="Times New Roman" w:cs="Times New Roman" w:eastAsia="Times New Roman" w:hAnsi="Times New Roman"/>
          <w:sz w:val="13"/>
          <w:szCs w:val="13"/>
          <w:i w:val="1"/>
          <w:iCs w:val="1"/>
          <w:color w:val="auto"/>
        </w:rPr>
        <w:t>Stock-Based Compensation</w:t>
      </w:r>
      <w:r>
        <w:rPr>
          <w:rFonts w:ascii="Times New Roman" w:cs="Times New Roman" w:eastAsia="Times New Roman" w:hAnsi="Times New Roman"/>
          <w:sz w:val="13"/>
          <w:szCs w:val="13"/>
          <w:color w:val="auto"/>
        </w:rPr>
        <w:t xml:space="preserve"> for tabular disclosure of amounts included within other significant segment expenses, stock-based compensation expense, net of amounts capitalized to internal-use software, as described in Note 5. </w:t>
      </w:r>
      <w:r>
        <w:rPr>
          <w:rFonts w:ascii="Times New Roman" w:cs="Times New Roman" w:eastAsia="Times New Roman" w:hAnsi="Times New Roman"/>
          <w:sz w:val="13"/>
          <w:szCs w:val="13"/>
          <w:i w:val="1"/>
          <w:iCs w:val="1"/>
          <w:color w:val="auto"/>
        </w:rPr>
        <w:t>Property and Equipment</w:t>
      </w:r>
      <w:r>
        <w:rPr>
          <w:rFonts w:ascii="Times New Roman" w:cs="Times New Roman" w:eastAsia="Times New Roman" w:hAnsi="Times New Roman"/>
          <w:sz w:val="13"/>
          <w:szCs w:val="13"/>
          <w:color w:val="auto"/>
        </w:rPr>
        <w:t>.</w:t>
      </w:r>
    </w:p>
    <w:p>
      <w:pPr>
        <w:spacing w:after="0" w:line="161" w:lineRule="exact"/>
        <w:rPr>
          <w:rFonts w:ascii="Times New Roman" w:cs="Times New Roman" w:eastAsia="Times New Roman" w:hAnsi="Times New Roman"/>
          <w:sz w:val="17"/>
          <w:szCs w:val="17"/>
          <w:color w:val="auto"/>
          <w:vertAlign w:val="superscript"/>
        </w:rPr>
      </w:pPr>
    </w:p>
    <w:p>
      <w:pPr>
        <w:ind w:right="620" w:firstLine="8"/>
        <w:spacing w:after="0" w:line="260" w:lineRule="auto"/>
        <w:tabs>
          <w:tab w:leader="none" w:pos="145"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significant segment expense reported within the Consolidated Statements of Operations is presented in this table excluding advertising expense. Advertising expense is presented separately as an additional significant segment expense and is regularly provided to the CODM. Advertising expense is included in Marketing expense as described in Note 2. </w:t>
      </w:r>
      <w:r>
        <w:rPr>
          <w:rFonts w:ascii="Times New Roman" w:cs="Times New Roman" w:eastAsia="Times New Roman" w:hAnsi="Times New Roman"/>
          <w:sz w:val="14"/>
          <w:szCs w:val="14"/>
          <w:i w:val="1"/>
          <w:iCs w:val="1"/>
          <w:color w:val="auto"/>
        </w:rPr>
        <w:t>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Presentation and Summary of Significant Accounting Policies.</w:t>
      </w:r>
    </w:p>
    <w:p>
      <w:pPr>
        <w:ind w:left="160" w:hanging="152"/>
        <w:spacing w:after="0" w:line="192" w:lineRule="auto"/>
        <w:tabs>
          <w:tab w:leader="none" w:pos="16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Other segment income (expense) includes Other income (expense), net, which is described in Note 2. </w:t>
      </w:r>
      <w:r>
        <w:rPr>
          <w:rFonts w:ascii="Times New Roman" w:cs="Times New Roman" w:eastAsia="Times New Roman" w:hAnsi="Times New Roman"/>
          <w:sz w:val="14"/>
          <w:szCs w:val="14"/>
          <w:i w:val="1"/>
          <w:iCs w:val="1"/>
          <w:color w:val="auto"/>
        </w:rPr>
        <w:t>Basis of Presentation and Summary of Significant Accounting Policies</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unusual items or other significant noncash items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540"/>
        <w:spacing w:after="0" w:line="466"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evaluated the effectiveness of our disclosure controls and procedures as of December 31, 2024,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spacing w:after="0" w:line="34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Based on our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system of controls also is based in part upon certain assumptions about the likelihood of future events, and there can be no assurance that any design will succeed in achieving its stated goals under all potential future conditions, regardless of how remote.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Report on Internal Control over Financial Reporting</w:t>
      </w:r>
    </w:p>
    <w:p>
      <w:pPr>
        <w:spacing w:after="0" w:line="18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Our management conducted an evaluation of the effectiveness of our internal control over financial reporting as of December 31, 2024, based on the framework in Internal Control - Integrated Framework (2013) issued by the Committee of Sponsoring Organizations of the Treadway Commission. Based on its evaluation our management concluded that our internal control over financial reporting was effective as of December 31, 2024.</w:t>
      </w:r>
    </w:p>
    <w:p>
      <w:pPr>
        <w:spacing w:after="0" w:line="125"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2024, has been audited by PricewaterhouseCoopers LLP, an independent registered public accounting firm, as stated in their report which appears in Part II, Item 8 of this Annual Report on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8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during the quarter ended December 31, 2024, that have materially affected, or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Rule 10b5-1 and Non-Rule 10b5-1 Trading Arrangements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On December 5, 2024, Joshua Hug, our Vice Chair and a member of our Board of Directors, adopted a trading plan intended to satisfy the conditions under Rule 10b5-1 of the Exchange Act. Mr. Hug’s plan is for the sale of up to 1,223,107 shares of our common stock, the actual amount of which may be less based on tax withholdings of RSUs, and terminates on the earlier of the date all shares under the plan are sold and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11, 2024, Pankaj Sharma, our Chief Business Officer, adopted a trading plan intended to satisfy the conditions under Rule 10b5-1 of the Exchange Act.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Sharma’s plan is for the sale of up to 70,000 shares of our common stock and terminates on the earlier of the date all shares under the plan are sold and March 31,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8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10 with respect to executive officers will be set forth in our definitive proxy statement for the 2025 Annual Meeting of Stockholders, which will be filed with the SEC pursuant to Regulation 14A within 120 days of the Company’s fiscal year ended December 31, 2024 (the "Proxy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required by Item 10 for matters other than executive officers is incorporated by reference to the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Code of Conduct</w:t>
      </w:r>
    </w:p>
    <w:p>
      <w:pPr>
        <w:spacing w:after="0" w:line="16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Board of Directors adopted a Global Code of Conduct that applies to all of our employees, officers, including our Chief Executive Officer and principal financial officer, or persons performing similar functions and agents and representatives, including directors and consultants. The full text of our Global Code of Conduct is posted on our website at ir.remitly.com. We intend to disclose future amendments to certain provisions of our Global Code of Conduct, or waivers of such provisions applicable to any Chief Executive Officer and principal financial officer, or persons performing similar functions, and our directors, on our website identified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Item 11 will be set forth in the Proxy Statement and is incorporated herein by reference.</w:t>
      </w:r>
    </w:p>
    <w:p>
      <w:pPr>
        <w:spacing w:after="0" w:line="179" w:lineRule="exact"/>
        <w:rPr>
          <w:sz w:val="20"/>
          <w:szCs w:val="20"/>
          <w:color w:val="auto"/>
        </w:rPr>
      </w:pPr>
    </w:p>
    <w:p>
      <w:pPr>
        <w:ind w:right="3500"/>
        <w:spacing w:after="0" w:line="464" w:lineRule="auto"/>
        <w:rPr>
          <w:sz w:val="20"/>
          <w:szCs w:val="20"/>
          <w:color w:val="auto"/>
        </w:rPr>
      </w:pPr>
      <w:r>
        <w:rPr>
          <w:rFonts w:ascii="Times New Roman" w:cs="Times New Roman" w:eastAsia="Times New Roman" w:hAnsi="Times New Roman"/>
          <w:sz w:val="16"/>
          <w:szCs w:val="16"/>
          <w:b w:val="1"/>
          <w:bCs w:val="1"/>
          <w:color w:val="auto"/>
        </w:rPr>
        <w:t xml:space="preserve">Item 12. Security Ownership of Certain Beneficial Owners and Management and Related Stockholders Matters </w:t>
      </w:r>
      <w:r>
        <w:rPr>
          <w:rFonts w:ascii="Times New Roman" w:cs="Times New Roman" w:eastAsia="Times New Roman" w:hAnsi="Times New Roman"/>
          <w:sz w:val="16"/>
          <w:szCs w:val="16"/>
          <w:color w:val="auto"/>
        </w:rPr>
        <w:t xml:space="preserve">The information required by Item 12 will be set forth in the Proxy Statement and is incorporated herein by reference. </w:t>
      </w: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Item 13 will be set forth in the Proxy Statement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(1) The consolidated financial statements and related documents set forth in Item 8. Financial Statements are filed as part of this report.</w:t>
      </w:r>
    </w:p>
    <w:p>
      <w:pPr>
        <w:spacing w:after="0" w:line="167" w:lineRule="exact"/>
        <w:rPr>
          <w:sz w:val="20"/>
          <w:szCs w:val="20"/>
          <w:color w:val="auto"/>
        </w:rPr>
      </w:pPr>
    </w:p>
    <w:p>
      <w:pPr>
        <w:ind w:firstLine="8"/>
        <w:spacing w:after="0" w:line="298" w:lineRule="auto"/>
        <w:tabs>
          <w:tab w:leader="none" w:pos="2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All other schedules to the consolidated financial statements required by Regulation S-X are omitted because they are not applicable, not material or because the information is included within the consolidated financial statements and related notes in Item 8. Financial Statements and Supplementary Data of this report.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(3)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documents set forth below are filed herewith or are incorporated herein by reference to the location indicated.</w:t>
      </w:r>
    </w:p>
    <w:p>
      <w:pPr>
        <w:spacing w:after="0" w:line="17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b w:val="1"/>
          <w:bCs w:val="1"/>
          <w:i w:val="1"/>
          <w:iCs w:val="1"/>
          <w:color w:val="auto"/>
        </w:rPr>
        <w:t>(a)</w:t>
        <w:tab/>
        <w:t>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schedules have been omitted because the information required to be set forth therein is not applicable or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9" w:right="7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622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 xml:space="preserve">Table of </w:t>
            </w:r>
            <w:r>
              <w:rPr>
                <w:rFonts w:ascii="Times New Roman" w:cs="Times New Roman" w:eastAsia="Times New Roman" w:hAnsi="Times New Roman"/>
                <w:sz w:val="16"/>
                <w:szCs w:val="16"/>
                <w:color w:val="000000"/>
                <w:highlight w:val="white"/>
              </w:rPr>
              <w:t>Contents</w:t>
            </w: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906"/>
        </w:trPr>
        <w:tc>
          <w:tcPr>
            <w:tcW w:w="6220" w:type="dxa"/>
            <w:vAlign w:val="bottom"/>
            <w:gridSpan w:val="41"/>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r>
      <w:tr>
        <w:trPr>
          <w:trHeight w:val="206"/>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5"/>
        </w:trPr>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gridSpan w:val="3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162"/>
        </w:trPr>
        <w:tc>
          <w:tcPr>
            <w:tcW w:w="580" w:type="dxa"/>
            <w:vAlign w:val="bottom"/>
            <w:tcBorders>
              <w:bottom w:val="single" w:sz="8" w:color="CCEEFF"/>
            </w:tcBorders>
            <w:shd w:val="clear" w:color="auto" w:fill="CCEEFF"/>
          </w:tcPr>
          <w:p>
            <w:pPr>
              <w:jc w:val="center"/>
              <w:ind w:left="179"/>
              <w:spacing w:after="0" w:line="142" w:lineRule="exact"/>
              <w:rPr>
                <w:sz w:val="20"/>
                <w:szCs w:val="20"/>
                <w:color w:val="auto"/>
              </w:rPr>
            </w:pPr>
            <w:r>
              <w:rPr>
                <w:rFonts w:ascii="Times New Roman" w:cs="Times New Roman" w:eastAsia="Times New Roman" w:hAnsi="Times New Roman"/>
                <w:sz w:val="16"/>
                <w:szCs w:val="16"/>
                <w:color w:val="auto"/>
                <w:w w:val="99"/>
              </w:rPr>
              <w:t>2.1</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980" w:type="dxa"/>
            <w:vAlign w:val="bottom"/>
            <w:tcBorders>
              <w:bottom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Agreement and Plan of Merger, dated as of August 15, 2022, by and among,</w:t>
              </w:r>
            </w:hyperlink>
          </w:p>
        </w:tc>
        <w:tc>
          <w:tcPr>
            <w:tcW w:w="300" w:type="dxa"/>
            <w:vAlign w:val="bottom"/>
            <w:tcBorders>
              <w:bottom w:val="single" w:sz="8" w:color="CCEEFF"/>
            </w:tcBorders>
            <w:gridSpan w:val="12"/>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2.1</w:t>
            </w:r>
          </w:p>
        </w:tc>
        <w:tc>
          <w:tcPr>
            <w:tcW w:w="156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August 16, 2022</w:t>
            </w:r>
          </w:p>
        </w:tc>
      </w:tr>
      <w:tr>
        <w:trPr>
          <w:trHeight w:val="189"/>
        </w:trPr>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80" w:type="dxa"/>
            <w:vAlign w:val="bottom"/>
            <w:gridSpan w:val="38"/>
            <w:shd w:val="clear" w:color="auto" w:fill="CCEEFF"/>
          </w:tcPr>
          <w:p>
            <w:pPr>
              <w:spacing w:after="0" w:line="169"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Remitly Global, Inc., Rewire Merger Sub Ltd., Rewire (O.S.G.) Research and</w:t>
              </w:r>
            </w:hyperlink>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36"/>
        </w:trPr>
        <w:tc>
          <w:tcPr>
            <w:tcW w:w="5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80" w:type="dxa"/>
            <w:vAlign w:val="bottom"/>
            <w:tcBorders>
              <w:top w:val="single" w:sz="8" w:color="0000FF"/>
            </w:tcBorders>
            <w:gridSpan w:val="16"/>
            <w:shd w:val="clear" w:color="auto" w:fill="CCEEFF"/>
          </w:tcPr>
          <w:p>
            <w:pPr>
              <w:spacing w:after="0" w:line="136" w:lineRule="exact"/>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Development Ltd. and Fortis Advisors LLC</w:t>
              </w:r>
            </w:hyperlink>
          </w:p>
        </w:tc>
        <w:tc>
          <w:tcPr>
            <w:tcW w:w="5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CCEEFF"/>
            </w:tcBorders>
            <w:shd w:val="clear" w:color="auto" w:fill="CCEEFF"/>
          </w:tcPr>
          <w:p>
            <w:pPr>
              <w:spacing w:after="0"/>
              <w:rPr>
                <w:sz w:val="11"/>
                <w:szCs w:val="11"/>
                <w:color w:val="auto"/>
              </w:rPr>
            </w:pPr>
          </w:p>
        </w:tc>
      </w:tr>
      <w:tr>
        <w:trPr>
          <w:trHeight w:val="34"/>
        </w:trPr>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r>
      <w:tr>
        <w:trPr>
          <w:trHeight w:val="175"/>
        </w:trPr>
        <w:tc>
          <w:tcPr>
            <w:tcW w:w="580" w:type="dxa"/>
            <w:vAlign w:val="bottom"/>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Amended and Restated Certificate of Incorporation</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November 12, 2021</w:t>
            </w: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580" w:type="dxa"/>
            <w:vAlign w:val="bottom"/>
            <w:tcBorders>
              <w:bottom w:val="single" w:sz="8" w:color="CCEEFF"/>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3.2</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0000FF"/>
            </w:tcBorders>
            <w:gridSpan w:val="6"/>
            <w:shd w:val="clear" w:color="auto" w:fill="CCEEFF"/>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Amended and Restated Bylaws</w:t>
              </w:r>
            </w:hyperlink>
          </w:p>
        </w:tc>
        <w:tc>
          <w:tcPr>
            <w:tcW w:w="3240" w:type="dxa"/>
            <w:vAlign w:val="bottom"/>
            <w:tcBorders>
              <w:bottom w:val="single" w:sz="8" w:color="CCEEFF"/>
            </w:tcBorders>
            <w:gridSpan w:val="32"/>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 2024</w:t>
            </w:r>
          </w:p>
        </w:tc>
      </w:tr>
      <w:tr>
        <w:trPr>
          <w:trHeight w:val="175"/>
        </w:trPr>
        <w:tc>
          <w:tcPr>
            <w:tcW w:w="580" w:type="dxa"/>
            <w:vAlign w:val="bottom"/>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Form of Common Stock Certificate</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5"/>
        </w:trPr>
        <w:tc>
          <w:tcPr>
            <w:tcW w:w="580" w:type="dxa"/>
            <w:vAlign w:val="bottom"/>
            <w:shd w:val="clear" w:color="auto" w:fill="CCEEFF"/>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Seventh Amended and Restated Investors’ Rights Agreement dated August 3,</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30, 2021</w:t>
            </w: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2020</w:t>
              </w:r>
            </w:hyperlink>
          </w:p>
        </w:tc>
        <w:tc>
          <w:tcPr>
            <w:tcW w:w="12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r>
      <w:tr>
        <w:trPr>
          <w:trHeight w:val="34"/>
        </w:trPr>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r>
      <w:tr>
        <w:trPr>
          <w:trHeight w:val="176"/>
        </w:trPr>
        <w:tc>
          <w:tcPr>
            <w:tcW w:w="580" w:type="dxa"/>
            <w:vAlign w:val="bottom"/>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75" w:lineRule="exact"/>
              <w:rPr>
                <w:sz w:val="20"/>
                <w:szCs w:val="20"/>
                <w:color w:val="auto"/>
              </w:rPr>
            </w:pPr>
            <w:r>
              <w:rPr>
                <w:rFonts w:ascii="Times New Roman" w:cs="Times New Roman" w:eastAsia="Times New Roman" w:hAnsi="Times New Roman"/>
                <w:sz w:val="16"/>
                <w:szCs w:val="16"/>
                <w:color w:val="0000FF"/>
              </w:rPr>
              <w:t>Description of Common Stock Registered Under Section 12 of the Securities</w:t>
            </w: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Borders>
              <w:top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Exchange Act of 1934, as 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5"/>
        </w:trPr>
        <w:tc>
          <w:tcPr>
            <w:tcW w:w="580" w:type="dxa"/>
            <w:vAlign w:val="bottom"/>
            <w:shd w:val="clear" w:color="auto" w:fill="CCEEFF"/>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Form of Indemnification Agreement by and between the Registrant and each of</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30, 2021</w:t>
            </w:r>
          </w:p>
        </w:tc>
      </w:tr>
      <w:tr>
        <w:trPr>
          <w:trHeight w:val="203"/>
        </w:trPr>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4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its directors and executive officers</w:t>
              </w:r>
            </w:hyperlink>
          </w:p>
        </w:tc>
        <w:tc>
          <w:tcPr>
            <w:tcW w:w="2960" w:type="dxa"/>
            <w:vAlign w:val="bottom"/>
            <w:tcBorders>
              <w:top w:val="single" w:sz="8" w:color="0000FF"/>
              <w:bottom w:val="single" w:sz="8" w:color="CCEEFF"/>
            </w:tcBorders>
            <w:gridSpan w:val="29"/>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580" w:type="dxa"/>
            <w:vAlign w:val="bottom"/>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2011 Equity Incentive Plan, as amended, and forms of equity agreements</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30, 2021</w:t>
            </w: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thereunder</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580" w:type="dxa"/>
            <w:vAlign w:val="bottom"/>
            <w:tcBorders>
              <w:bottom w:val="single" w:sz="8" w:color="CCEEFF"/>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10.3</w:t>
            </w: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0000FF"/>
            </w:tcBorders>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2021 Equity Incentive Plan, as amended, and forms of award agreements</w:t>
            </w:r>
          </w:p>
        </w:tc>
        <w:tc>
          <w:tcPr>
            <w:tcW w:w="540" w:type="dxa"/>
            <w:vAlign w:val="bottom"/>
            <w:tcBorders>
              <w:bottom w:val="single" w:sz="8" w:color="CCEEFF"/>
            </w:tcBorders>
            <w:gridSpan w:val="18"/>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r>
      <w:tr>
        <w:trPr>
          <w:trHeight w:val="217"/>
        </w:trPr>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w w:val="99"/>
              </w:rPr>
              <w:t>thereunder</w:t>
            </w:r>
          </w:p>
        </w:tc>
        <w:tc>
          <w:tcPr>
            <w:tcW w:w="4580" w:type="dxa"/>
            <w:vAlign w:val="bottom"/>
            <w:tcBorders>
              <w:bottom w:val="single" w:sz="8" w:color="CCEEFF"/>
            </w:tcBorders>
            <w:gridSpan w:val="36"/>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89"/>
        </w:trPr>
        <w:tc>
          <w:tcPr>
            <w:tcW w:w="5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10.4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2021 Employee Stock Purchase Plan, as amended, and forms of subscription</w:t>
              </w:r>
            </w:hyperlink>
          </w:p>
        </w:tc>
        <w:tc>
          <w:tcPr>
            <w:tcW w:w="260" w:type="dxa"/>
            <w:vAlign w:val="bottom"/>
            <w:gridSpan w:val="10"/>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2024</w:t>
            </w:r>
          </w:p>
        </w:tc>
      </w:tr>
      <w:tr>
        <w:trPr>
          <w:trHeight w:val="183"/>
        </w:trPr>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83"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agreement thereunder</w:t>
              </w:r>
            </w:hyperlink>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80" w:type="dxa"/>
            <w:vAlign w:val="bottom"/>
            <w:tcBorders>
              <w:bottom w:val="single" w:sz="8" w:color="CCEEFF"/>
            </w:tcBorders>
            <w:shd w:val="clear" w:color="auto" w:fill="CCEEFF"/>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0000FF"/>
            </w:tcBorders>
            <w:gridSpan w:val="2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Forms of Change in Control and Severance Agreement for executive officers</w:t>
            </w:r>
          </w:p>
        </w:tc>
        <w:tc>
          <w:tcPr>
            <w:tcW w:w="260" w:type="dxa"/>
            <w:vAlign w:val="bottom"/>
            <w:tcBorders>
              <w:bottom w:val="single" w:sz="8" w:color="CCEEFF"/>
            </w:tcBorders>
            <w:gridSpan w:val="10"/>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x</w:t>
            </w:r>
          </w:p>
        </w:tc>
        <w:tc>
          <w:tcPr>
            <w:tcW w:w="6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580" w:type="dxa"/>
            <w:vAlign w:val="bottom"/>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Amended and Restated Offer Letter, effective as of September 13, 2021 by and</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80" w:type="dxa"/>
            <w:vAlign w:val="bottom"/>
            <w:tcBorders>
              <w:top w:val="single" w:sz="8" w:color="0000FF"/>
            </w:tcBorders>
            <w:gridSpan w:val="36"/>
          </w:tcPr>
          <w:p>
            <w:pPr>
              <w:spacing w:after="0" w:line="169"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between the Registrant and Matthew Oppenheimer</w:t>
              </w:r>
            </w:hyperlink>
          </w:p>
        </w:tc>
        <w:tc>
          <w:tcPr>
            <w:tcW w:w="1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6"/>
        </w:trPr>
        <w:tc>
          <w:tcPr>
            <w:tcW w:w="580" w:type="dxa"/>
            <w:vAlign w:val="bottom"/>
            <w:shd w:val="clear" w:color="auto" w:fill="CCEEFF"/>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Amended and Restated Offer Letter, effective as of September 13, 2021 by and</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180" w:type="dxa"/>
            <w:vAlign w:val="bottom"/>
            <w:tcBorders>
              <w:top w:val="single" w:sz="8" w:color="0000FF"/>
            </w:tcBorders>
            <w:gridSpan w:val="36"/>
            <w:shd w:val="clear" w:color="auto" w:fill="CCEEFF"/>
          </w:tcPr>
          <w:p>
            <w:pPr>
              <w:spacing w:after="0" w:line="169"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between the Registrant and Joshua Hug</w:t>
              </w:r>
            </w:hyperlink>
          </w:p>
        </w:tc>
        <w:tc>
          <w:tcPr>
            <w:tcW w:w="100" w:type="dxa"/>
            <w:vAlign w:val="bottom"/>
            <w:tcBorders>
              <w:top w:val="single" w:sz="8" w:color="CCEEFF"/>
            </w:tcBorders>
            <w:gridSpan w:val="2"/>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r>
      <w:tr>
        <w:trPr>
          <w:trHeight w:val="34"/>
        </w:trPr>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r>
      <w:tr>
        <w:trPr>
          <w:trHeight w:val="175"/>
        </w:trPr>
        <w:tc>
          <w:tcPr>
            <w:tcW w:w="580" w:type="dxa"/>
            <w:vAlign w:val="bottom"/>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Revolving Credit and Guaranty Agreement, dated as of September 13, 2021,</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September 14, 2021</w:t>
            </w: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tcBorders>
              <w:top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among Remitly Global, Inc. and Remitly, Inc., the guarantors party thereto,</w:t>
              </w:r>
            </w:hyperlink>
          </w:p>
        </w:tc>
        <w:tc>
          <w:tcPr>
            <w:tcW w:w="300" w:type="dxa"/>
            <w:vAlign w:val="bottom"/>
            <w:gridSpan w:val="12"/>
          </w:tcPr>
          <w:p>
            <w:pPr>
              <w:spacing w:after="0" w:line="169"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the</w:t>
              </w:r>
            </w:hyperlink>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Borders>
              <w:top w:val="single" w:sz="8" w:color="0000FF"/>
            </w:tcBorders>
            <w:gridSpan w:val="34"/>
          </w:tcPr>
          <w:p>
            <w:pPr>
              <w:spacing w:after="0" w:line="15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lenders and issuing banks party thereto and J.P. Morgan Chase Bank, N.A.</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5"/>
        </w:trPr>
        <w:tc>
          <w:tcPr>
            <w:tcW w:w="580" w:type="dxa"/>
            <w:vAlign w:val="bottom"/>
            <w:shd w:val="clear" w:color="auto" w:fill="CCEEFF"/>
          </w:tcPr>
          <w:p>
            <w:pPr>
              <w:jc w:val="center"/>
              <w:ind w:left="179"/>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Second Amendment to Credit Agreement, dated as of November 16, 2020, by</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333-259167</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30, 2021</w:t>
            </w: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60" w:type="dxa"/>
            <w:vAlign w:val="bottom"/>
            <w:tcBorders>
              <w:top w:val="single" w:sz="8" w:color="0000FF"/>
            </w:tcBorders>
            <w:gridSpan w:val="30"/>
            <w:shd w:val="clear" w:color="auto" w:fill="CCEEFF"/>
          </w:tcPr>
          <w:p>
            <w:pPr>
              <w:spacing w:after="0" w:line="169"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and among the Registrant, Remitly, Inc., Silicon Valley Bank and other banks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r>
      <w:tr>
        <w:trPr>
          <w:trHeight w:val="155"/>
        </w:trPr>
        <w:tc>
          <w:tcPr>
            <w:tcW w:w="5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40" w:type="dxa"/>
            <w:vAlign w:val="bottom"/>
            <w:tcBorders>
              <w:top w:val="single" w:sz="8" w:color="0000FF"/>
            </w:tcBorders>
            <w:gridSpan w:val="29"/>
            <w:shd w:val="clear" w:color="auto" w:fill="CCEEFF"/>
          </w:tcPr>
          <w:p>
            <w:pPr>
              <w:spacing w:after="0" w:line="15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and financial institutions party thereto, including the Amended and Restated</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r>
      <w:tr>
        <w:trPr>
          <w:trHeight w:val="203"/>
        </w:trPr>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580" w:type="dxa"/>
            <w:vAlign w:val="bottom"/>
            <w:tcBorders>
              <w:top w:val="single" w:sz="8" w:color="0000FF"/>
              <w:bottom w:val="single" w:sz="8" w:color="0000FF"/>
            </w:tcBorders>
            <w:gridSpan w:val="17"/>
            <w:shd w:val="clear" w:color="auto" w:fill="CCEEFF"/>
          </w:tcPr>
          <w:p>
            <w:pPr>
              <w:spacing w:after="0" w:line="169"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Credit Agreement (amended through November 16, 2020) in Annex A</w:t>
              </w:r>
            </w:hyperlink>
          </w:p>
        </w:tc>
        <w:tc>
          <w:tcPr>
            <w:tcW w:w="38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5"/>
        </w:trPr>
        <w:tc>
          <w:tcPr>
            <w:tcW w:w="8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Amended and Restated Offer Letter, effective as of July 18, 2022 by and</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10, 2022</w:t>
            </w: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between the Registrant and Hemanth Munipalli</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5"/>
        </w:trPr>
        <w:tc>
          <w:tcPr>
            <w:tcW w:w="840" w:type="dxa"/>
            <w:vAlign w:val="bottom"/>
            <w:gridSpan w:val="2"/>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and Restated Offer Letter, dated as of April 6, 2023, by and between</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8, 2023</w:t>
            </w:r>
          </w:p>
        </w:tc>
      </w:tr>
      <w:tr>
        <w:trPr>
          <w:trHeight w:val="203"/>
        </w:trPr>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14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w w:val="99"/>
              </w:rPr>
            </w:pPr>
            <w:hyperlink r:id="rId125">
              <w:r>
                <w:rPr>
                  <w:rFonts w:ascii="Times New Roman" w:cs="Times New Roman" w:eastAsia="Times New Roman" w:hAnsi="Times New Roman"/>
                  <w:sz w:val="16"/>
                  <w:szCs w:val="16"/>
                  <w:color w:val="0000FF"/>
                  <w:w w:val="99"/>
                </w:rPr>
                <w:t>the Registrant and Rene Yoakum</w:t>
              </w:r>
            </w:hyperlink>
          </w:p>
        </w:tc>
        <w:tc>
          <w:tcPr>
            <w:tcW w:w="296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5"/>
        </w:trPr>
        <w:tc>
          <w:tcPr>
            <w:tcW w:w="8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w:t>
            </w: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Amended and Restated Offer Letter, dated as of April 6, 2023, by and between</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8, 2023</w:t>
            </w: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00" w:type="dxa"/>
            <w:vAlign w:val="bottom"/>
            <w:tcBorders>
              <w:top w:val="single" w:sz="8" w:color="0000FF"/>
            </w:tcBorders>
            <w:gridSpan w:val="32"/>
          </w:tcPr>
          <w:p>
            <w:pPr>
              <w:spacing w:after="0" w:line="16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the Registrant and Ankur Sinha</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5"/>
        </w:trPr>
        <w:tc>
          <w:tcPr>
            <w:tcW w:w="840" w:type="dxa"/>
            <w:vAlign w:val="bottom"/>
            <w:gridSpan w:val="2"/>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Amendment No. 1, dated June 26, 2023, to the Revolving Credit and Guaranty</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 2023</w:t>
            </w:r>
          </w:p>
        </w:tc>
      </w:tr>
      <w:tr>
        <w:trPr>
          <w:trHeight w:val="169"/>
        </w:trPr>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940" w:type="dxa"/>
            <w:vAlign w:val="bottom"/>
            <w:tcBorders>
              <w:top w:val="single" w:sz="8" w:color="0000FF"/>
              <w:bottom w:val="single" w:sz="8" w:color="0000FF"/>
            </w:tcBorders>
            <w:gridSpan w:val="24"/>
            <w:shd w:val="clear" w:color="auto" w:fill="CCEEFF"/>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Agreement dated as of September 13, 2021 among Remitly Global, Inc. and</w:t>
              </w:r>
            </w:hyperlink>
          </w:p>
        </w:tc>
        <w:tc>
          <w:tcPr>
            <w:tcW w:w="18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5"/>
        </w:trPr>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80" w:type="dxa"/>
            <w:vAlign w:val="bottom"/>
            <w:gridSpan w:val="38"/>
            <w:shd w:val="clear" w:color="auto" w:fill="CCEEFF"/>
          </w:tcPr>
          <w:p>
            <w:pPr>
              <w:spacing w:after="0" w:line="15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Remitly, Inc., the guarantors party thereto, the lenders and issuing banks party</w:t>
              </w:r>
            </w:hyperlink>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69"/>
        </w:trPr>
        <w:tc>
          <w:tcPr>
            <w:tcW w:w="5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thereto and J.P. Morgan Chase Bank, N.A.</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r>
      <w:tr>
        <w:trPr>
          <w:trHeight w:val="34"/>
        </w:trPr>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r>
      <w:tr>
        <w:trPr>
          <w:trHeight w:val="175"/>
        </w:trPr>
        <w:tc>
          <w:tcPr>
            <w:tcW w:w="8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10.14</w:t>
            </w:r>
          </w:p>
        </w:tc>
        <w:tc>
          <w:tcPr>
            <w:tcW w:w="100" w:type="dxa"/>
            <w:vAlign w:val="bottom"/>
          </w:tcPr>
          <w:p>
            <w:pPr>
              <w:spacing w:after="0"/>
              <w:rPr>
                <w:sz w:val="15"/>
                <w:szCs w:val="15"/>
                <w:color w:val="auto"/>
              </w:rPr>
            </w:pPr>
          </w:p>
        </w:tc>
        <w:tc>
          <w:tcPr>
            <w:tcW w:w="5280" w:type="dxa"/>
            <w:vAlign w:val="bottom"/>
            <w:gridSpan w:val="38"/>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Amendment No. 2 and Joinder Agreement dated as of December 20, 2023, to</w:t>
              </w:r>
            </w:hyperlink>
          </w:p>
        </w:tc>
        <w:tc>
          <w:tcPr>
            <w:tcW w:w="94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December 22, 2023</w:t>
            </w: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0" w:type="dxa"/>
            <w:vAlign w:val="bottom"/>
            <w:gridSpan w:val="1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8"/>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the Revolving Credit and Guaranty Agreement dated as of September 13, 2021</w:t>
              </w:r>
            </w:hyperlink>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60" w:type="dxa"/>
            <w:vAlign w:val="bottom"/>
            <w:tcBorders>
              <w:top w:val="single" w:sz="8" w:color="0000FF"/>
            </w:tcBorders>
            <w:gridSpan w:val="35"/>
          </w:tcPr>
          <w:p>
            <w:pPr>
              <w:spacing w:after="0" w:line="15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among Remitly Global, Inc. and Remitly, Inc. as borrowers and guarantors,</w:t>
              </w:r>
            </w:hyperlink>
          </w:p>
        </w:tc>
        <w:tc>
          <w:tcPr>
            <w:tcW w:w="12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9"/>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8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JPMorgan Chase Bank, N.A. as administrative agent and the incremental</w:t>
              </w:r>
            </w:hyperlink>
          </w:p>
        </w:tc>
        <w:tc>
          <w:tcPr>
            <w:tcW w:w="400" w:type="dxa"/>
            <w:vAlign w:val="bottom"/>
            <w:gridSpan w:val="15"/>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40" w:type="dxa"/>
            <w:vAlign w:val="bottom"/>
            <w:tcBorders>
              <w:top w:val="single" w:sz="8" w:color="0000FF"/>
            </w:tcBorders>
            <w:gridSpan w:val="19"/>
          </w:tcPr>
          <w:p>
            <w:pPr>
              <w:spacing w:after="0" w:line="15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lenders party thereto</w:t>
              </w:r>
            </w:hyperlink>
          </w:p>
        </w:tc>
        <w:tc>
          <w:tcPr>
            <w:tcW w:w="40" w:type="dxa"/>
            <w:vAlign w:val="bottom"/>
            <w:gridSpan w:val="2"/>
          </w:tcPr>
          <w:p>
            <w:pPr>
              <w:spacing w:after="0"/>
              <w:rPr>
                <w:sz w:val="13"/>
                <w:szCs w:val="13"/>
                <w:color w:val="auto"/>
              </w:rPr>
            </w:pPr>
          </w:p>
        </w:tc>
        <w:tc>
          <w:tcPr>
            <w:tcW w:w="500" w:type="dxa"/>
            <w:vAlign w:val="bottom"/>
            <w:gridSpan w:val="17"/>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4"/>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75"/>
        </w:trPr>
        <w:tc>
          <w:tcPr>
            <w:tcW w:w="840" w:type="dxa"/>
            <w:vAlign w:val="bottom"/>
            <w:gridSpan w:val="2"/>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shd w:val="clear" w:color="auto" w:fill="CCEEFF"/>
          </w:tcPr>
          <w:p>
            <w:pPr>
              <w:spacing w:after="0"/>
              <w:rPr>
                <w:sz w:val="15"/>
                <w:szCs w:val="15"/>
                <w:color w:val="auto"/>
              </w:rPr>
            </w:pPr>
          </w:p>
        </w:tc>
        <w:tc>
          <w:tcPr>
            <w:tcW w:w="528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Offer Letter, dated as of July 26, 2024, by and between the Registrant and</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001-40822</w:t>
            </w: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October 30, 2024</w:t>
            </w:r>
          </w:p>
        </w:tc>
      </w:tr>
      <w:tr>
        <w:trPr>
          <w:trHeight w:val="203"/>
        </w:trPr>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Vikas Mehta</w:t>
              </w:r>
            </w:hyperlink>
          </w:p>
        </w:tc>
        <w:tc>
          <w:tcPr>
            <w:tcW w:w="500" w:type="dxa"/>
            <w:vAlign w:val="bottom"/>
            <w:tcBorders>
              <w:top w:val="single" w:sz="8" w:color="CCEEFF"/>
            </w:tcBorders>
            <w:gridSpan w:val="17"/>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r>
      <w:tr>
        <w:trPr>
          <w:trHeight w:val="1074"/>
        </w:trPr>
        <w:tc>
          <w:tcPr>
            <w:tcW w:w="5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0000FF"/>
            </w:tcBorders>
            <w:gridSpan w:val="3"/>
          </w:tcPr>
          <w:p>
            <w:pPr>
              <w:spacing w:after="0"/>
              <w:rPr>
                <w:sz w:val="24"/>
                <w:szCs w:val="24"/>
                <w:color w:val="auto"/>
              </w:rPr>
            </w:pPr>
          </w:p>
        </w:tc>
        <w:tc>
          <w:tcPr>
            <w:tcW w:w="3960" w:type="dxa"/>
            <w:vAlign w:val="bottom"/>
            <w:tcBorders>
              <w:top w:val="single" w:sz="8" w:color="CCEEFF"/>
            </w:tcBorders>
            <w:gridSpan w:val="18"/>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r>
      <w:tr>
        <w:trPr>
          <w:trHeight w:val="270"/>
        </w:trPr>
        <w:tc>
          <w:tcPr>
            <w:tcW w:w="5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10.16</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Consulting Agreement, dated as of December 17, 2024, by and between the</w:t>
            </w:r>
          </w:p>
        </w:tc>
      </w:tr>
      <w:tr>
        <w:trPr>
          <w:trHeight w:val="155"/>
        </w:trPr>
        <w:tc>
          <w:tcPr>
            <w:tcW w:w="8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6"/>
                <w:szCs w:val="16"/>
                <w:color w:val="0000FF"/>
                <w:w w:val="99"/>
              </w:rPr>
              <w:t>Registrant and Rene Yoakum</w:t>
            </w:r>
          </w:p>
        </w:tc>
        <w:tc>
          <w:tcPr>
            <w:tcW w:w="30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19.1</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Remitly Global, Inc. Insider Trading Policy</w:t>
            </w: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21.1</w:t>
            </w:r>
          </w:p>
        </w:tc>
        <w:tc>
          <w:tcPr>
            <w:tcW w:w="28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List of Subsidiaries of the Registrant</w:t>
            </w:r>
          </w:p>
        </w:tc>
        <w:tc>
          <w:tcPr>
            <w:tcW w:w="2400" w:type="dxa"/>
            <w:vAlign w:val="bottom"/>
            <w:gridSpan w:val="12"/>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23.1</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 public</w:t>
            </w:r>
          </w:p>
        </w:tc>
      </w:tr>
      <w:tr>
        <w:trPr>
          <w:trHeight w:val="156"/>
        </w:trPr>
        <w:tc>
          <w:tcPr>
            <w:tcW w:w="82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FF"/>
              </w:rPr>
              <w:t>accounting firm</w:t>
            </w:r>
          </w:p>
        </w:tc>
        <w:tc>
          <w:tcPr>
            <w:tcW w:w="3620" w:type="dxa"/>
            <w:vAlign w:val="bottom"/>
            <w:tcBorders>
              <w:top w:val="single" w:sz="8" w:color="0000FF"/>
            </w:tcBorders>
            <w:gridSpan w:val="8"/>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24.1</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Power of Attorney (included in the signature page to the Annual Report on</w:t>
            </w:r>
          </w:p>
        </w:tc>
      </w:tr>
      <w:tr>
        <w:trPr>
          <w:trHeight w:val="156"/>
        </w:trPr>
        <w:tc>
          <w:tcPr>
            <w:tcW w:w="820" w:type="dxa"/>
            <w:vAlign w:val="bottom"/>
          </w:tcPr>
          <w:p>
            <w:pPr>
              <w:spacing w:after="0"/>
              <w:rPr>
                <w:sz w:val="13"/>
                <w:szCs w:val="13"/>
                <w:color w:val="auto"/>
              </w:rPr>
            </w:pPr>
          </w:p>
        </w:tc>
        <w:tc>
          <w:tcPr>
            <w:tcW w:w="4860" w:type="dxa"/>
            <w:vAlign w:val="bottom"/>
            <w:tcBorders>
              <w:top w:val="single" w:sz="8" w:color="0000FF"/>
            </w:tcBorders>
            <w:gridSpan w:val="11"/>
          </w:tcPr>
          <w:p>
            <w:pPr>
              <w:spacing w:after="0" w:line="155" w:lineRule="exact"/>
              <w:rPr>
                <w:sz w:val="20"/>
                <w:szCs w:val="20"/>
                <w:color w:val="auto"/>
              </w:rPr>
            </w:pPr>
            <w:r>
              <w:rPr>
                <w:rFonts w:ascii="Times New Roman" w:cs="Times New Roman" w:eastAsia="Times New Roman" w:hAnsi="Times New Roman"/>
                <w:sz w:val="16"/>
                <w:szCs w:val="16"/>
                <w:color w:val="0000FF"/>
              </w:rPr>
              <w:t>Form 10-K)</w:t>
            </w: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31.1</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w:t>
            </w:r>
          </w:p>
        </w:tc>
      </w:tr>
      <w:tr>
        <w:trPr>
          <w:trHeight w:val="156"/>
        </w:trPr>
        <w:tc>
          <w:tcPr>
            <w:tcW w:w="820" w:type="dxa"/>
            <w:vAlign w:val="bottom"/>
          </w:tcPr>
          <w:p>
            <w:pPr>
              <w:spacing w:after="0"/>
              <w:rPr>
                <w:sz w:val="13"/>
                <w:szCs w:val="13"/>
                <w:color w:val="auto"/>
              </w:rPr>
            </w:pPr>
          </w:p>
        </w:tc>
        <w:tc>
          <w:tcPr>
            <w:tcW w:w="4940" w:type="dxa"/>
            <w:vAlign w:val="bottom"/>
            <w:tcBorders>
              <w:top w:val="single" w:sz="8" w:color="0000FF"/>
            </w:tcBorders>
            <w:gridSpan w:val="14"/>
          </w:tcPr>
          <w:p>
            <w:pPr>
              <w:spacing w:after="0" w:line="155" w:lineRule="exact"/>
              <w:rPr>
                <w:sz w:val="20"/>
                <w:szCs w:val="20"/>
                <w:color w:val="auto"/>
              </w:rPr>
            </w:pPr>
            <w:r>
              <w:rPr>
                <w:rFonts w:ascii="Times New Roman" w:cs="Times New Roman" w:eastAsia="Times New Roman" w:hAnsi="Times New Roman"/>
                <w:sz w:val="16"/>
                <w:szCs w:val="16"/>
                <w:color w:val="0000FF"/>
              </w:rPr>
              <w:t>15d-14(a) under the Securities Exchange Act of 1934, as Adopted Pursuant</w:t>
            </w:r>
          </w:p>
        </w:tc>
        <w:tc>
          <w:tcPr>
            <w:tcW w:w="280" w:type="dxa"/>
            <w:vAlign w:val="bottom"/>
            <w:gridSpan w:val="4"/>
          </w:tcPr>
          <w:p>
            <w:pPr>
              <w:jc w:val="right"/>
              <w:ind w:right="160"/>
              <w:spacing w:after="0" w:line="155" w:lineRule="exact"/>
              <w:rPr>
                <w:sz w:val="20"/>
                <w:szCs w:val="20"/>
                <w:color w:val="auto"/>
              </w:rPr>
            </w:pPr>
            <w:r>
              <w:rPr>
                <w:rFonts w:ascii="Times New Roman" w:cs="Times New Roman" w:eastAsia="Times New Roman" w:hAnsi="Times New Roman"/>
                <w:sz w:val="16"/>
                <w:szCs w:val="16"/>
                <w:color w:val="0000FF"/>
                <w:w w:val="79"/>
              </w:rPr>
              <w:t>to</w:t>
            </w:r>
          </w:p>
        </w:tc>
      </w:tr>
      <w:tr>
        <w:trPr>
          <w:trHeight w:val="169"/>
        </w:trPr>
        <w:tc>
          <w:tcPr>
            <w:tcW w:w="8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1980" w:type="dxa"/>
            <w:vAlign w:val="bottom"/>
            <w:tcBorders>
              <w:top w:val="single" w:sz="8" w:color="0000FF"/>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31.2</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w:t>
            </w:r>
          </w:p>
        </w:tc>
      </w:tr>
      <w:tr>
        <w:trPr>
          <w:trHeight w:val="156"/>
        </w:trPr>
        <w:tc>
          <w:tcPr>
            <w:tcW w:w="820" w:type="dxa"/>
            <w:vAlign w:val="bottom"/>
          </w:tcPr>
          <w:p>
            <w:pPr>
              <w:spacing w:after="0"/>
              <w:rPr>
                <w:sz w:val="13"/>
                <w:szCs w:val="13"/>
                <w:color w:val="auto"/>
              </w:rPr>
            </w:pPr>
          </w:p>
        </w:tc>
        <w:tc>
          <w:tcPr>
            <w:tcW w:w="490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15d-14(a) under the Securities Exchange Act of 1934, as Adopted Pursuant</w:t>
            </w:r>
          </w:p>
        </w:tc>
        <w:tc>
          <w:tcPr>
            <w:tcW w:w="320" w:type="dxa"/>
            <w:vAlign w:val="bottom"/>
            <w:gridSpan w:val="6"/>
          </w:tcPr>
          <w:p>
            <w:pPr>
              <w:jc w:val="right"/>
              <w:ind w:right="160"/>
              <w:spacing w:after="0" w:line="155" w:lineRule="exact"/>
              <w:rPr>
                <w:sz w:val="20"/>
                <w:szCs w:val="20"/>
                <w:color w:val="auto"/>
              </w:rPr>
            </w:pPr>
            <w:r>
              <w:rPr>
                <w:rFonts w:ascii="Times New Roman" w:cs="Times New Roman" w:eastAsia="Times New Roman" w:hAnsi="Times New Roman"/>
                <w:sz w:val="16"/>
                <w:szCs w:val="16"/>
                <w:color w:val="0000FF"/>
              </w:rPr>
              <w:t>to</w:t>
            </w:r>
          </w:p>
        </w:tc>
      </w:tr>
      <w:tr>
        <w:trPr>
          <w:trHeight w:val="169"/>
        </w:trPr>
        <w:tc>
          <w:tcPr>
            <w:tcW w:w="8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1980" w:type="dxa"/>
            <w:vAlign w:val="bottom"/>
            <w:tcBorders>
              <w:top w:val="single" w:sz="8" w:color="0000FF"/>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32.1*</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w:t>
            </w:r>
          </w:p>
        </w:tc>
      </w:tr>
      <w:tr>
        <w:trPr>
          <w:trHeight w:val="155"/>
        </w:trPr>
        <w:tc>
          <w:tcPr>
            <w:tcW w:w="8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FF"/>
              </w:rPr>
              <w:t>as Adopted Pursuant to Section 906 of the Sarbanes-Oxley Act of 2002</w:t>
            </w:r>
          </w:p>
        </w:tc>
        <w:tc>
          <w:tcPr>
            <w:tcW w:w="5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32.2*</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w:t>
            </w:r>
          </w:p>
        </w:tc>
      </w:tr>
      <w:tr>
        <w:trPr>
          <w:trHeight w:val="156"/>
        </w:trPr>
        <w:tc>
          <w:tcPr>
            <w:tcW w:w="820" w:type="dxa"/>
            <w:vAlign w:val="bottom"/>
          </w:tcPr>
          <w:p>
            <w:pPr>
              <w:spacing w:after="0"/>
              <w:rPr>
                <w:sz w:val="13"/>
                <w:szCs w:val="13"/>
                <w:color w:val="auto"/>
              </w:rPr>
            </w:pPr>
          </w:p>
        </w:tc>
        <w:tc>
          <w:tcPr>
            <w:tcW w:w="5160" w:type="dxa"/>
            <w:vAlign w:val="bottom"/>
            <w:tcBorders>
              <w:top w:val="single" w:sz="8" w:color="0000FF"/>
            </w:tcBorders>
            <w:gridSpan w:val="16"/>
          </w:tcPr>
          <w:p>
            <w:pPr>
              <w:spacing w:after="0" w:line="155" w:lineRule="exact"/>
              <w:rPr>
                <w:sz w:val="20"/>
                <w:szCs w:val="20"/>
                <w:color w:val="auto"/>
              </w:rPr>
            </w:pPr>
            <w:r>
              <w:rPr>
                <w:rFonts w:ascii="Times New Roman" w:cs="Times New Roman" w:eastAsia="Times New Roman" w:hAnsi="Times New Roman"/>
                <w:sz w:val="16"/>
                <w:szCs w:val="16"/>
                <w:color w:val="0000FF"/>
              </w:rPr>
              <w:t>as Adopted Pursuant to Section 906 of the Sarbanes-Oxley Act of 2002</w:t>
            </w:r>
          </w:p>
        </w:tc>
        <w:tc>
          <w:tcPr>
            <w:tcW w:w="60" w:type="dxa"/>
            <w:vAlign w:val="bottom"/>
            <w:gridSpan w:val="2"/>
          </w:tcPr>
          <w:p>
            <w:pPr>
              <w:spacing w:after="0"/>
              <w:rPr>
                <w:sz w:val="13"/>
                <w:szCs w:val="13"/>
                <w:color w:val="auto"/>
              </w:rPr>
            </w:pPr>
          </w:p>
        </w:tc>
      </w:tr>
      <w:tr>
        <w:trPr>
          <w:trHeight w:val="223"/>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97.1</w:t>
            </w:r>
          </w:p>
        </w:tc>
        <w:tc>
          <w:tcPr>
            <w:tcW w:w="2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Compensation Recoupment Policy</w:t>
            </w:r>
          </w:p>
        </w:tc>
        <w:tc>
          <w:tcPr>
            <w:tcW w:w="2360" w:type="dxa"/>
            <w:vAlign w:val="bottom"/>
            <w:tcBorders>
              <w:top w:val="single" w:sz="8" w:color="0000FF"/>
            </w:tcBorders>
            <w:gridSpan w:val="4"/>
          </w:tcPr>
          <w:p>
            <w:pPr>
              <w:spacing w:after="0"/>
              <w:rPr>
                <w:sz w:val="19"/>
                <w:szCs w:val="19"/>
                <w:color w:val="auto"/>
              </w:rPr>
            </w:pPr>
          </w:p>
        </w:tc>
        <w:tc>
          <w:tcPr>
            <w:tcW w:w="600" w:type="dxa"/>
            <w:vAlign w:val="bottom"/>
            <w:gridSpan w:val="10"/>
          </w:tcPr>
          <w:p>
            <w:pPr>
              <w:spacing w:after="0"/>
              <w:rPr>
                <w:sz w:val="19"/>
                <w:szCs w:val="19"/>
                <w:color w:val="auto"/>
              </w:rPr>
            </w:pPr>
          </w:p>
        </w:tc>
      </w:tr>
      <w:tr>
        <w:trPr>
          <w:trHeight w:val="22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101.INS</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r>
      <w:tr>
        <w:trPr>
          <w:trHeight w:val="189"/>
        </w:trPr>
        <w:tc>
          <w:tcPr>
            <w:tcW w:w="820" w:type="dxa"/>
            <w:vAlign w:val="bottom"/>
          </w:tcPr>
          <w:p>
            <w:pPr>
              <w:spacing w:after="0"/>
              <w:rPr>
                <w:sz w:val="16"/>
                <w:szCs w:val="16"/>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r>
      <w:tr>
        <w:trPr>
          <w:trHeight w:val="210"/>
        </w:trPr>
        <w:tc>
          <w:tcPr>
            <w:tcW w:w="820" w:type="dxa"/>
            <w:vAlign w:val="bottom"/>
          </w:tcPr>
          <w:p>
            <w:pPr>
              <w:spacing w:after="0"/>
              <w:rPr>
                <w:sz w:val="18"/>
                <w:szCs w:val="18"/>
                <w:color w:val="auto"/>
              </w:rPr>
            </w:pP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29"/>
        </w:trPr>
        <w:tc>
          <w:tcPr>
            <w:tcW w:w="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101.SCH</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101.CAL</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101.DEF</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101.LAB</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43"/>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101.PRE</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-3407410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-3098800</wp:posOffset>
            </wp:positionV>
            <wp:extent cx="7132320" cy="266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-2567305</wp:posOffset>
            </wp:positionV>
            <wp:extent cx="7132320"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-1812925</wp:posOffset>
            </wp:positionV>
            <wp:extent cx="713232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-1281430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ind w:left="940" w:right="180" w:hanging="635"/>
        <w:spacing w:after="0" w:line="263" w:lineRule="auto"/>
        <w:tabs>
          <w:tab w:leader="none" w:pos="9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0" w:lineRule="exact"/>
        <w:rPr>
          <w:sz w:val="20"/>
          <w:szCs w:val="20"/>
          <w:color w:val="auto"/>
        </w:rPr>
      </w:pPr>
    </w:p>
    <w:p>
      <w:pPr>
        <w:sectPr>
          <w:pgSz w:w="11900" w:h="16838" w:orient="portrait"/>
          <w:cols w:equalWidth="0" w:num="2">
            <w:col w:w="6140" w:space="520"/>
            <w:col w:w="4580"/>
          </w:cols>
          <w:pgMar w:left="320" w:top="369" w:right="339" w:bottom="1440" w:gutter="0" w:footer="0" w:header="0"/>
        </w:sectPr>
      </w:pPr>
    </w:p>
    <w:p>
      <w:pPr>
        <w:spacing w:after="0" w:line="56" w:lineRule="exact"/>
        <w:rPr>
          <w:sz w:val="20"/>
          <w:szCs w:val="20"/>
          <w:color w:val="auto"/>
        </w:rPr>
      </w:pPr>
    </w:p>
    <w:p>
      <w:pPr>
        <w:jc w:val="both"/>
        <w:ind w:firstLine="8"/>
        <w:spacing w:after="0" w:line="265" w:lineRule="auto"/>
        <w:tabs>
          <w:tab w:leader="none" w:pos="138" w:val="left"/>
        </w:tabs>
        <w:numPr>
          <w:ilvl w:val="0"/>
          <w:numId w:val="5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certifications furnished in Exhibits 32.1 and 32.2 hereto are deemed to accompany this Form 10-K and are not deemed “filed” for purposes of Section 18 of the Exchange Act, or otherwise subject to the liability of that section, nor shall they be deemed incorporated by reference into any filing under the Securities Act or the Exchange 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6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Remitly Global, Inc.</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February 19, 2025</w:t>
            </w:r>
          </w:p>
        </w:tc>
        <w:tc>
          <w:tcPr>
            <w:tcW w:w="2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Oppenheimer</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Oppenheimer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2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February 19, 2025</w:t>
            </w:r>
          </w:p>
        </w:tc>
        <w:tc>
          <w:tcPr>
            <w:tcW w:w="2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Vikas Mehta</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Vikas Mehta</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2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February 19, 2025</w:t>
            </w:r>
          </w:p>
        </w:tc>
        <w:tc>
          <w:tcPr>
            <w:tcW w:w="2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Gail Miller</w:t>
            </w:r>
          </w:p>
        </w:tc>
      </w:tr>
      <w:tr>
        <w:trPr>
          <w:trHeight w:val="210"/>
        </w:trPr>
        <w:tc>
          <w:tcPr>
            <w:tcW w:w="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Gail Miller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43"/>
        </w:trPr>
        <w:tc>
          <w:tcPr>
            <w:tcW w:w="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9"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the undersigned officers and directors of Remitly Global, Inc., hereby severally and individually constitute and appoint Matthew Oppenheimer, Vikas Mehta, and Gail Miller, jointly and severally, the true and lawful attorney and agent of each of us to execute in the name, place and stead of each of us (individually and in any capacity stated below) any and all amendments to this Annual Report on Form 10-K and all instruments necessary or advisable in connection therewith and to file the same with the Securities and Exchange Commission, each of said attorney and agent to have the power to act with or without the others and to have full power and authority to do and perform in the name and on behalf of each of the undersigned every act whatsoever necessary or advisable to be done in the premises as fully and to all intents and purposes as any of the undersigned might or could do in person, and we hereby ratify and confirm our signatures as they may be signed by our said attorney and agent or each of them to any and all such amendments and instruments.</w:t>
      </w:r>
    </w:p>
    <w:p>
      <w:pPr>
        <w:spacing w:after="0" w:line="125"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69" w:right="359" w:bottom="1440" w:gutter="0" w:footer="0" w:header="0"/>
        </w:sectPr>
      </w:pP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Matthew Oppenheimer, Chief Executive Officer and Director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Gail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Gail Miller, Chief Accounting Officer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Phyllis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Phyllis Campbell,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Joshua Hug, Vice Chair and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Nigel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Nigel Morris,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58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Margaret M. Smyth, Director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Vikas Mehta, Chief Financial Officer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Ryno Blignaut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Ryno Blignaut, Director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Bora Chung,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Laurent Le Moal,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3497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Phillip Riese, Director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2025</w:t>
      </w:r>
    </w:p>
    <w:p>
      <w:pPr>
        <w:spacing w:after="0" w:line="1172" w:lineRule="exact"/>
        <w:rPr>
          <w:sz w:val="20"/>
          <w:szCs w:val="20"/>
          <w:color w:val="auto"/>
        </w:rPr>
      </w:pPr>
    </w:p>
    <w:p>
      <w:pPr>
        <w:sectPr>
          <w:pgSz w:w="11900" w:h="16838" w:orient="portrait"/>
          <w:cols w:equalWidth="0" w:num="2">
            <w:col w:w="5040" w:space="720"/>
            <w:col w:w="5460"/>
          </w:cols>
          <w:pgMar w:left="320" w:top="3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1220"/>
          </w:cols>
          <w:pgMar w:left="320" w:top="369" w:right="359" w:bottom="1440" w:gutter="0" w:footer="0" w:header="0"/>
          <w:type w:val="continuous"/>
        </w:sectPr>
      </w:pPr>
    </w:p>
    <w:bookmarkStart w:id="98" w:name="page99"/>
    <w:bookmarkEnd w:id="98"/>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REMITLY GLOBAL,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PURSUANT TO SECTION 12 OF THE SECURITIES EXCHANGE ACT OF 1934</w:t>
      </w:r>
    </w:p>
    <w:p>
      <w:pPr>
        <w:spacing w:after="0" w:line="200" w:lineRule="exact"/>
        <w:rPr>
          <w:sz w:val="20"/>
          <w:szCs w:val="20"/>
          <w:color w:val="auto"/>
        </w:rPr>
      </w:pPr>
    </w:p>
    <w:p>
      <w:pPr>
        <w:spacing w:after="0" w:line="340" w:lineRule="exact"/>
        <w:rPr>
          <w:sz w:val="20"/>
          <w:szCs w:val="20"/>
          <w:color w:val="auto"/>
        </w:rPr>
      </w:pPr>
    </w:p>
    <w:p>
      <w:pPr>
        <w:ind w:right="300" w:firstLine="324"/>
        <w:spacing w:after="0" w:line="237" w:lineRule="auto"/>
        <w:rPr>
          <w:sz w:val="20"/>
          <w:szCs w:val="20"/>
          <w:color w:val="auto"/>
        </w:rPr>
      </w:pPr>
      <w:r>
        <w:rPr>
          <w:rFonts w:ascii="Times New Roman" w:cs="Times New Roman" w:eastAsia="Times New Roman" w:hAnsi="Times New Roman"/>
          <w:sz w:val="18"/>
          <w:szCs w:val="18"/>
          <w:color w:val="auto"/>
        </w:rPr>
        <w:t>Remitly Global, Inc. (“Remitly,” “we” or “our”) has one class of securities registered under Section 12 of the Securities Exchange Act of 1934: our common stock.</w:t>
      </w:r>
    </w:p>
    <w:p>
      <w:pPr>
        <w:spacing w:after="0" w:line="11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following summary of the terms of our common stock is based upon our Amended and Restated Certificate of Incorporation, our Amended and Restated Bylaws, and applicable provisions of the Delaware General Corporation Law (the “DGCL”). The summary is not complete, and is qualified by reference to our Amended and Restated Certificate of Incorporation and our Amended and Restated Bylaws, which are filed as exhibits to this Annual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Report on Form 10-K and are incorporated by reference herein. We encourage you to read our Amended and Restated Certificate of Incorporation, our Amended and Restated Bylaws, and the applicable provisions of the DGCL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authorized capital stock consists of 775,000,000 shares of capital stock, consisting of two classes: 725,000,000 shares of common stock, $0.0001 par value per share, and 50,000,000 shares of undesignated preferred stock, $0.0001 par value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35" w:lineRule="exact"/>
        <w:rPr>
          <w:sz w:val="20"/>
          <w:szCs w:val="20"/>
          <w:color w:val="auto"/>
        </w:rPr>
      </w:pPr>
    </w:p>
    <w:p>
      <w:pPr>
        <w:ind w:right="140" w:firstLine="324"/>
        <w:spacing w:after="0" w:line="236" w:lineRule="auto"/>
        <w:rPr>
          <w:sz w:val="20"/>
          <w:szCs w:val="20"/>
          <w:color w:val="auto"/>
        </w:rPr>
      </w:pPr>
      <w:r>
        <w:rPr>
          <w:rFonts w:ascii="Times New Roman" w:cs="Times New Roman" w:eastAsia="Times New Roman" w:hAnsi="Times New Roman"/>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w:t>
      </w:r>
    </w:p>
    <w:p>
      <w:pPr>
        <w:spacing w:after="0"/>
        <w:rPr>
          <w:sz w:val="20"/>
          <w:szCs w:val="20"/>
          <w:color w:val="auto"/>
        </w:rPr>
      </w:pPr>
      <w:r>
        <w:rPr>
          <w:rFonts w:ascii="Times New Roman" w:cs="Times New Roman" w:eastAsia="Times New Roman" w:hAnsi="Times New Roman"/>
          <w:sz w:val="18"/>
          <w:szCs w:val="18"/>
          <w:color w:val="auto"/>
        </w:rPr>
        <w:t>amounts that our board of directors may determine.</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We have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not provided for cumulative voting for the election of directors in our Amended and Restated Certificate of Incorporation. Accordingly, the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with the other classes continuing for the remainder of their respective three-year terms.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35" w:lineRule="exact"/>
        <w:rPr>
          <w:sz w:val="20"/>
          <w:szCs w:val="20"/>
          <w:color w:val="auto"/>
        </w:rPr>
      </w:pPr>
    </w:p>
    <w:p>
      <w:pPr>
        <w:ind w:right="120" w:firstLine="324"/>
        <w:spacing w:after="0" w:line="236" w:lineRule="auto"/>
        <w:rPr>
          <w:sz w:val="20"/>
          <w:szCs w:val="20"/>
          <w:color w:val="auto"/>
        </w:rPr>
      </w:pPr>
      <w:r>
        <w:rPr>
          <w:rFonts w:ascii="Times New Roman" w:cs="Times New Roman" w:eastAsia="Times New Roman" w:hAnsi="Times New Roman"/>
          <w:sz w:val="17"/>
          <w:szCs w:val="17"/>
          <w:color w:val="auto"/>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w:t>
      </w:r>
    </w:p>
    <w:p>
      <w:pPr>
        <w:spacing w:after="0"/>
        <w:rPr>
          <w:sz w:val="20"/>
          <w:szCs w:val="20"/>
          <w:color w:val="auto"/>
        </w:rPr>
      </w:pPr>
      <w:r>
        <w:rPr>
          <w:rFonts w:ascii="Times New Roman" w:cs="Times New Roman" w:eastAsia="Times New Roman" w:hAnsi="Times New Roman"/>
          <w:sz w:val="18"/>
          <w:szCs w:val="18"/>
          <w:color w:val="auto"/>
        </w:rPr>
        <w:t>liquidation preferences, if any, on any outstanding shares of preferred stock.</w:t>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shares of preferred stock are currently outstanding. Our board of directors is authorized, subject to limitations prescribed by Delaware law, to issue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w:t>
      </w:r>
    </w:p>
    <w:p>
      <w:pPr>
        <w:spacing w:after="0" w:line="2"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delaying, deferring, or preventing a change in our control and might adversely affect the market price of our common stock and the voting and other rights of the holders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48" w:lineRule="exact"/>
        <w:rPr>
          <w:sz w:val="20"/>
          <w:szCs w:val="20"/>
          <w:color w:val="auto"/>
        </w:rPr>
      </w:pPr>
    </w:p>
    <w:p>
      <w:pPr>
        <w:ind w:right="20" w:firstLine="324"/>
        <w:spacing w:after="0" w:line="226" w:lineRule="auto"/>
        <w:rPr>
          <w:sz w:val="20"/>
          <w:szCs w:val="20"/>
          <w:color w:val="auto"/>
        </w:rPr>
      </w:pPr>
      <w:r>
        <w:rPr>
          <w:rFonts w:ascii="Times New Roman" w:cs="Times New Roman" w:eastAsia="Times New Roman" w:hAnsi="Times New Roman"/>
          <w:sz w:val="18"/>
          <w:szCs w:val="18"/>
          <w:color w:val="auto"/>
        </w:rPr>
        <w:t>The provisions of the DGCL, various state money transmitter laws to which we are subject, our Amended and Restated Certificate of Incorporation, and our Amended and Restated Bylaws could have the effect of delaying, deferring, or discouraging another person from acquiring control of our company. These provisions, which are summarized below, may discourage certain types of coercive takeover practices and inadequate takeover bids.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35" w:lineRule="exact"/>
        <w:rPr>
          <w:sz w:val="20"/>
          <w:szCs w:val="20"/>
          <w:color w:val="auto"/>
        </w:rPr>
      </w:pPr>
    </w:p>
    <w:p>
      <w:pPr>
        <w:ind w:right="80" w:firstLine="324"/>
        <w:spacing w:after="0" w:line="236" w:lineRule="auto"/>
        <w:rPr>
          <w:sz w:val="20"/>
          <w:szCs w:val="20"/>
          <w:color w:val="auto"/>
        </w:rPr>
      </w:pPr>
      <w:r>
        <w:rPr>
          <w:rFonts w:ascii="Times New Roman" w:cs="Times New Roman" w:eastAsia="Times New Roman" w:hAnsi="Times New Roman"/>
          <w:sz w:val="17"/>
          <w:szCs w:val="17"/>
          <w:color w:val="auto"/>
        </w:rPr>
        <w:t>We are subject to the provisions of Section 203 of the DGCL regulating corporate takeovers. In general, Section 203 of the DGCL prohibits a publicly held Delaware corporation from engaging in a “business combination” with an “interested stockholder” for a three-year period following the time that this</w:t>
      </w:r>
    </w:p>
    <w:p>
      <w:pPr>
        <w:ind w:right="320"/>
        <w:spacing w:after="0" w:line="226" w:lineRule="auto"/>
        <w:rPr>
          <w:sz w:val="20"/>
          <w:szCs w:val="20"/>
          <w:color w:val="auto"/>
        </w:rPr>
      </w:pPr>
      <w:r>
        <w:rPr>
          <w:rFonts w:ascii="Times New Roman" w:cs="Times New Roman" w:eastAsia="Times New Roman" w:hAnsi="Times New Roman"/>
          <w:sz w:val="18"/>
          <w:szCs w:val="18"/>
          <w:color w:val="auto"/>
        </w:rPr>
        <w:t>stockholder becomes an interested stockholder, unless the business combination is approved in a prescribed manner. Under Section 203 of the DGCL, a business combination between a corporation and an interested stockholder is prohibited unless it satisfies one of the following conditions:</w:t>
      </w:r>
    </w:p>
    <w:p>
      <w:pPr>
        <w:spacing w:after="0" w:line="103" w:lineRule="exact"/>
        <w:rPr>
          <w:sz w:val="20"/>
          <w:szCs w:val="20"/>
          <w:color w:val="auto"/>
        </w:rPr>
      </w:pPr>
    </w:p>
    <w:p>
      <w:pPr>
        <w:ind w:left="660" w:right="12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95" w:lineRule="exact"/>
        <w:rPr>
          <w:rFonts w:ascii="Times New Roman" w:cs="Times New Roman" w:eastAsia="Times New Roman" w:hAnsi="Times New Roman"/>
          <w:sz w:val="18"/>
          <w:szCs w:val="18"/>
          <w:color w:val="auto"/>
        </w:rPr>
      </w:pPr>
    </w:p>
    <w:p>
      <w:pPr>
        <w:ind w:left="660" w:right="160" w:hanging="328"/>
        <w:spacing w:after="0" w:line="22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4" w:lineRule="exact"/>
        <w:rPr>
          <w:rFonts w:ascii="Times New Roman" w:cs="Times New Roman" w:eastAsia="Times New Roman" w:hAnsi="Times New Roman"/>
          <w:sz w:val="18"/>
          <w:szCs w:val="18"/>
          <w:color w:val="auto"/>
        </w:rPr>
      </w:pPr>
    </w:p>
    <w:p>
      <w:pPr>
        <w:ind w:left="660" w:right="10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of the DGCL defines a business combination to include:</w:t>
      </w:r>
    </w:p>
    <w:p>
      <w:pPr>
        <w:spacing w:after="0" w:line="144"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95"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04"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95" w:lineRule="exact"/>
        <w:rPr>
          <w:sz w:val="20"/>
          <w:szCs w:val="20"/>
          <w:color w:val="auto"/>
        </w:rPr>
      </w:pPr>
    </w:p>
    <w:p>
      <w:pPr>
        <w:ind w:right="360" w:firstLine="324"/>
        <w:spacing w:after="0" w:line="237"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ectPr>
          <w:pgSz w:w="11900" w:h="16838" w:orient="portrait"/>
          <w:cols w:equalWidth="0" w:num="1">
            <w:col w:w="11240"/>
          </w:cols>
          <w:pgMar w:left="320" w:top="1400" w:right="33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Money Transmitter Licensing Statutes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Acquisitions of our capital stock above certain thresholds will be subject to prior regulatory notice or approval under state money transmitter licensing</w:t>
      </w:r>
    </w:p>
    <w:p>
      <w:pPr>
        <w:spacing w:after="0" w:line="2"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 prospective investors seeking to acquire 10%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ownership of our stock in the aggregate would need to first obtain such regulatory approvals and provide such notices to the relevant regulators.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may have the</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effect of deterring hostile takeovers, or delaying or preventing changes in control of our management team or changes in our board of directors or our governance or policy, including the following:</w:t>
      </w:r>
    </w:p>
    <w:p>
      <w:pPr>
        <w:spacing w:after="0" w:line="99" w:lineRule="exact"/>
        <w:rPr>
          <w:sz w:val="20"/>
          <w:szCs w:val="20"/>
          <w:color w:val="auto"/>
        </w:rPr>
      </w:pPr>
    </w:p>
    <w:p>
      <w:pPr>
        <w:ind w:left="660" w:right="40" w:hanging="328"/>
        <w:spacing w:after="0" w:line="224"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Board Vacancies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Bylaws and Amended and Restated Certificate of Incorporation authorize generally only our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54" w:lineRule="exact"/>
        <w:rPr>
          <w:rFonts w:ascii="Times New Roman" w:cs="Times New Roman" w:eastAsia="Times New Roman" w:hAnsi="Times New Roman"/>
          <w:sz w:val="18"/>
          <w:szCs w:val="18"/>
          <w:color w:val="auto"/>
        </w:rPr>
      </w:pPr>
    </w:p>
    <w:p>
      <w:pPr>
        <w:ind w:left="660" w:right="60" w:hanging="328"/>
        <w:spacing w:after="0" w:line="23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Classified Board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Certificate of Incorporation and Amended and Restated Bylaws provide that our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classified 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155" w:lineRule="exact"/>
        <w:rPr>
          <w:rFonts w:ascii="Times New Roman" w:cs="Times New Roman" w:eastAsia="Times New Roman" w:hAnsi="Times New Roman"/>
          <w:sz w:val="18"/>
          <w:szCs w:val="18"/>
          <w:color w:val="auto"/>
        </w:rPr>
      </w:pPr>
    </w:p>
    <w:p>
      <w:pPr>
        <w:ind w:left="660" w:right="220" w:hanging="328"/>
        <w:spacing w:after="0" w:line="239"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Directors Removed Only for Cause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Certificate of Incorporation provides that stockholders may remove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for cause.</w:t>
      </w:r>
    </w:p>
    <w:p>
      <w:pPr>
        <w:spacing w:after="0" w:line="168" w:lineRule="exact"/>
        <w:rPr>
          <w:rFonts w:ascii="Times New Roman" w:cs="Times New Roman" w:eastAsia="Times New Roman" w:hAnsi="Times New Roman"/>
          <w:sz w:val="18"/>
          <w:szCs w:val="18"/>
          <w:color w:val="auto"/>
        </w:rPr>
      </w:pPr>
    </w:p>
    <w:p>
      <w:pPr>
        <w:ind w:left="660" w:hanging="328"/>
        <w:spacing w:after="0" w:line="218"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Supermajority Requirements for Amendments of Our Amended and Restated Certificate of Incorporation and Amended and Restated Bylaws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Certificate of Incorporation further provides that the affirmative vote of holders of at least 66 2/3%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is required to amend certain provisions of our Amended and Restated Certificate of Incorporation, including provisions relating to the classified board, the size of our board of directors, removal of directors, special meetings, actions by written consent, and designation of our preferred stock. The affirmative vote of holders of at least 66 2/3% of our outstanding common stock is required to amend or repeal our Amended and Restated Bylaws, although our Amended and Restated Bylaws may be amended by a simple majority vote of our board of directors.</w:t>
      </w:r>
    </w:p>
    <w:p>
      <w:pPr>
        <w:spacing w:after="0" w:line="155" w:lineRule="exact"/>
        <w:rPr>
          <w:rFonts w:ascii="Times New Roman" w:cs="Times New Roman" w:eastAsia="Times New Roman" w:hAnsi="Times New Roman"/>
          <w:sz w:val="18"/>
          <w:szCs w:val="18"/>
          <w:color w:val="auto"/>
        </w:rPr>
      </w:pPr>
    </w:p>
    <w:p>
      <w:pPr>
        <w:ind w:left="660" w:right="20" w:hanging="328"/>
        <w:spacing w:after="0" w:line="21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Action; Special Meetings of Stockholders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Certificate of Incorporation provides that our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take action by written consent, but may only take action at annual or special meetings of our stockholders. As a result, holders of our capital stock would not be able to amend our Amended and Restated Certificate of Incorporation or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56" w:lineRule="exact"/>
        <w:rPr>
          <w:rFonts w:ascii="Times New Roman" w:cs="Times New Roman" w:eastAsia="Times New Roman" w:hAnsi="Times New Roman"/>
          <w:sz w:val="18"/>
          <w:szCs w:val="18"/>
          <w:color w:val="auto"/>
        </w:rPr>
      </w:pPr>
    </w:p>
    <w:p>
      <w:pPr>
        <w:ind w:left="660" w:right="180" w:hanging="328"/>
        <w:spacing w:after="0" w:line="218"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Advance Notice Requirements for Stockholder Proposals and Director Nominations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Bylaws provides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ectPr>
          <w:pgSz w:w="11900" w:h="16838" w:orient="portrait"/>
          <w:cols w:equalWidth="0" w:num="1">
            <w:col w:w="11220"/>
          </w:cols>
          <w:pgMar w:left="320" w:top="1400" w:right="359" w:bottom="1440" w:gutter="0" w:footer="0" w:header="0"/>
        </w:sectPr>
      </w:pPr>
    </w:p>
    <w:bookmarkStart w:id="101" w:name="page102"/>
    <w:bookmarkEnd w:id="101"/>
    <w:p>
      <w:pPr>
        <w:ind w:left="660" w:right="80" w:hanging="328"/>
        <w:spacing w:after="0" w:line="23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Cumulative Voting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DGCL provides that stockholders are not entitled to the right to cumulate votes in the election of directors unless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certificate of incorporation provides otherwise. Our Amended and Restated Certificate of Incorporation and Amended and Restated Bylaws do not provide for cumulative voting.</w:t>
      </w:r>
    </w:p>
    <w:p>
      <w:pPr>
        <w:spacing w:after="0" w:line="155" w:lineRule="exact"/>
        <w:rPr>
          <w:rFonts w:ascii="Times New Roman" w:cs="Times New Roman" w:eastAsia="Times New Roman" w:hAnsi="Times New Roman"/>
          <w:sz w:val="18"/>
          <w:szCs w:val="18"/>
          <w:color w:val="auto"/>
        </w:rPr>
      </w:pPr>
    </w:p>
    <w:p>
      <w:pPr>
        <w:ind w:left="660" w:right="60" w:hanging="328"/>
        <w:spacing w:after="0" w:line="225"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of Undesignated Preferred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82" w:lineRule="exact"/>
        <w:rPr>
          <w:rFonts w:ascii="Times New Roman" w:cs="Times New Roman" w:eastAsia="Times New Roman" w:hAnsi="Times New Roman"/>
          <w:sz w:val="18"/>
          <w:szCs w:val="18"/>
          <w:color w:val="auto"/>
        </w:rPr>
      </w:pPr>
    </w:p>
    <w:p>
      <w:pPr>
        <w:ind w:left="660" w:hanging="328"/>
        <w:spacing w:after="0" w:line="21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Forum</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Amended and Restated Certificate of Incorporation provides that, to the fullest extent permitted by law, the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Our Amended and Restated Certificate of Incorporation also provides that the federal district courts of the United States is the exclusive forum for resolving any complaint asserting a cause of action arising under the Securities Act of 1933, as amended (such act, the “Securities Act” and such provision,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Securities and Exchange Act of 1934, as amended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“RELY.”</w:t>
      </w:r>
    </w:p>
    <w:p>
      <w:pPr>
        <w:sectPr>
          <w:pgSz w:w="11900" w:h="16838" w:orient="portrait"/>
          <w:cols w:equalWidth="0" w:num="1">
            <w:col w:w="11200"/>
          </w:cols>
          <w:pgMar w:left="320" w:top="1400" w:right="379" w:bottom="1440" w:gutter="0" w:footer="0" w:header="0"/>
        </w:sectPr>
      </w:pPr>
    </w:p>
    <w:bookmarkStart w:id="102" w:name="page103"/>
    <w:bookmarkEnd w:id="102"/>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Remitly Global,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196" w:lineRule="exact"/>
        <w:rPr>
          <w:sz w:val="20"/>
          <w:szCs w:val="20"/>
          <w:color w:val="auto"/>
        </w:rPr>
      </w:pPr>
    </w:p>
    <w:p>
      <w:pPr>
        <w:jc w:val="both"/>
        <w:ind w:firstLine="8"/>
        <w:spacing w:after="0" w:line="260" w:lineRule="auto"/>
        <w:tabs>
          <w:tab w:leader="none" w:pos="346" w:val="left"/>
        </w:tabs>
        <w:numPr>
          <w:ilvl w:val="0"/>
          <w:numId w:val="5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color w:val="auto"/>
        </w:rPr>
        <w:t>. The purpose of this Plan is to provide incentives to attract, retain, and motivate eligible persons whose present and potential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77" w:lineRule="exact"/>
        <w:rPr>
          <w:rFonts w:ascii="Times New Roman" w:cs="Times New Roman" w:eastAsia="Times New Roman" w:hAnsi="Times New Roman"/>
          <w:sz w:val="20"/>
          <w:szCs w:val="20"/>
          <w:b w:val="1"/>
          <w:bCs w:val="1"/>
          <w:color w:val="010000"/>
        </w:rPr>
      </w:pPr>
    </w:p>
    <w:p>
      <w:pPr>
        <w:ind w:left="360" w:hanging="352"/>
        <w:spacing w:after="0"/>
        <w:tabs>
          <w:tab w:leader="none" w:pos="360" w:val="left"/>
        </w:tabs>
        <w:numPr>
          <w:ilvl w:val="0"/>
          <w:numId w:val="5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SHARES SUBJECT TO THE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010000"/>
        </w:rPr>
        <w:t xml:space="preserve">2.1. </w:t>
      </w:r>
      <w:r>
        <w:rPr>
          <w:rFonts w:ascii="Times New Roman" w:cs="Times New Roman" w:eastAsia="Times New Roman" w:hAnsi="Times New Roman"/>
          <w:sz w:val="20"/>
          <w:szCs w:val="20"/>
          <w:u w:val="single" w:color="auto"/>
          <w:color w:val="000000"/>
        </w:rPr>
        <w:t>Number of Shares Available</w:t>
      </w:r>
      <w:r>
        <w:rPr>
          <w:rFonts w:ascii="Times New Roman" w:cs="Times New Roman" w:eastAsia="Times New Roman" w:hAnsi="Times New Roman"/>
          <w:sz w:val="20"/>
          <w:szCs w:val="20"/>
          <w:color w:val="000000"/>
        </w:rPr>
        <w:t>. Subject to Sections 2.5 and 21 and any other applicable provisions hereof, the total number of</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Shares reserved and available for grant and issuance pursuant to this Plan as of the date of adoption of the Plan by the Board is 25,000,000 Shares, plus (a) any reserved Shares not issued or subject to outstanding awards granted under the Company’s 2011 Equity Incentive Plan, as amended (the “</w:t>
      </w:r>
      <w:r>
        <w:rPr>
          <w:rFonts w:ascii="Times New Roman" w:cs="Times New Roman" w:eastAsia="Times New Roman" w:hAnsi="Times New Roman"/>
          <w:sz w:val="20"/>
          <w:szCs w:val="20"/>
          <w:b w:val="1"/>
          <w:bCs w:val="1"/>
          <w:i w:val="1"/>
          <w:iCs w:val="1"/>
          <w:color w:val="000000"/>
        </w:rPr>
        <w:t>Prior Plan</w:t>
      </w:r>
      <w:r>
        <w:rPr>
          <w:rFonts w:ascii="Times New Roman" w:cs="Times New Roman" w:eastAsia="Times New Roman" w:hAnsi="Times New Roman"/>
          <w:sz w:val="20"/>
          <w:szCs w:val="20"/>
          <w:color w:val="000000"/>
        </w:rPr>
        <w:t>”), that cease to be subject to such awards by forfeiture or otherwise after the Effective Date, (b) Shares issued under the Prior Plan before or after the Effective Date pursuant to the exercise of stock options that are, after the Effective Date, forfeited, (c) Shares issued under the Prior Plan that are repurchased by the Company at the original purchase price or are otherwise forfeited, and (d) Shares that are subject to stock options or other awards under the Prior Plan that are used to pay the exercise price of a stock option or withheld to satisfy the Tax-Related Items withholding obligations related to any award.</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010000"/>
        </w:rPr>
        <w:t xml:space="preserve">2.2. </w:t>
      </w:r>
      <w:r>
        <w:rPr>
          <w:rFonts w:ascii="Times New Roman" w:cs="Times New Roman" w:eastAsia="Times New Roman" w:hAnsi="Times New Roman"/>
          <w:sz w:val="20"/>
          <w:szCs w:val="20"/>
          <w:u w:val="single" w:color="auto"/>
          <w:color w:val="000000"/>
        </w:rPr>
        <w:t>Lapsed, Returned Awards</w:t>
      </w:r>
      <w:r>
        <w:rPr>
          <w:rFonts w:ascii="Times New Roman" w:cs="Times New Roman" w:eastAsia="Times New Roman" w:hAnsi="Times New Roman"/>
          <w:sz w:val="20"/>
          <w:szCs w:val="20"/>
          <w:color w:val="000000"/>
        </w:rPr>
        <w:t>. Shares subject to Awards, and Shares issued under the Plan under any Award, will again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Tax-Related Items withholding obligations related to an Award will become available for grant and issuance in connection with subsequent Awards under this Plan. For the avoidance of doubt, Shares that otherwise become available for grant and issuance because of the provisions of this Section 2.2 will not include Shares subject to Awards that initially became available because of the substitution clause in Section 21.2 hereof. Notwithstanding anything to the contrary herein, (i) each share (including, without limitation, each share of the Company’s Common Stock (the “</w:t>
      </w:r>
      <w:r>
        <w:rPr>
          <w:rFonts w:ascii="Times New Roman" w:cs="Times New Roman" w:eastAsia="Times New Roman" w:hAnsi="Times New Roman"/>
          <w:sz w:val="20"/>
          <w:szCs w:val="20"/>
          <w:b w:val="1"/>
          <w:bCs w:val="1"/>
          <w:i w:val="1"/>
          <w:iCs w:val="1"/>
          <w:color w:val="000000"/>
        </w:rPr>
        <w:t>Common Stock</w:t>
      </w:r>
      <w:r>
        <w:rPr>
          <w:rFonts w:ascii="Times New Roman" w:cs="Times New Roman" w:eastAsia="Times New Roman" w:hAnsi="Times New Roman"/>
          <w:sz w:val="20"/>
          <w:szCs w:val="20"/>
          <w:color w:val="000000"/>
        </w:rPr>
        <w:t>”)) that becomes available for grant and issuance pursuant to this Plan on or after the Effective Date by virtue of the operation of Section 2.1 or the first sentence of this Section 2.2 shall be counted as a share of Common Stock, regardless of the type or class of Company capital stock previously attributed to such share, and shall result in an equivalent number of shares of Common Stock becoming available for grant and issuance under this Plan in accordance with the terms of Sections 2.1 or 2.2 as applicable, (ii) all shares subject to Awards awarded on and after the Effective Date shall be shares of Common Stock, except to the extent Section 19 requires the issuance of, or conversion to, shares of Common Stock, and (iii) all shares reserved and available for grant and issuance pursuant to this Plan on and after the Effective Date shall be shares of Common Stock. The foregoing sentence does not alter awards outstanding under the Prior Plan with respect to Common Stock.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03" w:name="page104"/>
    <w:bookmarkEnd w:id="103"/>
    <w:p>
      <w:pPr>
        <w:spacing w:after="0" w:line="18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2.3. </w:t>
      </w:r>
      <w:r>
        <w:rPr>
          <w:rFonts w:ascii="Times New Roman" w:cs="Times New Roman" w:eastAsia="Times New Roman" w:hAnsi="Times New Roman"/>
          <w:sz w:val="20"/>
          <w:szCs w:val="20"/>
          <w:u w:val="single" w:color="auto"/>
          <w:color w:val="000000"/>
        </w:rPr>
        <w:t>Minimum Share Reserve</w:t>
      </w:r>
      <w:r>
        <w:rPr>
          <w:rFonts w:ascii="Times New Roman" w:cs="Times New Roman" w:eastAsia="Times New Roman" w:hAnsi="Times New Roman"/>
          <w:sz w:val="20"/>
          <w:szCs w:val="20"/>
          <w:color w:val="000000"/>
        </w:rPr>
        <w:t>. At all times, the Company will reserve and keep available a sufficient number of Shares as will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required to satisfy the requirements of all outstanding Awards granted under this Plan.</w:t>
      </w:r>
    </w:p>
    <w:p>
      <w:pPr>
        <w:spacing w:after="0" w:line="13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b w:val="1"/>
          <w:bCs w:val="1"/>
          <w:color w:val="010000"/>
        </w:rPr>
        <w:t xml:space="preserve">2.4. </w:t>
      </w:r>
      <w:r>
        <w:rPr>
          <w:rFonts w:ascii="Times New Roman" w:cs="Times New Roman" w:eastAsia="Times New Roman" w:hAnsi="Times New Roman"/>
          <w:sz w:val="20"/>
          <w:szCs w:val="20"/>
          <w:u w:val="single" w:color="auto"/>
          <w:color w:val="000000"/>
        </w:rPr>
        <w:t>Automatic Share Reserve Increase</w:t>
      </w:r>
      <w:r>
        <w:rPr>
          <w:rFonts w:ascii="Times New Roman" w:cs="Times New Roman" w:eastAsia="Times New Roman" w:hAnsi="Times New Roman"/>
          <w:sz w:val="20"/>
          <w:szCs w:val="20"/>
          <w:color w:val="000000"/>
        </w:rPr>
        <w:t>. The number of Shares available for grant and issuance under the Plan will be increased 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January 1</w:t>
      </w:r>
      <w:r>
        <w:rPr>
          <w:rFonts w:ascii="Times New Roman" w:cs="Times New Roman" w:eastAsia="Times New Roman" w:hAnsi="Times New Roman"/>
          <w:sz w:val="25"/>
          <w:szCs w:val="25"/>
          <w:color w:val="000000"/>
          <w:vertAlign w:val="superscript"/>
        </w:rPr>
        <w:t>st</w:t>
      </w:r>
      <w:r>
        <w:rPr>
          <w:rFonts w:ascii="Times New Roman" w:cs="Times New Roman" w:eastAsia="Times New Roman" w:hAnsi="Times New Roman"/>
          <w:sz w:val="20"/>
          <w:szCs w:val="20"/>
          <w:color w:val="000000"/>
        </w:rPr>
        <w:t xml:space="preserve"> of each of 2022 through 2031, by the lesser of (a) five percent (5%) of the number of shares of all classes of the Company’s common stock issued and outstanding on each December 31 immediately prior to the date of increase or (b) such number of Shares determined by the Board.</w:t>
      </w:r>
    </w:p>
    <w:p>
      <w:pPr>
        <w:spacing w:after="0" w:line="19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b w:val="1"/>
          <w:bCs w:val="1"/>
          <w:color w:val="010000"/>
        </w:rPr>
        <w:t xml:space="preserve">2.5. </w:t>
      </w:r>
      <w:r>
        <w:rPr>
          <w:rFonts w:ascii="Times New Roman" w:cs="Times New Roman" w:eastAsia="Times New Roman" w:hAnsi="Times New Roman"/>
          <w:sz w:val="19"/>
          <w:szCs w:val="19"/>
          <w:u w:val="single" w:color="auto"/>
          <w:color w:val="000000"/>
        </w:rPr>
        <w:t>Adjustment of Shares</w:t>
      </w:r>
      <w:r>
        <w:rPr>
          <w:rFonts w:ascii="Times New Roman" w:cs="Times New Roman" w:eastAsia="Times New Roman" w:hAnsi="Times New Roman"/>
          <w:sz w:val="19"/>
          <w:szCs w:val="19"/>
          <w:color w:val="000000"/>
        </w:rPr>
        <w:t>. If the number or class of outstanding Shares is changed by a stock dividend, extraordinary dividend or</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21.1, (b) the Exercise Prices of and number and class of Shares subject to outstanding Options and SARs, and (c) the number and class of Shares subject to other outstanding Awards will be proportionately adjusted, subject to any required action by the Board or the stockholders of the Company and in compliance with applicable securities or other laws, provided that fractions of a Share will not be issued. If, by reason of an adjustment pursuant to this Section 2.5,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168" w:lineRule="exact"/>
        <w:rPr>
          <w:sz w:val="20"/>
          <w:szCs w:val="20"/>
          <w:color w:val="auto"/>
        </w:rPr>
      </w:pPr>
    </w:p>
    <w:p>
      <w:pPr>
        <w:jc w:val="both"/>
        <w:ind w:firstLine="8"/>
        <w:spacing w:after="0" w:line="263" w:lineRule="auto"/>
        <w:tabs>
          <w:tab w:leader="none" w:pos="414" w:val="left"/>
        </w:tabs>
        <w:numPr>
          <w:ilvl w:val="0"/>
          <w:numId w:val="6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ELIGIBILITY</w:t>
      </w:r>
      <w:r>
        <w:rPr>
          <w:rFonts w:ascii="Times New Roman" w:cs="Times New Roman" w:eastAsia="Times New Roman" w:hAnsi="Times New Roman"/>
          <w:sz w:val="20"/>
          <w:szCs w:val="20"/>
          <w:color w:val="auto"/>
        </w:rPr>
        <w:t>. All Awards may be granted to Employees, Consultants, Directors, and Non-Employee Directors, provided that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Consultants, Directors, and Non-Employee Directors render bona fide services not in connection with the offer and sale of securities in a capital-raising transaction.</w:t>
      </w:r>
    </w:p>
    <w:p>
      <w:pPr>
        <w:spacing w:after="0" w:line="175" w:lineRule="exact"/>
        <w:rPr>
          <w:rFonts w:ascii="Times New Roman" w:cs="Times New Roman" w:eastAsia="Times New Roman" w:hAnsi="Times New Roman"/>
          <w:sz w:val="20"/>
          <w:szCs w:val="20"/>
          <w:b w:val="1"/>
          <w:bCs w:val="1"/>
          <w:color w:val="010000"/>
        </w:rPr>
      </w:pPr>
    </w:p>
    <w:p>
      <w:pPr>
        <w:ind w:left="360" w:hanging="352"/>
        <w:spacing w:after="0"/>
        <w:tabs>
          <w:tab w:leader="none" w:pos="360" w:val="left"/>
        </w:tabs>
        <w:numPr>
          <w:ilvl w:val="0"/>
          <w:numId w:val="6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010000"/>
        </w:rPr>
        <w:t xml:space="preserve">4.1. </w:t>
      </w:r>
      <w:r>
        <w:rPr>
          <w:rFonts w:ascii="Times New Roman" w:cs="Times New Roman" w:eastAsia="Times New Roman" w:hAnsi="Times New Roman"/>
          <w:sz w:val="20"/>
          <w:szCs w:val="20"/>
          <w:u w:val="single" w:color="auto"/>
          <w:color w:val="000000"/>
        </w:rPr>
        <w:t>Authority</w:t>
      </w:r>
      <w:r>
        <w:rPr>
          <w:rFonts w:ascii="Times New Roman" w:cs="Times New Roman" w:eastAsia="Times New Roman" w:hAnsi="Times New Roman"/>
          <w:sz w:val="20"/>
          <w:szCs w:val="20"/>
          <w:color w:val="000000"/>
        </w:rPr>
        <w:t>. This Plan will be administered by the Committee or by the Board acting as the Committee. Subject to the general</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182" w:lineRule="exact"/>
        <w:rPr>
          <w:sz w:val="20"/>
          <w:szCs w:val="20"/>
          <w:color w:val="auto"/>
        </w:rPr>
      </w:pPr>
    </w:p>
    <w:p>
      <w:pPr>
        <w:ind w:left="1720" w:hanging="416"/>
        <w:spacing w:after="0"/>
        <w:tabs>
          <w:tab w:leader="none" w:pos="1720"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construe and interpret this Plan, any Award Agreement, and any other agreement or document executed pursuant to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07" w:lineRule="exact"/>
        <w:rPr>
          <w:sz w:val="20"/>
          <w:szCs w:val="20"/>
          <w:color w:val="auto"/>
        </w:rPr>
      </w:pPr>
    </w:p>
    <w:p>
      <w:pPr>
        <w:ind w:left="1740" w:hanging="436"/>
        <w:spacing w:after="0"/>
        <w:tabs>
          <w:tab w:leader="none" w:pos="174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prescribe, amend, and rescind rules and regulations relating to this Plan or any Award;</w:t>
      </w:r>
    </w:p>
    <w:p>
      <w:pPr>
        <w:spacing w:after="0" w:line="229"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select persons to receive Awards;</w:t>
      </w:r>
    </w:p>
    <w:p>
      <w:pPr>
        <w:spacing w:after="0" w:line="215"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46"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performance criteria) or settled, any vesting acceleration or waiver of forfeiture restrictions, the method to satisfy withholding obligations for Tax-Related Items or any other tax liability legally due, and any restriction or limitation regarding any Award or the Shares relating thereto, based in each case on such factors as the Committee will determine;</w:t>
      </w:r>
    </w:p>
    <w:p>
      <w:pPr>
        <w:spacing w:after="0" w:line="181" w:lineRule="exact"/>
        <w:rPr>
          <w:sz w:val="20"/>
          <w:szCs w:val="20"/>
          <w:color w:val="auto"/>
        </w:rPr>
      </w:pPr>
    </w:p>
    <w:p>
      <w:pPr>
        <w:ind w:left="1720" w:hanging="416"/>
        <w:spacing w:after="0"/>
        <w:tabs>
          <w:tab w:leader="none" w:pos="172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number of Shares or other consideration subject to Awards;</w:t>
      </w:r>
    </w:p>
    <w:p>
      <w:pPr>
        <w:spacing w:after="0" w:line="215" w:lineRule="exact"/>
        <w:rPr>
          <w:rFonts w:ascii="Times New Roman" w:cs="Times New Roman" w:eastAsia="Times New Roman" w:hAnsi="Times New Roman"/>
          <w:sz w:val="20"/>
          <w:szCs w:val="20"/>
          <w:color w:val="010000"/>
        </w:rPr>
      </w:pPr>
    </w:p>
    <w:p>
      <w:pPr>
        <w:ind w:firstLine="1304"/>
        <w:spacing w:after="0" w:line="283" w:lineRule="auto"/>
        <w:tabs>
          <w:tab w:leader="none" w:pos="1719"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59"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4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67"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grant waivers of Plan or Award conditions;</w:t>
      </w:r>
    </w:p>
    <w:p>
      <w:pPr>
        <w:spacing w:after="0" w:line="229"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vesting, exercisability, and payment of Awards;</w:t>
      </w:r>
    </w:p>
    <w:p>
      <w:pPr>
        <w:spacing w:after="0" w:line="229" w:lineRule="exact"/>
        <w:rPr>
          <w:rFonts w:ascii="Times New Roman" w:cs="Times New Roman" w:eastAsia="Times New Roman" w:hAnsi="Times New Roman"/>
          <w:sz w:val="20"/>
          <w:szCs w:val="20"/>
          <w:color w:val="010000"/>
        </w:rPr>
      </w:pPr>
    </w:p>
    <w:p>
      <w:pPr>
        <w:ind w:left="1860" w:hanging="556"/>
        <w:spacing w:after="0"/>
        <w:tabs>
          <w:tab w:leader="none" w:pos="186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correct any defect, supply any omission, or reconcile any inconsistency in this Plan, any Award or any Award</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Agreement;</w:t>
      </w:r>
    </w:p>
    <w:p>
      <w:pPr>
        <w:spacing w:after="0" w:line="207"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whether an Award has been vested and/or earned;</w:t>
      </w:r>
    </w:p>
    <w:p>
      <w:pPr>
        <w:spacing w:after="0" w:line="215"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determine the terms and conditions of, and to institute, any Exchange Program;</w:t>
      </w:r>
    </w:p>
    <w:p>
      <w:pPr>
        <w:spacing w:after="0" w:line="229" w:lineRule="exact"/>
        <w:rPr>
          <w:rFonts w:ascii="Times New Roman" w:cs="Times New Roman" w:eastAsia="Times New Roman" w:hAnsi="Times New Roman"/>
          <w:sz w:val="20"/>
          <w:szCs w:val="20"/>
          <w:color w:val="010000"/>
        </w:rPr>
      </w:pPr>
    </w:p>
    <w:p>
      <w:pPr>
        <w:ind w:left="1780" w:hanging="476"/>
        <w:spacing w:after="0"/>
        <w:tabs>
          <w:tab w:leader="none" w:pos="178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reduce, waive or modify any criteria with respect to Performance Factors;</w:t>
      </w:r>
    </w:p>
    <w:p>
      <w:pPr>
        <w:spacing w:after="0" w:line="229" w:lineRule="exact"/>
        <w:rPr>
          <w:rFonts w:ascii="Times New Roman" w:cs="Times New Roman" w:eastAsia="Times New Roman" w:hAnsi="Times New Roman"/>
          <w:sz w:val="20"/>
          <w:szCs w:val="20"/>
          <w:color w:val="010000"/>
        </w:rPr>
      </w:pPr>
    </w:p>
    <w:p>
      <w:pPr>
        <w:ind w:firstLine="1304"/>
        <w:spacing w:after="0" w:line="269" w:lineRule="auto"/>
        <w:tabs>
          <w:tab w:leader="none" w:pos="1778"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72"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38"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adopt terms and conditions, rules, and/or procedures (including the adoption of any subplan under this Plan) relating to the operation and administration of the Plan to accommodate requirements of local law and procedures outside the United States, to facilitate the administration of the Plan in jurisdictions outside the United States, or to qualify Awards for special tax treatment under laws of jurisdictions other than the United States;</w:t>
      </w:r>
    </w:p>
    <w:p>
      <w:pPr>
        <w:spacing w:after="0" w:line="187"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exercise discretion with respect to Performance Awards;</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 all other determinations necessary or advisable for the administration of this Plan; and</w:t>
      </w:r>
    </w:p>
    <w:p>
      <w:pPr>
        <w:spacing w:after="0" w:line="215" w:lineRule="exact"/>
        <w:rPr>
          <w:rFonts w:ascii="Times New Roman" w:cs="Times New Roman" w:eastAsia="Times New Roman" w:hAnsi="Times New Roman"/>
          <w:sz w:val="20"/>
          <w:szCs w:val="20"/>
          <w:color w:val="010000"/>
        </w:rPr>
      </w:pPr>
    </w:p>
    <w:p>
      <w:pPr>
        <w:ind w:firstLine="1304"/>
        <w:spacing w:after="0" w:line="283" w:lineRule="auto"/>
        <w:tabs>
          <w:tab w:leader="none" w:pos="1692"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delegate any of the foregoing to a subcommittee or to one or more executive officers pursuant to a specific delegation as permitted by applicable law, including Section 157(c) of the Delaware General Corporation Law.</w:t>
      </w:r>
    </w:p>
    <w:p>
      <w:pPr>
        <w:spacing w:after="0" w:line="142"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4.2. </w:t>
      </w:r>
      <w:r>
        <w:rPr>
          <w:rFonts w:ascii="Times New Roman" w:cs="Times New Roman" w:eastAsia="Times New Roman" w:hAnsi="Times New Roman"/>
          <w:sz w:val="20"/>
          <w:szCs w:val="20"/>
          <w:u w:val="single" w:color="auto"/>
          <w:color w:val="000000"/>
        </w:rPr>
        <w:t>Committee Interpretation and Discretion</w:t>
      </w:r>
      <w:r>
        <w:rPr>
          <w:rFonts w:ascii="Times New Roman" w:cs="Times New Roman" w:eastAsia="Times New Roman" w:hAnsi="Times New Roman"/>
          <w:sz w:val="20"/>
          <w:szCs w:val="20"/>
          <w:color w:val="000000"/>
        </w:rPr>
        <w:t>. Any determination made by the Committee with respect to any Award will be made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in its sole discretion at the time of grant of the Award or, unless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8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4.3. </w:t>
      </w:r>
      <w:r>
        <w:rPr>
          <w:rFonts w:ascii="Times New Roman" w:cs="Times New Roman" w:eastAsia="Times New Roman" w:hAnsi="Times New Roman"/>
          <w:sz w:val="20"/>
          <w:szCs w:val="20"/>
          <w:u w:val="single" w:color="auto"/>
          <w:color w:val="000000"/>
        </w:rPr>
        <w:t>Section 16 of the Exchange Act</w:t>
      </w:r>
      <w:r>
        <w:rPr>
          <w:rFonts w:ascii="Times New Roman" w:cs="Times New Roman" w:eastAsia="Times New Roman" w:hAnsi="Times New Roman"/>
          <w:sz w:val="20"/>
          <w:szCs w:val="20"/>
          <w:color w:val="000000"/>
        </w:rPr>
        <w:t>. Awards granted to Participants who are subject to Section 16 of the Exchange Act must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approved by two or more “non-employee directors” (as defined in the regulations promulgated under Section 16 of the Exchange Act).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4.4. </w:t>
      </w:r>
      <w:r>
        <w:rPr>
          <w:rFonts w:ascii="Times New Roman" w:cs="Times New Roman" w:eastAsia="Times New Roman" w:hAnsi="Times New Roman"/>
          <w:sz w:val="20"/>
          <w:szCs w:val="20"/>
          <w:u w:val="single" w:color="auto"/>
          <w:color w:val="000000"/>
        </w:rPr>
        <w:t>Documentation</w:t>
      </w:r>
      <w:r>
        <w:rPr>
          <w:rFonts w:ascii="Times New Roman" w:cs="Times New Roman" w:eastAsia="Times New Roman" w:hAnsi="Times New Roman"/>
          <w:sz w:val="20"/>
          <w:szCs w:val="20"/>
          <w:color w:val="000000"/>
        </w:rPr>
        <w:t>. The Award Agreement for a given Award, the Plan, and any other documents may be delivered to, and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accepted by, a Participant or any other person in any manner (including electronic distribution or posting) that meets applicable legal requirements.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010000"/>
        </w:rPr>
        <w:t xml:space="preserve">4.5. </w:t>
      </w:r>
      <w:r>
        <w:rPr>
          <w:rFonts w:ascii="Times New Roman" w:cs="Times New Roman" w:eastAsia="Times New Roman" w:hAnsi="Times New Roman"/>
          <w:sz w:val="20"/>
          <w:szCs w:val="20"/>
          <w:u w:val="single" w:color="auto"/>
          <w:color w:val="000000"/>
        </w:rPr>
        <w:t>Foreign Award Recipients</w:t>
      </w:r>
      <w:r>
        <w:rPr>
          <w:rFonts w:ascii="Times New Roman" w:cs="Times New Roman" w:eastAsia="Times New Roman" w:hAnsi="Times New Roman"/>
          <w:sz w:val="20"/>
          <w:szCs w:val="20"/>
          <w:color w:val="000000"/>
        </w:rPr>
        <w:t>. Notwithstanding any provision of the Plan to the contrary, in order to facilitate administration of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Plan and compliance with the laws and practices in other countries in which the Company and its Subsidiaries and Affiliates operate or have Employees or other individuals eligible for Awards, the Committee, in its sole discretion, will have the power and authority to: (a) determine which Subsidiaries and Affiliates will be covered by the Plan; (b) determine which individuals outside the United States are eligible to participate in the Plan; (c) modify the terms and conditions of any Award granted to individuals outside the United States or foreign nationals;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facilitate compliance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90" w:lineRule="exact"/>
        <w:rPr>
          <w:sz w:val="20"/>
          <w:szCs w:val="20"/>
          <w:color w:val="auto"/>
        </w:rPr>
      </w:pPr>
    </w:p>
    <w:p>
      <w:pPr>
        <w:jc w:val="both"/>
        <w:ind w:firstLine="8"/>
        <w:spacing w:after="0" w:line="255" w:lineRule="auto"/>
        <w:tabs>
          <w:tab w:leader="none" w:pos="346" w:val="left"/>
        </w:tabs>
        <w:numPr>
          <w:ilvl w:val="0"/>
          <w:numId w:val="6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OPTIONS</w:t>
      </w:r>
      <w:r>
        <w:rPr>
          <w:rFonts w:ascii="Times New Roman" w:cs="Times New Roman" w:eastAsia="Times New Roman" w:hAnsi="Times New Roman"/>
          <w:sz w:val="20"/>
          <w:szCs w:val="20"/>
          <w:color w:val="auto"/>
        </w:rPr>
        <w:t>. An Option is the right but not the obligation to purchase a Share, subject to certain conditions, if applicable. The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grant Options to eligible Employees, Consultants, and Directors and will determine whether such Options will be Nonqualified Stock Options (“</w:t>
      </w:r>
      <w:r>
        <w:rPr>
          <w:rFonts w:ascii="Times New Roman" w:cs="Times New Roman" w:eastAsia="Times New Roman" w:hAnsi="Times New Roman"/>
          <w:sz w:val="20"/>
          <w:szCs w:val="20"/>
          <w:b w:val="1"/>
          <w:bCs w:val="1"/>
          <w:i w:val="1"/>
          <w:iCs w:val="1"/>
          <w:color w:val="auto"/>
        </w:rPr>
        <w:t>NSOs</w:t>
      </w:r>
      <w:r>
        <w:rPr>
          <w:rFonts w:ascii="Times New Roman" w:cs="Times New Roman" w:eastAsia="Times New Roman" w:hAnsi="Times New Roman"/>
          <w:sz w:val="20"/>
          <w:szCs w:val="20"/>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5.1. </w:t>
      </w:r>
      <w:r>
        <w:rPr>
          <w:rFonts w:ascii="Times New Roman" w:cs="Times New Roman" w:eastAsia="Times New Roman" w:hAnsi="Times New Roman"/>
          <w:sz w:val="20"/>
          <w:szCs w:val="20"/>
          <w:u w:val="single" w:color="auto"/>
          <w:color w:val="000000"/>
        </w:rPr>
        <w:t>Option Grant</w:t>
      </w:r>
      <w:r>
        <w:rPr>
          <w:rFonts w:ascii="Times New Roman" w:cs="Times New Roman" w:eastAsia="Times New Roman" w:hAnsi="Times New Roman"/>
          <w:sz w:val="20"/>
          <w:szCs w:val="20"/>
          <w:color w:val="000000"/>
        </w:rPr>
        <w:t>. Each Option granted under this Plan will identify the Option as an NSO. An Option may be, but need not be,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5.2. </w:t>
      </w:r>
      <w:r>
        <w:rPr>
          <w:rFonts w:ascii="Times New Roman" w:cs="Times New Roman" w:eastAsia="Times New Roman" w:hAnsi="Times New Roman"/>
          <w:sz w:val="20"/>
          <w:szCs w:val="20"/>
          <w:u w:val="single" w:color="auto"/>
          <w:color w:val="000000"/>
        </w:rPr>
        <w:t>Date of Grant</w:t>
      </w:r>
      <w:r>
        <w:rPr>
          <w:rFonts w:ascii="Times New Roman" w:cs="Times New Roman" w:eastAsia="Times New Roman" w:hAnsi="Times New Roman"/>
          <w:sz w:val="20"/>
          <w:szCs w:val="20"/>
          <w:color w:val="000000"/>
        </w:rPr>
        <w:t>. The date of grant of an Option will be the date on which the Committee makes the determination to grant such</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Option, or a specified future date. The Award Agreement will be delivered to the Participant within a reasonable time after the granting of the Option.</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5.3. </w:t>
      </w:r>
      <w:r>
        <w:rPr>
          <w:rFonts w:ascii="Times New Roman" w:cs="Times New Roman" w:eastAsia="Times New Roman" w:hAnsi="Times New Roman"/>
          <w:sz w:val="20"/>
          <w:szCs w:val="20"/>
          <w:u w:val="single" w:color="auto"/>
          <w:color w:val="000000"/>
        </w:rPr>
        <w:t>Exercise Period</w:t>
      </w:r>
      <w:r>
        <w:rPr>
          <w:rFonts w:ascii="Times New Roman" w:cs="Times New Roman" w:eastAsia="Times New Roman" w:hAnsi="Times New Roman"/>
          <w:sz w:val="20"/>
          <w:szCs w:val="20"/>
          <w:color w:val="000000"/>
        </w:rPr>
        <w:t>. Options may be vested and exercisable within the times or upon the conditions as set forth in the Award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Agreement governing such Option or as provided in the Plan. The Committee also may provide for Options to become exercisable at one time or from time to time, periodically or otherwise, in such number of Shares or percentage of Shares as the Committee determines.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010000"/>
        </w:rPr>
        <w:t xml:space="preserve">5.4. </w:t>
      </w:r>
      <w:r>
        <w:rPr>
          <w:rFonts w:ascii="Times New Roman" w:cs="Times New Roman" w:eastAsia="Times New Roman" w:hAnsi="Times New Roman"/>
          <w:sz w:val="20"/>
          <w:szCs w:val="20"/>
          <w:u w:val="single" w:color="auto"/>
          <w:color w:val="000000"/>
        </w:rPr>
        <w:t>Exercise Price</w:t>
      </w:r>
      <w:r>
        <w:rPr>
          <w:rFonts w:ascii="Times New Roman" w:cs="Times New Roman" w:eastAsia="Times New Roman" w:hAnsi="Times New Roman"/>
          <w:sz w:val="20"/>
          <w:szCs w:val="20"/>
          <w:color w:val="000000"/>
        </w:rPr>
        <w:t>. The Exercise Price of an Option will be determined by the Committee when the Option is granted, provided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that the Exercise Price of an Option will be not less than one hundred percent (100%) of the Fair Market Value of the Shares on the date of grant. Payment for the Shares purchased may be made in accordance with Section 11 and the Award Agreement and in accordance with any procedures established by the Company.</w:t>
      </w:r>
    </w:p>
    <w:p>
      <w:pPr>
        <w:spacing w:after="0" w:line="18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b w:val="1"/>
          <w:bCs w:val="1"/>
          <w:color w:val="010000"/>
        </w:rPr>
        <w:t xml:space="preserve">5.5. </w:t>
      </w:r>
      <w:r>
        <w:rPr>
          <w:rFonts w:ascii="Times New Roman" w:cs="Times New Roman" w:eastAsia="Times New Roman" w:hAnsi="Times New Roman"/>
          <w:sz w:val="19"/>
          <w:szCs w:val="19"/>
          <w:u w:val="single" w:color="auto"/>
          <w:color w:val="000000"/>
        </w:rPr>
        <w:t>Method of Exercise</w:t>
      </w:r>
      <w:r>
        <w:rPr>
          <w:rFonts w:ascii="Times New Roman" w:cs="Times New Roman" w:eastAsia="Times New Roman" w:hAnsi="Times New Roman"/>
          <w:sz w:val="19"/>
          <w:szCs w:val="19"/>
          <w:color w:val="000000"/>
        </w:rPr>
        <w:t>. Any Option granted hereunder will be vested and exercisable according to the terms of the Plan and at</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amount sufficient to satisfy withholding obligations for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2.5 of the Plan. Exercising an Option in any manner will decrease the number of Shares thereafter available, both for purposes of the Plan and for sale under the Option, by the number of Shares as to which the Option is exercised.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5.6.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If the Participant’s Service terminates for any reason except for Cause or the Participant’s death 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Disability, then the Participant may exercise such Participant’s Options only to the extent that such Options would have been exercisable by the Participant on the date Participant’s Service terminates no later than ninety (90) calendar days after the date Participant’s Service terminates (or such shorter or longer time period as may be determined by the Committee, but in any event no later than the expiration date of the Options).</w:t>
      </w:r>
    </w:p>
    <w:p>
      <w:pPr>
        <w:spacing w:after="0" w:line="191" w:lineRule="exact"/>
        <w:rPr>
          <w:sz w:val="20"/>
          <w:szCs w:val="20"/>
          <w:color w:val="auto"/>
        </w:rPr>
      </w:pPr>
    </w:p>
    <w:p>
      <w:pPr>
        <w:jc w:val="both"/>
        <w:ind w:firstLine="1304"/>
        <w:spacing w:after="0" w:line="269" w:lineRule="auto"/>
        <w:tabs>
          <w:tab w:leader="none" w:pos="1713"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If Participant’s Service terminates because of Participant’s death, then, with respect to any then unvested Option, the portion of such Option that is then unvested but would have vested within the three hundred sixty-five (365) calendar days following such death but for the termination of Participant’s termination, will accelerate and vest in full. If the Participant’s Service terminates because of the Participant’s death (or the Participant dies within ninety (90) calendar days after Participant’s Service terminates other than for Cause or because of the Participant’s Disability), then the Participant’s Options may be exercised only to the extent that such Options would have been exercisable by the Participant on the date Participant’s Service terminates (including as a result of the immediately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preceding sentence) and must be exercised by the Participant’s legal representative, or authorized assignee, no later than three hundred sixty-five (365) calendar days after the date Participant’s Service terminates (or such shorter or longer time period as may be determined by the Committee), but in any event no later than the expiration date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-238125</wp:posOffset>
            </wp:positionV>
            <wp:extent cx="400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61" w:lineRule="exact"/>
        <w:rPr>
          <w:sz w:val="20"/>
          <w:szCs w:val="20"/>
          <w:color w:val="auto"/>
        </w:rPr>
      </w:pPr>
    </w:p>
    <w:p>
      <w:pPr>
        <w:jc w:val="both"/>
        <w:ind w:firstLine="1304"/>
        <w:spacing w:after="0" w:line="250" w:lineRule="auto"/>
        <w:tabs>
          <w:tab w:leader="none" w:pos="1751" w:val="left"/>
        </w:tabs>
        <w:numPr>
          <w:ilvl w:val="1"/>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three hundred sixty-five (365) calendar days after the date Participant’s Service terminates (or such shorter or longer time period as may be determined by the Committee, with any exercise beyond (a) ninety (90) calendar days after the date Participant’s employment terminates when the termination of Service is for a Disability that is not a “permanent and total disability” as defined in Section 22(e)(3) of the Code or</w:t>
      </w:r>
    </w:p>
    <w:p>
      <w:pPr>
        <w:spacing w:after="0" w:line="2" w:lineRule="exact"/>
        <w:rPr>
          <w:rFonts w:ascii="Times New Roman" w:cs="Times New Roman" w:eastAsia="Times New Roman" w:hAnsi="Times New Roman"/>
          <w:sz w:val="20"/>
          <w:szCs w:val="20"/>
          <w:color w:val="010000"/>
        </w:rPr>
      </w:pPr>
    </w:p>
    <w:p>
      <w:pPr>
        <w:ind w:left="300" w:hanging="292"/>
        <w:spacing w:after="0"/>
        <w:tabs>
          <w:tab w:leader="none" w:pos="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hundred sixty-five (365) calendar days after the date Participant’s employment terminates when the termination of Service is for a</w:t>
      </w:r>
    </w:p>
    <w:p>
      <w:pPr>
        <w:spacing w:after="0" w:line="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Disability that is a “permanent and total disability” as defined in Section 22(e)(3) of the Code, deemed to be exercise of an NSO), but in any event no later than the expiration date of the Options.</w:t>
      </w:r>
    </w:p>
    <w:p>
      <w:pPr>
        <w:spacing w:after="0" w:line="161" w:lineRule="exact"/>
        <w:rPr>
          <w:sz w:val="20"/>
          <w:szCs w:val="20"/>
          <w:color w:val="auto"/>
        </w:rPr>
      </w:pPr>
    </w:p>
    <w:p>
      <w:pPr>
        <w:jc w:val="both"/>
        <w:ind w:firstLine="1304"/>
        <w:spacing w:after="0" w:line="253" w:lineRule="auto"/>
        <w:tabs>
          <w:tab w:leader="none" w:pos="1902"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Unless otherwise determined by the Committee,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b w:val="1"/>
          <w:bCs w:val="1"/>
          <w:color w:val="010000"/>
        </w:rPr>
        <w:t xml:space="preserve">5.7. </w:t>
      </w:r>
      <w:r>
        <w:rPr>
          <w:rFonts w:ascii="Times New Roman" w:cs="Times New Roman" w:eastAsia="Times New Roman" w:hAnsi="Times New Roman"/>
          <w:sz w:val="19"/>
          <w:szCs w:val="19"/>
          <w:u w:val="single" w:color="auto"/>
          <w:color w:val="000000"/>
        </w:rPr>
        <w:t>Modification, Extension or Renewal</w:t>
      </w:r>
      <w:r>
        <w:rPr>
          <w:rFonts w:ascii="Times New Roman" w:cs="Times New Roman" w:eastAsia="Times New Roman" w:hAnsi="Times New Roman"/>
          <w:sz w:val="19"/>
          <w:szCs w:val="19"/>
          <w:color w:val="000000"/>
        </w:rPr>
        <w:t>. The Committee may modify, extend, or renew outstanding Options and authorize the</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 xml:space="preserve">grant of new Options in substitution therefor, </w:t>
      </w:r>
      <w:r>
        <w:rPr>
          <w:rFonts w:ascii="Times New Roman" w:cs="Times New Roman" w:eastAsia="Times New Roman" w:hAnsi="Times New Roman"/>
          <w:sz w:val="19"/>
          <w:szCs w:val="19"/>
          <w:u w:val="single" w:color="auto"/>
          <w:color w:val="000000"/>
        </w:rPr>
        <w:t>provided that</w:t>
      </w:r>
      <w:r>
        <w:rPr>
          <w:rFonts w:ascii="Times New Roman" w:cs="Times New Roman" w:eastAsia="Times New Roman" w:hAnsi="Times New Roman"/>
          <w:sz w:val="19"/>
          <w:szCs w:val="19"/>
          <w:color w:val="000000"/>
        </w:rPr>
        <w:t xml:space="preserve"> any such action may not, without the written consent of a Participant, impair any of such Participant’s rights under any Option previously granted. Subject to Section 18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spacing w:after="0" w:line="152" w:lineRule="exact"/>
        <w:rPr>
          <w:sz w:val="20"/>
          <w:szCs w:val="20"/>
          <w:color w:val="auto"/>
        </w:rPr>
      </w:pPr>
    </w:p>
    <w:p>
      <w:pPr>
        <w:jc w:val="both"/>
        <w:ind w:firstLine="8"/>
        <w:spacing w:after="0" w:line="263" w:lineRule="auto"/>
        <w:tabs>
          <w:tab w:leader="none" w:pos="468" w:val="left"/>
        </w:tabs>
        <w:numPr>
          <w:ilvl w:val="0"/>
          <w:numId w:val="6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RESTRICTED STOCK UNITS</w:t>
      </w:r>
      <w:r>
        <w:rPr>
          <w:rFonts w:ascii="Times New Roman" w:cs="Times New Roman" w:eastAsia="Times New Roman" w:hAnsi="Times New Roman"/>
          <w:sz w:val="20"/>
          <w:szCs w:val="20"/>
          <w:color w:val="auto"/>
        </w:rPr>
        <w:t>.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is an award to an eligible Employee, Consultant, or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covering a number of Shares that may be settled by issuance of those Shares (which may consist of Restricted Stock) or in cash. All RSUs will be made pursuant to an Award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6.1. </w:t>
      </w:r>
      <w:r>
        <w:rPr>
          <w:rFonts w:ascii="Times New Roman" w:cs="Times New Roman" w:eastAsia="Times New Roman" w:hAnsi="Times New Roman"/>
          <w:sz w:val="20"/>
          <w:szCs w:val="20"/>
          <w:u w:val="single" w:color="auto"/>
          <w:color w:val="000000"/>
        </w:rPr>
        <w:t>Terms of RSUs</w:t>
      </w:r>
      <w:r>
        <w:rPr>
          <w:rFonts w:ascii="Times New Roman" w:cs="Times New Roman" w:eastAsia="Times New Roman" w:hAnsi="Times New Roman"/>
          <w:sz w:val="20"/>
          <w:szCs w:val="20"/>
          <w:color w:val="000000"/>
        </w:rPr>
        <w:t>. The Committee will determine the terms of an RSU including, without limitation: (a) the number of Shares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subject to the RSU, (b) the time or times during which the RSU may be settled, (c) the consideration to be distributed on settlement, and (d) the effect of the Participant’s termination of Service on each RSU, provided that no RSU will have a term longer than ten (10) years.</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6.2. </w:t>
      </w:r>
      <w:r>
        <w:rPr>
          <w:rFonts w:ascii="Times New Roman" w:cs="Times New Roman" w:eastAsia="Times New Roman" w:hAnsi="Times New Roman"/>
          <w:sz w:val="20"/>
          <w:szCs w:val="20"/>
          <w:u w:val="single" w:color="auto"/>
          <w:color w:val="000000"/>
        </w:rPr>
        <w:t>Form and Timing of Settlement</w:t>
      </w:r>
      <w:r>
        <w:rPr>
          <w:rFonts w:ascii="Times New Roman" w:cs="Times New Roman" w:eastAsia="Times New Roman" w:hAnsi="Times New Roman"/>
          <w:sz w:val="20"/>
          <w:szCs w:val="20"/>
          <w:color w:val="000000"/>
        </w:rPr>
        <w:t>. Payment of earned RSUs will be made as soon as practicable after the date(s) determined by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Committee and set forth in the Award Agreement or as provided in the Plan. The Committee, in its sole discretion, may settle earned RSUs in cash, Shares, or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combination of both. The Committee may also permit a Participant to defer payment under an RSU to a date or dates after the RSU is earned,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terms of the RSU and any deferral satisfy the requirements of Section 409A of the Code to the extent applicable.</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6.3.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if the Participant’s Service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terminates for any reason other than the Participant’s death, vesting ceases on such date Participant’s Service terminates (unless determined otherwise by the Committee).</w:t>
      </w:r>
    </w:p>
    <w:p>
      <w:pPr>
        <w:spacing w:after="0" w:line="179" w:lineRule="exact"/>
        <w:rPr>
          <w:sz w:val="20"/>
          <w:szCs w:val="20"/>
          <w:color w:val="auto"/>
        </w:rPr>
      </w:pPr>
    </w:p>
    <w:p>
      <w:pPr>
        <w:jc w:val="both"/>
        <w:ind w:firstLine="1304"/>
        <w:spacing w:after="0" w:line="261" w:lineRule="auto"/>
        <w:tabs>
          <w:tab w:leader="none" w:pos="1727"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If the Participant’s Service terminates because of the Participant’s death, then with respect to any then unvested RSUs, the portion of such RSUs that is then unvested but would have vested within the three hundred sixty-five (365) calendar days following such death but for Participant’s termination of Service will accelerate and vest in full.</w:t>
      </w:r>
    </w:p>
    <w:p>
      <w:pPr>
        <w:spacing w:after="0" w:line="177" w:lineRule="exact"/>
        <w:rPr>
          <w:rFonts w:ascii="Times New Roman" w:cs="Times New Roman" w:eastAsia="Times New Roman" w:hAnsi="Times New Roman"/>
          <w:sz w:val="20"/>
          <w:szCs w:val="20"/>
          <w:color w:val="010000"/>
        </w:rPr>
      </w:pPr>
    </w:p>
    <w:p>
      <w:pPr>
        <w:jc w:val="both"/>
        <w:ind w:firstLine="8"/>
        <w:spacing w:after="0" w:line="260" w:lineRule="auto"/>
        <w:tabs>
          <w:tab w:leader="none" w:pos="360" w:val="left"/>
        </w:tabs>
        <w:numPr>
          <w:ilvl w:val="0"/>
          <w:numId w:val="7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RESTRICTED STOCK AWARDS</w:t>
      </w:r>
      <w:r>
        <w:rPr>
          <w:rFonts w:ascii="Times New Roman" w:cs="Times New Roman" w:eastAsia="Times New Roman" w:hAnsi="Times New Roman"/>
          <w:sz w:val="20"/>
          <w:szCs w:val="20"/>
          <w:color w:val="auto"/>
        </w:rPr>
        <w:t>. A Restricted Stock Award is an offer by the Company to sell to an eligible Employee,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Director Shares that are subject to restrictions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010000"/>
        </w:rPr>
        <w:t xml:space="preserve">7.1. </w:t>
      </w:r>
      <w:r>
        <w:rPr>
          <w:rFonts w:ascii="Times New Roman" w:cs="Times New Roman" w:eastAsia="Times New Roman" w:hAnsi="Times New Roman"/>
          <w:sz w:val="20"/>
          <w:szCs w:val="20"/>
          <w:u w:val="single" w:color="auto"/>
          <w:color w:val="000000"/>
        </w:rPr>
        <w:t>Restricted Stock Purchase Agreement</w:t>
      </w:r>
      <w:r>
        <w:rPr>
          <w:rFonts w:ascii="Times New Roman" w:cs="Times New Roman" w:eastAsia="Times New Roman" w:hAnsi="Times New Roman"/>
          <w:sz w:val="20"/>
          <w:szCs w:val="20"/>
          <w:color w:val="000000"/>
        </w:rPr>
        <w:t>. All purchases under a Restricted Stock Award will be evidenced by an Award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010000"/>
        </w:rPr>
        <w:t xml:space="preserve">7.2. </w:t>
      </w:r>
      <w:r>
        <w:rPr>
          <w:rFonts w:ascii="Times New Roman" w:cs="Times New Roman" w:eastAsia="Times New Roman" w:hAnsi="Times New Roman"/>
          <w:sz w:val="20"/>
          <w:szCs w:val="20"/>
          <w:u w:val="single" w:color="auto"/>
          <w:color w:val="000000"/>
        </w:rPr>
        <w:t>Purchase Price</w:t>
      </w:r>
      <w:r>
        <w:rPr>
          <w:rFonts w:ascii="Times New Roman" w:cs="Times New Roman" w:eastAsia="Times New Roman" w:hAnsi="Times New Roman"/>
          <w:sz w:val="20"/>
          <w:szCs w:val="20"/>
          <w:color w:val="000000"/>
        </w:rPr>
        <w:t>. The Purchase Price for Shares issued pursuant to a Restricted Stock Award will be determined by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Committee and may be less than Fair Market Value on the date the Restricted Stock Award is granted. Payment of the Purchase Price must be made in accordance with Section 11 of the Plan, and the Award Agreement and in accordance with any procedures established by the Company.</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7.3. </w:t>
      </w:r>
      <w:r>
        <w:rPr>
          <w:rFonts w:ascii="Times New Roman" w:cs="Times New Roman" w:eastAsia="Times New Roman" w:hAnsi="Times New Roman"/>
          <w:sz w:val="20"/>
          <w:szCs w:val="20"/>
          <w:u w:val="single" w:color="auto"/>
          <w:color w:val="000000"/>
        </w:rPr>
        <w:t>Terms of Restricted Stock Awards</w:t>
      </w:r>
      <w:r>
        <w:rPr>
          <w:rFonts w:ascii="Times New Roman" w:cs="Times New Roman" w:eastAsia="Times New Roman" w:hAnsi="Times New Roman"/>
          <w:sz w:val="20"/>
          <w:szCs w:val="20"/>
          <w:color w:val="000000"/>
        </w:rPr>
        <w:t>. Restricted Stock Awards will be subject to such restrictions as the Committee may impose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7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7.4.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such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jc w:val="both"/>
        <w:ind w:firstLine="8"/>
        <w:spacing w:after="0" w:line="260" w:lineRule="auto"/>
        <w:tabs>
          <w:tab w:leader="none" w:pos="360" w:val="left"/>
        </w:tabs>
        <w:numPr>
          <w:ilvl w:val="0"/>
          <w:numId w:val="7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STOCK BONUS AWARDS</w:t>
      </w:r>
      <w:r>
        <w:rPr>
          <w:rFonts w:ascii="Times New Roman" w:cs="Times New Roman" w:eastAsia="Times New Roman" w:hAnsi="Times New Roman"/>
          <w:sz w:val="20"/>
          <w:szCs w:val="20"/>
          <w:color w:val="auto"/>
        </w:rPr>
        <w:t>. A Stock Bonus Award is an award to an eligible Employee, Consultant, or Director of Shares for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8.1. </w:t>
      </w:r>
      <w:r>
        <w:rPr>
          <w:rFonts w:ascii="Times New Roman" w:cs="Times New Roman" w:eastAsia="Times New Roman" w:hAnsi="Times New Roman"/>
          <w:sz w:val="20"/>
          <w:szCs w:val="20"/>
          <w:u w:val="single" w:color="auto"/>
          <w:color w:val="000000"/>
        </w:rPr>
        <w:t>Terms of Stock Bonus Awards</w:t>
      </w:r>
      <w:r>
        <w:rPr>
          <w:rFonts w:ascii="Times New Roman" w:cs="Times New Roman" w:eastAsia="Times New Roman" w:hAnsi="Times New Roman"/>
          <w:sz w:val="20"/>
          <w:szCs w:val="20"/>
          <w:color w:val="000000"/>
        </w:rPr>
        <w:t>. The Committee will determine the number of Shares to be awarded to the Participant under a</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8.2. </w:t>
      </w:r>
      <w:r>
        <w:rPr>
          <w:rFonts w:ascii="Times New Roman" w:cs="Times New Roman" w:eastAsia="Times New Roman" w:hAnsi="Times New Roman"/>
          <w:sz w:val="20"/>
          <w:szCs w:val="20"/>
          <w:u w:val="single" w:color="auto"/>
          <w:color w:val="000000"/>
        </w:rPr>
        <w:t>Form of Payment to Participant</w:t>
      </w:r>
      <w:r>
        <w:rPr>
          <w:rFonts w:ascii="Times New Roman" w:cs="Times New Roman" w:eastAsia="Times New Roman" w:hAnsi="Times New Roman"/>
          <w:sz w:val="20"/>
          <w:szCs w:val="20"/>
          <w:color w:val="000000"/>
        </w:rPr>
        <w:t>. Payment may be made in the form of cash, whole Shares, or a combination thereof, based 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Fair Market Value of the Shares earned under a Stock Bonus Award on the date of payment, as determined in the sole discretion of the Committee.</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8.3.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such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38" w:lineRule="exact"/>
        <w:rPr>
          <w:sz w:val="20"/>
          <w:szCs w:val="20"/>
          <w:color w:val="auto"/>
        </w:rPr>
      </w:pPr>
    </w:p>
    <w:p>
      <w:pPr>
        <w:jc w:val="both"/>
        <w:ind w:firstLine="8"/>
        <w:spacing w:after="0" w:line="254" w:lineRule="auto"/>
        <w:tabs>
          <w:tab w:leader="none" w:pos="468" w:val="left"/>
        </w:tabs>
        <w:numPr>
          <w:ilvl w:val="0"/>
          <w:numId w:val="7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STOCK APPRECIATION RIGHTS</w:t>
      </w:r>
      <w:r>
        <w:rPr>
          <w:rFonts w:ascii="Times New Roman" w:cs="Times New Roman" w:eastAsia="Times New Roman" w:hAnsi="Times New Roman"/>
          <w:sz w:val="20"/>
          <w:szCs w:val="20"/>
          <w:color w:val="auto"/>
        </w:rPr>
        <w:t>. A Stock Appreciation Right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is an award to an eligible Employee, Consultant,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010000"/>
        </w:rPr>
        <w:t xml:space="preserve">9.1. </w:t>
      </w:r>
      <w:r>
        <w:rPr>
          <w:rFonts w:ascii="Times New Roman" w:cs="Times New Roman" w:eastAsia="Times New Roman" w:hAnsi="Times New Roman"/>
          <w:sz w:val="20"/>
          <w:szCs w:val="20"/>
          <w:u w:val="single" w:color="auto"/>
          <w:color w:val="000000"/>
        </w:rPr>
        <w:t>Terms of SARs</w:t>
      </w:r>
      <w:r>
        <w:rPr>
          <w:rFonts w:ascii="Times New Roman" w:cs="Times New Roman" w:eastAsia="Times New Roman" w:hAnsi="Times New Roman"/>
          <w:sz w:val="20"/>
          <w:szCs w:val="20"/>
          <w:color w:val="000000"/>
        </w:rPr>
        <w:t>. The Committee will determine the terms of each SAR, including, without limitation: (a) the number of Shares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subject to the SAR, (b) the Exercise Price and 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010000"/>
        </w:rPr>
        <w:t xml:space="preserve">9.2. </w:t>
      </w:r>
      <w:r>
        <w:rPr>
          <w:rFonts w:ascii="Times New Roman" w:cs="Times New Roman" w:eastAsia="Times New Roman" w:hAnsi="Times New Roman"/>
          <w:sz w:val="20"/>
          <w:szCs w:val="20"/>
          <w:u w:val="single" w:color="auto"/>
          <w:color w:val="000000"/>
        </w:rPr>
        <w:t>Exercise Period and Expiration Date</w:t>
      </w:r>
      <w:r>
        <w:rPr>
          <w:rFonts w:ascii="Times New Roman" w:cs="Times New Roman" w:eastAsia="Times New Roman" w:hAnsi="Times New Roman"/>
          <w:sz w:val="20"/>
          <w:szCs w:val="20"/>
          <w:color w:val="000000"/>
        </w:rPr>
        <w:t>. A SAR will be exercisable within the times or upon the occurrence of events determined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by the Committee and set forth in the Award Agreement governing such SAR. The SAR Agreement will set forth the expiration date, provided that no SAR will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9.3. </w:t>
      </w:r>
      <w:r>
        <w:rPr>
          <w:rFonts w:ascii="Times New Roman" w:cs="Times New Roman" w:eastAsia="Times New Roman" w:hAnsi="Times New Roman"/>
          <w:sz w:val="20"/>
          <w:szCs w:val="20"/>
          <w:u w:val="single" w:color="auto"/>
          <w:color w:val="000000"/>
        </w:rPr>
        <w:t>Form of Settlement</w:t>
      </w:r>
      <w:r>
        <w:rPr>
          <w:rFonts w:ascii="Times New Roman" w:cs="Times New Roman" w:eastAsia="Times New Roman" w:hAnsi="Times New Roman"/>
          <w:sz w:val="20"/>
          <w:szCs w:val="20"/>
          <w:color w:val="000000"/>
        </w:rPr>
        <w:t>. Upon exercise of a SAR, a Participant will be entitled to receive payment from the Company in an amount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Times New Roman" w:cs="Times New Roman" w:eastAsia="Times New Roman" w:hAnsi="Times New Roman"/>
          <w:sz w:val="20"/>
          <w:szCs w:val="20"/>
          <w:u w:val="single" w:color="auto"/>
          <w:color w:val="000000"/>
        </w:rPr>
        <w:t>provided that</w:t>
      </w:r>
      <w:r>
        <w:rPr>
          <w:rFonts w:ascii="Times New Roman" w:cs="Times New Roman" w:eastAsia="Times New Roman" w:hAnsi="Times New Roman"/>
          <w:sz w:val="20"/>
          <w:szCs w:val="20"/>
          <w:color w:val="000000"/>
        </w:rPr>
        <w:t xml:space="preserve"> the terms of the SAR and any deferral satisfy the requirements of Section 409A of the Code to the extent applicable.</w:t>
      </w:r>
    </w:p>
    <w:p>
      <w:pPr>
        <w:spacing w:after="0" w:line="17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9.4.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the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38" w:lineRule="exact"/>
        <w:rPr>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PERFORMANCE AWARDS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010000"/>
        </w:rPr>
        <w:t xml:space="preserve">10.1. </w:t>
      </w:r>
      <w:r>
        <w:rPr>
          <w:rFonts w:ascii="Times New Roman" w:cs="Times New Roman" w:eastAsia="Times New Roman" w:hAnsi="Times New Roman"/>
          <w:sz w:val="20"/>
          <w:szCs w:val="20"/>
          <w:u w:val="single" w:color="auto"/>
          <w:color w:val="000000"/>
        </w:rPr>
        <w:t>Types of Performance Awards</w:t>
      </w:r>
      <w:r>
        <w:rPr>
          <w:rFonts w:ascii="Times New Roman" w:cs="Times New Roman" w:eastAsia="Times New Roman" w:hAnsi="Times New Roman"/>
          <w:sz w:val="20"/>
          <w:szCs w:val="20"/>
          <w:color w:val="000000"/>
        </w:rPr>
        <w:t>. A Performance Award is an award to an eligible Employee, Consultant, or Director that 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will be made pursuant to an Award Agreement that cites Section 10 of the Plan.</w:t>
      </w:r>
    </w:p>
    <w:p>
      <w:pPr>
        <w:spacing w:after="0" w:line="168" w:lineRule="exact"/>
        <w:rPr>
          <w:sz w:val="20"/>
          <w:szCs w:val="20"/>
          <w:color w:val="auto"/>
        </w:rPr>
      </w:pPr>
    </w:p>
    <w:p>
      <w:pPr>
        <w:jc w:val="both"/>
        <w:ind w:firstLine="1304"/>
        <w:spacing w:after="0" w:line="253" w:lineRule="auto"/>
        <w:tabs>
          <w:tab w:leader="none" w:pos="1794"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Performance Shares</w:t>
      </w:r>
      <w:r>
        <w:rPr>
          <w:rFonts w:ascii="Times New Roman" w:cs="Times New Roman" w:eastAsia="Times New Roman" w:hAnsi="Times New Roman"/>
          <w:sz w:val="20"/>
          <w:szCs w:val="20"/>
          <w:color w:val="auto"/>
        </w:rPr>
        <w:t>. The Committee may grant Awards of Performance Shares, designate the Participants to whom Performance Shares are to be awarded, and determine the number of Performance Shares and the terms and conditions of each such Award. Performance Shares will consist of a unit valued by reference to a designated number of Shares, the value of which may be paid to the Participant by delivery of Shares or, if set forth in the instrument evidencing the Award, of such property as the Committee will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will determine in its sole discretion.</w:t>
      </w:r>
    </w:p>
    <w:p>
      <w:pPr>
        <w:spacing w:after="0" w:line="179"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846"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Performance Units</w:t>
      </w:r>
      <w:r>
        <w:rPr>
          <w:rFonts w:ascii="Times New Roman" w:cs="Times New Roman" w:eastAsia="Times New Roman" w:hAnsi="Times New Roman"/>
          <w:sz w:val="20"/>
          <w:szCs w:val="20"/>
          <w:color w:val="auto"/>
        </w:rPr>
        <w:t>. The Committee may grant Awards of Performance Units, designate the Participants to whom Performance Units are to be awarded, and determine the number of Performance Units and the terms and conditions of each such Award. Performance Units will consist of a unit valued by reference to a designated amount of property other than Shares, which value may be paid to the Participant by delivery of such property as the Committee will determine, including, without limitation, cash, Shares, other property, or any combination thereof, upon the attainment of performance goals, as established by the Committee, and other terms and conditions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9" w:lineRule="exact"/>
        <w:rPr>
          <w:sz w:val="20"/>
          <w:szCs w:val="20"/>
          <w:color w:val="auto"/>
        </w:rPr>
      </w:pPr>
    </w:p>
    <w:p>
      <w:pPr>
        <w:jc w:val="both"/>
        <w:ind w:firstLine="1304"/>
        <w:spacing w:after="0" w:line="261" w:lineRule="auto"/>
        <w:tabs>
          <w:tab w:leader="none" w:pos="1794"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Cash-Settled Performance Awards</w:t>
      </w:r>
      <w:r>
        <w:rPr>
          <w:rFonts w:ascii="Times New Roman" w:cs="Times New Roman" w:eastAsia="Times New Roman" w:hAnsi="Times New Roman"/>
          <w:sz w:val="20"/>
          <w:szCs w:val="20"/>
          <w:color w:val="auto"/>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010000"/>
        </w:rPr>
        <w:t xml:space="preserve">10.2. </w:t>
      </w:r>
      <w:r>
        <w:rPr>
          <w:rFonts w:ascii="Times New Roman" w:cs="Times New Roman" w:eastAsia="Times New Roman" w:hAnsi="Times New Roman"/>
          <w:sz w:val="20"/>
          <w:szCs w:val="20"/>
          <w:u w:val="single" w:color="auto"/>
          <w:color w:val="000000"/>
        </w:rPr>
        <w:t>Terms of Performance Awards</w:t>
      </w:r>
      <w:r>
        <w:rPr>
          <w:rFonts w:ascii="Times New Roman" w:cs="Times New Roman" w:eastAsia="Times New Roman" w:hAnsi="Times New Roman"/>
          <w:sz w:val="20"/>
          <w:szCs w:val="20"/>
          <w:color w:val="000000"/>
        </w:rPr>
        <w:t>. The Committee will determine, and each Award Agreement will set forth, the terms of each</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Performance Award, including, without limitation: (a) the amount of any cash bonus, (b) the number of Shares deemed subject to an award of Performance Shares, (c) the Performance Factors and Performance Period that will determine the time and extent to which each award of Performance Shares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10.3. </w:t>
      </w:r>
      <w:r>
        <w:rPr>
          <w:rFonts w:ascii="Times New Roman" w:cs="Times New Roman" w:eastAsia="Times New Roman" w:hAnsi="Times New Roman"/>
          <w:sz w:val="20"/>
          <w:szCs w:val="20"/>
          <w:u w:val="single" w:color="auto"/>
          <w:color w:val="000000"/>
        </w:rPr>
        <w:t>Termination of Service</w:t>
      </w:r>
      <w:r>
        <w:rPr>
          <w:rFonts w:ascii="Times New Roman" w:cs="Times New Roman" w:eastAsia="Times New Roman" w:hAnsi="Times New Roman"/>
          <w:sz w:val="20"/>
          <w:szCs w:val="20"/>
          <w:color w:val="000000"/>
        </w:rPr>
        <w:t>. Except as may be set forth in the Participant’s Award Agreement, vesting ceases on the date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Participant’s Service terminates (unless determined otherwise by the Committee).</w:t>
      </w:r>
    </w:p>
    <w:p>
      <w:pPr>
        <w:spacing w:after="0" w:line="165" w:lineRule="exact"/>
        <w:rPr>
          <w:sz w:val="20"/>
          <w:szCs w:val="20"/>
          <w:color w:val="auto"/>
        </w:rPr>
      </w:pPr>
    </w:p>
    <w:p>
      <w:pPr>
        <w:jc w:val="both"/>
        <w:ind w:firstLine="8"/>
        <w:spacing w:after="0" w:line="263" w:lineRule="auto"/>
        <w:tabs>
          <w:tab w:leader="none" w:pos="434" w:val="left"/>
        </w:tabs>
        <w:numPr>
          <w:ilvl w:val="0"/>
          <w:numId w:val="7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PAYMENT FOR SHARE PURCHASES</w:t>
      </w:r>
      <w:r>
        <w:rPr>
          <w:rFonts w:ascii="Times New Roman" w:cs="Times New Roman" w:eastAsia="Times New Roman" w:hAnsi="Times New Roman"/>
          <w:sz w:val="20"/>
          <w:szCs w:val="20"/>
          <w:color w:val="auto"/>
        </w:rPr>
        <w:t>. Payment from a Participant for Shares purchased pursuant to this Plan may be made in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by check or, where expressly approved for the Participant by the Committee and where permitted by law (and to the extent not otherwise set forth in the applicable Award Agreement):</w:t>
      </w:r>
    </w:p>
    <w:p>
      <w:pPr>
        <w:spacing w:after="0" w:line="179" w:lineRule="exact"/>
        <w:rPr>
          <w:rFonts w:ascii="Times New Roman" w:cs="Times New Roman" w:eastAsia="Times New Roman" w:hAnsi="Times New Roman"/>
          <w:sz w:val="20"/>
          <w:szCs w:val="20"/>
          <w:b w:val="1"/>
          <w:bCs w:val="1"/>
          <w:color w:val="010000"/>
        </w:rPr>
      </w:pPr>
    </w:p>
    <w:p>
      <w:pPr>
        <w:ind w:left="1720" w:hanging="416"/>
        <w:spacing w:after="0"/>
        <w:tabs>
          <w:tab w:leader="none" w:pos="1720"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cancellation of indebtedness of the Company to the Participant;</w:t>
      </w:r>
    </w:p>
    <w:p>
      <w:pPr>
        <w:spacing w:after="0" w:line="215" w:lineRule="exact"/>
        <w:rPr>
          <w:rFonts w:ascii="Times New Roman" w:cs="Times New Roman" w:eastAsia="Times New Roman" w:hAnsi="Times New Roman"/>
          <w:sz w:val="20"/>
          <w:szCs w:val="20"/>
          <w:color w:val="010000"/>
        </w:rPr>
      </w:pPr>
    </w:p>
    <w:p>
      <w:pPr>
        <w:ind w:firstLine="1304"/>
        <w:spacing w:after="0" w:line="283" w:lineRule="auto"/>
        <w:tabs>
          <w:tab w:leader="none" w:pos="1765"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46" w:lineRule="exact"/>
        <w:rPr>
          <w:rFonts w:ascii="Times New Roman" w:cs="Times New Roman" w:eastAsia="Times New Roman" w:hAnsi="Times New Roman"/>
          <w:sz w:val="20"/>
          <w:szCs w:val="20"/>
          <w:color w:val="010000"/>
        </w:rPr>
      </w:pPr>
    </w:p>
    <w:p>
      <w:pPr>
        <w:ind w:firstLine="1304"/>
        <w:spacing w:after="0" w:line="283" w:lineRule="auto"/>
        <w:tabs>
          <w:tab w:leader="none" w:pos="1727"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waiver of compensation due or accrued to the Participant for services rendered or to be rendered to the Company or a Parent or Subsidiary;</w:t>
      </w:r>
    </w:p>
    <w:p>
      <w:pPr>
        <w:spacing w:after="0" w:line="159" w:lineRule="exact"/>
        <w:rPr>
          <w:rFonts w:ascii="Times New Roman" w:cs="Times New Roman" w:eastAsia="Times New Roman" w:hAnsi="Times New Roman"/>
          <w:sz w:val="20"/>
          <w:szCs w:val="20"/>
          <w:color w:val="010000"/>
        </w:rPr>
      </w:pPr>
    </w:p>
    <w:p>
      <w:pPr>
        <w:ind w:firstLine="1304"/>
        <w:spacing w:after="0" w:line="269" w:lineRule="auto"/>
        <w:tabs>
          <w:tab w:leader="none" w:pos="1792"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consideration received by the Company pursuant to a broker-assisted or other form of cashless exercise program implemented by the Company in connection with the Plan;</w:t>
      </w:r>
    </w:p>
    <w:p>
      <w:pPr>
        <w:spacing w:after="0" w:line="172"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any combination of the foregoing; or</w:t>
      </w:r>
    </w:p>
    <w:p>
      <w:pPr>
        <w:spacing w:after="0" w:line="215"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any other method of payment as is permitted by applicable law.</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Committee may limit the availability of any method of payment, to the extent the Committee determines, in its discretion, such limitation is necessary or advisable to comply with applicable law or facilitate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5"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GRANTS TO NON-EMPLOYEE DIRECTORS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b w:val="1"/>
          <w:bCs w:val="1"/>
          <w:color w:val="010000"/>
        </w:rPr>
        <w:t xml:space="preserve">12.1. </w:t>
      </w:r>
      <w:r>
        <w:rPr>
          <w:rFonts w:ascii="Times New Roman" w:cs="Times New Roman" w:eastAsia="Times New Roman" w:hAnsi="Times New Roman"/>
          <w:sz w:val="19"/>
          <w:szCs w:val="19"/>
          <w:u w:val="single" w:color="auto"/>
          <w:color w:val="000000"/>
        </w:rPr>
        <w:t>General</w:t>
      </w:r>
      <w:r>
        <w:rPr>
          <w:rFonts w:ascii="Times New Roman" w:cs="Times New Roman" w:eastAsia="Times New Roman" w:hAnsi="Times New Roman"/>
          <w:sz w:val="19"/>
          <w:szCs w:val="19"/>
          <w:color w:val="000000"/>
        </w:rPr>
        <w:t>. Non-Employee Directors are eligible to receive any type of Award offered under this Plan. Awards pursuant to this</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Section 12 may be automatically made pursuant to policy adopted by the Board or made from time to time as determined in the discretion of the Board. No Non-Employee Director may receive Awards under the Plan that, when combined with cash compensation received for service as a Non-Employee Director, exceed Seven Hundred Fifty Thousand Dollars ($750,000) in value (as described below) in any calendar year; increased to One Million Dollars ($1,000,000) in value in the calendar year of his or her initial service as a Non-Employee Director. The value of Awards for purposes of complying with this maximum will be determined as follows: (a) for Options and SARs, grant date fair value will be calculated using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12.1.</w:t>
      </w:r>
    </w:p>
    <w:p>
      <w:pPr>
        <w:spacing w:after="0" w:line="18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12.2. </w:t>
      </w:r>
      <w:r>
        <w:rPr>
          <w:rFonts w:ascii="Times New Roman" w:cs="Times New Roman" w:eastAsia="Times New Roman" w:hAnsi="Times New Roman"/>
          <w:sz w:val="20"/>
          <w:szCs w:val="20"/>
          <w:u w:val="single" w:color="auto"/>
          <w:color w:val="000000"/>
        </w:rPr>
        <w:t>Eligibility</w:t>
      </w:r>
      <w:r>
        <w:rPr>
          <w:rFonts w:ascii="Times New Roman" w:cs="Times New Roman" w:eastAsia="Times New Roman" w:hAnsi="Times New Roman"/>
          <w:sz w:val="20"/>
          <w:szCs w:val="20"/>
          <w:color w:val="000000"/>
        </w:rPr>
        <w:t>. Awards pursuant to this Section 12 will be granted only to Non-Employee Directors. A Non-Employee Director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who is elected or re-elected as a member of the Board will be eligible to receive an Award under this Section 12.</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12.3. </w:t>
      </w:r>
      <w:r>
        <w:rPr>
          <w:rFonts w:ascii="Times New Roman" w:cs="Times New Roman" w:eastAsia="Times New Roman" w:hAnsi="Times New Roman"/>
          <w:sz w:val="20"/>
          <w:szCs w:val="20"/>
          <w:u w:val="single" w:color="auto"/>
          <w:color w:val="000000"/>
        </w:rPr>
        <w:t>Vesting, Exercisability, and Settlement</w:t>
      </w:r>
      <w:r>
        <w:rPr>
          <w:rFonts w:ascii="Times New Roman" w:cs="Times New Roman" w:eastAsia="Times New Roman" w:hAnsi="Times New Roman"/>
          <w:sz w:val="20"/>
          <w:szCs w:val="20"/>
          <w:color w:val="000000"/>
        </w:rPr>
        <w:t>. Except as set forth in Section 21, Awards will vest, become exercisable, and be settled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as determined by the Board. With respect to Options and SARs, the exercise price granted to Non-Employee Directors will not be less than the Fair Market Value of the Shares at the time that such Option or SAR is granted.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010000"/>
        </w:rPr>
        <w:t xml:space="preserve">12.4. </w:t>
      </w:r>
      <w:r>
        <w:rPr>
          <w:rFonts w:ascii="Times New Roman" w:cs="Times New Roman" w:eastAsia="Times New Roman" w:hAnsi="Times New Roman"/>
          <w:sz w:val="20"/>
          <w:szCs w:val="20"/>
          <w:u w:val="single" w:color="auto"/>
          <w:color w:val="000000"/>
        </w:rPr>
        <w:t>Election to Receive Awards in Lieu of Cash</w:t>
      </w:r>
      <w:r>
        <w:rPr>
          <w:rFonts w:ascii="Times New Roman" w:cs="Times New Roman" w:eastAsia="Times New Roman" w:hAnsi="Times New Roman"/>
          <w:sz w:val="20"/>
          <w:szCs w:val="20"/>
          <w:color w:val="000000"/>
        </w:rPr>
        <w:t>. A Non-Employee Director may elect to receive his or her annual retainer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payments and/or meeting fees from the Company in the form of cash or Awards or a combination thereof, if permitted, and as determined, by the Committee. Such Awards will be issued under the Plan. An election under this Section 12.4 will be filed with the Company on the form prescribed by the Company.</w:t>
      </w:r>
    </w:p>
    <w:p>
      <w:pPr>
        <w:spacing w:after="0" w:line="184"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010000"/>
        </w:rPr>
        <w:t xml:space="preserve">13.1. </w:t>
      </w:r>
      <w:r>
        <w:rPr>
          <w:rFonts w:ascii="Times New Roman" w:cs="Times New Roman" w:eastAsia="Times New Roman" w:hAnsi="Times New Roman"/>
          <w:sz w:val="20"/>
          <w:szCs w:val="20"/>
          <w:u w:val="single" w:color="auto"/>
          <w:color w:val="000000"/>
        </w:rPr>
        <w:t>Withholding Generally</w:t>
      </w:r>
      <w:r>
        <w:rPr>
          <w:rFonts w:ascii="Times New Roman" w:cs="Times New Roman" w:eastAsia="Times New Roman" w:hAnsi="Times New Roman"/>
          <w:sz w:val="20"/>
          <w:szCs w:val="20"/>
          <w:color w:val="000000"/>
        </w:rPr>
        <w:t>. Whenever Shares are to be issued in satisfaction of Awards granted under this Plan or any other tax</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withholding event occurs in relation to an Award, the Company may require the Participant to remit to the Company, or to the Parent, Subsidiary, or Affiliate, as applicable, to which the Participant provides services an amount sufficient to satisfy any U.S. federal, state, and local, and non-U.S. income tax, social insurance, payroll tax, fringe benefits tax, payment on account or other tax-related items (the “</w:t>
      </w:r>
      <w:r>
        <w:rPr>
          <w:rFonts w:ascii="Times New Roman" w:cs="Times New Roman" w:eastAsia="Times New Roman" w:hAnsi="Times New Roman"/>
          <w:sz w:val="20"/>
          <w:szCs w:val="20"/>
          <w:b w:val="1"/>
          <w:bCs w:val="1"/>
          <w:i w:val="1"/>
          <w:iCs w:val="1"/>
          <w:color w:val="000000"/>
        </w:rPr>
        <w:t>Tax-Related Items</w:t>
      </w:r>
      <w:r>
        <w:rPr>
          <w:rFonts w:ascii="Times New Roman" w:cs="Times New Roman" w:eastAsia="Times New Roman" w:hAnsi="Times New Roman"/>
          <w:sz w:val="20"/>
          <w:szCs w:val="20"/>
          <w:color w:val="000000"/>
        </w:rPr>
        <w:t>”) applicable to the Participant as a result of participating in the Plan. Whenever payments in satisfaction of Awards granted</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under this Plan are to be made in cash, such payments will be net of an amount sufficient to satisfy applicable withholding obligations for Tax-Related Items. Unless otherwise determined by the Committee or required by applicable laws, the Fair Market Value of the Shares will be determined as of the date that the Tax-Related Items are required to be withheld and such Shares will be valued based on the value of the actual trade or, if there is none, the Fair Market Value of the Shares as of the previous trading day.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010000"/>
        </w:rPr>
        <w:t xml:space="preserve">13.2. </w:t>
      </w:r>
      <w:r>
        <w:rPr>
          <w:rFonts w:ascii="Times New Roman" w:cs="Times New Roman" w:eastAsia="Times New Roman" w:hAnsi="Times New Roman"/>
          <w:sz w:val="20"/>
          <w:szCs w:val="20"/>
          <w:u w:val="single" w:color="auto"/>
          <w:color w:val="000000"/>
        </w:rPr>
        <w:t>Stock Withholding</w:t>
      </w:r>
      <w:r>
        <w:rPr>
          <w:rFonts w:ascii="Times New Roman" w:cs="Times New Roman" w:eastAsia="Times New Roman" w:hAnsi="Times New Roman"/>
          <w:sz w:val="20"/>
          <w:szCs w:val="20"/>
          <w:color w:val="000000"/>
        </w:rPr>
        <w:t>. The Committee, or its delegate(s), as permitted by applicable law, in its sole discretion and pursuant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such 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sufficient to cover the Tax-Related Items to be withheld, (c) delivering to the Company already-owned shares having a Fair Market Value sufficient to cover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spacing w:after="0" w:line="176" w:lineRule="exact"/>
        <w:rPr>
          <w:sz w:val="20"/>
          <w:szCs w:val="20"/>
          <w:color w:val="auto"/>
        </w:rPr>
      </w:pPr>
    </w:p>
    <w:p>
      <w:pPr>
        <w:jc w:val="both"/>
        <w:ind w:firstLine="8"/>
        <w:spacing w:after="0" w:line="254" w:lineRule="auto"/>
        <w:tabs>
          <w:tab w:leader="none" w:pos="472" w:val="left"/>
        </w:tabs>
        <w:numPr>
          <w:ilvl w:val="0"/>
          <w:numId w:val="8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TRANSFERABILITY</w:t>
      </w:r>
      <w:r>
        <w:rPr>
          <w:rFonts w:ascii="Times New Roman" w:cs="Times New Roman" w:eastAsia="Times New Roman" w:hAnsi="Times New Roman"/>
          <w:sz w:val="20"/>
          <w:szCs w:val="20"/>
          <w:color w:val="auto"/>
        </w:rPr>
        <w:t>. Unless determined otherwise by the Committee, an Award may not be sold, pledged, assigned, hypothecated,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(c)by a Permitted Transferee.</w:t>
      </w:r>
    </w:p>
    <w:p>
      <w:pPr>
        <w:spacing w:after="0" w:line="186" w:lineRule="exact"/>
        <w:rPr>
          <w:rFonts w:ascii="Times New Roman" w:cs="Times New Roman" w:eastAsia="Times New Roman" w:hAnsi="Times New Roman"/>
          <w:sz w:val="20"/>
          <w:szCs w:val="20"/>
          <w:b w:val="1"/>
          <w:bCs w:val="1"/>
          <w:color w:val="010000"/>
        </w:rPr>
      </w:pPr>
    </w:p>
    <w:p>
      <w:pPr>
        <w:ind w:left="460" w:hanging="452"/>
        <w:spacing w:after="0"/>
        <w:tabs>
          <w:tab w:leader="none" w:pos="460" w:val="left"/>
        </w:tabs>
        <w:numPr>
          <w:ilvl w:val="0"/>
          <w:numId w:val="8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PRIVILEGES OF STOCK OWNERSHIP; RESTRICTIONS ON SHARES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010000"/>
        </w:rPr>
        <w:t xml:space="preserve">15.1. </w:t>
      </w:r>
      <w:r>
        <w:rPr>
          <w:rFonts w:ascii="Times New Roman" w:cs="Times New Roman" w:eastAsia="Times New Roman" w:hAnsi="Times New Roman"/>
          <w:sz w:val="20"/>
          <w:szCs w:val="20"/>
          <w:u w:val="single" w:color="auto"/>
          <w:color w:val="000000"/>
        </w:rPr>
        <w:t>Voting and Dividends</w:t>
      </w:r>
      <w:r>
        <w:rPr>
          <w:rFonts w:ascii="Times New Roman" w:cs="Times New Roman" w:eastAsia="Times New Roman" w:hAnsi="Times New Roman"/>
          <w:sz w:val="20"/>
          <w:szCs w:val="20"/>
          <w:color w:val="000000"/>
        </w:rPr>
        <w:t>. No Participant will have any of the rights of a stockholder with respect to any Shares until the Shares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15.2. </w:t>
      </w:r>
      <w:r>
        <w:rPr>
          <w:rFonts w:ascii="Times New Roman" w:cs="Times New Roman" w:eastAsia="Times New Roman" w:hAnsi="Times New Roman"/>
          <w:sz w:val="20"/>
          <w:szCs w:val="20"/>
          <w:u w:val="single" w:color="auto"/>
          <w:color w:val="000000"/>
        </w:rPr>
        <w:t>Restrictions on Shares</w:t>
      </w:r>
      <w:r>
        <w:rPr>
          <w:rFonts w:ascii="Times New Roman" w:cs="Times New Roman" w:eastAsia="Times New Roman" w:hAnsi="Times New Roman"/>
          <w:sz w:val="20"/>
          <w:szCs w:val="20"/>
          <w:color w:val="000000"/>
        </w:rPr>
        <w:t>. At the discretion of the Committee, the Company may reserve to itself and/or its assignee(s) a right to</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repurchase (a “</w:t>
      </w:r>
      <w:r>
        <w:rPr>
          <w:rFonts w:ascii="Times New Roman" w:cs="Times New Roman" w:eastAsia="Times New Roman" w:hAnsi="Times New Roman"/>
          <w:sz w:val="20"/>
          <w:szCs w:val="20"/>
          <w:b w:val="1"/>
          <w:bCs w:val="1"/>
          <w:i w:val="1"/>
          <w:iCs w:val="1"/>
          <w:color w:val="000000"/>
        </w:rPr>
        <w:t>Right of Repurchase</w:t>
      </w:r>
      <w:r>
        <w:rPr>
          <w:rFonts w:ascii="Times New Roman" w:cs="Times New Roman" w:eastAsia="Times New Roman" w:hAnsi="Times New Roman"/>
          <w:sz w:val="20"/>
          <w:szCs w:val="20"/>
          <w:color w:val="00000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87" w:lineRule="exact"/>
        <w:rPr>
          <w:sz w:val="20"/>
          <w:szCs w:val="20"/>
          <w:color w:val="auto"/>
        </w:rPr>
      </w:pPr>
    </w:p>
    <w:p>
      <w:pPr>
        <w:jc w:val="both"/>
        <w:ind w:firstLine="8"/>
        <w:spacing w:after="0" w:line="254" w:lineRule="auto"/>
        <w:tabs>
          <w:tab w:leader="none" w:pos="499" w:val="left"/>
        </w:tabs>
        <w:numPr>
          <w:ilvl w:val="0"/>
          <w:numId w:val="8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CERTIFICATES</w:t>
      </w:r>
      <w:r>
        <w:rPr>
          <w:rFonts w:ascii="Times New Roman" w:cs="Times New Roman" w:eastAsia="Times New Roman" w:hAnsi="Times New Roman"/>
          <w:sz w:val="20"/>
          <w:szCs w:val="20"/>
          <w:color w:val="auto"/>
        </w:rPr>
        <w:t>. All Shares or other securities, whether or not certificated, delivered under this Plan will be subject to such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87" w:lineRule="exact"/>
        <w:rPr>
          <w:rFonts w:ascii="Times New Roman" w:cs="Times New Roman" w:eastAsia="Times New Roman" w:hAnsi="Times New Roman"/>
          <w:sz w:val="20"/>
          <w:szCs w:val="20"/>
          <w:b w:val="1"/>
          <w:bCs w:val="1"/>
          <w:color w:val="010000"/>
        </w:rPr>
      </w:pPr>
    </w:p>
    <w:p>
      <w:pPr>
        <w:jc w:val="both"/>
        <w:ind w:firstLine="8"/>
        <w:spacing w:after="0" w:line="265" w:lineRule="auto"/>
        <w:tabs>
          <w:tab w:leader="none" w:pos="472" w:val="left"/>
        </w:tabs>
        <w:numPr>
          <w:ilvl w:val="0"/>
          <w:numId w:val="81"/>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ESCROW; PLEDGE OF SHARES</w:t>
      </w:r>
      <w:r>
        <w:rPr>
          <w:rFonts w:ascii="Times New Roman" w:cs="Times New Roman" w:eastAsia="Times New Roman" w:hAnsi="Times New Roman"/>
          <w:sz w:val="19"/>
          <w:szCs w:val="19"/>
          <w:color w:val="auto"/>
        </w:rPr>
        <w:t>. To enforce any restrictions on a Participant’s Shares, the Committee may require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67" w:lineRule="exact"/>
        <w:rPr>
          <w:rFonts w:ascii="Times New Roman" w:cs="Times New Roman" w:eastAsia="Times New Roman" w:hAnsi="Times New Roman"/>
          <w:sz w:val="19"/>
          <w:szCs w:val="19"/>
          <w:b w:val="1"/>
          <w:bCs w:val="1"/>
          <w:color w:val="010000"/>
        </w:rPr>
      </w:pPr>
    </w:p>
    <w:p>
      <w:pPr>
        <w:jc w:val="both"/>
        <w:ind w:firstLine="8"/>
        <w:spacing w:after="0" w:line="258" w:lineRule="auto"/>
        <w:tabs>
          <w:tab w:leader="none" w:pos="526" w:val="left"/>
        </w:tabs>
        <w:numPr>
          <w:ilvl w:val="0"/>
          <w:numId w:val="8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REPRICING; EXCHANGE AND BUYOUT OF AWARDS</w:t>
      </w:r>
      <w:r>
        <w:rPr>
          <w:rFonts w:ascii="Times New Roman" w:cs="Times New Roman" w:eastAsia="Times New Roman" w:hAnsi="Times New Roman"/>
          <w:sz w:val="20"/>
          <w:szCs w:val="20"/>
          <w:color w:val="auto"/>
        </w:rPr>
        <w:t>. Without prior stockholder approval, the Committee may (a) reprice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5.7 of the Plan), pay cash or issue new Awards in exchange for the surrender and cancellation of any, or all, outstanding Awards.</w:t>
      </w:r>
    </w:p>
    <w:p>
      <w:pPr>
        <w:spacing w:after="0" w:line="167" w:lineRule="exact"/>
        <w:rPr>
          <w:rFonts w:ascii="Times New Roman" w:cs="Times New Roman" w:eastAsia="Times New Roman" w:hAnsi="Times New Roman"/>
          <w:sz w:val="20"/>
          <w:szCs w:val="20"/>
          <w:b w:val="1"/>
          <w:bCs w:val="1"/>
          <w:color w:val="010000"/>
        </w:rPr>
      </w:pPr>
    </w:p>
    <w:p>
      <w:pPr>
        <w:jc w:val="both"/>
        <w:ind w:firstLine="8"/>
        <w:spacing w:after="0" w:line="254" w:lineRule="auto"/>
        <w:tabs>
          <w:tab w:leader="none" w:pos="540" w:val="left"/>
        </w:tabs>
        <w:numPr>
          <w:ilvl w:val="0"/>
          <w:numId w:val="8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SECURITIES LAW AND OTHER REGULATORY COMPLIANCE</w:t>
      </w:r>
      <w:r>
        <w:rPr>
          <w:rFonts w:ascii="Times New Roman" w:cs="Times New Roman" w:eastAsia="Times New Roman" w:hAnsi="Times New Roman"/>
          <w:sz w:val="20"/>
          <w:szCs w:val="20"/>
          <w:color w:val="auto"/>
        </w:rPr>
        <w:t>. An Award will not be effective unless such Award 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68" w:lineRule="exact"/>
        <w:rPr>
          <w:sz w:val="20"/>
          <w:szCs w:val="20"/>
          <w:color w:val="auto"/>
        </w:rPr>
      </w:pPr>
    </w:p>
    <w:p>
      <w:pPr>
        <w:jc w:val="both"/>
        <w:ind w:firstLine="8"/>
        <w:spacing w:after="0" w:line="260" w:lineRule="auto"/>
        <w:tabs>
          <w:tab w:leader="none" w:pos="472" w:val="left"/>
        </w:tabs>
        <w:numPr>
          <w:ilvl w:val="0"/>
          <w:numId w:val="8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OBLIGATION TO EMPLOY</w:t>
      </w:r>
      <w:r>
        <w:rPr>
          <w:rFonts w:ascii="Times New Roman" w:cs="Times New Roman" w:eastAsia="Times New Roman" w:hAnsi="Times New Roman"/>
          <w:sz w:val="20"/>
          <w:szCs w:val="20"/>
          <w:color w:val="auto"/>
        </w:rPr>
        <w:t>. Nothing in this Plan or any Award granted under this Plan will confer or be deemed to confer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77" w:lineRule="exact"/>
        <w:rPr>
          <w:rFonts w:ascii="Times New Roman" w:cs="Times New Roman" w:eastAsia="Times New Roman" w:hAnsi="Times New Roman"/>
          <w:sz w:val="20"/>
          <w:szCs w:val="20"/>
          <w:b w:val="1"/>
          <w:bCs w:val="1"/>
          <w:color w:val="010000"/>
        </w:rPr>
      </w:pPr>
    </w:p>
    <w:p>
      <w:pPr>
        <w:ind w:left="460" w:hanging="452"/>
        <w:spacing w:after="0"/>
        <w:tabs>
          <w:tab w:leader="none" w:pos="460" w:val="left"/>
        </w:tabs>
        <w:numPr>
          <w:ilvl w:val="0"/>
          <w:numId w:val="8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CORPORATE TRANSACTIONS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010000"/>
        </w:rPr>
        <w:t xml:space="preserve">21.1. </w:t>
      </w:r>
      <w:r>
        <w:rPr>
          <w:rFonts w:ascii="Times New Roman" w:cs="Times New Roman" w:eastAsia="Times New Roman" w:hAnsi="Times New Roman"/>
          <w:sz w:val="20"/>
          <w:szCs w:val="20"/>
          <w:u w:val="single" w:color="auto"/>
          <w:color w:val="000000"/>
        </w:rPr>
        <w:t>Assumption or Replacement of Awards by Successor</w:t>
      </w:r>
      <w:r>
        <w:rPr>
          <w:rFonts w:ascii="Times New Roman" w:cs="Times New Roman" w:eastAsia="Times New Roman" w:hAnsi="Times New Roman"/>
          <w:sz w:val="20"/>
          <w:szCs w:val="20"/>
          <w:color w:val="000000"/>
        </w:rPr>
        <w:t>. In the event that the Company is subject to a Corporate Transaction,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55" w:lineRule="exact"/>
        <w:rPr>
          <w:sz w:val="20"/>
          <w:szCs w:val="20"/>
          <w:color w:val="auto"/>
        </w:rPr>
      </w:pPr>
    </w:p>
    <w:p>
      <w:pPr>
        <w:ind w:left="1720" w:hanging="416"/>
        <w:spacing w:after="0"/>
        <w:tabs>
          <w:tab w:leader="none" w:pos="172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continuation of an outstanding Award by the Company (if the Company is the successor entity).</w:t>
      </w:r>
    </w:p>
    <w:p>
      <w:pPr>
        <w:spacing w:after="0" w:line="215"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72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spacing w:after="0" w:line="173" w:lineRule="exact"/>
        <w:rPr>
          <w:rFonts w:ascii="Times New Roman" w:cs="Times New Roman" w:eastAsia="Times New Roman" w:hAnsi="Times New Roman"/>
          <w:sz w:val="20"/>
          <w:szCs w:val="20"/>
          <w:color w:val="010000"/>
        </w:rPr>
      </w:pPr>
    </w:p>
    <w:p>
      <w:pPr>
        <w:jc w:val="both"/>
        <w:ind w:firstLine="1304"/>
        <w:spacing w:after="0" w:line="254" w:lineRule="auto"/>
        <w:tabs>
          <w:tab w:leader="none" w:pos="1835"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w:t>
      </w:r>
    </w:p>
    <w:p>
      <w:pPr>
        <w:spacing w:after="0" w:line="173"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2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54" w:lineRule="exact"/>
        <w:rPr>
          <w:rFonts w:ascii="Times New Roman" w:cs="Times New Roman" w:eastAsia="Times New Roman" w:hAnsi="Times New Roman"/>
          <w:sz w:val="20"/>
          <w:szCs w:val="20"/>
          <w:color w:val="010000"/>
        </w:rPr>
      </w:pPr>
    </w:p>
    <w:p>
      <w:pPr>
        <w:jc w:val="both"/>
        <w:ind w:firstLine="1304"/>
        <w:spacing w:after="0" w:line="253" w:lineRule="auto"/>
        <w:tabs>
          <w:tab w:leader="none" w:pos="1767"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Award would have become vested or exercisable. For purposes of this Section 21.1(e), the fair market value of any security shall be determined without regard to any vesting conditions that may apply to such security.</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then all such Awards shall become vested and, if applicable, exercisable, and the Company’s right to repurchase or reacquire shares under each such Award shall lapse, in each case, at a time to be determined by the Committee. Further, the Committee will notify each Participant in writing or electronically that such Participant’s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010000"/>
        </w:rPr>
        <w:t xml:space="preserve">21.2. </w:t>
      </w:r>
      <w:r>
        <w:rPr>
          <w:rFonts w:ascii="Times New Roman" w:cs="Times New Roman" w:eastAsia="Times New Roman" w:hAnsi="Times New Roman"/>
          <w:sz w:val="20"/>
          <w:szCs w:val="20"/>
          <w:u w:val="single" w:color="auto"/>
          <w:color w:val="000000"/>
        </w:rPr>
        <w:t>Assumption of Awards by the Company</w:t>
      </w:r>
      <w:r>
        <w:rPr>
          <w:rFonts w:ascii="Times New Roman" w:cs="Times New Roman" w:eastAsia="Times New Roman" w:hAnsi="Times New Roman"/>
          <w:sz w:val="20"/>
          <w:szCs w:val="20"/>
          <w:color w:val="000000"/>
        </w:rPr>
        <w:t>. The Company, from time to time, also may substitute or assume outstanding awards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20"/>
          <w:szCs w:val="20"/>
          <w:u w:val="single" w:color="auto"/>
          <w:color w:val="000000"/>
        </w:rPr>
        <w:t>except</w:t>
      </w:r>
      <w:r>
        <w:rPr>
          <w:rFonts w:ascii="Times New Roman" w:cs="Times New Roman" w:eastAsia="Times New Roman" w:hAnsi="Times New Roman"/>
          <w:sz w:val="20"/>
          <w:szCs w:val="20"/>
          <w:color w:val="000000"/>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21.3. </w:t>
      </w:r>
      <w:r>
        <w:rPr>
          <w:rFonts w:ascii="Times New Roman" w:cs="Times New Roman" w:eastAsia="Times New Roman" w:hAnsi="Times New Roman"/>
          <w:sz w:val="20"/>
          <w:szCs w:val="20"/>
          <w:u w:val="single" w:color="auto"/>
          <w:color w:val="000000"/>
        </w:rPr>
        <w:t>Non-Employee Directors’ Awards</w:t>
      </w:r>
      <w:r>
        <w:rPr>
          <w:rFonts w:ascii="Times New Roman" w:cs="Times New Roman" w:eastAsia="Times New Roman" w:hAnsi="Times New Roman"/>
          <w:sz w:val="20"/>
          <w:szCs w:val="20"/>
          <w:color w:val="000000"/>
        </w:rPr>
        <w:t>. Notwithstanding any provision to the contrary herein, in the event of a Corporate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Transaction, the vesting of all Awards granted to Non-Employee Directors will accelerate and such Awards will become exercisable (as applicable) in full prior to the consummation of such event at such times and on such conditions as the Committee determines.</w:t>
      </w:r>
    </w:p>
    <w:p>
      <w:pPr>
        <w:spacing w:after="0" w:line="175" w:lineRule="exact"/>
        <w:rPr>
          <w:sz w:val="20"/>
          <w:szCs w:val="20"/>
          <w:color w:val="auto"/>
        </w:rPr>
      </w:pPr>
    </w:p>
    <w:p>
      <w:pPr>
        <w:ind w:firstLine="8"/>
        <w:spacing w:after="0" w:line="287" w:lineRule="auto"/>
        <w:tabs>
          <w:tab w:leader="none" w:pos="513" w:val="left"/>
        </w:tabs>
        <w:numPr>
          <w:ilvl w:val="0"/>
          <w:numId w:val="8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ADOPTION AND STOCKHOLDER APPROVAL</w:t>
      </w:r>
      <w:r>
        <w:rPr>
          <w:rFonts w:ascii="Times New Roman" w:cs="Times New Roman" w:eastAsia="Times New Roman" w:hAnsi="Times New Roman"/>
          <w:sz w:val="20"/>
          <w:szCs w:val="20"/>
          <w:color w:val="auto"/>
        </w:rPr>
        <w:t>. This Plan will be submitted for the approval of the Company’s stockholders,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consistent with applicable laws, within twelve (12) months before or after the date this Plan is adopted by the Board.</w:t>
      </w:r>
    </w:p>
    <w:p>
      <w:pPr>
        <w:spacing w:after="0" w:line="138" w:lineRule="exact"/>
        <w:rPr>
          <w:rFonts w:ascii="Times New Roman" w:cs="Times New Roman" w:eastAsia="Times New Roman" w:hAnsi="Times New Roman"/>
          <w:sz w:val="20"/>
          <w:szCs w:val="20"/>
          <w:b w:val="1"/>
          <w:bCs w:val="1"/>
          <w:color w:val="010000"/>
        </w:rPr>
      </w:pPr>
    </w:p>
    <w:p>
      <w:pPr>
        <w:jc w:val="both"/>
        <w:ind w:firstLine="8"/>
        <w:spacing w:after="0" w:line="263" w:lineRule="auto"/>
        <w:tabs>
          <w:tab w:leader="none" w:pos="445" w:val="left"/>
        </w:tabs>
        <w:numPr>
          <w:ilvl w:val="0"/>
          <w:numId w:val="8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 OF PLAN/GOVERNING LAW</w:t>
      </w:r>
      <w:r>
        <w:rPr>
          <w:rFonts w:ascii="Times New Roman" w:cs="Times New Roman" w:eastAsia="Times New Roman" w:hAnsi="Times New Roman"/>
          <w:sz w:val="20"/>
          <w:szCs w:val="20"/>
          <w:color w:val="auto"/>
        </w:rPr>
        <w:t>. Unless earlier terminated as provided herein, this Plan will become effective on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and will terminate ten (10) years from the date this Plan is adopted by the Board. This Plan and all Awards granted hereunder will be governed by and construed in accordance with the laws of the State of Delaware (excluding its conflict of laws rules).</w:t>
      </w:r>
    </w:p>
    <w:p>
      <w:pPr>
        <w:spacing w:after="0" w:line="175" w:lineRule="exact"/>
        <w:rPr>
          <w:rFonts w:ascii="Times New Roman" w:cs="Times New Roman" w:eastAsia="Times New Roman" w:hAnsi="Times New Roman"/>
          <w:sz w:val="20"/>
          <w:szCs w:val="20"/>
          <w:b w:val="1"/>
          <w:bCs w:val="1"/>
          <w:color w:val="010000"/>
        </w:rPr>
      </w:pPr>
    </w:p>
    <w:p>
      <w:pPr>
        <w:jc w:val="both"/>
        <w:ind w:right="20" w:firstLine="8"/>
        <w:spacing w:after="0" w:line="263" w:lineRule="auto"/>
        <w:tabs>
          <w:tab w:leader="none" w:pos="445" w:val="left"/>
        </w:tabs>
        <w:numPr>
          <w:ilvl w:val="0"/>
          <w:numId w:val="8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AMENDMENT OR TERMINATION OF PLAN</w:t>
      </w:r>
      <w:r>
        <w:rPr>
          <w:rFonts w:ascii="Times New Roman" w:cs="Times New Roman" w:eastAsia="Times New Roman" w:hAnsi="Times New Roman"/>
          <w:sz w:val="20"/>
          <w:szCs w:val="20"/>
          <w:color w:val="auto"/>
        </w:rPr>
        <w:t>. The Board may at any time terminate or amend this Plan in any respect,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limitation, amendment of any form of Award Agreement or instrument to be executed pursuant to this Plan, provided, however, that the Board will not, without the approval of the stockholders of the Company, amend this Plan in any manner that requires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such stockholder approval, provided further that a Participant’s Award will be governed by the version of this Plan then in effect at the time such Award was granted. No termination or amendment of the Plan will affect any then-outstanding Award unless expressly provided by the Committee. In any event, no termination or amendment of the Plan or any outstanding Award may adversely affect any then-outstanding Award without the consent of the Participant, unless such termination or amendment is necessary to comply with applicable law, regulation, or rule.</w:t>
      </w:r>
    </w:p>
    <w:p>
      <w:pPr>
        <w:spacing w:after="0" w:line="188" w:lineRule="exact"/>
        <w:rPr>
          <w:sz w:val="20"/>
          <w:szCs w:val="20"/>
          <w:color w:val="auto"/>
        </w:rPr>
      </w:pPr>
    </w:p>
    <w:p>
      <w:pPr>
        <w:jc w:val="both"/>
        <w:ind w:firstLine="8"/>
        <w:spacing w:after="0" w:line="278" w:lineRule="auto"/>
        <w:tabs>
          <w:tab w:leader="none" w:pos="445" w:val="left"/>
        </w:tabs>
        <w:numPr>
          <w:ilvl w:val="0"/>
          <w:numId w:val="85"/>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NONEXCLUSIVITY OF THE PLAN</w:t>
      </w:r>
      <w:r>
        <w:rPr>
          <w:rFonts w:ascii="Times New Roman" w:cs="Times New Roman" w:eastAsia="Times New Roman" w:hAnsi="Times New Roman"/>
          <w:sz w:val="19"/>
          <w:szCs w:val="19"/>
          <w:color w:val="auto"/>
        </w:rPr>
        <w:t>. Neither the adoption of this Plan by the Board, the submission of this Plan to the stockholders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48" w:lineRule="exact"/>
        <w:rPr>
          <w:rFonts w:ascii="Times New Roman" w:cs="Times New Roman" w:eastAsia="Times New Roman" w:hAnsi="Times New Roman"/>
          <w:sz w:val="19"/>
          <w:szCs w:val="19"/>
          <w:b w:val="1"/>
          <w:bCs w:val="1"/>
          <w:color w:val="010000"/>
        </w:rPr>
      </w:pPr>
    </w:p>
    <w:p>
      <w:pPr>
        <w:jc w:val="both"/>
        <w:ind w:firstLine="8"/>
        <w:spacing w:after="0" w:line="270" w:lineRule="auto"/>
        <w:tabs>
          <w:tab w:leader="none" w:pos="459" w:val="left"/>
        </w:tabs>
        <w:numPr>
          <w:ilvl w:val="0"/>
          <w:numId w:val="8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INSIDER TRADING POLICY</w:t>
      </w:r>
      <w:r>
        <w:rPr>
          <w:rFonts w:ascii="Times New Roman" w:cs="Times New Roman" w:eastAsia="Times New Roman" w:hAnsi="Times New Roman"/>
          <w:sz w:val="20"/>
          <w:szCs w:val="20"/>
          <w:color w:val="auto"/>
        </w:rPr>
        <w:t>. Each Participant who receives an Award will comply with any policy adopted by the Company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covering transactions in the Company’s securities by Employees, officers, and/or Directors of the Company, as well as with any applicable insider trading or market abuse laws to which the Participant may be subject.</w:t>
      </w:r>
    </w:p>
    <w:p>
      <w:pPr>
        <w:spacing w:after="0" w:line="155" w:lineRule="exact"/>
        <w:rPr>
          <w:rFonts w:ascii="Times New Roman" w:cs="Times New Roman" w:eastAsia="Times New Roman" w:hAnsi="Times New Roman"/>
          <w:sz w:val="20"/>
          <w:szCs w:val="20"/>
          <w:b w:val="1"/>
          <w:bCs w:val="1"/>
          <w:color w:val="010000"/>
        </w:rPr>
      </w:pPr>
    </w:p>
    <w:p>
      <w:pPr>
        <w:jc w:val="both"/>
        <w:ind w:firstLine="8"/>
        <w:spacing w:after="0" w:line="258" w:lineRule="auto"/>
        <w:tabs>
          <w:tab w:leader="none" w:pos="472" w:val="left"/>
        </w:tabs>
        <w:numPr>
          <w:ilvl w:val="0"/>
          <w:numId w:val="8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ALL AWARDS SUBJECT TO COMPANY CLAWBACK OR RECOUPMENT POLICY</w:t>
      </w:r>
      <w:r>
        <w:rPr>
          <w:rFonts w:ascii="Times New Roman" w:cs="Times New Roman" w:eastAsia="Times New Roman" w:hAnsi="Times New Roman"/>
          <w:sz w:val="20"/>
          <w:szCs w:val="20"/>
          <w:color w:val="auto"/>
        </w:rPr>
        <w:t>. All Awards, subject to applicable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67" w:lineRule="exact"/>
        <w:rPr>
          <w:rFonts w:ascii="Times New Roman" w:cs="Times New Roman" w:eastAsia="Times New Roman" w:hAnsi="Times New Roman"/>
          <w:sz w:val="20"/>
          <w:szCs w:val="20"/>
          <w:b w:val="1"/>
          <w:bCs w:val="1"/>
          <w:color w:val="010000"/>
        </w:rPr>
      </w:pPr>
    </w:p>
    <w:p>
      <w:pPr>
        <w:ind w:left="460" w:hanging="452"/>
        <w:spacing w:after="0"/>
        <w:tabs>
          <w:tab w:leader="none" w:pos="460" w:val="left"/>
        </w:tabs>
        <w:numPr>
          <w:ilvl w:val="0"/>
          <w:numId w:val="8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As used in this Plan, and except as elsewhere defined herein, the following terms will have the following meanings: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28.1.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Affiliate</w:t>
      </w:r>
      <w:r>
        <w:rPr>
          <w:rFonts w:ascii="Times New Roman" w:cs="Times New Roman" w:eastAsia="Times New Roman" w:hAnsi="Times New Roman"/>
          <w:sz w:val="20"/>
          <w:szCs w:val="20"/>
          <w:color w:val="000000"/>
        </w:rPr>
        <w:t>” means (a) any entity that, directly or indirectly, is controlled by, controls, or is under common control with,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Company, and (b) any entity in which the Company has a significant equity interest, in either case as determined by the Committee, whether now or hereafter existing.</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28.2.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Award</w:t>
      </w:r>
      <w:r>
        <w:rPr>
          <w:rFonts w:ascii="Times New Roman" w:cs="Times New Roman" w:eastAsia="Times New Roman" w:hAnsi="Times New Roman"/>
          <w:sz w:val="20"/>
          <w:szCs w:val="20"/>
          <w:color w:val="000000"/>
        </w:rPr>
        <w:t>” means any award under the Plan, including any Option, Performance Award, Cash Award, Restricted Stock, Stock</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Bonus, Stock Appreciation Right, or Restricted Stock Unit.</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28.3.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Award Agreement</w:t>
      </w:r>
      <w:r>
        <w:rPr>
          <w:rFonts w:ascii="Times New Roman" w:cs="Times New Roman" w:eastAsia="Times New Roman" w:hAnsi="Times New Roman"/>
          <w:sz w:val="20"/>
          <w:szCs w:val="20"/>
          <w:color w:val="000000"/>
        </w:rPr>
        <w:t>” means, with respect to each Award, the written or electronic agreement between the Company and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8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010000"/>
        </w:rPr>
        <w:t>28.4.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28.5.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Cause</w:t>
      </w:r>
      <w:r>
        <w:rPr>
          <w:rFonts w:ascii="Times New Roman" w:cs="Times New Roman" w:eastAsia="Times New Roman" w:hAnsi="Times New Roman"/>
          <w:sz w:val="20"/>
          <w:szCs w:val="20"/>
          <w:color w:val="000000"/>
        </w:rPr>
        <w:t>” means a determination by the Company that the Participant has committed an act or acts constituting any of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following: (i) dishonesty, fraud, misconduct or negligence in connection with Participant’s duties to the Company, (ii) unauthorized disclosure or use of the Company’s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confidential or proprietary information, (iii) misappropriation of a business opportunity of the Company, (iv) materially aiding Company competitor, (v) a felony (or crime of similar magnitude under non-U.S. laws) conviction, (vi) failure or refusal to attend to the duties or obligations of the Participant’s position, (vii) violation or breach of, or failure to comply with, the Company’s code of ethics or conduct, any of the Company’s rules, policies or procedures applicable to the Participant or any agreement in effect between the Company and the Participant or (viii) other conduct by such Participant that could be expected to be harmful to the business, interests or reputation of the Company; provided that as to sub-subsections (vi) and (viii) of this definition, the Company shall provide the Participant with written notice of such act(s) within 30 days of occurrence or reasonable discovery thereof and of the Company’s intention to terminate the Participant’s employment for Cause, which notice shall provide the Participant with 30 days to cure such conditions to the satisfaction of the Company and require the Participant to provide written notice to the Company of such efforts to cure.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supersedes the definition provided in this Section 28.5.</w:t>
      </w:r>
    </w:p>
    <w:p>
      <w:pPr>
        <w:spacing w:after="0" w:line="17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010000"/>
        </w:rPr>
        <w:t>28.6.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United States Internal Revenue Code of 1986, as amended, and the regulations promulgated thereunder.</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28.7.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Committee</w:t>
      </w:r>
      <w:r>
        <w:rPr>
          <w:rFonts w:ascii="Times New Roman" w:cs="Times New Roman" w:eastAsia="Times New Roman" w:hAnsi="Times New Roman"/>
          <w:sz w:val="20"/>
          <w:szCs w:val="20"/>
          <w:color w:val="000000"/>
        </w:rPr>
        <w:t>” means the Compensation Committee of the Board or those persons to whom administration of the Plan, or part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of the Plan, has been delegated as permitted by law.</w:t>
      </w:r>
    </w:p>
    <w:p>
      <w:pPr>
        <w:spacing w:after="0" w:line="13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010000"/>
        </w:rPr>
        <w:t>28.8.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common stock of the Company.</w:t>
      </w:r>
    </w:p>
    <w:p>
      <w:pPr>
        <w:spacing w:after="0" w:line="22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010000"/>
        </w:rPr>
        <w:t>28.9.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Remitly Global, Inc., a Delaware corporation, or any successor corporation.</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28.10.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Consultant</w:t>
      </w:r>
      <w:r>
        <w:rPr>
          <w:rFonts w:ascii="Times New Roman" w:cs="Times New Roman" w:eastAsia="Times New Roman" w:hAnsi="Times New Roman"/>
          <w:sz w:val="20"/>
          <w:szCs w:val="20"/>
          <w:color w:val="000000"/>
        </w:rPr>
        <w:t>” means any natural person, including an advisor or independent contractor, -providing services as a consultant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 advisor to the Company or a Parent, Subsidiary, or Affiliate.</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010000"/>
        </w:rPr>
        <w:t xml:space="preserve">28.11.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Corporate Transaction</w:t>
      </w:r>
      <w:r>
        <w:rPr>
          <w:rFonts w:ascii="Times New Roman" w:cs="Times New Roman" w:eastAsia="Times New Roman" w:hAnsi="Times New Roman"/>
          <w:sz w:val="20"/>
          <w:szCs w:val="20"/>
          <w:color w:val="000000"/>
        </w:rPr>
        <w:t>” means the occurrence of any of the following events: (a) any “Person” (as such term is used in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7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member of the Board.</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010000"/>
        </w:rPr>
        <w:t xml:space="preserve">28.13.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Disability</w:t>
      </w:r>
      <w:r>
        <w:rPr>
          <w:rFonts w:ascii="Times New Roman" w:cs="Times New Roman" w:eastAsia="Times New Roman" w:hAnsi="Times New Roman"/>
          <w:sz w:val="20"/>
          <w:szCs w:val="20"/>
          <w:color w:val="000000"/>
        </w:rPr>
        <w:t>” means, in the case of incentive stock options, total and permanent disability as defined in Section 22(e)(3) of</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9"/>
          <w:szCs w:val="19"/>
          <w:b w:val="1"/>
          <w:bCs w:val="1"/>
          <w:color w:val="010000"/>
        </w:rPr>
        <w:t xml:space="preserve">28.14. </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b w:val="1"/>
          <w:bCs w:val="1"/>
          <w:i w:val="1"/>
          <w:iCs w:val="1"/>
          <w:color w:val="000000"/>
        </w:rPr>
        <w:t>Dividend Equivalent Right</w:t>
      </w:r>
      <w:r>
        <w:rPr>
          <w:rFonts w:ascii="Times New Roman" w:cs="Times New Roman" w:eastAsia="Times New Roman" w:hAnsi="Times New Roman"/>
          <w:sz w:val="19"/>
          <w:szCs w:val="19"/>
          <w:color w:val="000000"/>
        </w:rPr>
        <w:t>” means the right of a Participant, granted at the discretion of the Committee or as otherwise</w:t>
      </w:r>
      <w:r>
        <w:rPr>
          <w:rFonts w:ascii="Times New Roman" w:cs="Times New Roman" w:eastAsia="Times New Roman" w:hAnsi="Times New Roman"/>
          <w:sz w:val="19"/>
          <w:szCs w:val="19"/>
          <w:b w:val="1"/>
          <w:bCs w:val="1"/>
          <w:color w:val="010000"/>
        </w:rPr>
        <w:t xml:space="preserve"> </w:t>
      </w:r>
      <w:r>
        <w:rPr>
          <w:rFonts w:ascii="Times New Roman" w:cs="Times New Roman" w:eastAsia="Times New Roman" w:hAnsi="Times New Roman"/>
          <w:sz w:val="19"/>
          <w:szCs w:val="19"/>
          <w:color w:val="000000"/>
        </w:rPr>
        <w:t>provided by the Plan, to receive a credit for the account of such Participant in an amount equal to the cash, stock, or other property dividends in amounts equal equivalent to cash, stock, or other property dividends for each Share represented by an Award held by such Participant.</w:t>
      </w:r>
    </w:p>
    <w:p>
      <w:pPr>
        <w:spacing w:after="0" w:line="15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28.15.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Effective Date</w:t>
      </w:r>
      <w:r>
        <w:rPr>
          <w:rFonts w:ascii="Times New Roman" w:cs="Times New Roman" w:eastAsia="Times New Roman" w:hAnsi="Times New Roman"/>
          <w:sz w:val="20"/>
          <w:szCs w:val="20"/>
          <w:color w:val="000000"/>
        </w:rPr>
        <w:t>” means the day immediately prior to the Company’s IPO Registration Date, subject to approval of the Plan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by the Company’s stockholders.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28.16.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Employee</w:t>
      </w:r>
      <w:r>
        <w:rPr>
          <w:rFonts w:ascii="Times New Roman" w:cs="Times New Roman" w:eastAsia="Times New Roman" w:hAnsi="Times New Roman"/>
          <w:sz w:val="20"/>
          <w:szCs w:val="20"/>
          <w:color w:val="000000"/>
        </w:rPr>
        <w:t>” means any person, including officers and Directors, providing services as an employee to the Company or any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Parent, Subsidiary, or Affiliate. Neither service as a Director nor payment of a director’s fee by the Company will be sufficient to constitute “employment” by the Company.</w:t>
      </w:r>
    </w:p>
    <w:p>
      <w:pPr>
        <w:spacing w:after="0" w:line="17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United States Securities Exchange Act of 1934, as amended.</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010000"/>
        </w:rPr>
        <w:t xml:space="preserve">28.18.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Exchange Program</w:t>
      </w:r>
      <w:r>
        <w:rPr>
          <w:rFonts w:ascii="Times New Roman" w:cs="Times New Roman" w:eastAsia="Times New Roman" w:hAnsi="Times New Roman"/>
          <w:sz w:val="20"/>
          <w:szCs w:val="20"/>
          <w:color w:val="000000"/>
        </w:rPr>
        <w:t>” means a program pursuant to which (a) outstanding Awards are surrendered, cancelled, or exchanged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for cash, the same type of Award, or a different Award (or combination thereof); or (b) the exercise price of an outstanding Award is increased or reduced.</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28.19.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Exercise Price</w:t>
      </w:r>
      <w:r>
        <w:rPr>
          <w:rFonts w:ascii="Times New Roman" w:cs="Times New Roman" w:eastAsia="Times New Roman" w:hAnsi="Times New Roman"/>
          <w:sz w:val="20"/>
          <w:szCs w:val="20"/>
          <w:color w:val="000000"/>
        </w:rPr>
        <w:t>” means, with respect to an Option, the price at which a holder may purchase the Shares issuable upon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exercise of an Option and, with respect to a SAR, the price at which the SAR is granted to the holder thereof.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means, as of any date, the value of a Share, determined as follows:</w:t>
      </w:r>
    </w:p>
    <w:p>
      <w:pPr>
        <w:spacing w:after="0" w:line="233" w:lineRule="exact"/>
        <w:rPr>
          <w:sz w:val="20"/>
          <w:szCs w:val="20"/>
          <w:color w:val="auto"/>
        </w:rPr>
      </w:pPr>
    </w:p>
    <w:p>
      <w:pPr>
        <w:jc w:val="both"/>
        <w:ind w:firstLine="1304"/>
        <w:spacing w:after="0" w:line="261" w:lineRule="auto"/>
        <w:tabs>
          <w:tab w:leader="none" w:pos="1767"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20"/>
          <w:szCs w:val="20"/>
          <w:i w:val="1"/>
          <w:iCs w:val="1"/>
          <w:color w:val="auto"/>
        </w:rPr>
        <w:t xml:space="preserve">The Wall Street </w:t>
      </w:r>
      <w:r>
        <w:rPr>
          <w:rFonts w:ascii="Times New Roman" w:cs="Times New Roman" w:eastAsia="Times New Roman" w:hAnsi="Times New Roman"/>
          <w:sz w:val="20"/>
          <w:szCs w:val="20"/>
          <w:color w:val="auto"/>
        </w:rPr>
        <w:t>Journal or such other source as the Committee deems reliable;</w:t>
      </w:r>
    </w:p>
    <w:p>
      <w:pPr>
        <w:spacing w:after="0" w:line="167"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738"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Committee deems reliable;</w:t>
      </w:r>
    </w:p>
    <w:p>
      <w:pPr>
        <w:spacing w:after="0" w:line="16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94"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751"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an RSU release, the price per share of such Common Stock at the closing price on the principal national securities exchange on which the Common Stock is listed or admitted to trading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Committee deems reliable on the day prior to the scheduled release date; or</w:t>
      </w:r>
    </w:p>
    <w:p>
      <w:pPr>
        <w:spacing w:after="0" w:line="181"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the Board or the Committee in good faith.</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28.21.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Insider</w:t>
      </w:r>
      <w:r>
        <w:rPr>
          <w:rFonts w:ascii="Times New Roman" w:cs="Times New Roman" w:eastAsia="Times New Roman" w:hAnsi="Times New Roman"/>
          <w:sz w:val="20"/>
          <w:szCs w:val="20"/>
          <w:color w:val="000000"/>
        </w:rPr>
        <w:t>” means an officer or Director of the Company or any other person whose transactions in the Company’s Common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Stock are subject to Section 16 of the Exchange Act.</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28.22.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IPO Registration Date</w:t>
      </w:r>
      <w:r>
        <w:rPr>
          <w:rFonts w:ascii="Times New Roman" w:cs="Times New Roman" w:eastAsia="Times New Roman" w:hAnsi="Times New Roman"/>
          <w:sz w:val="20"/>
          <w:szCs w:val="20"/>
          <w:color w:val="000000"/>
        </w:rPr>
        <w:t>” means the date on which the Company’s registration statement on Form S-1 in connection with its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initial public offering of common stock is declared effective by the SEC under the Securities Act.</w:t>
      </w:r>
    </w:p>
    <w:p>
      <w:pPr>
        <w:spacing w:after="0" w:line="16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IRS</w:t>
      </w:r>
      <w:r>
        <w:rPr>
          <w:rFonts w:ascii="Times New Roman" w:cs="Times New Roman" w:eastAsia="Times New Roman" w:hAnsi="Times New Roman"/>
          <w:sz w:val="19"/>
          <w:szCs w:val="19"/>
          <w:color w:val="auto"/>
        </w:rPr>
        <w:t>” means the United States Internal Revenue Service.</w:t>
      </w:r>
    </w:p>
    <w:p>
      <w:pPr>
        <w:spacing w:after="0" w:line="21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Non-Employee Director</w:t>
      </w:r>
      <w:r>
        <w:rPr>
          <w:rFonts w:ascii="Times New Roman" w:cs="Times New Roman" w:eastAsia="Times New Roman" w:hAnsi="Times New Roman"/>
          <w:sz w:val="19"/>
          <w:szCs w:val="19"/>
          <w:color w:val="auto"/>
        </w:rPr>
        <w:t>” means a Director who is not an Employee of the Company or any Parent, Subsidiary, or Affiliate.</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an award of an option to purchase Shares pursuant to Section 5.</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010000"/>
        </w:rPr>
        <w:t xml:space="preserve">28.26.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Parent</w:t>
      </w:r>
      <w:r>
        <w:rPr>
          <w:rFonts w:ascii="Times New Roman" w:cs="Times New Roman" w:eastAsia="Times New Roman" w:hAnsi="Times New Roman"/>
          <w:sz w:val="20"/>
          <w:szCs w:val="20"/>
          <w:color w:val="000000"/>
        </w:rPr>
        <w:t>” means any corporation (other than the Company) in an unbroken chain of corporations ending with the Company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if each of such corporations other than the Company owns stock possessing fifty percent (50%) or more of the total combined voting power of all classes of stock in one of the other corporations in such chain.</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person who holds an Award under this Plan.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28.28.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Award</w:t>
      </w:r>
      <w:r>
        <w:rPr>
          <w:rFonts w:ascii="Times New Roman" w:cs="Times New Roman" w:eastAsia="Times New Roman" w:hAnsi="Times New Roman"/>
          <w:sz w:val="20"/>
          <w:szCs w:val="20"/>
          <w:color w:val="000000"/>
        </w:rPr>
        <w:t>” means an Award as defined in Section 10 and granted under the Plan, the payment of which 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contingent upon achieving certain performance goals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010000"/>
        </w:rPr>
        <w:t xml:space="preserve">28.29.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Factors</w:t>
      </w:r>
      <w:r>
        <w:rPr>
          <w:rFonts w:ascii="Times New Roman" w:cs="Times New Roman" w:eastAsia="Times New Roman" w:hAnsi="Times New Roman"/>
          <w:sz w:val="20"/>
          <w:szCs w:val="20"/>
          <w:color w:val="000000"/>
        </w:rPr>
        <w:t>” means any of the factors selected by the Committee and specified in an Award Agreement from</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91" w:lineRule="exact"/>
        <w:rPr>
          <w:sz w:val="20"/>
          <w:szCs w:val="20"/>
          <w:color w:val="auto"/>
        </w:rPr>
      </w:pPr>
    </w:p>
    <w:p>
      <w:pPr>
        <w:ind w:left="1720" w:hanging="416"/>
        <w:spacing w:after="0"/>
        <w:tabs>
          <w:tab w:leader="none" w:pos="172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profit before tax;</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billings;</w:t>
      </w:r>
    </w:p>
    <w:p>
      <w:pPr>
        <w:spacing w:after="0" w:line="215"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revenue;</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revenue;</w:t>
      </w:r>
    </w:p>
    <w:p>
      <w:pPr>
        <w:spacing w:after="0" w:line="215" w:lineRule="exact"/>
        <w:rPr>
          <w:rFonts w:ascii="Times New Roman" w:cs="Times New Roman" w:eastAsia="Times New Roman" w:hAnsi="Times New Roman"/>
          <w:sz w:val="20"/>
          <w:szCs w:val="20"/>
          <w:color w:val="010000"/>
        </w:rPr>
      </w:pPr>
    </w:p>
    <w:p>
      <w:pPr>
        <w:ind w:firstLine="1304"/>
        <w:spacing w:after="0" w:line="283" w:lineRule="auto"/>
        <w:tabs>
          <w:tab w:leader="none" w:pos="1848"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earnings (which may include earnings before interest and taxes, earnings before taxes, net earnings, stock-based compensation expenses, depreciation, and amortization);</w:t>
      </w:r>
    </w:p>
    <w:p>
      <w:pPr>
        <w:spacing w:after="0" w:line="159"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income;</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margin;</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profit;</w:t>
      </w:r>
    </w:p>
    <w:p>
      <w:pPr>
        <w:spacing w:after="0" w:line="215"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controllable operating profit or net operating profit;</w:t>
      </w:r>
    </w:p>
    <w:p>
      <w:pPr>
        <w:spacing w:after="0" w:line="229"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profit;</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gross margin;</w:t>
      </w:r>
    </w:p>
    <w:p>
      <w:pPr>
        <w:spacing w:after="0" w:line="215"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operating expenses or operating expenses as a percentage of revenue;</w:t>
      </w:r>
    </w:p>
    <w:p>
      <w:pPr>
        <w:spacing w:after="0" w:line="229" w:lineRule="exact"/>
        <w:rPr>
          <w:rFonts w:ascii="Times New Roman" w:cs="Times New Roman" w:eastAsia="Times New Roman" w:hAnsi="Times New Roman"/>
          <w:sz w:val="20"/>
          <w:szCs w:val="20"/>
          <w:color w:val="010000"/>
        </w:rPr>
      </w:pPr>
    </w:p>
    <w:p>
      <w:pPr>
        <w:ind w:left="1840" w:hanging="536"/>
        <w:spacing w:after="0"/>
        <w:tabs>
          <w:tab w:leader="none" w:pos="18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net income;</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earnings per share;</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total stockholder return;</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market share;</w:t>
      </w:r>
    </w:p>
    <w:p>
      <w:pPr>
        <w:spacing w:after="0" w:line="229"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return on assets or net assets;</w:t>
      </w:r>
    </w:p>
    <w:p>
      <w:pPr>
        <w:spacing w:after="0" w:line="229" w:lineRule="exact"/>
        <w:rPr>
          <w:rFonts w:ascii="Times New Roman" w:cs="Times New Roman" w:eastAsia="Times New Roman" w:hAnsi="Times New Roman"/>
          <w:sz w:val="20"/>
          <w:szCs w:val="20"/>
          <w:color w:val="010000"/>
        </w:rPr>
      </w:pPr>
    </w:p>
    <w:p>
      <w:pPr>
        <w:ind w:left="1700" w:hanging="396"/>
        <w:spacing w:after="0"/>
        <w:tabs>
          <w:tab w:leader="none" w:pos="170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stock price;</w:t>
      </w:r>
    </w:p>
    <w:p>
      <w:pPr>
        <w:spacing w:after="0" w:line="215" w:lineRule="exact"/>
        <w:rPr>
          <w:rFonts w:ascii="Times New Roman" w:cs="Times New Roman" w:eastAsia="Times New Roman" w:hAnsi="Times New Roman"/>
          <w:sz w:val="20"/>
          <w:szCs w:val="20"/>
          <w:color w:val="010000"/>
        </w:rPr>
      </w:pPr>
    </w:p>
    <w:p>
      <w:pPr>
        <w:ind w:left="1720" w:hanging="416"/>
        <w:spacing w:after="0"/>
        <w:tabs>
          <w:tab w:leader="none" w:pos="172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growth in stockholder value relative to a predetermined index;</w:t>
      </w:r>
    </w:p>
    <w:p>
      <w:pPr>
        <w:spacing w:after="0" w:line="229"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return on equity;</w:t>
      </w:r>
    </w:p>
    <w:p>
      <w:pPr>
        <w:spacing w:after="0" w:line="21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return on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9" w:lineRule="exact"/>
        <w:rPr>
          <w:sz w:val="20"/>
          <w:szCs w:val="20"/>
          <w:color w:val="auto"/>
        </w:rPr>
      </w:pPr>
    </w:p>
    <w:p>
      <w:pPr>
        <w:ind w:left="620" w:hanging="436"/>
        <w:spacing w:after="0"/>
        <w:tabs>
          <w:tab w:leader="none" w:pos="62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flow (including free cash flow or operating cash flows);</w:t>
      </w:r>
    </w:p>
    <w:p>
      <w:pPr>
        <w:spacing w:after="0" w:line="229" w:lineRule="exact"/>
        <w:rPr>
          <w:rFonts w:ascii="Times New Roman" w:cs="Times New Roman" w:eastAsia="Times New Roman" w:hAnsi="Times New Roman"/>
          <w:sz w:val="20"/>
          <w:szCs w:val="20"/>
          <w:color w:val="010000"/>
        </w:rPr>
      </w:pPr>
    </w:p>
    <w:p>
      <w:pPr>
        <w:ind w:left="660" w:hanging="476"/>
        <w:spacing w:after="0"/>
        <w:tabs>
          <w:tab w:leader="none" w:pos="66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conversion cycle;</w:t>
      </w:r>
    </w:p>
    <w:p>
      <w:pPr>
        <w:spacing w:after="0" w:line="215"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economic value added;</w:t>
      </w:r>
    </w:p>
    <w:p>
      <w:pPr>
        <w:spacing w:after="0" w:line="229"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individual confidential business objectives;</w:t>
      </w:r>
    </w:p>
    <w:p>
      <w:pPr>
        <w:spacing w:after="0" w:line="215" w:lineRule="exact"/>
        <w:rPr>
          <w:rFonts w:ascii="Times New Roman" w:cs="Times New Roman" w:eastAsia="Times New Roman" w:hAnsi="Times New Roman"/>
          <w:sz w:val="20"/>
          <w:szCs w:val="20"/>
          <w:color w:val="010000"/>
        </w:rPr>
      </w:pPr>
    </w:p>
    <w:p>
      <w:pPr>
        <w:ind w:left="600" w:hanging="416"/>
        <w:spacing w:after="0"/>
        <w:tabs>
          <w:tab w:leader="none" w:pos="60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contract awards or backlog;</w:t>
      </w:r>
    </w:p>
    <w:p>
      <w:pPr>
        <w:spacing w:after="0" w:line="229" w:lineRule="exact"/>
        <w:rPr>
          <w:sz w:val="20"/>
          <w:szCs w:val="20"/>
          <w:color w:val="auto"/>
        </w:rPr>
      </w:pPr>
    </w:p>
    <w:p>
      <w:pPr>
        <w:ind w:left="680" w:hanging="496"/>
        <w:spacing w:after="0"/>
        <w:tabs>
          <w:tab w:leader="none" w:pos="68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overhead or other expense reduction;</w:t>
      </w:r>
    </w:p>
    <w:p>
      <w:pPr>
        <w:spacing w:after="0" w:line="229"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credit rating;</w:t>
      </w:r>
    </w:p>
    <w:p>
      <w:pPr>
        <w:spacing w:after="0" w:line="215" w:lineRule="exact"/>
        <w:rPr>
          <w:rFonts w:ascii="Times New Roman" w:cs="Times New Roman" w:eastAsia="Times New Roman" w:hAnsi="Times New Roman"/>
          <w:sz w:val="20"/>
          <w:szCs w:val="20"/>
          <w:color w:val="010000"/>
        </w:rPr>
      </w:pPr>
    </w:p>
    <w:p>
      <w:pPr>
        <w:ind w:left="680" w:hanging="496"/>
        <w:spacing w:after="0"/>
        <w:tabs>
          <w:tab w:leader="none" w:pos="68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strategic plan development and implementation;</w:t>
      </w:r>
    </w:p>
    <w:p>
      <w:pPr>
        <w:spacing w:after="0" w:line="229"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succession plan development and implementation;</w:t>
      </w:r>
    </w:p>
    <w:p>
      <w:pPr>
        <w:spacing w:after="0" w:line="215" w:lineRule="exact"/>
        <w:rPr>
          <w:rFonts w:ascii="Times New Roman" w:cs="Times New Roman" w:eastAsia="Times New Roman" w:hAnsi="Times New Roman"/>
          <w:sz w:val="20"/>
          <w:szCs w:val="20"/>
          <w:color w:val="010000"/>
        </w:rPr>
      </w:pPr>
    </w:p>
    <w:p>
      <w:pPr>
        <w:ind w:left="680" w:hanging="496"/>
        <w:spacing w:after="0"/>
        <w:tabs>
          <w:tab w:leader="none" w:pos="68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improvement in workforce diversity;</w:t>
      </w:r>
    </w:p>
    <w:p>
      <w:pPr>
        <w:spacing w:after="0" w:line="229" w:lineRule="exact"/>
        <w:rPr>
          <w:rFonts w:ascii="Times New Roman" w:cs="Times New Roman" w:eastAsia="Times New Roman" w:hAnsi="Times New Roman"/>
          <w:sz w:val="20"/>
          <w:szCs w:val="20"/>
          <w:color w:val="010000"/>
        </w:rPr>
      </w:pPr>
    </w:p>
    <w:p>
      <w:pPr>
        <w:ind w:left="640" w:hanging="456"/>
        <w:spacing w:after="0"/>
        <w:tabs>
          <w:tab w:leader="none" w:pos="64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customer indicators and/or satisfaction;</w:t>
      </w:r>
    </w:p>
    <w:p>
      <w:pPr>
        <w:spacing w:after="0" w:line="229"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new product invention or innovation;</w:t>
      </w:r>
    </w:p>
    <w:p>
      <w:pPr>
        <w:spacing w:after="0" w:line="215"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attainment of research and development milestones;</w:t>
      </w:r>
    </w:p>
    <w:p>
      <w:pPr>
        <w:spacing w:after="0" w:line="229"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improvements in productivity;</w:t>
      </w:r>
    </w:p>
    <w:p>
      <w:pPr>
        <w:spacing w:after="0" w:line="215"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bookings;</w:t>
      </w:r>
    </w:p>
    <w:p>
      <w:pPr>
        <w:spacing w:after="0" w:line="229"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attainment of objective operating goals and employee metrics;</w:t>
      </w:r>
    </w:p>
    <w:p>
      <w:pPr>
        <w:spacing w:after="0" w:line="229"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sales;</w:t>
      </w:r>
    </w:p>
    <w:p>
      <w:pPr>
        <w:spacing w:after="0" w:line="215" w:lineRule="exact"/>
        <w:rPr>
          <w:rFonts w:ascii="Times New Roman" w:cs="Times New Roman" w:eastAsia="Times New Roman" w:hAnsi="Times New Roman"/>
          <w:sz w:val="20"/>
          <w:szCs w:val="20"/>
          <w:color w:val="010000"/>
        </w:rPr>
      </w:pPr>
    </w:p>
    <w:p>
      <w:pPr>
        <w:ind w:left="820" w:hanging="636"/>
        <w:spacing w:after="0"/>
        <w:tabs>
          <w:tab w:leader="none" w:pos="8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expenses;</w:t>
      </w:r>
    </w:p>
    <w:p>
      <w:pPr>
        <w:spacing w:after="0" w:line="229"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balance of cash, cash equivalents, and marketable securities;</w:t>
      </w:r>
    </w:p>
    <w:p>
      <w:pPr>
        <w:spacing w:after="0" w:line="215"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completion of an identified special project;</w:t>
      </w:r>
    </w:p>
    <w:p>
      <w:pPr>
        <w:spacing w:after="0" w:line="229"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completion of a joint venture or other corporate transaction;</w:t>
      </w:r>
    </w:p>
    <w:p>
      <w:pPr>
        <w:spacing w:after="0" w:line="215" w:lineRule="exact"/>
        <w:rPr>
          <w:rFonts w:ascii="Times New Roman" w:cs="Times New Roman" w:eastAsia="Times New Roman" w:hAnsi="Times New Roman"/>
          <w:sz w:val="20"/>
          <w:szCs w:val="20"/>
          <w:color w:val="010000"/>
        </w:rPr>
      </w:pPr>
    </w:p>
    <w:p>
      <w:pPr>
        <w:ind w:left="720" w:hanging="536"/>
        <w:spacing w:after="0"/>
        <w:tabs>
          <w:tab w:leader="none" w:pos="72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employee satisfaction and/or retention;</w:t>
      </w:r>
    </w:p>
    <w:p>
      <w:pPr>
        <w:spacing w:after="0" w:line="229" w:lineRule="exact"/>
        <w:rPr>
          <w:rFonts w:ascii="Times New Roman" w:cs="Times New Roman" w:eastAsia="Times New Roman" w:hAnsi="Times New Roman"/>
          <w:sz w:val="20"/>
          <w:szCs w:val="20"/>
          <w:color w:val="010000"/>
        </w:rPr>
      </w:pPr>
    </w:p>
    <w:p>
      <w:pPr>
        <w:ind w:left="640" w:hanging="456"/>
        <w:spacing w:after="0"/>
        <w:tabs>
          <w:tab w:leader="none" w:pos="64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research and development expenses;</w:t>
      </w:r>
    </w:p>
    <w:p>
      <w:pPr>
        <w:spacing w:after="0" w:line="229" w:lineRule="exact"/>
        <w:rPr>
          <w:rFonts w:ascii="Times New Roman" w:cs="Times New Roman" w:eastAsia="Times New Roman" w:hAnsi="Times New Roman"/>
          <w:sz w:val="20"/>
          <w:szCs w:val="20"/>
          <w:color w:val="010000"/>
        </w:rPr>
      </w:pPr>
    </w:p>
    <w:p>
      <w:pPr>
        <w:ind w:left="660" w:hanging="476"/>
        <w:spacing w:after="0"/>
        <w:tabs>
          <w:tab w:leader="none" w:pos="660" w:val="left"/>
        </w:tabs>
        <w:numPr>
          <w:ilvl w:val="0"/>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working capital targets and changes in working capital; and</w:t>
      </w:r>
    </w:p>
    <w:p>
      <w:pPr>
        <w:spacing w:after="0" w:line="215" w:lineRule="exact"/>
        <w:rPr>
          <w:rFonts w:ascii="Times New Roman" w:cs="Times New Roman" w:eastAsia="Times New Roman" w:hAnsi="Times New Roman"/>
          <w:sz w:val="20"/>
          <w:szCs w:val="20"/>
          <w:color w:val="010000"/>
        </w:rPr>
      </w:pPr>
    </w:p>
    <w:p>
      <w:pPr>
        <w:ind w:left="620" w:hanging="436"/>
        <w:spacing w:after="0"/>
        <w:tabs>
          <w:tab w:leader="none" w:pos="620"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metric that is capable of measurement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189" w:lineRule="exact"/>
        <w:rPr>
          <w:sz w:val="20"/>
          <w:szCs w:val="20"/>
          <w:color w:val="auto"/>
        </w:rPr>
      </w:pPr>
    </w:p>
    <w:p>
      <w:pPr>
        <w:jc w:val="both"/>
        <w:ind w:left="1960" w:firstLine="640"/>
        <w:spacing w:after="0" w:line="253" w:lineRule="auto"/>
        <w:tabs>
          <w:tab w:leader="none" w:pos="307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acquisition-related activities or changes in applicable accounting rules. It is within the sole discretion of the Committee to make or not make any such equitable adjustments.</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28.30.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Period</w:t>
      </w:r>
      <w:r>
        <w:rPr>
          <w:rFonts w:ascii="Times New Roman" w:cs="Times New Roman" w:eastAsia="Times New Roman" w:hAnsi="Times New Roman"/>
          <w:sz w:val="20"/>
          <w:szCs w:val="20"/>
          <w:color w:val="000000"/>
        </w:rPr>
        <w:t>” means one or more periods of time, which may be of varying and overlapping durations, as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Committee may select, over which the attainment of one or more Performance Factors will be measured for the purpose of determining a Participant’s right to, and the payment of, a Performance Award.</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28.31.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Share</w:t>
      </w:r>
      <w:r>
        <w:rPr>
          <w:rFonts w:ascii="Times New Roman" w:cs="Times New Roman" w:eastAsia="Times New Roman" w:hAnsi="Times New Roman"/>
          <w:sz w:val="20"/>
          <w:szCs w:val="20"/>
          <w:color w:val="000000"/>
        </w:rPr>
        <w:t>” means an Award as defined in Section 10 and granted under the Plan, the payment of which 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contingent upon achieving certain performance goals established by the Committee.</w:t>
      </w:r>
    </w:p>
    <w:p>
      <w:pPr>
        <w:spacing w:after="0" w:line="16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010000"/>
        </w:rPr>
        <w:t xml:space="preserve">28.32.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Performance Unit</w:t>
      </w:r>
      <w:r>
        <w:rPr>
          <w:rFonts w:ascii="Times New Roman" w:cs="Times New Roman" w:eastAsia="Times New Roman" w:hAnsi="Times New Roman"/>
          <w:sz w:val="20"/>
          <w:szCs w:val="20"/>
          <w:color w:val="000000"/>
        </w:rPr>
        <w:t>” means an Award as defined in Section 10 and granted under the Plan, the payment of which 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contingent upon achieving certain performance goals established by the Committee.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010000"/>
        </w:rPr>
        <w:t xml:space="preserve">28.33.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Permitted Transferee</w:t>
      </w:r>
      <w:r>
        <w:rPr>
          <w:rFonts w:ascii="Times New Roman" w:cs="Times New Roman" w:eastAsia="Times New Roman" w:hAnsi="Times New Roman"/>
          <w:sz w:val="20"/>
          <w:szCs w:val="20"/>
          <w:color w:val="000000"/>
        </w:rPr>
        <w:t>” means any child, stepchild, grandchild, parent, stepparent, grandparent, spouse, former spouse,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6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Remitly Global, Inc. 2021 Equity Incentive Plan.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28.35.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Purchase Price</w:t>
      </w:r>
      <w:r>
        <w:rPr>
          <w:rFonts w:ascii="Times New Roman" w:cs="Times New Roman" w:eastAsia="Times New Roman" w:hAnsi="Times New Roman"/>
          <w:sz w:val="20"/>
          <w:szCs w:val="20"/>
          <w:color w:val="000000"/>
        </w:rPr>
        <w:t>” means the price to be paid for Shares acquired under the Plan, other than Shares acquired upon exercise of</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an Option or SAR.</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28.36.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Restricted Stock Award</w:t>
      </w:r>
      <w:r>
        <w:rPr>
          <w:rFonts w:ascii="Times New Roman" w:cs="Times New Roman" w:eastAsia="Times New Roman" w:hAnsi="Times New Roman"/>
          <w:sz w:val="20"/>
          <w:szCs w:val="20"/>
          <w:color w:val="000000"/>
        </w:rPr>
        <w:t>” means an Award as defined in Section 6 and granted under the Plan, or issued pursuant to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early exercise of an Option.</w:t>
      </w:r>
    </w:p>
    <w:p>
      <w:pPr>
        <w:spacing w:after="0" w:line="16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w:t>
      </w:r>
      <w:r>
        <w:rPr>
          <w:rFonts w:ascii="Times New Roman" w:cs="Times New Roman" w:eastAsia="Times New Roman" w:hAnsi="Times New Roman"/>
          <w:sz w:val="19"/>
          <w:szCs w:val="19"/>
          <w:color w:val="auto"/>
        </w:rPr>
        <w:t>” means an Award as defined in Section 6 and granted under the Plan.</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United States Securities and Exchange Commission.</w:t>
      </w:r>
    </w:p>
    <w:p>
      <w:pPr>
        <w:spacing w:after="0" w:line="21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United States Securities Act of 1933, as amended.</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010000"/>
        </w:rPr>
        <w:t xml:space="preserve">28.40.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Service</w:t>
      </w:r>
      <w:r>
        <w:rPr>
          <w:rFonts w:ascii="Times New Roman" w:cs="Times New Roman" w:eastAsia="Times New Roman" w:hAnsi="Times New Roman"/>
          <w:sz w:val="20"/>
          <w:szCs w:val="20"/>
          <w:color w:val="000000"/>
        </w:rPr>
        <w:t>” means service as an Employee, Consultant, Director, or Non-Employee Director, to the Company or a Parent,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Subsidiary, or Affiliate, subject to such further limitations as 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Company-approved leave of absence and, upon a Participant’s returning from military leave, he or she will be given vesting credit with respect to Awards to the same extent as would have applied had the Participant continued to provide Service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 change in status between an Employee, Consultant, Director or Non-Employee Director shall not terminate the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8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the Common Stock and the common stock of any successor entity of the Company.</w:t>
      </w:r>
    </w:p>
    <w:p>
      <w:pPr>
        <w:spacing w:after="0" w:line="21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means an Award defined in Section 9 and granted under the Plan.</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Bonus</w:t>
      </w:r>
      <w:r>
        <w:rPr>
          <w:rFonts w:ascii="Times New Roman" w:cs="Times New Roman" w:eastAsia="Times New Roman" w:hAnsi="Times New Roman"/>
          <w:sz w:val="19"/>
          <w:szCs w:val="19"/>
          <w:color w:val="auto"/>
        </w:rPr>
        <w:t>” means an Award defined in Section 8 and granted under the Plan.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010000"/>
        </w:rPr>
        <w:t xml:space="preserve">28.44.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Subsidiary</w:t>
      </w:r>
      <w:r>
        <w:rPr>
          <w:rFonts w:ascii="Times New Roman" w:cs="Times New Roman" w:eastAsia="Times New Roman" w:hAnsi="Times New Roman"/>
          <w:sz w:val="20"/>
          <w:szCs w:val="20"/>
          <w:color w:val="000000"/>
        </w:rPr>
        <w:t>” means any corporation (other than the Company) in an unbroken chain of corporations beginning with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010000"/>
        </w:rPr>
        <w:t>28.45.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Treasury Regulations</w:t>
      </w:r>
      <w:r>
        <w:rPr>
          <w:rFonts w:ascii="Times New Roman" w:cs="Times New Roman" w:eastAsia="Times New Roman" w:hAnsi="Times New Roman"/>
          <w:sz w:val="19"/>
          <w:szCs w:val="19"/>
          <w:color w:val="auto"/>
        </w:rPr>
        <w:t>” means regulations promulgated by the United States Treasury Department.</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28.46.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Unvested Shares</w:t>
      </w:r>
      <w:r>
        <w:rPr>
          <w:rFonts w:ascii="Times New Roman" w:cs="Times New Roman" w:eastAsia="Times New Roman" w:hAnsi="Times New Roman"/>
          <w:sz w:val="20"/>
          <w:szCs w:val="20"/>
          <w:color w:val="000000"/>
        </w:rPr>
        <w:t>” means Shares that have not yet vested or are subject to a right of repurchase in favor of the Company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25" w:name="page126"/>
    <w:bookmarkEnd w:id="125"/>
    <w:tbl>
      <w:tblPr>
        <w:tblLayout w:type="fixed"/>
        <w:tblInd w:w="5" w:type="dxa"/>
        <w:tblCellMar>
          <w:top w:w="0" w:type="dxa"/>
          <w:left w:w="0" w:type="dxa"/>
          <w:bottom w:w="0" w:type="dxa"/>
          <w:right w:w="0" w:type="dxa"/>
        </w:tblCellMar>
      </w:tblPr>
      <w:tr>
        <w:trPr>
          <w:trHeight w:val="273"/>
        </w:trPr>
        <w:tc>
          <w:tcPr>
            <w:tcW w:w="6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20"/>
                <w:szCs w:val="20"/>
                <w:b w:val="1"/>
                <w:bCs w:val="1"/>
                <w:color w:val="auto"/>
              </w:rPr>
              <w:t>Exhibit 10.5</w:t>
            </w:r>
          </w:p>
        </w:tc>
      </w:tr>
      <w:tr>
        <w:trPr>
          <w:trHeight w:val="632"/>
        </w:trPr>
        <w:tc>
          <w:tcPr>
            <w:tcW w:w="6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Form for Founders</w:t>
            </w:r>
          </w:p>
        </w:tc>
      </w:tr>
      <w:tr>
        <w:trPr>
          <w:trHeight w:val="764"/>
        </w:trPr>
        <w:tc>
          <w:tcPr>
            <w:tcW w:w="8920" w:type="dxa"/>
            <w:vAlign w:val="bottom"/>
            <w:gridSpan w:val="3"/>
          </w:tcPr>
          <w:p>
            <w:pPr>
              <w:ind w:left="3560"/>
              <w:spacing w:after="0"/>
              <w:rPr>
                <w:sz w:val="20"/>
                <w:szCs w:val="20"/>
                <w:color w:val="auto"/>
              </w:rPr>
            </w:pPr>
            <w:r>
              <w:rPr>
                <w:rFonts w:ascii="Arial" w:cs="Arial" w:eastAsia="Arial" w:hAnsi="Arial"/>
                <w:sz w:val="18"/>
                <w:szCs w:val="18"/>
                <w:b w:val="1"/>
                <w:bCs w:val="1"/>
                <w:color w:val="auto"/>
              </w:rPr>
              <w:t>Change in Control and Severance Agreement</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17"/>
        </w:trPr>
        <w:tc>
          <w:tcPr>
            <w:tcW w:w="8920" w:type="dxa"/>
            <w:vAlign w:val="bottom"/>
            <w:gridSpan w:val="3"/>
          </w:tcPr>
          <w:p>
            <w:pPr>
              <w:ind w:left="640"/>
              <w:spacing w:after="0"/>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w:t>
            </w:r>
          </w:p>
        </w:tc>
        <w:tc>
          <w:tcPr>
            <w:tcW w:w="260" w:type="dxa"/>
            <w:vAlign w:val="bottom"/>
            <w:tcBorders>
              <w:bottom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 and</w:t>
            </w: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Remitly Global,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effective as of</w:t>
            </w:r>
          </w:p>
        </w:tc>
        <w:tc>
          <w:tcPr>
            <w:tcW w:w="400" w:type="dxa"/>
            <w:vAlign w:val="bottom"/>
            <w:tcBorders>
              <w:bottom w:val="single" w:sz="8" w:color="auto"/>
            </w:tcBorders>
          </w:tcPr>
          <w:p>
            <w:pPr>
              <w:spacing w:after="0"/>
              <w:rPr>
                <w:sz w:val="18"/>
                <w:szCs w:val="18"/>
                <w:color w:val="auto"/>
              </w:rPr>
            </w:pPr>
          </w:p>
        </w:tc>
        <w:tc>
          <w:tcPr>
            <w:tcW w:w="2340" w:type="dxa"/>
            <w:vAlign w:val="bottom"/>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pacing w:after="0" w:line="278" w:lineRule="exact"/>
        <w:rPr>
          <w:sz w:val="20"/>
          <w:szCs w:val="20"/>
          <w:color w:val="auto"/>
        </w:rPr>
      </w:pPr>
    </w:p>
    <w:p>
      <w:pPr>
        <w:ind w:left="5"/>
        <w:spacing w:after="0"/>
        <w:tabs>
          <w:tab w:leader="none" w:pos="325" w:val="left"/>
        </w:tabs>
        <w:rPr>
          <w:sz w:val="20"/>
          <w:szCs w:val="20"/>
          <w:color w:val="auto"/>
        </w:rPr>
      </w:pPr>
      <w:r>
        <w:rPr>
          <w:rFonts w:ascii="Arial" w:cs="Arial" w:eastAsia="Arial" w:hAnsi="Arial"/>
          <w:sz w:val="18"/>
          <w:szCs w:val="18"/>
          <w:color w:val="010000"/>
        </w:rPr>
        <w:t>1.</w:t>
      </w:r>
      <w:r>
        <w:rPr>
          <w:sz w:val="20"/>
          <w:szCs w:val="20"/>
          <w:color w:val="auto"/>
        </w:rPr>
        <w:tab/>
      </w:r>
      <w:r>
        <w:rPr>
          <w:rFonts w:ascii="Arial" w:cs="Arial" w:eastAsia="Arial" w:hAnsi="Arial"/>
          <w:sz w:val="18"/>
          <w:szCs w:val="18"/>
          <w:b w:val="1"/>
          <w:bCs w:val="1"/>
          <w:color w:val="auto"/>
        </w:rPr>
        <w:t>Term of Agreement.</w:t>
      </w:r>
    </w:p>
    <w:p>
      <w:pPr>
        <w:spacing w:after="0" w:line="306" w:lineRule="exact"/>
        <w:rPr>
          <w:sz w:val="20"/>
          <w:szCs w:val="20"/>
          <w:color w:val="auto"/>
        </w:rPr>
      </w:pPr>
    </w:p>
    <w:p>
      <w:pPr>
        <w:jc w:val="both"/>
        <w:ind w:left="5" w:right="100" w:firstLine="648"/>
        <w:spacing w:after="0" w:line="288" w:lineRule="auto"/>
        <w:rPr>
          <w:sz w:val="20"/>
          <w:szCs w:val="20"/>
          <w:color w:val="auto"/>
        </w:rPr>
      </w:pPr>
      <w:r>
        <w:rPr>
          <w:rFonts w:ascii="Arial" w:cs="Arial" w:eastAsia="Arial" w:hAnsi="Arial"/>
          <w:sz w:val="18"/>
          <w:szCs w:val="18"/>
          <w:color w:val="auto"/>
        </w:rPr>
        <w:t>This Agreement shall terminate the earlier of the third (3)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this Agreement shall remain in effect through the earlier of:</w:t>
      </w:r>
    </w:p>
    <w:p>
      <w:pPr>
        <w:spacing w:after="0" w:line="208" w:lineRule="exact"/>
        <w:rPr>
          <w:sz w:val="20"/>
          <w:szCs w:val="20"/>
          <w:color w:val="auto"/>
        </w:rPr>
      </w:pPr>
    </w:p>
    <w:p>
      <w:pPr>
        <w:ind w:left="5" w:right="120" w:firstLine="643"/>
        <w:spacing w:after="0" w:line="318" w:lineRule="auto"/>
        <w:tabs>
          <w:tab w:leader="none" w:pos="110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80" w:lineRule="exact"/>
        <w:rPr>
          <w:rFonts w:ascii="Arial" w:cs="Arial" w:eastAsia="Arial" w:hAnsi="Arial"/>
          <w:sz w:val="18"/>
          <w:szCs w:val="18"/>
          <w:color w:val="010000"/>
        </w:rPr>
      </w:pPr>
    </w:p>
    <w:p>
      <w:pPr>
        <w:ind w:left="5" w:right="120" w:firstLine="643"/>
        <w:spacing w:after="0" w:line="318" w:lineRule="auto"/>
        <w:tabs>
          <w:tab w:leader="none" w:pos="1208"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80" w:lineRule="exact"/>
        <w:rPr>
          <w:sz w:val="20"/>
          <w:szCs w:val="20"/>
          <w:color w:val="auto"/>
        </w:rPr>
      </w:pPr>
    </w:p>
    <w:p>
      <w:pPr>
        <w:ind w:left="5" w:right="120" w:firstLine="648"/>
        <w:spacing w:after="0" w:line="281" w:lineRule="auto"/>
        <w:rPr>
          <w:sz w:val="20"/>
          <w:szCs w:val="20"/>
          <w:color w:val="auto"/>
        </w:rPr>
      </w:pPr>
      <w:r>
        <w:rPr>
          <w:rFonts w:ascii="Arial" w:cs="Arial" w:eastAsia="Arial" w:hAnsi="Arial"/>
          <w:sz w:val="18"/>
          <w:szCs w:val="18"/>
          <w:color w:val="auto"/>
        </w:rPr>
        <w:t>This Agreement shall renew automatically and continue in effect for three (3) year periods measured from the initial Expiration Date, unless the Company provides Executive notice of non-renewal at least three</w:t>
      </w:r>
    </w:p>
    <w:p>
      <w:pPr>
        <w:spacing w:after="0" w:line="1" w:lineRule="exact"/>
        <w:rPr>
          <w:sz w:val="20"/>
          <w:szCs w:val="20"/>
          <w:color w:val="auto"/>
        </w:rPr>
      </w:pPr>
    </w:p>
    <w:p>
      <w:pPr>
        <w:jc w:val="both"/>
        <w:ind w:left="5" w:right="120" w:hanging="5"/>
        <w:spacing w:after="0" w:line="292" w:lineRule="auto"/>
        <w:tabs>
          <w:tab w:leader="none" w:pos="279"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217" w:lineRule="exact"/>
        <w:rPr>
          <w:sz w:val="20"/>
          <w:szCs w:val="20"/>
          <w:color w:val="auto"/>
        </w:rPr>
      </w:pPr>
    </w:p>
    <w:p>
      <w:pPr>
        <w:ind w:left="5" w:right="1000" w:hanging="5"/>
        <w:spacing w:after="0" w:line="303" w:lineRule="auto"/>
        <w:tabs>
          <w:tab w:leader="none" w:pos="355" w:val="left"/>
        </w:tabs>
        <w:numPr>
          <w:ilvl w:val="0"/>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If the Executive is subject to a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206" w:lineRule="exact"/>
        <w:rPr>
          <w:rFonts w:ascii="Arial" w:cs="Arial" w:eastAsia="Arial" w:hAnsi="Arial"/>
          <w:sz w:val="18"/>
          <w:szCs w:val="18"/>
          <w:color w:val="010000"/>
        </w:rPr>
      </w:pPr>
    </w:p>
    <w:p>
      <w:pPr>
        <w:jc w:val="both"/>
        <w:ind w:left="5" w:firstLine="642"/>
        <w:spacing w:after="0" w:line="288" w:lineRule="auto"/>
        <w:tabs>
          <w:tab w:leader="none" w:pos="1072" w:val="left"/>
        </w:tabs>
        <w:numPr>
          <w:ilvl w:val="1"/>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The Company shall pay the Executive twelve months of his/her monthly base salary (at the rate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07" w:lineRule="exact"/>
        <w:rPr>
          <w:rFonts w:ascii="Arial" w:cs="Arial" w:eastAsia="Arial" w:hAnsi="Arial"/>
          <w:sz w:val="18"/>
          <w:szCs w:val="18"/>
          <w:color w:val="010000"/>
        </w:rPr>
      </w:pPr>
    </w:p>
    <w:p>
      <w:pPr>
        <w:jc w:val="both"/>
        <w:ind w:left="5" w:firstLine="643"/>
        <w:spacing w:after="0" w:line="285" w:lineRule="auto"/>
        <w:tabs>
          <w:tab w:leader="none" w:pos="1194" w:val="left"/>
        </w:tabs>
        <w:numPr>
          <w:ilvl w:val="1"/>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Continued Employee Benefits. </w:t>
      </w:r>
      <w:r>
        <w:rPr>
          <w:rFonts w:ascii="Arial" w:cs="Arial" w:eastAsia="Arial" w:hAnsi="Arial"/>
          <w:sz w:val="18"/>
          <w:szCs w:val="18"/>
          <w:color w:val="auto"/>
        </w:rPr>
        <w:t>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w:t>
      </w:r>
    </w:p>
    <w:p>
      <w:pPr>
        <w:sectPr>
          <w:pgSz w:w="11900" w:h="16838" w:orient="portrait"/>
          <w:cols w:equalWidth="0" w:num="1">
            <w:col w:w="11125"/>
          </w:cols>
          <w:pgMar w:left="435" w:top="1412" w:right="339" w:bottom="1440" w:gutter="0" w:footer="0" w:header="0"/>
        </w:sectPr>
      </w:pPr>
    </w:p>
    <w:bookmarkStart w:id="126" w:name="page127"/>
    <w:bookmarkEnd w:id="126"/>
    <w:p>
      <w:pPr>
        <w:jc w:val="both"/>
        <w:ind w:left="5" w:right="100"/>
        <w:spacing w:after="0" w:line="279" w:lineRule="auto"/>
        <w:rPr>
          <w:sz w:val="20"/>
          <w:szCs w:val="20"/>
          <w:color w:val="auto"/>
        </w:rPr>
      </w:pPr>
      <w:r>
        <w:rPr>
          <w:rFonts w:ascii="Arial" w:cs="Arial" w:eastAsia="Arial" w:hAnsi="Arial"/>
          <w:sz w:val="18"/>
          <w:szCs w:val="18"/>
          <w:color w:val="auto"/>
        </w:rPr>
        <w:t xml:space="preserve">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any taxable payments under Section 2(b) will not be paid before the first business day occurring after the sixtieth (60</w:t>
      </w:r>
      <w:r>
        <w:rPr>
          <w:rFonts w:ascii="Arial" w:cs="Arial" w:eastAsia="Arial" w:hAnsi="Arial"/>
          <w:sz w:val="11"/>
          <w:szCs w:val="11"/>
          <w:color w:val="auto"/>
        </w:rPr>
        <w:t>th</w:t>
      </w:r>
      <w:r>
        <w:rPr>
          <w:rFonts w:ascii="Arial" w:cs="Arial" w:eastAsia="Arial" w:hAnsi="Arial"/>
          <w:sz w:val="18"/>
          <w:szCs w:val="18"/>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222" w:lineRule="exact"/>
        <w:rPr>
          <w:sz w:val="20"/>
          <w:szCs w:val="20"/>
          <w:color w:val="auto"/>
        </w:rPr>
      </w:pPr>
    </w:p>
    <w:p>
      <w:pPr>
        <w:jc w:val="both"/>
        <w:ind w:left="5" w:firstLine="643"/>
        <w:spacing w:after="0" w:line="282" w:lineRule="auto"/>
        <w:tabs>
          <w:tab w:leader="none" w:pos="1252" w:val="left"/>
        </w:tabs>
        <w:numPr>
          <w:ilvl w:val="1"/>
          <w:numId w:val="94"/>
        </w:numPr>
        <w:rPr>
          <w:rFonts w:ascii="Arial" w:cs="Arial" w:eastAsia="Arial" w:hAnsi="Arial"/>
          <w:sz w:val="18"/>
          <w:szCs w:val="18"/>
          <w:color w:val="010000"/>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Each of Executive's then outstanding Equity Awards, including awards that would otherwise vest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25%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2 shall apply to all future Company RSU award agreements, except to the extent the award agreement provides otherwise in a provision that expressly references this provision.</w:t>
      </w:r>
    </w:p>
    <w:p>
      <w:pPr>
        <w:spacing w:after="0" w:line="214" w:lineRule="exact"/>
        <w:rPr>
          <w:rFonts w:ascii="Arial" w:cs="Arial" w:eastAsia="Arial" w:hAnsi="Arial"/>
          <w:sz w:val="18"/>
          <w:szCs w:val="18"/>
          <w:color w:val="010000"/>
        </w:rPr>
      </w:pPr>
    </w:p>
    <w:p>
      <w:pPr>
        <w:ind w:left="5" w:right="280" w:hanging="5"/>
        <w:spacing w:after="0" w:line="318" w:lineRule="auto"/>
        <w:tabs>
          <w:tab w:leader="none" w:pos="355"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CIC Qualifying Termination. </w:t>
      </w:r>
      <w:r>
        <w:rPr>
          <w:rFonts w:ascii="Arial" w:cs="Arial" w:eastAsia="Arial" w:hAnsi="Arial"/>
          <w:sz w:val="18"/>
          <w:szCs w:val="18"/>
          <w:color w:val="auto"/>
        </w:rPr>
        <w:t>If the Executive is subject to a CIC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180" w:lineRule="exact"/>
        <w:rPr>
          <w:rFonts w:ascii="Arial" w:cs="Arial" w:eastAsia="Arial" w:hAnsi="Arial"/>
          <w:sz w:val="18"/>
          <w:szCs w:val="18"/>
          <w:color w:val="010000"/>
        </w:rPr>
      </w:pPr>
    </w:p>
    <w:p>
      <w:pPr>
        <w:jc w:val="both"/>
        <w:ind w:left="5" w:right="100" w:firstLine="643"/>
        <w:spacing w:after="0" w:line="287" w:lineRule="auto"/>
        <w:tabs>
          <w:tab w:leader="none" w:pos="1086" w:val="left"/>
        </w:tabs>
        <w:numPr>
          <w:ilvl w:val="1"/>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Severance Payments. </w:t>
      </w:r>
      <w:r>
        <w:rPr>
          <w:rFonts w:ascii="Arial" w:cs="Arial" w:eastAsia="Arial" w:hAnsi="Arial"/>
          <w:sz w:val="18"/>
          <w:szCs w:val="18"/>
          <w:color w:val="auto"/>
        </w:rPr>
        <w:t>The Company or its successor shall pay the Executive eighteen (18) months of his/her monthly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and one and a half times 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06" w:lineRule="exact"/>
        <w:rPr>
          <w:rFonts w:ascii="Arial" w:cs="Arial" w:eastAsia="Arial" w:hAnsi="Arial"/>
          <w:sz w:val="18"/>
          <w:szCs w:val="18"/>
          <w:color w:val="010000"/>
        </w:rPr>
      </w:pPr>
    </w:p>
    <w:p>
      <w:pPr>
        <w:jc w:val="both"/>
        <w:ind w:left="5" w:right="100" w:firstLine="643"/>
        <w:spacing w:after="0" w:line="282" w:lineRule="auto"/>
        <w:tabs>
          <w:tab w:leader="none" w:pos="1235" w:val="left"/>
        </w:tabs>
        <w:numPr>
          <w:ilvl w:val="1"/>
          <w:numId w:val="95"/>
        </w:numPr>
        <w:rPr>
          <w:rFonts w:ascii="Arial" w:cs="Arial" w:eastAsia="Arial" w:hAnsi="Arial"/>
          <w:sz w:val="18"/>
          <w:szCs w:val="18"/>
          <w:color w:val="010000"/>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Each of Executive’s then outstanding Equity Awards, including awards that would otherwise vest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ectPr>
          <w:pgSz w:w="11900" w:h="16838" w:orient="portrait"/>
          <w:cols w:equalWidth="0" w:num="1">
            <w:col w:w="11125"/>
          </w:cols>
          <w:pgMar w:left="435" w:top="1430" w:right="339" w:bottom="1440" w:gutter="0" w:footer="0" w:header="0"/>
        </w:sectPr>
      </w:pPr>
    </w:p>
    <w:bookmarkStart w:id="127" w:name="page128"/>
    <w:bookmarkEnd w:id="127"/>
    <w:p>
      <w:pPr>
        <w:jc w:val="both"/>
        <w:ind w:left="5" w:right="40" w:firstLine="643"/>
        <w:spacing w:after="0" w:line="288" w:lineRule="auto"/>
        <w:tabs>
          <w:tab w:leader="none" w:pos="1117" w:val="left"/>
        </w:tabs>
        <w:numPr>
          <w:ilvl w:val="1"/>
          <w:numId w:val="96"/>
        </w:numPr>
        <w:rPr>
          <w:rFonts w:ascii="Arial" w:cs="Arial" w:eastAsia="Arial" w:hAnsi="Arial"/>
          <w:sz w:val="18"/>
          <w:szCs w:val="18"/>
          <w:color w:val="010000"/>
        </w:rPr>
      </w:pPr>
      <w:r>
        <w:rPr>
          <w:rFonts w:ascii="Arial" w:cs="Arial" w:eastAsia="Arial" w:hAnsi="Arial"/>
          <w:sz w:val="18"/>
          <w:szCs w:val="18"/>
          <w:b w:val="1"/>
          <w:bCs w:val="1"/>
          <w:color w:val="auto"/>
        </w:rPr>
        <w:t xml:space="preserve">COBRA; Pay in Lieu of Continued Employee Benefits. </w:t>
      </w:r>
      <w:r>
        <w:rPr>
          <w:rFonts w:ascii="Arial" w:cs="Arial" w:eastAsia="Arial" w:hAnsi="Arial"/>
          <w:sz w:val="18"/>
          <w:szCs w:val="18"/>
          <w:color w:val="auto"/>
        </w:rPr>
        <w:t>Continuation of COBRA or a cash benefit, in both cases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as 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w:t>
      </w:r>
    </w:p>
    <w:p>
      <w:pPr>
        <w:spacing w:after="0" w:line="221" w:lineRule="exact"/>
        <w:rPr>
          <w:rFonts w:ascii="Arial" w:cs="Arial" w:eastAsia="Arial" w:hAnsi="Arial"/>
          <w:sz w:val="18"/>
          <w:szCs w:val="18"/>
          <w:color w:val="010000"/>
        </w:rPr>
      </w:pPr>
    </w:p>
    <w:p>
      <w:pPr>
        <w:ind w:left="5" w:hanging="5"/>
        <w:spacing w:after="0" w:line="303" w:lineRule="auto"/>
        <w:tabs>
          <w:tab w:leader="none" w:pos="355"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Any other provision of this Agreement notwithstanding, the benefits under Section 2 and 3 shall not apply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 has executed a general release of all known and unknown</w:t>
      </w:r>
    </w:p>
    <w:p>
      <w:pPr>
        <w:spacing w:after="0" w:line="17" w:lineRule="exact"/>
        <w:rPr>
          <w:sz w:val="20"/>
          <w:szCs w:val="20"/>
          <w:color w:val="auto"/>
        </w:rPr>
      </w:pPr>
    </w:p>
    <w:p>
      <w:pPr>
        <w:jc w:val="both"/>
        <w:ind w:left="5" w:right="40"/>
        <w:spacing w:after="0" w:line="287" w:lineRule="auto"/>
        <w:rPr>
          <w:sz w:val="20"/>
          <w:szCs w:val="20"/>
          <w:color w:val="auto"/>
        </w:rPr>
      </w:pPr>
      <w:r>
        <w:rPr>
          <w:rFonts w:ascii="Arial" w:cs="Arial" w:eastAsia="Arial" w:hAnsi="Arial"/>
          <w:sz w:val="18"/>
          <w:szCs w:val="18"/>
          <w:color w:val="auto"/>
        </w:rPr>
        <w:t>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thirty (30) days after the Executive’s Separation. The Executive must execute and return the Release within the time period specified in the form.</w:t>
      </w:r>
    </w:p>
    <w:p>
      <w:pPr>
        <w:spacing w:after="0" w:line="220" w:lineRule="exact"/>
        <w:rPr>
          <w:sz w:val="20"/>
          <w:szCs w:val="20"/>
          <w:color w:val="auto"/>
        </w:rPr>
      </w:pPr>
    </w:p>
    <w:p>
      <w:pPr>
        <w:jc w:val="both"/>
        <w:ind w:left="5" w:right="40" w:hanging="5"/>
        <w:spacing w:after="0" w:line="282" w:lineRule="auto"/>
        <w:tabs>
          <w:tab w:leader="none" w:pos="409"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Accrued Compensation and Benefits. </w:t>
      </w:r>
      <w:r>
        <w:rPr>
          <w:rFonts w:ascii="Arial" w:cs="Arial" w:eastAsia="Arial" w:hAnsi="Arial"/>
          <w:sz w:val="18"/>
          <w:szCs w:val="18"/>
          <w:color w:val="auto"/>
        </w:rPr>
        <w:t>Notwithstanding anything to the contrary in Section 2 and 3 above,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200" w:lineRule="exact"/>
        <w:rPr>
          <w:rFonts w:ascii="Arial" w:cs="Arial" w:eastAsia="Arial" w:hAnsi="Arial"/>
          <w:sz w:val="18"/>
          <w:szCs w:val="18"/>
          <w:color w:val="010000"/>
        </w:rPr>
      </w:pPr>
    </w:p>
    <w:p>
      <w:pPr>
        <w:ind w:left="345" w:hanging="345"/>
        <w:spacing w:after="0"/>
        <w:tabs>
          <w:tab w:leader="none" w:pos="345"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Definitions.</w:t>
      </w:r>
    </w:p>
    <w:p>
      <w:pPr>
        <w:spacing w:after="0" w:line="306" w:lineRule="exact"/>
        <w:rPr>
          <w:rFonts w:ascii="Arial" w:cs="Arial" w:eastAsia="Arial" w:hAnsi="Arial"/>
          <w:sz w:val="18"/>
          <w:szCs w:val="18"/>
          <w:color w:val="010000"/>
        </w:rPr>
      </w:pPr>
    </w:p>
    <w:p>
      <w:pPr>
        <w:jc w:val="both"/>
        <w:ind w:left="5" w:right="40" w:firstLine="643"/>
        <w:spacing w:after="0" w:line="280" w:lineRule="auto"/>
        <w:tabs>
          <w:tab w:leader="none" w:pos="1073" w:val="left"/>
        </w:tabs>
        <w:numPr>
          <w:ilvl w:val="1"/>
          <w:numId w:val="9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w:t>
      </w:r>
    </w:p>
    <w:p>
      <w:pPr>
        <w:spacing w:after="0" w:line="207" w:lineRule="exact"/>
        <w:rPr>
          <w:rFonts w:ascii="Arial" w:cs="Arial" w:eastAsia="Arial" w:hAnsi="Arial"/>
          <w:sz w:val="18"/>
          <w:szCs w:val="18"/>
          <w:color w:val="010000"/>
        </w:rPr>
      </w:pPr>
    </w:p>
    <w:p>
      <w:pPr>
        <w:ind w:left="1065" w:hanging="417"/>
        <w:spacing w:after="0"/>
        <w:tabs>
          <w:tab w:leader="none" w:pos="1065" w:val="left"/>
        </w:tabs>
        <w:numPr>
          <w:ilvl w:val="1"/>
          <w:numId w:val="9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306" w:lineRule="exact"/>
        <w:rPr>
          <w:rFonts w:ascii="Arial" w:cs="Arial" w:eastAsia="Arial" w:hAnsi="Arial"/>
          <w:sz w:val="18"/>
          <w:szCs w:val="18"/>
          <w:color w:val="010000"/>
        </w:rPr>
      </w:pPr>
    </w:p>
    <w:p>
      <w:pPr>
        <w:jc w:val="both"/>
        <w:ind w:left="5" w:right="40" w:firstLine="643"/>
        <w:spacing w:after="0" w:line="300" w:lineRule="auto"/>
        <w:tabs>
          <w:tab w:leader="none" w:pos="1076" w:val="left"/>
        </w:tabs>
        <w:numPr>
          <w:ilvl w:val="1"/>
          <w:numId w:val="9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For all purposes under this Agreement, a Change in Control shall mean a “Corporate Transaction,” as such term is defined in the Plan,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transaction (including any series of transactions) also qualifies as a change in control event under U.S. Treasury Regulation 1.409A- 3(i)(5).</w:t>
      </w:r>
    </w:p>
    <w:p>
      <w:pPr>
        <w:sectPr>
          <w:pgSz w:w="11900" w:h="16838" w:orient="portrait"/>
          <w:cols w:equalWidth="0" w:num="1">
            <w:col w:w="11065"/>
          </w:cols>
          <w:pgMar w:left="435" w:top="1349" w:right="399" w:bottom="1440" w:gutter="0" w:footer="0" w:header="0"/>
        </w:sectPr>
      </w:pPr>
    </w:p>
    <w:bookmarkStart w:id="128" w:name="page129"/>
    <w:bookmarkEnd w:id="128"/>
    <w:p>
      <w:pPr>
        <w:jc w:val="both"/>
        <w:ind w:left="5" w:right="100" w:firstLine="643"/>
        <w:spacing w:after="0" w:line="288" w:lineRule="auto"/>
        <w:tabs>
          <w:tab w:leader="none" w:pos="1113"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pacing w:after="0" w:line="32" w:lineRule="exact"/>
        <w:rPr>
          <w:rFonts w:ascii="Arial" w:cs="Arial" w:eastAsia="Arial" w:hAnsi="Arial"/>
          <w:sz w:val="18"/>
          <w:szCs w:val="18"/>
          <w:color w:val="010000"/>
        </w:rPr>
      </w:pPr>
    </w:p>
    <w:p>
      <w:pPr>
        <w:jc w:val="both"/>
        <w:ind w:left="5" w:right="20" w:firstLine="643"/>
        <w:spacing w:after="0" w:line="300" w:lineRule="auto"/>
        <w:tabs>
          <w:tab w:leader="none" w:pos="1100"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195" w:lineRule="exact"/>
        <w:rPr>
          <w:rFonts w:ascii="Arial" w:cs="Arial" w:eastAsia="Arial" w:hAnsi="Arial"/>
          <w:sz w:val="18"/>
          <w:szCs w:val="18"/>
          <w:color w:val="010000"/>
        </w:rPr>
      </w:pPr>
    </w:p>
    <w:p>
      <w:pPr>
        <w:jc w:val="both"/>
        <w:ind w:left="5" w:right="100" w:firstLine="643"/>
        <w:spacing w:after="0" w:line="277" w:lineRule="auto"/>
        <w:tabs>
          <w:tab w:leader="none" w:pos="1117" w:val="left"/>
        </w:tabs>
        <w:numPr>
          <w:ilvl w:val="1"/>
          <w:numId w:val="99"/>
        </w:numPr>
        <w:rPr>
          <w:rFonts w:ascii="Arial" w:cs="Arial" w:eastAsia="Arial" w:hAnsi="Arial"/>
          <w:sz w:val="18"/>
          <w:szCs w:val="18"/>
          <w:color w:val="010000"/>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any of the following actions by the Company without Executive’s written consent: (i)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Executive’s duties or responsibilities that is 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w:t>
      </w:r>
    </w:p>
    <w:p>
      <w:pPr>
        <w:spacing w:after="0" w:line="2" w:lineRule="exact"/>
        <w:rPr>
          <w:rFonts w:ascii="Arial" w:cs="Arial" w:eastAsia="Arial" w:hAnsi="Arial"/>
          <w:sz w:val="18"/>
          <w:szCs w:val="18"/>
          <w:color w:val="010000"/>
        </w:rPr>
      </w:pPr>
    </w:p>
    <w:p>
      <w:pPr>
        <w:jc w:val="both"/>
        <w:ind w:left="5" w:right="100" w:hanging="5"/>
        <w:spacing w:after="0" w:line="279" w:lineRule="auto"/>
        <w:tabs>
          <w:tab w:leader="none" w:pos="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 material reduction in Executive’s annual base salary or a material reduction in Executive’s employee benefits (e.g., medical, dental, insurance, short- and long-term disability insurance and 40l(k) retirement plan benefits, collectively, the </w:t>
      </w:r>
      <w:r>
        <w:rPr>
          <w:rFonts w:ascii="Arial" w:cs="Arial" w:eastAsia="Arial" w:hAnsi="Arial"/>
          <w:sz w:val="18"/>
          <w:szCs w:val="18"/>
          <w:b w:val="1"/>
          <w:bCs w:val="1"/>
          <w:i w:val="1"/>
          <w:iCs w:val="1"/>
          <w:color w:val="auto"/>
        </w:rPr>
        <w:t>“Employee Benefits”</w:t>
      </w:r>
      <w:r>
        <w:rPr>
          <w:rFonts w:ascii="Arial" w:cs="Arial" w:eastAsia="Arial" w:hAnsi="Arial"/>
          <w:sz w:val="18"/>
          <w:szCs w:val="18"/>
          <w:color w:val="auto"/>
        </w:rPr>
        <w:t>)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222" w:lineRule="exact"/>
        <w:rPr>
          <w:rFonts w:ascii="Arial" w:cs="Arial" w:eastAsia="Arial" w:hAnsi="Arial"/>
          <w:sz w:val="18"/>
          <w:szCs w:val="18"/>
          <w:color w:val="auto"/>
        </w:rPr>
      </w:pPr>
    </w:p>
    <w:p>
      <w:pPr>
        <w:ind w:left="1065" w:hanging="417"/>
        <w:spacing w:after="0"/>
        <w:tabs>
          <w:tab w:leader="none" w:pos="1065" w:val="left"/>
        </w:tabs>
        <w:numPr>
          <w:ilvl w:val="1"/>
          <w:numId w:val="10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Company’s 2021 Equity Incentive Plan, as may be amended from time to</w:t>
      </w:r>
    </w:p>
    <w:p>
      <w:pPr>
        <w:spacing w:after="0" w:line="40" w:lineRule="exact"/>
        <w:rPr>
          <w:sz w:val="20"/>
          <w:szCs w:val="20"/>
          <w:color w:val="auto"/>
        </w:rPr>
      </w:pPr>
    </w:p>
    <w:p>
      <w:pPr>
        <w:ind w:left="5"/>
        <w:spacing w:after="0"/>
        <w:rPr>
          <w:sz w:val="20"/>
          <w:szCs w:val="20"/>
          <w:color w:val="auto"/>
        </w:rPr>
      </w:pPr>
      <w:r>
        <w:rPr>
          <w:rFonts w:ascii="Arial" w:cs="Arial" w:eastAsia="Arial" w:hAnsi="Arial"/>
          <w:sz w:val="18"/>
          <w:szCs w:val="18"/>
          <w:color w:val="auto"/>
        </w:rPr>
        <w:t>time.</w:t>
      </w:r>
    </w:p>
    <w:p>
      <w:pPr>
        <w:spacing w:after="0" w:line="302" w:lineRule="exact"/>
        <w:rPr>
          <w:sz w:val="20"/>
          <w:szCs w:val="20"/>
          <w:color w:val="auto"/>
        </w:rPr>
      </w:pPr>
    </w:p>
    <w:p>
      <w:pPr>
        <w:jc w:val="both"/>
        <w:ind w:left="5" w:right="100" w:firstLine="643"/>
        <w:spacing w:after="0" w:line="292" w:lineRule="auto"/>
        <w:tabs>
          <w:tab w:leader="none" w:pos="1113" w:val="left"/>
        </w:tabs>
        <w:numPr>
          <w:ilvl w:val="1"/>
          <w:numId w:val="10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216" w:lineRule="exact"/>
        <w:rPr>
          <w:rFonts w:ascii="Arial" w:cs="Arial" w:eastAsia="Arial" w:hAnsi="Arial"/>
          <w:sz w:val="18"/>
          <w:szCs w:val="18"/>
          <w:color w:val="010000"/>
        </w:rPr>
      </w:pPr>
    </w:p>
    <w:p>
      <w:pPr>
        <w:jc w:val="both"/>
        <w:ind w:left="5" w:firstLine="643"/>
        <w:spacing w:after="0" w:line="316" w:lineRule="auto"/>
        <w:tabs>
          <w:tab w:leader="none" w:pos="1013" w:val="left"/>
        </w:tabs>
        <w:numPr>
          <w:ilvl w:val="1"/>
          <w:numId w:val="10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color w:val="auto"/>
        </w:rPr>
        <w:t>Qualifying Termination</w:t>
      </w:r>
      <w:r>
        <w:rPr>
          <w:rFonts w:ascii="Arial" w:cs="Arial" w:eastAsia="Arial" w:hAnsi="Arial"/>
          <w:sz w:val="17"/>
          <w:szCs w:val="17"/>
          <w:color w:val="auto"/>
        </w:rPr>
        <w:t>” 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99" w:lineRule="exact"/>
        <w:rPr>
          <w:rFonts w:ascii="Arial" w:cs="Arial" w:eastAsia="Arial" w:hAnsi="Arial"/>
          <w:sz w:val="17"/>
          <w:szCs w:val="17"/>
          <w:color w:val="010000"/>
        </w:rPr>
      </w:pPr>
    </w:p>
    <w:p>
      <w:pPr>
        <w:ind w:left="1005" w:hanging="357"/>
        <w:spacing w:after="0"/>
        <w:tabs>
          <w:tab w:leader="none" w:pos="1005" w:val="left"/>
        </w:tabs>
        <w:numPr>
          <w:ilvl w:val="1"/>
          <w:numId w:val="10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65" w:lineRule="exact"/>
        <w:rPr>
          <w:rFonts w:ascii="Arial" w:cs="Arial" w:eastAsia="Arial" w:hAnsi="Arial"/>
          <w:sz w:val="18"/>
          <w:szCs w:val="18"/>
          <w:color w:val="010000"/>
        </w:rPr>
      </w:pPr>
    </w:p>
    <w:p>
      <w:pPr>
        <w:ind w:left="345" w:hanging="345"/>
        <w:spacing w:after="0"/>
        <w:tabs>
          <w:tab w:leader="none" w:pos="345" w:val="left"/>
        </w:tabs>
        <w:numPr>
          <w:ilvl w:val="0"/>
          <w:numId w:val="102"/>
        </w:numPr>
        <w:rPr>
          <w:rFonts w:ascii="Arial" w:cs="Arial" w:eastAsia="Arial" w:hAnsi="Arial"/>
          <w:sz w:val="18"/>
          <w:szCs w:val="18"/>
          <w:color w:val="010000"/>
        </w:rPr>
      </w:pPr>
      <w:r>
        <w:rPr>
          <w:rFonts w:ascii="Arial" w:cs="Arial" w:eastAsia="Arial" w:hAnsi="Arial"/>
          <w:sz w:val="18"/>
          <w:szCs w:val="18"/>
          <w:b w:val="1"/>
          <w:bCs w:val="1"/>
          <w:color w:val="auto"/>
        </w:rPr>
        <w:t>Successors.</w:t>
      </w:r>
    </w:p>
    <w:p>
      <w:pPr>
        <w:spacing w:after="0" w:line="306" w:lineRule="exact"/>
        <w:rPr>
          <w:rFonts w:ascii="Arial" w:cs="Arial" w:eastAsia="Arial" w:hAnsi="Arial"/>
          <w:sz w:val="18"/>
          <w:szCs w:val="18"/>
          <w:color w:val="010000"/>
        </w:rPr>
      </w:pPr>
    </w:p>
    <w:p>
      <w:pPr>
        <w:ind w:left="5" w:right="120" w:firstLine="643"/>
        <w:spacing w:after="0" w:line="318" w:lineRule="auto"/>
        <w:tabs>
          <w:tab w:leader="none" w:pos="1127" w:val="left"/>
        </w:tabs>
        <w:numPr>
          <w:ilvl w:val="1"/>
          <w:numId w:val="102"/>
        </w:numPr>
        <w:rPr>
          <w:rFonts w:ascii="Arial" w:cs="Arial" w:eastAsia="Arial" w:hAnsi="Arial"/>
          <w:sz w:val="18"/>
          <w:szCs w:val="18"/>
          <w:color w:val="010000"/>
        </w:rPr>
      </w:pPr>
      <w:r>
        <w:rPr>
          <w:rFonts w:ascii="Arial" w:cs="Arial" w:eastAsia="Arial" w:hAnsi="Arial"/>
          <w:sz w:val="18"/>
          <w:szCs w:val="18"/>
          <w:b w:val="1"/>
          <w:bCs w:val="1"/>
          <w:color w:val="auto"/>
        </w:rPr>
        <w:t xml:space="preserve">Company’s Successors. </w:t>
      </w:r>
      <w:r>
        <w:rPr>
          <w:rFonts w:ascii="Arial" w:cs="Arial" w:eastAsia="Arial" w:hAnsi="Arial"/>
          <w:sz w:val="18"/>
          <w:szCs w:val="18"/>
          <w:color w:val="auto"/>
        </w:rPr>
        <w:t>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lease, merger, consolidation, liquidation or otherwise) to all or</w:t>
      </w:r>
    </w:p>
    <w:p>
      <w:pPr>
        <w:sectPr>
          <w:pgSz w:w="11900" w:h="16838" w:orient="portrait"/>
          <w:cols w:equalWidth="0" w:num="1">
            <w:col w:w="11125"/>
          </w:cols>
          <w:pgMar w:left="435" w:top="1349" w:right="339" w:bottom="1440" w:gutter="0" w:footer="0" w:header="0"/>
        </w:sectPr>
      </w:pPr>
    </w:p>
    <w:bookmarkStart w:id="129" w:name="page130"/>
    <w:bookmarkEnd w:id="129"/>
    <w:p>
      <w:pPr>
        <w:jc w:val="both"/>
        <w:ind w:left="5"/>
        <w:spacing w:after="0" w:line="318" w:lineRule="auto"/>
        <w:rPr>
          <w:sz w:val="20"/>
          <w:szCs w:val="20"/>
          <w:color w:val="auto"/>
        </w:rPr>
      </w:pPr>
      <w:r>
        <w:rPr>
          <w:rFonts w:ascii="Arial" w:cs="Arial" w:eastAsia="Arial" w:hAnsi="Arial"/>
          <w:sz w:val="18"/>
          <w:szCs w:val="18"/>
          <w:color w:val="auto"/>
        </w:rPr>
        <w:t>substantially all of the Company’s business and/or assets, by an agreement in substance and form satisfactory to the Executive, to assume this Agreement and to agree expressly to perform this Agreement</w:t>
      </w:r>
    </w:p>
    <w:p>
      <w:pPr>
        <w:spacing w:after="0" w:line="5" w:lineRule="exact"/>
        <w:rPr>
          <w:sz w:val="20"/>
          <w:szCs w:val="20"/>
          <w:color w:val="auto"/>
        </w:rPr>
      </w:pPr>
    </w:p>
    <w:p>
      <w:pPr>
        <w:jc w:val="both"/>
        <w:ind w:left="5"/>
        <w:spacing w:after="0" w:line="292" w:lineRule="auto"/>
        <w:rPr>
          <w:sz w:val="20"/>
          <w:szCs w:val="20"/>
          <w:color w:val="auto"/>
        </w:rPr>
      </w:pPr>
      <w:r>
        <w:rPr>
          <w:rFonts w:ascii="Arial" w:cs="Arial" w:eastAsia="Arial" w:hAnsi="Arial"/>
          <w:sz w:val="18"/>
          <w:szCs w:val="18"/>
          <w:color w:val="auto"/>
        </w:rPr>
        <w:t>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217" w:lineRule="exact"/>
        <w:rPr>
          <w:sz w:val="20"/>
          <w:szCs w:val="20"/>
          <w:color w:val="auto"/>
        </w:rPr>
      </w:pPr>
    </w:p>
    <w:p>
      <w:pPr>
        <w:jc w:val="both"/>
        <w:ind w:left="5" w:right="20" w:firstLine="643"/>
        <w:spacing w:after="0" w:line="292" w:lineRule="auto"/>
        <w:tabs>
          <w:tab w:leader="none" w:pos="1154" w:val="left"/>
        </w:tabs>
        <w:numPr>
          <w:ilvl w:val="1"/>
          <w:numId w:val="103"/>
        </w:numPr>
        <w:rPr>
          <w:rFonts w:ascii="Arial" w:cs="Arial" w:eastAsia="Arial" w:hAnsi="Arial"/>
          <w:sz w:val="18"/>
          <w:szCs w:val="18"/>
          <w:color w:val="010000"/>
        </w:rPr>
      </w:pPr>
      <w:r>
        <w:rPr>
          <w:rFonts w:ascii="Arial" w:cs="Arial" w:eastAsia="Arial" w:hAnsi="Arial"/>
          <w:sz w:val="18"/>
          <w:szCs w:val="18"/>
          <w:b w:val="1"/>
          <w:bCs w:val="1"/>
          <w:color w:val="auto"/>
        </w:rPr>
        <w:t xml:space="preserve">Executive’s Successors. </w:t>
      </w:r>
      <w:r>
        <w:rPr>
          <w:rFonts w:ascii="Arial" w:cs="Arial" w:eastAsia="Arial" w:hAnsi="Arial"/>
          <w:sz w:val="18"/>
          <w:szCs w:val="18"/>
          <w:color w:val="auto"/>
        </w:rPr>
        <w:t>This Agreement and all rights of the Executive hereunder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Executive’s personal or legal representatives, executors, administrators, successors, heirs, distributees, devisees and legatees.</w:t>
      </w:r>
    </w:p>
    <w:p>
      <w:pPr>
        <w:spacing w:after="0" w:line="203" w:lineRule="exact"/>
        <w:rPr>
          <w:rFonts w:ascii="Arial" w:cs="Arial" w:eastAsia="Arial" w:hAnsi="Arial"/>
          <w:sz w:val="18"/>
          <w:szCs w:val="18"/>
          <w:color w:val="010000"/>
        </w:rPr>
      </w:pPr>
    </w:p>
    <w:p>
      <w:pPr>
        <w:ind w:left="345" w:hanging="345"/>
        <w:spacing w:after="0"/>
        <w:tabs>
          <w:tab w:leader="none" w:pos="345" w:val="left"/>
        </w:tabs>
        <w:numPr>
          <w:ilvl w:val="0"/>
          <w:numId w:val="104"/>
        </w:numPr>
        <w:rPr>
          <w:rFonts w:ascii="Arial" w:cs="Arial" w:eastAsia="Arial" w:hAnsi="Arial"/>
          <w:sz w:val="18"/>
          <w:szCs w:val="18"/>
          <w:color w:val="010000"/>
        </w:rPr>
      </w:pPr>
      <w:r>
        <w:rPr>
          <w:rFonts w:ascii="Arial" w:cs="Arial" w:eastAsia="Arial" w:hAnsi="Arial"/>
          <w:sz w:val="18"/>
          <w:szCs w:val="18"/>
          <w:b w:val="1"/>
          <w:bCs w:val="1"/>
          <w:color w:val="auto"/>
        </w:rPr>
        <w:t>Golden Parachute Taxes.</w:t>
      </w:r>
    </w:p>
    <w:p>
      <w:pPr>
        <w:spacing w:after="0" w:line="306" w:lineRule="exact"/>
        <w:rPr>
          <w:rFonts w:ascii="Arial" w:cs="Arial" w:eastAsia="Arial" w:hAnsi="Arial"/>
          <w:sz w:val="18"/>
          <w:szCs w:val="18"/>
          <w:color w:val="010000"/>
        </w:rPr>
      </w:pPr>
    </w:p>
    <w:p>
      <w:pPr>
        <w:jc w:val="both"/>
        <w:ind w:left="5" w:firstLine="643"/>
        <w:spacing w:after="0" w:line="278" w:lineRule="auto"/>
        <w:tabs>
          <w:tab w:leader="none" w:pos="1127" w:val="left"/>
        </w:tabs>
        <w:numPr>
          <w:ilvl w:val="1"/>
          <w:numId w:val="104"/>
        </w:numPr>
        <w:rPr>
          <w:rFonts w:ascii="Arial" w:cs="Arial" w:eastAsia="Arial" w:hAnsi="Arial"/>
          <w:sz w:val="18"/>
          <w:szCs w:val="18"/>
          <w:color w:val="010000"/>
        </w:rPr>
      </w:pPr>
      <w:r>
        <w:rPr>
          <w:rFonts w:ascii="Arial" w:cs="Arial" w:eastAsia="Arial" w:hAnsi="Arial"/>
          <w:sz w:val="18"/>
          <w:szCs w:val="18"/>
          <w:b w:val="1"/>
          <w:bCs w:val="1"/>
          <w:color w:val="auto"/>
        </w:rPr>
        <w:t xml:space="preserve">Best After-Tax Result. </w:t>
      </w:r>
      <w:r>
        <w:rPr>
          <w:rFonts w:ascii="Arial" w:cs="Arial" w:eastAsia="Arial" w:hAnsi="Arial"/>
          <w:sz w:val="18"/>
          <w:szCs w:val="18"/>
          <w:color w:val="auto"/>
        </w:rPr>
        <w:t>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Tax Counsel</w:t>
      </w:r>
      <w:r>
        <w:rPr>
          <w:rFonts w:ascii="Arial" w:cs="Arial" w:eastAsia="Arial" w:hAnsi="Arial"/>
          <w:sz w:val="18"/>
          <w:szCs w:val="18"/>
          <w:color w:val="auto"/>
        </w:rPr>
        <w:t>”), whose determination shall be conclusive and binding upon Executive and the Company for all purposes.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8(b) hereof shall apply, and the enforcement of Section 8(b) shall be the exclusive remedy to the Company.</w:t>
      </w:r>
    </w:p>
    <w:p>
      <w:pPr>
        <w:spacing w:after="0" w:line="232" w:lineRule="exact"/>
        <w:rPr>
          <w:rFonts w:ascii="Arial" w:cs="Arial" w:eastAsia="Arial" w:hAnsi="Arial"/>
          <w:sz w:val="18"/>
          <w:szCs w:val="18"/>
          <w:color w:val="010000"/>
        </w:rPr>
      </w:pPr>
    </w:p>
    <w:p>
      <w:pPr>
        <w:jc w:val="both"/>
        <w:ind w:left="5" w:firstLine="643"/>
        <w:spacing w:after="0" w:line="291" w:lineRule="auto"/>
        <w:tabs>
          <w:tab w:leader="none" w:pos="1113" w:val="left"/>
        </w:tabs>
        <w:numPr>
          <w:ilvl w:val="1"/>
          <w:numId w:val="104"/>
        </w:numPr>
        <w:rPr>
          <w:rFonts w:ascii="Arial" w:cs="Arial" w:eastAsia="Arial" w:hAnsi="Arial"/>
          <w:sz w:val="18"/>
          <w:szCs w:val="18"/>
          <w:color w:val="010000"/>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If, notwithstanding any reduction described in Section 8(a) hereof (or in the absence of any such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w:t>
      </w:r>
    </w:p>
    <w:p>
      <w:pPr>
        <w:sectPr>
          <w:pgSz w:w="11900" w:h="16838" w:orient="portrait"/>
          <w:cols w:equalWidth="0" w:num="1">
            <w:col w:w="11025"/>
          </w:cols>
          <w:pgMar w:left="435" w:top="1349" w:right="439" w:bottom="1440" w:gutter="0" w:footer="0" w:header="0"/>
        </w:sectPr>
      </w:pPr>
    </w:p>
    <w:bookmarkStart w:id="130" w:name="page131"/>
    <w:bookmarkEnd w:id="130"/>
    <w:p>
      <w:pPr>
        <w:jc w:val="both"/>
        <w:ind w:left="4" w:right="80"/>
        <w:spacing w:after="0" w:line="282" w:lineRule="auto"/>
        <w:rPr>
          <w:sz w:val="20"/>
          <w:szCs w:val="20"/>
          <w:color w:val="auto"/>
        </w:rPr>
      </w:pPr>
      <w:r>
        <w:rPr>
          <w:rFonts w:ascii="Arial" w:cs="Arial" w:eastAsia="Arial" w:hAnsi="Arial"/>
          <w:sz w:val="18"/>
          <w:szCs w:val="18"/>
          <w:color w:val="auto"/>
        </w:rPr>
        <w:t>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201" w:lineRule="exact"/>
        <w:rPr>
          <w:sz w:val="20"/>
          <w:szCs w:val="20"/>
          <w:color w:val="auto"/>
        </w:rPr>
      </w:pPr>
    </w:p>
    <w:p>
      <w:pPr>
        <w:ind w:left="344" w:hanging="344"/>
        <w:spacing w:after="0"/>
        <w:tabs>
          <w:tab w:leader="none" w:pos="344" w:val="left"/>
        </w:tabs>
        <w:numPr>
          <w:ilvl w:val="0"/>
          <w:numId w:val="105"/>
        </w:numPr>
        <w:rPr>
          <w:rFonts w:ascii="Arial" w:cs="Arial" w:eastAsia="Arial" w:hAnsi="Arial"/>
          <w:sz w:val="18"/>
          <w:szCs w:val="18"/>
          <w:color w:val="010000"/>
        </w:rPr>
      </w:pPr>
      <w:r>
        <w:rPr>
          <w:rFonts w:ascii="Arial" w:cs="Arial" w:eastAsia="Arial" w:hAnsi="Arial"/>
          <w:sz w:val="18"/>
          <w:szCs w:val="18"/>
          <w:b w:val="1"/>
          <w:bCs w:val="1"/>
          <w:color w:val="auto"/>
        </w:rPr>
        <w:t>Miscellaneous Provisions.</w:t>
      </w:r>
    </w:p>
    <w:p>
      <w:pPr>
        <w:spacing w:after="0" w:line="306" w:lineRule="exact"/>
        <w:rPr>
          <w:rFonts w:ascii="Arial" w:cs="Arial" w:eastAsia="Arial" w:hAnsi="Arial"/>
          <w:sz w:val="18"/>
          <w:szCs w:val="18"/>
          <w:color w:val="010000"/>
        </w:rPr>
      </w:pPr>
    </w:p>
    <w:p>
      <w:pPr>
        <w:jc w:val="both"/>
        <w:ind w:left="4" w:firstLine="643"/>
        <w:spacing w:after="0" w:line="281" w:lineRule="auto"/>
        <w:tabs>
          <w:tab w:leader="none" w:pos="1098" w:val="left"/>
        </w:tabs>
        <w:numPr>
          <w:ilvl w:val="1"/>
          <w:numId w:val="105"/>
        </w:numPr>
        <w:rPr>
          <w:rFonts w:ascii="Arial" w:cs="Arial" w:eastAsia="Arial" w:hAnsi="Arial"/>
          <w:sz w:val="18"/>
          <w:szCs w:val="18"/>
          <w:color w:val="010000"/>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To the extent (i) any payments to which Executive becomes entitled under this Agreement, or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plan referenced herein, in connection with Executive’s termination of employment with the Company constitute deferred compensation subject to Section 409A of the Code and</w:t>
      </w:r>
    </w:p>
    <w:p>
      <w:pPr>
        <w:spacing w:after="0" w:line="1" w:lineRule="exact"/>
        <w:rPr>
          <w:rFonts w:ascii="Arial" w:cs="Arial" w:eastAsia="Arial" w:hAnsi="Arial"/>
          <w:sz w:val="18"/>
          <w:szCs w:val="18"/>
          <w:color w:val="010000"/>
        </w:rPr>
      </w:pPr>
    </w:p>
    <w:p>
      <w:pPr>
        <w:jc w:val="both"/>
        <w:ind w:left="4" w:right="80"/>
        <w:spacing w:after="0" w:line="278" w:lineRule="auto"/>
        <w:rPr>
          <w:rFonts w:ascii="Arial" w:cs="Arial" w:eastAsia="Arial" w:hAnsi="Arial"/>
          <w:sz w:val="18"/>
          <w:szCs w:val="18"/>
          <w:color w:val="010000"/>
        </w:rPr>
      </w:pPr>
      <w:r>
        <w:rPr>
          <w:rFonts w:ascii="Arial" w:cs="Arial" w:eastAsia="Arial" w:hAnsi="Arial"/>
          <w:sz w:val="18"/>
          <w:szCs w:val="18"/>
          <w:color w:val="auto"/>
        </w:rPr>
        <w:t xml:space="preserve">(ii)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240" w:lineRule="exact"/>
        <w:rPr>
          <w:rFonts w:ascii="Arial" w:cs="Arial" w:eastAsia="Arial" w:hAnsi="Arial"/>
          <w:sz w:val="18"/>
          <w:szCs w:val="18"/>
          <w:color w:val="010000"/>
        </w:rPr>
      </w:pPr>
    </w:p>
    <w:p>
      <w:pPr>
        <w:jc w:val="both"/>
        <w:ind w:left="4" w:right="80" w:firstLine="643"/>
        <w:spacing w:after="0" w:line="280" w:lineRule="auto"/>
        <w:tabs>
          <w:tab w:leader="none" w:pos="1179" w:val="left"/>
        </w:tabs>
        <w:numPr>
          <w:ilvl w:val="1"/>
          <w:numId w:val="105"/>
        </w:numPr>
        <w:rPr>
          <w:rFonts w:ascii="Arial" w:cs="Arial" w:eastAsia="Arial" w:hAnsi="Arial"/>
          <w:sz w:val="18"/>
          <w:szCs w:val="18"/>
          <w:color w:val="010000"/>
        </w:rPr>
      </w:pPr>
      <w:r>
        <w:rPr>
          <w:rFonts w:ascii="Arial" w:cs="Arial" w:eastAsia="Arial" w:hAnsi="Arial"/>
          <w:sz w:val="18"/>
          <w:szCs w:val="18"/>
          <w:b w:val="1"/>
          <w:bCs w:val="1"/>
          <w:color w:val="auto"/>
        </w:rPr>
        <w:t xml:space="preserve">Other Arrangements. </w:t>
      </w:r>
      <w:r>
        <w:rPr>
          <w:rFonts w:ascii="Arial" w:cs="Arial" w:eastAsia="Arial" w:hAnsi="Arial"/>
          <w:sz w:val="18"/>
          <w:szCs w:val="18"/>
          <w:color w:val="auto"/>
        </w:rPr>
        <w:t>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agreement governing Equity 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ectPr>
          <w:pgSz w:w="11900" w:h="16838" w:orient="portrait"/>
          <w:cols w:equalWidth="0" w:num="1">
            <w:col w:w="11104"/>
          </w:cols>
          <w:pgMar w:left="436" w:top="1430" w:right="359" w:bottom="1440" w:gutter="0" w:footer="0" w:header="0"/>
        </w:sectPr>
      </w:pPr>
    </w:p>
    <w:bookmarkStart w:id="131" w:name="page132"/>
    <w:bookmarkEnd w:id="131"/>
    <w:p>
      <w:pPr>
        <w:jc w:val="both"/>
        <w:ind w:left="-643" w:firstLine="643"/>
        <w:spacing w:after="0" w:line="285" w:lineRule="auto"/>
        <w:tabs>
          <w:tab w:leader="none" w:pos="415"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209" w:lineRule="exact"/>
        <w:rPr>
          <w:rFonts w:ascii="Arial" w:cs="Arial" w:eastAsia="Arial" w:hAnsi="Arial"/>
          <w:sz w:val="18"/>
          <w:szCs w:val="18"/>
          <w:color w:val="010000"/>
        </w:rPr>
      </w:pPr>
    </w:p>
    <w:p>
      <w:pPr>
        <w:jc w:val="both"/>
        <w:ind w:left="-643" w:right="100" w:firstLine="643"/>
        <w:spacing w:after="0" w:line="282" w:lineRule="auto"/>
        <w:tabs>
          <w:tab w:leader="none" w:pos="479"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228" w:lineRule="exact"/>
        <w:rPr>
          <w:rFonts w:ascii="Arial" w:cs="Arial" w:eastAsia="Arial" w:hAnsi="Arial"/>
          <w:sz w:val="18"/>
          <w:szCs w:val="18"/>
          <w:color w:val="010000"/>
        </w:rPr>
      </w:pPr>
    </w:p>
    <w:p>
      <w:pPr>
        <w:jc w:val="both"/>
        <w:ind w:left="-643" w:firstLine="643"/>
        <w:spacing w:after="0" w:line="288" w:lineRule="auto"/>
        <w:tabs>
          <w:tab w:leader="none" w:pos="425"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7" w:lineRule="exact"/>
        <w:rPr>
          <w:rFonts w:ascii="Arial" w:cs="Arial" w:eastAsia="Arial" w:hAnsi="Arial"/>
          <w:sz w:val="18"/>
          <w:szCs w:val="18"/>
          <w:color w:val="010000"/>
        </w:rPr>
      </w:pPr>
    </w:p>
    <w:p>
      <w:pPr>
        <w:ind w:left="-643" w:right="120" w:firstLine="643"/>
        <w:spacing w:after="0" w:line="318" w:lineRule="auto"/>
        <w:tabs>
          <w:tab w:leader="none" w:pos="401"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180" w:lineRule="exact"/>
        <w:rPr>
          <w:rFonts w:ascii="Arial" w:cs="Arial" w:eastAsia="Arial" w:hAnsi="Arial"/>
          <w:sz w:val="18"/>
          <w:szCs w:val="18"/>
          <w:color w:val="010000"/>
        </w:rPr>
      </w:pPr>
    </w:p>
    <w:p>
      <w:pPr>
        <w:ind w:left="-643" w:right="120" w:firstLine="643"/>
        <w:spacing w:after="0" w:line="318" w:lineRule="auto"/>
        <w:tabs>
          <w:tab w:leader="none" w:pos="437"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193" w:lineRule="exact"/>
        <w:rPr>
          <w:rFonts w:ascii="Arial" w:cs="Arial" w:eastAsia="Arial" w:hAnsi="Arial"/>
          <w:sz w:val="18"/>
          <w:szCs w:val="18"/>
          <w:color w:val="010000"/>
        </w:rPr>
      </w:pPr>
    </w:p>
    <w:p>
      <w:pPr>
        <w:jc w:val="both"/>
        <w:ind w:left="-643" w:firstLine="643"/>
        <w:spacing w:after="0" w:line="288" w:lineRule="auto"/>
        <w:tabs>
          <w:tab w:leader="none" w:pos="506"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No Retention Rights. </w:t>
      </w:r>
      <w:r>
        <w:rPr>
          <w:rFonts w:ascii="Arial" w:cs="Arial" w:eastAsia="Arial" w:hAnsi="Arial"/>
          <w:sz w:val="18"/>
          <w:szCs w:val="18"/>
          <w:color w:val="auto"/>
        </w:rPr>
        <w:t>Nothing in this Agreement shall confer upon the Executive any right to continue in service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207" w:lineRule="exact"/>
        <w:rPr>
          <w:rFonts w:ascii="Arial" w:cs="Arial" w:eastAsia="Arial" w:hAnsi="Arial"/>
          <w:sz w:val="18"/>
          <w:szCs w:val="18"/>
          <w:color w:val="010000"/>
        </w:rPr>
      </w:pPr>
    </w:p>
    <w:p>
      <w:pPr>
        <w:ind w:left="-643" w:firstLine="643"/>
        <w:spacing w:after="0" w:line="318" w:lineRule="auto"/>
        <w:tabs>
          <w:tab w:leader="none" w:pos="392" w:val="left"/>
        </w:tabs>
        <w:numPr>
          <w:ilvl w:val="0"/>
          <w:numId w:val="106"/>
        </w:numPr>
        <w:rPr>
          <w:rFonts w:ascii="Arial" w:cs="Arial" w:eastAsia="Arial" w:hAnsi="Arial"/>
          <w:sz w:val="18"/>
          <w:szCs w:val="18"/>
          <w:color w:val="010000"/>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validity, interpretation, construction and performance of this Agreement shall be governed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Washington (other than its choice-of-law provisions).</w:t>
      </w:r>
    </w:p>
    <w:p>
      <w:pPr>
        <w:sectPr>
          <w:pgSz w:w="11900" w:h="16838" w:orient="portrait"/>
          <w:cols w:equalWidth="0" w:num="1">
            <w:col w:w="10477"/>
          </w:cols>
          <w:pgMar w:left="1083" w:top="1349" w:right="339" w:bottom="1440" w:gutter="0" w:footer="0" w:header="0"/>
        </w:sectPr>
      </w:pPr>
    </w:p>
    <w:bookmarkStart w:id="132" w:name="page133"/>
    <w:bookmarkEnd w:id="132"/>
    <w:p>
      <w:pPr>
        <w:ind w:firstLine="648"/>
        <w:spacing w:after="0" w:line="318"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943610</wp:posOffset>
            </wp:positionV>
            <wp:extent cx="4191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ectPr>
          <w:pgSz w:w="11900" w:h="16838" w:orient="portrait"/>
          <w:cols w:equalWidth="0" w:num="1">
            <w:col w:w="10640"/>
          </w:cols>
          <w:pgMar w:left="440" w:top="1349" w:right="819" w:bottom="1440" w:gutter="0" w:footer="0" w:header="0"/>
        </w:sectPr>
      </w:pPr>
    </w:p>
    <w:bookmarkStart w:id="133" w:name="page134"/>
    <w:bookmarkEnd w:id="1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Form for Non-Founder Executive Officers</w:t>
      </w:r>
    </w:p>
    <w:p>
      <w:pPr>
        <w:spacing w:after="0" w:line="200" w:lineRule="exact"/>
        <w:rPr>
          <w:sz w:val="20"/>
          <w:szCs w:val="20"/>
          <w:color w:val="auto"/>
        </w:rPr>
      </w:pPr>
    </w:p>
    <w:p>
      <w:pPr>
        <w:spacing w:after="0" w:line="322" w:lineRule="exact"/>
        <w:rPr>
          <w:sz w:val="20"/>
          <w:szCs w:val="20"/>
          <w:color w:val="auto"/>
        </w:rPr>
      </w:pPr>
    </w:p>
    <w:tbl>
      <w:tblPr>
        <w:tblLayout w:type="fixed"/>
        <w:tblInd w:w="5" w:type="dxa"/>
        <w:tblCellMar>
          <w:top w:w="0" w:type="dxa"/>
          <w:left w:w="0" w:type="dxa"/>
          <w:bottom w:w="0" w:type="dxa"/>
          <w:right w:w="0" w:type="dxa"/>
        </w:tblCellMar>
      </w:tblPr>
      <w:tr>
        <w:trPr>
          <w:trHeight w:val="247"/>
        </w:trPr>
        <w:tc>
          <w:tcPr>
            <w:tcW w:w="8920" w:type="dxa"/>
            <w:vAlign w:val="bottom"/>
            <w:gridSpan w:val="3"/>
          </w:tcPr>
          <w:p>
            <w:pPr>
              <w:ind w:left="3560"/>
              <w:spacing w:after="0"/>
              <w:rPr>
                <w:sz w:val="20"/>
                <w:szCs w:val="20"/>
                <w:color w:val="auto"/>
              </w:rPr>
            </w:pPr>
            <w:r>
              <w:rPr>
                <w:rFonts w:ascii="Arial" w:cs="Arial" w:eastAsia="Arial" w:hAnsi="Arial"/>
                <w:sz w:val="18"/>
                <w:szCs w:val="18"/>
                <w:b w:val="1"/>
                <w:bCs w:val="1"/>
                <w:color w:val="auto"/>
              </w:rPr>
              <w:t>Change in Control and Severance Agreement</w:t>
            </w: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717"/>
        </w:trPr>
        <w:tc>
          <w:tcPr>
            <w:tcW w:w="8920" w:type="dxa"/>
            <w:vAlign w:val="bottom"/>
            <w:gridSpan w:val="3"/>
          </w:tcPr>
          <w:p>
            <w:pPr>
              <w:ind w:left="640"/>
              <w:spacing w:after="0"/>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w:t>
            </w:r>
          </w:p>
        </w:tc>
        <w:tc>
          <w:tcPr>
            <w:tcW w:w="260" w:type="dxa"/>
            <w:vAlign w:val="bottom"/>
            <w:tcBorders>
              <w:bottom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 and</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Remitly Global,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effective as of</w:t>
            </w:r>
          </w:p>
        </w:tc>
        <w:tc>
          <w:tcPr>
            <w:tcW w:w="400" w:type="dxa"/>
            <w:vAlign w:val="bottom"/>
            <w:tcBorders>
              <w:bottom w:val="single" w:sz="8" w:color="auto"/>
            </w:tcBorders>
          </w:tcPr>
          <w:p>
            <w:pPr>
              <w:spacing w:after="0"/>
              <w:rPr>
                <w:sz w:val="19"/>
                <w:szCs w:val="19"/>
                <w:color w:val="auto"/>
              </w:rPr>
            </w:pPr>
          </w:p>
        </w:tc>
        <w:tc>
          <w:tcPr>
            <w:tcW w:w="2340" w:type="dxa"/>
            <w:vAlign w:val="bottom"/>
          </w:tcPr>
          <w:p>
            <w:pPr>
              <w:ind w:left="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65" w:lineRule="exact"/>
        <w:rPr>
          <w:sz w:val="20"/>
          <w:szCs w:val="20"/>
          <w:color w:val="auto"/>
        </w:rPr>
      </w:pPr>
    </w:p>
    <w:p>
      <w:pPr>
        <w:ind w:left="5"/>
        <w:spacing w:after="0"/>
        <w:tabs>
          <w:tab w:leader="none" w:pos="325" w:val="left"/>
        </w:tabs>
        <w:rPr>
          <w:sz w:val="20"/>
          <w:szCs w:val="20"/>
          <w:color w:val="auto"/>
        </w:rPr>
      </w:pPr>
      <w:r>
        <w:rPr>
          <w:rFonts w:ascii="Arial" w:cs="Arial" w:eastAsia="Arial" w:hAnsi="Arial"/>
          <w:sz w:val="18"/>
          <w:szCs w:val="18"/>
          <w:color w:val="010000"/>
        </w:rPr>
        <w:t>1.</w:t>
      </w:r>
      <w:r>
        <w:rPr>
          <w:sz w:val="20"/>
          <w:szCs w:val="20"/>
          <w:color w:val="auto"/>
        </w:rPr>
        <w:tab/>
      </w:r>
      <w:r>
        <w:rPr>
          <w:rFonts w:ascii="Arial" w:cs="Arial" w:eastAsia="Arial" w:hAnsi="Arial"/>
          <w:sz w:val="18"/>
          <w:szCs w:val="18"/>
          <w:b w:val="1"/>
          <w:bCs w:val="1"/>
          <w:color w:val="auto"/>
        </w:rPr>
        <w:t>Term of Agreement.</w:t>
      </w:r>
    </w:p>
    <w:p>
      <w:pPr>
        <w:spacing w:after="0" w:line="306" w:lineRule="exact"/>
        <w:rPr>
          <w:sz w:val="20"/>
          <w:szCs w:val="20"/>
          <w:color w:val="auto"/>
        </w:rPr>
      </w:pPr>
    </w:p>
    <w:p>
      <w:pPr>
        <w:jc w:val="both"/>
        <w:ind w:left="5" w:right="100" w:firstLine="648"/>
        <w:spacing w:after="0" w:line="288" w:lineRule="auto"/>
        <w:rPr>
          <w:sz w:val="20"/>
          <w:szCs w:val="20"/>
          <w:color w:val="auto"/>
        </w:rPr>
      </w:pPr>
      <w:r>
        <w:rPr>
          <w:rFonts w:ascii="Arial" w:cs="Arial" w:eastAsia="Arial" w:hAnsi="Arial"/>
          <w:sz w:val="18"/>
          <w:szCs w:val="18"/>
          <w:color w:val="auto"/>
        </w:rPr>
        <w:t>This Agreement shall terminate the earlier of the second (2)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this Agreement shall remain in effect through the earlier of:</w:t>
      </w:r>
    </w:p>
    <w:p>
      <w:pPr>
        <w:spacing w:after="0" w:line="208" w:lineRule="exact"/>
        <w:rPr>
          <w:sz w:val="20"/>
          <w:szCs w:val="20"/>
          <w:color w:val="auto"/>
        </w:rPr>
      </w:pPr>
    </w:p>
    <w:p>
      <w:pPr>
        <w:ind w:left="5" w:right="120" w:firstLine="643"/>
        <w:spacing w:after="0" w:line="318" w:lineRule="auto"/>
        <w:tabs>
          <w:tab w:leader="none" w:pos="110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80" w:lineRule="exact"/>
        <w:rPr>
          <w:rFonts w:ascii="Arial" w:cs="Arial" w:eastAsia="Arial" w:hAnsi="Arial"/>
          <w:sz w:val="18"/>
          <w:szCs w:val="18"/>
          <w:color w:val="010000"/>
        </w:rPr>
      </w:pPr>
    </w:p>
    <w:p>
      <w:pPr>
        <w:ind w:left="5" w:right="120" w:firstLine="643"/>
        <w:spacing w:after="0" w:line="318" w:lineRule="auto"/>
        <w:tabs>
          <w:tab w:leader="none" w:pos="1208"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94" w:lineRule="exact"/>
        <w:rPr>
          <w:sz w:val="20"/>
          <w:szCs w:val="20"/>
          <w:color w:val="auto"/>
        </w:rPr>
      </w:pPr>
    </w:p>
    <w:p>
      <w:pPr>
        <w:ind w:left="5" w:right="120" w:firstLine="648"/>
        <w:spacing w:after="0" w:line="273" w:lineRule="auto"/>
        <w:rPr>
          <w:sz w:val="20"/>
          <w:szCs w:val="20"/>
          <w:color w:val="auto"/>
        </w:rPr>
      </w:pPr>
      <w:r>
        <w:rPr>
          <w:rFonts w:ascii="Arial" w:cs="Arial" w:eastAsia="Arial" w:hAnsi="Arial"/>
          <w:sz w:val="18"/>
          <w:szCs w:val="18"/>
          <w:color w:val="auto"/>
        </w:rPr>
        <w:t>This Agreement shall renew automatically and continue in effect for two (2) year periods measured from the initial Expiration Date, unless the Company provides Executive notice of non-renewal at least three</w:t>
      </w:r>
    </w:p>
    <w:p>
      <w:pPr>
        <w:spacing w:after="0" w:line="2" w:lineRule="exact"/>
        <w:rPr>
          <w:sz w:val="20"/>
          <w:szCs w:val="20"/>
          <w:color w:val="auto"/>
        </w:rPr>
      </w:pPr>
    </w:p>
    <w:p>
      <w:pPr>
        <w:jc w:val="both"/>
        <w:ind w:left="5" w:right="120" w:hanging="5"/>
        <w:spacing w:after="0" w:line="292" w:lineRule="auto"/>
        <w:tabs>
          <w:tab w:leader="none" w:pos="2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217" w:lineRule="exact"/>
        <w:rPr>
          <w:sz w:val="20"/>
          <w:szCs w:val="20"/>
          <w:color w:val="auto"/>
        </w:rPr>
      </w:pPr>
    </w:p>
    <w:p>
      <w:pPr>
        <w:ind w:left="5" w:right="1000" w:hanging="5"/>
        <w:spacing w:after="0" w:line="318" w:lineRule="auto"/>
        <w:tabs>
          <w:tab w:leader="none" w:pos="355" w:val="left"/>
        </w:tabs>
        <w:numPr>
          <w:ilvl w:val="0"/>
          <w:numId w:val="109"/>
        </w:numPr>
        <w:rPr>
          <w:rFonts w:ascii="Arial" w:cs="Arial" w:eastAsia="Arial" w:hAnsi="Arial"/>
          <w:sz w:val="18"/>
          <w:szCs w:val="18"/>
          <w:color w:val="010000"/>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If the Executive is subject to a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180" w:lineRule="exact"/>
        <w:rPr>
          <w:rFonts w:ascii="Arial" w:cs="Arial" w:eastAsia="Arial" w:hAnsi="Arial"/>
          <w:sz w:val="18"/>
          <w:szCs w:val="18"/>
          <w:color w:val="010000"/>
        </w:rPr>
      </w:pPr>
    </w:p>
    <w:p>
      <w:pPr>
        <w:jc w:val="both"/>
        <w:ind w:left="5" w:firstLine="642"/>
        <w:spacing w:after="0" w:line="288" w:lineRule="auto"/>
        <w:tabs>
          <w:tab w:leader="none" w:pos="1072" w:val="left"/>
        </w:tabs>
        <w:numPr>
          <w:ilvl w:val="1"/>
          <w:numId w:val="109"/>
        </w:numPr>
        <w:rPr>
          <w:rFonts w:ascii="Arial" w:cs="Arial" w:eastAsia="Arial" w:hAnsi="Arial"/>
          <w:sz w:val="18"/>
          <w:szCs w:val="18"/>
          <w:color w:val="010000"/>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The Company shall pay the Executive six (6) months of his/her monthly base salary (at the rate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21" w:lineRule="exact"/>
        <w:rPr>
          <w:rFonts w:ascii="Arial" w:cs="Arial" w:eastAsia="Arial" w:hAnsi="Arial"/>
          <w:sz w:val="18"/>
          <w:szCs w:val="18"/>
          <w:color w:val="010000"/>
        </w:rPr>
      </w:pPr>
    </w:p>
    <w:p>
      <w:pPr>
        <w:jc w:val="both"/>
        <w:ind w:left="5" w:firstLine="643"/>
        <w:spacing w:after="0" w:line="282" w:lineRule="auto"/>
        <w:tabs>
          <w:tab w:leader="none" w:pos="1194" w:val="left"/>
        </w:tabs>
        <w:numPr>
          <w:ilvl w:val="1"/>
          <w:numId w:val="109"/>
        </w:numPr>
        <w:rPr>
          <w:rFonts w:ascii="Arial" w:cs="Arial" w:eastAsia="Arial" w:hAnsi="Arial"/>
          <w:sz w:val="18"/>
          <w:szCs w:val="18"/>
          <w:color w:val="010000"/>
        </w:rPr>
      </w:pPr>
      <w:r>
        <w:rPr>
          <w:rFonts w:ascii="Arial" w:cs="Arial" w:eastAsia="Arial" w:hAnsi="Arial"/>
          <w:sz w:val="18"/>
          <w:szCs w:val="18"/>
          <w:b w:val="1"/>
          <w:bCs w:val="1"/>
          <w:color w:val="auto"/>
        </w:rPr>
        <w:t xml:space="preserve">Continued Employee Benefits. </w:t>
      </w:r>
      <w:r>
        <w:rPr>
          <w:rFonts w:ascii="Arial" w:cs="Arial" w:eastAsia="Arial" w:hAnsi="Arial"/>
          <w:sz w:val="18"/>
          <w:szCs w:val="18"/>
          <w:color w:val="auto"/>
        </w:rPr>
        <w:t>If Executive timely elects continued coverage under the Consolidated Omnibus Budget</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Act (“</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w:t>
      </w:r>
    </w:p>
    <w:p>
      <w:pPr>
        <w:spacing w:after="0" w:line="39" w:lineRule="exact"/>
        <w:rPr>
          <w:sz w:val="20"/>
          <w:szCs w:val="20"/>
          <w:color w:val="auto"/>
        </w:rPr>
      </w:pPr>
    </w:p>
    <w:p>
      <w:pPr>
        <w:jc w:val="both"/>
        <w:ind w:left="5" w:right="100"/>
        <w:spacing w:after="0" w:line="292" w:lineRule="auto"/>
        <w:rPr>
          <w:sz w:val="20"/>
          <w:szCs w:val="20"/>
          <w:color w:val="auto"/>
        </w:rPr>
      </w:pPr>
      <w:r>
        <w:rPr>
          <w:rFonts w:ascii="Arial" w:cs="Arial" w:eastAsia="Arial" w:hAnsi="Arial"/>
          <w:sz w:val="18"/>
          <w:szCs w:val="18"/>
          <w:color w:val="auto"/>
        </w:rPr>
        <w:t>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w:t>
      </w:r>
    </w:p>
    <w:p>
      <w:pPr>
        <w:sectPr>
          <w:pgSz w:w="11900" w:h="16838" w:orient="portrait"/>
          <w:cols w:equalWidth="0" w:num="1">
            <w:col w:w="11125"/>
          </w:cols>
          <w:pgMar w:left="435" w:top="1322" w:right="339" w:bottom="1440" w:gutter="0" w:footer="0" w:header="0"/>
        </w:sectPr>
      </w:pPr>
    </w:p>
    <w:bookmarkStart w:id="135" w:name="page136"/>
    <w:bookmarkEnd w:id="135"/>
    <w:p>
      <w:pPr>
        <w:ind w:left="5" w:right="40"/>
        <w:spacing w:after="0" w:line="273" w:lineRule="auto"/>
        <w:rPr>
          <w:sz w:val="20"/>
          <w:szCs w:val="20"/>
          <w:color w:val="auto"/>
        </w:rPr>
      </w:pPr>
      <w:r>
        <w:rPr>
          <w:rFonts w:ascii="Arial" w:cs="Arial" w:eastAsia="Arial" w:hAnsi="Arial"/>
          <w:sz w:val="18"/>
          <w:szCs w:val="18"/>
          <w:color w:val="auto"/>
        </w:rPr>
        <w:t>coverage in effect on the date of the Separation (which amount shall be based on the premium for the first month of COBRA coverage), which payments shall be made regardless of whether Executive elects COBRA continuation coverage and shall commence on the later of</w:t>
      </w:r>
    </w:p>
    <w:p>
      <w:pPr>
        <w:spacing w:after="0" w:line="2" w:lineRule="exact"/>
        <w:rPr>
          <w:sz w:val="20"/>
          <w:szCs w:val="20"/>
          <w:color w:val="auto"/>
        </w:rPr>
      </w:pPr>
    </w:p>
    <w:p>
      <w:pPr>
        <w:jc w:val="both"/>
        <w:ind w:left="5" w:right="40" w:hanging="5"/>
        <w:spacing w:after="0" w:line="280" w:lineRule="auto"/>
        <w:tabs>
          <w:tab w:leader="none" w:pos="22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any taxable payments under Section 2(b) will not be paid before the first business day occurring after the sixtieth (60</w:t>
      </w:r>
      <w:r>
        <w:rPr>
          <w:rFonts w:ascii="Arial" w:cs="Arial" w:eastAsia="Arial" w:hAnsi="Arial"/>
          <w:sz w:val="11"/>
          <w:szCs w:val="11"/>
          <w:color w:val="auto"/>
        </w:rPr>
        <w:t>th</w:t>
      </w:r>
      <w:r>
        <w:rPr>
          <w:rFonts w:ascii="Arial" w:cs="Arial" w:eastAsia="Arial" w:hAnsi="Arial"/>
          <w:sz w:val="18"/>
          <w:szCs w:val="18"/>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231" w:lineRule="exact"/>
        <w:rPr>
          <w:sz w:val="20"/>
          <w:szCs w:val="20"/>
          <w:color w:val="auto"/>
        </w:rPr>
      </w:pPr>
    </w:p>
    <w:p>
      <w:pPr>
        <w:ind w:left="5" w:right="220" w:hanging="5"/>
        <w:spacing w:after="0" w:line="318" w:lineRule="auto"/>
        <w:tabs>
          <w:tab w:leader="none" w:pos="355" w:val="left"/>
        </w:tabs>
        <w:numPr>
          <w:ilvl w:val="0"/>
          <w:numId w:val="111"/>
        </w:numPr>
        <w:rPr>
          <w:rFonts w:ascii="Arial" w:cs="Arial" w:eastAsia="Arial" w:hAnsi="Arial"/>
          <w:sz w:val="18"/>
          <w:szCs w:val="18"/>
          <w:color w:val="010000"/>
        </w:rPr>
      </w:pPr>
      <w:r>
        <w:rPr>
          <w:rFonts w:ascii="Arial" w:cs="Arial" w:eastAsia="Arial" w:hAnsi="Arial"/>
          <w:sz w:val="18"/>
          <w:szCs w:val="18"/>
          <w:b w:val="1"/>
          <w:bCs w:val="1"/>
          <w:color w:val="auto"/>
        </w:rPr>
        <w:t xml:space="preserve">CIC Qualifying Termination. </w:t>
      </w:r>
      <w:r>
        <w:rPr>
          <w:rFonts w:ascii="Arial" w:cs="Arial" w:eastAsia="Arial" w:hAnsi="Arial"/>
          <w:sz w:val="18"/>
          <w:szCs w:val="18"/>
          <w:color w:val="auto"/>
        </w:rPr>
        <w:t>If the Executive is subject to a CIC Qualifying Termination, then, subject to Sections 4, 8, and 9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w:t>
      </w:r>
    </w:p>
    <w:p>
      <w:pPr>
        <w:spacing w:after="0" w:line="180" w:lineRule="exact"/>
        <w:rPr>
          <w:rFonts w:ascii="Arial" w:cs="Arial" w:eastAsia="Arial" w:hAnsi="Arial"/>
          <w:sz w:val="18"/>
          <w:szCs w:val="18"/>
          <w:color w:val="010000"/>
        </w:rPr>
      </w:pPr>
    </w:p>
    <w:p>
      <w:pPr>
        <w:jc w:val="both"/>
        <w:ind w:left="5" w:right="40" w:firstLine="643"/>
        <w:spacing w:after="0" w:line="287" w:lineRule="auto"/>
        <w:tabs>
          <w:tab w:leader="none" w:pos="1113" w:val="left"/>
        </w:tabs>
        <w:numPr>
          <w:ilvl w:val="1"/>
          <w:numId w:val="111"/>
        </w:numPr>
        <w:rPr>
          <w:rFonts w:ascii="Arial" w:cs="Arial" w:eastAsia="Arial" w:hAnsi="Arial"/>
          <w:sz w:val="18"/>
          <w:szCs w:val="18"/>
          <w:color w:val="010000"/>
        </w:rPr>
      </w:pPr>
      <w:r>
        <w:rPr>
          <w:rFonts w:ascii="Arial" w:cs="Arial" w:eastAsia="Arial" w:hAnsi="Arial"/>
          <w:sz w:val="18"/>
          <w:szCs w:val="18"/>
          <w:b w:val="1"/>
          <w:bCs w:val="1"/>
          <w:color w:val="auto"/>
        </w:rPr>
        <w:t xml:space="preserve">Severance Payments. </w:t>
      </w:r>
      <w:r>
        <w:rPr>
          <w:rFonts w:ascii="Arial" w:cs="Arial" w:eastAsia="Arial" w:hAnsi="Arial"/>
          <w:sz w:val="18"/>
          <w:szCs w:val="18"/>
          <w:color w:val="auto"/>
        </w:rPr>
        <w:t>The Company or its successor shall pay the Executive twelve (12) months of his/her monthly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and one times 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1"/>
          <w:szCs w:val="11"/>
          <w:color w:val="auto"/>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206" w:lineRule="exact"/>
        <w:rPr>
          <w:rFonts w:ascii="Arial" w:cs="Arial" w:eastAsia="Arial" w:hAnsi="Arial"/>
          <w:sz w:val="18"/>
          <w:szCs w:val="18"/>
          <w:color w:val="010000"/>
        </w:rPr>
      </w:pPr>
    </w:p>
    <w:p>
      <w:pPr>
        <w:jc w:val="both"/>
        <w:ind w:left="5" w:right="40" w:firstLine="643"/>
        <w:spacing w:after="0" w:line="282" w:lineRule="auto"/>
        <w:tabs>
          <w:tab w:leader="none" w:pos="1235" w:val="left"/>
        </w:tabs>
        <w:numPr>
          <w:ilvl w:val="1"/>
          <w:numId w:val="111"/>
        </w:numPr>
        <w:rPr>
          <w:rFonts w:ascii="Arial" w:cs="Arial" w:eastAsia="Arial" w:hAnsi="Arial"/>
          <w:sz w:val="18"/>
          <w:szCs w:val="18"/>
          <w:color w:val="010000"/>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Each of Executive’s then outstanding Equity Awards, including awards that would otherwise vest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pacing w:after="0" w:line="227" w:lineRule="exact"/>
        <w:rPr>
          <w:rFonts w:ascii="Arial" w:cs="Arial" w:eastAsia="Arial" w:hAnsi="Arial"/>
          <w:sz w:val="18"/>
          <w:szCs w:val="18"/>
          <w:color w:val="010000"/>
        </w:rPr>
      </w:pPr>
    </w:p>
    <w:p>
      <w:pPr>
        <w:jc w:val="both"/>
        <w:ind w:left="5" w:right="40" w:firstLine="643"/>
        <w:spacing w:after="0" w:line="288" w:lineRule="auto"/>
        <w:tabs>
          <w:tab w:leader="none" w:pos="1117" w:val="left"/>
        </w:tabs>
        <w:numPr>
          <w:ilvl w:val="1"/>
          <w:numId w:val="111"/>
        </w:numPr>
        <w:rPr>
          <w:rFonts w:ascii="Arial" w:cs="Arial" w:eastAsia="Arial" w:hAnsi="Arial"/>
          <w:sz w:val="18"/>
          <w:szCs w:val="18"/>
          <w:color w:val="010000"/>
        </w:rPr>
      </w:pPr>
      <w:r>
        <w:rPr>
          <w:rFonts w:ascii="Arial" w:cs="Arial" w:eastAsia="Arial" w:hAnsi="Arial"/>
          <w:sz w:val="18"/>
          <w:szCs w:val="18"/>
          <w:b w:val="1"/>
          <w:bCs w:val="1"/>
          <w:color w:val="auto"/>
        </w:rPr>
        <w:t xml:space="preserve">COBRA; Pay in Lieu of Continued Employee Benefits. </w:t>
      </w:r>
      <w:r>
        <w:rPr>
          <w:rFonts w:ascii="Arial" w:cs="Arial" w:eastAsia="Arial" w:hAnsi="Arial"/>
          <w:sz w:val="18"/>
          <w:szCs w:val="18"/>
          <w:color w:val="auto"/>
        </w:rPr>
        <w:t>Continuation of COBRA or a cash benefit, in both cases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as 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w:t>
      </w:r>
    </w:p>
    <w:p>
      <w:pPr>
        <w:spacing w:after="0" w:line="207" w:lineRule="exact"/>
        <w:rPr>
          <w:rFonts w:ascii="Arial" w:cs="Arial" w:eastAsia="Arial" w:hAnsi="Arial"/>
          <w:sz w:val="18"/>
          <w:szCs w:val="18"/>
          <w:color w:val="010000"/>
        </w:rPr>
      </w:pPr>
    </w:p>
    <w:p>
      <w:pPr>
        <w:ind w:left="5" w:hanging="5"/>
        <w:spacing w:after="0" w:line="286" w:lineRule="auto"/>
        <w:tabs>
          <w:tab w:leader="none" w:pos="355" w:val="left"/>
        </w:tabs>
        <w:numPr>
          <w:ilvl w:val="0"/>
          <w:numId w:val="111"/>
        </w:numPr>
        <w:rPr>
          <w:rFonts w:ascii="Arial" w:cs="Arial" w:eastAsia="Arial" w:hAnsi="Arial"/>
          <w:sz w:val="18"/>
          <w:szCs w:val="18"/>
          <w:color w:val="010000"/>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Any other provision of this Agreement notwithstanding, the benefits under Section 2 and 3 shall not apply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thirty (30) days after the Executive’s Separation. The Executive must execute and return the Release within the time period specified in the form.</w:t>
      </w:r>
    </w:p>
    <w:p>
      <w:pPr>
        <w:sectPr>
          <w:pgSz w:w="11900" w:h="16838" w:orient="portrait"/>
          <w:cols w:equalWidth="0" w:num="1">
            <w:col w:w="11065"/>
          </w:cols>
          <w:pgMar w:left="435" w:top="1430" w:right="399" w:bottom="1440" w:gutter="0" w:footer="0" w:header="0"/>
        </w:sectPr>
      </w:pPr>
    </w:p>
    <w:bookmarkStart w:id="136" w:name="page137"/>
    <w:bookmarkEnd w:id="136"/>
    <w:p>
      <w:pPr>
        <w:spacing w:after="0" w:line="166" w:lineRule="exact"/>
        <w:rPr>
          <w:sz w:val="20"/>
          <w:szCs w:val="20"/>
          <w:color w:val="auto"/>
        </w:rPr>
      </w:pPr>
    </w:p>
    <w:p>
      <w:pPr>
        <w:jc w:val="both"/>
        <w:ind w:left="5" w:right="100" w:hanging="5"/>
        <w:spacing w:after="0" w:line="282" w:lineRule="auto"/>
        <w:tabs>
          <w:tab w:leader="none" w:pos="409" w:val="left"/>
        </w:tabs>
        <w:numPr>
          <w:ilvl w:val="0"/>
          <w:numId w:val="112"/>
        </w:numPr>
        <w:rPr>
          <w:rFonts w:ascii="Arial" w:cs="Arial" w:eastAsia="Arial" w:hAnsi="Arial"/>
          <w:sz w:val="18"/>
          <w:szCs w:val="18"/>
          <w:color w:val="010000"/>
        </w:rPr>
      </w:pPr>
      <w:r>
        <w:rPr>
          <w:rFonts w:ascii="Arial" w:cs="Arial" w:eastAsia="Arial" w:hAnsi="Arial"/>
          <w:sz w:val="18"/>
          <w:szCs w:val="18"/>
          <w:b w:val="1"/>
          <w:bCs w:val="1"/>
          <w:color w:val="auto"/>
        </w:rPr>
        <w:t xml:space="preserve">Accrued Compensation and Benefits. </w:t>
      </w:r>
      <w:r>
        <w:rPr>
          <w:rFonts w:ascii="Arial" w:cs="Arial" w:eastAsia="Arial" w:hAnsi="Arial"/>
          <w:sz w:val="18"/>
          <w:szCs w:val="18"/>
          <w:color w:val="auto"/>
        </w:rPr>
        <w:t>Notwithstanding anything to the contrary in Section 2 and 3 above,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8"/>
          <w:szCs w:val="18"/>
          <w:b w:val="1"/>
          <w:bCs w:val="1"/>
          <w:color w:val="auto"/>
        </w:rPr>
        <w:t>Accrued Compensation and Expenses</w:t>
      </w:r>
      <w:r>
        <w:rPr>
          <w:rFonts w:ascii="Arial" w:cs="Arial" w:eastAsia="Arial" w:hAnsi="Arial"/>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200" w:lineRule="exact"/>
        <w:rPr>
          <w:rFonts w:ascii="Arial" w:cs="Arial" w:eastAsia="Arial" w:hAnsi="Arial"/>
          <w:sz w:val="18"/>
          <w:szCs w:val="18"/>
          <w:color w:val="010000"/>
        </w:rPr>
      </w:pPr>
    </w:p>
    <w:p>
      <w:pPr>
        <w:ind w:left="345" w:hanging="344"/>
        <w:spacing w:after="0"/>
        <w:tabs>
          <w:tab w:leader="none" w:pos="345" w:val="left"/>
        </w:tabs>
        <w:numPr>
          <w:ilvl w:val="0"/>
          <w:numId w:val="112"/>
        </w:numPr>
        <w:rPr>
          <w:rFonts w:ascii="Arial" w:cs="Arial" w:eastAsia="Arial" w:hAnsi="Arial"/>
          <w:sz w:val="18"/>
          <w:szCs w:val="18"/>
          <w:color w:val="010000"/>
        </w:rPr>
      </w:pPr>
      <w:r>
        <w:rPr>
          <w:rFonts w:ascii="Arial" w:cs="Arial" w:eastAsia="Arial" w:hAnsi="Arial"/>
          <w:sz w:val="18"/>
          <w:szCs w:val="18"/>
          <w:b w:val="1"/>
          <w:bCs w:val="1"/>
          <w:color w:val="auto"/>
        </w:rPr>
        <w:t>Definitions.</w:t>
      </w:r>
    </w:p>
    <w:p>
      <w:pPr>
        <w:spacing w:after="0" w:line="306" w:lineRule="exact"/>
        <w:rPr>
          <w:rFonts w:ascii="Arial" w:cs="Arial" w:eastAsia="Arial" w:hAnsi="Arial"/>
          <w:sz w:val="18"/>
          <w:szCs w:val="18"/>
          <w:color w:val="010000"/>
        </w:rPr>
      </w:pPr>
    </w:p>
    <w:p>
      <w:pPr>
        <w:jc w:val="both"/>
        <w:ind w:left="5" w:right="100" w:firstLine="643"/>
        <w:spacing w:after="0" w:line="280" w:lineRule="auto"/>
        <w:tabs>
          <w:tab w:leader="none" w:pos="1073" w:val="left"/>
        </w:tabs>
        <w:numPr>
          <w:ilvl w:val="1"/>
          <w:numId w:val="1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w:t>
      </w:r>
    </w:p>
    <w:p>
      <w:pPr>
        <w:spacing w:after="0" w:line="207" w:lineRule="exact"/>
        <w:rPr>
          <w:rFonts w:ascii="Arial" w:cs="Arial" w:eastAsia="Arial" w:hAnsi="Arial"/>
          <w:sz w:val="18"/>
          <w:szCs w:val="18"/>
          <w:color w:val="010000"/>
        </w:rPr>
      </w:pPr>
    </w:p>
    <w:p>
      <w:pPr>
        <w:ind w:left="1065" w:hanging="417"/>
        <w:spacing w:after="0"/>
        <w:tabs>
          <w:tab w:leader="none" w:pos="1065" w:val="left"/>
        </w:tabs>
        <w:numPr>
          <w:ilvl w:val="1"/>
          <w:numId w:val="1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306" w:lineRule="exact"/>
        <w:rPr>
          <w:rFonts w:ascii="Arial" w:cs="Arial" w:eastAsia="Arial" w:hAnsi="Arial"/>
          <w:sz w:val="18"/>
          <w:szCs w:val="18"/>
          <w:color w:val="010000"/>
        </w:rPr>
      </w:pPr>
    </w:p>
    <w:p>
      <w:pPr>
        <w:jc w:val="both"/>
        <w:ind w:left="5" w:right="100" w:firstLine="643"/>
        <w:spacing w:after="0" w:line="300" w:lineRule="auto"/>
        <w:tabs>
          <w:tab w:leader="none" w:pos="1076" w:val="left"/>
        </w:tabs>
        <w:numPr>
          <w:ilvl w:val="1"/>
          <w:numId w:val="1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For all purposes under this Agreement, a Change in Control shall mean a “Corporate Transaction,” as such term is defined in the Plan,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transaction (including any series of transactions) also qualifies as a change in control event under U.S. Treasury Regulation 1.409A- 3(i)(5).</w:t>
      </w:r>
    </w:p>
    <w:p>
      <w:pPr>
        <w:spacing w:after="0" w:line="195" w:lineRule="exact"/>
        <w:rPr>
          <w:rFonts w:ascii="Arial" w:cs="Arial" w:eastAsia="Arial" w:hAnsi="Arial"/>
          <w:sz w:val="18"/>
          <w:szCs w:val="18"/>
          <w:color w:val="010000"/>
        </w:rPr>
      </w:pPr>
    </w:p>
    <w:p>
      <w:pPr>
        <w:jc w:val="both"/>
        <w:ind w:left="5" w:right="100" w:firstLine="643"/>
        <w:spacing w:after="0" w:line="288" w:lineRule="auto"/>
        <w:tabs>
          <w:tab w:leader="none" w:pos="1113" w:val="left"/>
        </w:tabs>
        <w:numPr>
          <w:ilvl w:val="1"/>
          <w:numId w:val="1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pacing w:after="0" w:line="32" w:lineRule="exact"/>
        <w:rPr>
          <w:rFonts w:ascii="Arial" w:cs="Arial" w:eastAsia="Arial" w:hAnsi="Arial"/>
          <w:sz w:val="18"/>
          <w:szCs w:val="18"/>
          <w:color w:val="010000"/>
        </w:rPr>
      </w:pPr>
    </w:p>
    <w:p>
      <w:pPr>
        <w:jc w:val="both"/>
        <w:ind w:left="5" w:right="20" w:firstLine="643"/>
        <w:spacing w:after="0" w:line="300" w:lineRule="auto"/>
        <w:tabs>
          <w:tab w:leader="none" w:pos="1100" w:val="left"/>
        </w:tabs>
        <w:numPr>
          <w:ilvl w:val="1"/>
          <w:numId w:val="1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195" w:lineRule="exact"/>
        <w:rPr>
          <w:rFonts w:ascii="Arial" w:cs="Arial" w:eastAsia="Arial" w:hAnsi="Arial"/>
          <w:sz w:val="18"/>
          <w:szCs w:val="18"/>
          <w:color w:val="010000"/>
        </w:rPr>
      </w:pPr>
    </w:p>
    <w:p>
      <w:pPr>
        <w:jc w:val="both"/>
        <w:ind w:left="5" w:firstLine="643"/>
        <w:spacing w:after="0" w:line="272" w:lineRule="auto"/>
        <w:tabs>
          <w:tab w:leader="none" w:pos="1144" w:val="left"/>
        </w:tabs>
        <w:numPr>
          <w:ilvl w:val="1"/>
          <w:numId w:val="112"/>
        </w:numPr>
        <w:rPr>
          <w:rFonts w:ascii="Arial" w:cs="Arial" w:eastAsia="Arial" w:hAnsi="Arial"/>
          <w:sz w:val="18"/>
          <w:szCs w:val="18"/>
          <w:color w:val="010000"/>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any of the following actions by the Company without Executive’s written consent: (i)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Executive’s duties or responsibilities that is inconsistent with Executive’s position, provided that a mere change of title alone shall not constitute such a material reduction[, provided further that it will be considered a material reduction in Executive’s duties and responsibilities if, after a Change in Control, the Executive is not the Chief Financial Officer of the ultimate parent of the resulting company or if such ultimate parent company is not a publicly traded company]</w:t>
      </w:r>
      <w:r>
        <w:rPr>
          <w:rFonts w:ascii="Arial" w:cs="Arial" w:eastAsia="Arial" w:hAnsi="Arial"/>
          <w:sz w:val="23"/>
          <w:szCs w:val="23"/>
          <w:color w:val="auto"/>
          <w:vertAlign w:val="superscript"/>
        </w:rPr>
        <w:t>1</w:t>
      </w:r>
      <w:r>
        <w:rPr>
          <w:rFonts w:ascii="Arial" w:cs="Arial" w:eastAsia="Arial" w:hAnsi="Arial"/>
          <w:sz w:val="18"/>
          <w:szCs w:val="18"/>
          <w:color w:val="auto"/>
        </w:rPr>
        <w:t>; (ii)</w:t>
      </w:r>
    </w:p>
    <w:p>
      <w:pPr>
        <w:sectPr>
          <w:pgSz w:w="11900" w:h="16838" w:orient="portrait"/>
          <w:cols w:equalWidth="0" w:num="1">
            <w:col w:w="11125"/>
          </w:cols>
          <w:pgMar w:left="435" w:top="1440" w:right="339" w:bottom="1440" w:gutter="0" w:footer="0" w:header="0"/>
        </w:sectPr>
      </w:pPr>
    </w:p>
    <w:bookmarkStart w:id="137" w:name="page138"/>
    <w:bookmarkEnd w:id="137"/>
    <w:p>
      <w:pPr>
        <w:jc w:val="both"/>
        <w:spacing w:after="0" w:line="280" w:lineRule="auto"/>
        <w:rPr>
          <w:sz w:val="20"/>
          <w:szCs w:val="20"/>
          <w:color w:val="auto"/>
        </w:rPr>
      </w:pPr>
      <w:r>
        <w:rPr>
          <w:rFonts w:ascii="Arial" w:cs="Arial" w:eastAsia="Arial" w:hAnsi="Arial"/>
          <w:sz w:val="18"/>
          <w:szCs w:val="18"/>
          <w:color w:val="auto"/>
        </w:rPr>
        <w:t xml:space="preserve">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 plan benefits, collectively, the </w:t>
      </w:r>
      <w:r>
        <w:rPr>
          <w:rFonts w:ascii="Arial" w:cs="Arial" w:eastAsia="Arial" w:hAnsi="Arial"/>
          <w:sz w:val="18"/>
          <w:szCs w:val="18"/>
          <w:b w:val="1"/>
          <w:bCs w:val="1"/>
          <w:i w:val="1"/>
          <w:iCs w:val="1"/>
          <w:color w:val="auto"/>
        </w:rPr>
        <w:t>“Employee Benefits”</w:t>
      </w:r>
      <w:r>
        <w:rPr>
          <w:rFonts w:ascii="Arial" w:cs="Arial" w:eastAsia="Arial" w:hAnsi="Arial"/>
          <w:sz w:val="18"/>
          <w:szCs w:val="18"/>
          <w:color w:val="auto"/>
        </w:rPr>
        <w:t>)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200" w:lineRule="exact"/>
        <w:rPr>
          <w:sz w:val="20"/>
          <w:szCs w:val="20"/>
          <w:color w:val="auto"/>
        </w:rPr>
      </w:pPr>
    </w:p>
    <w:p>
      <w:pPr>
        <w:ind w:left="1060" w:hanging="417"/>
        <w:spacing w:after="0"/>
        <w:tabs>
          <w:tab w:leader="none" w:pos="1060"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Company’s 2021 Equity Incentive Plan, as may be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06" w:lineRule="exact"/>
        <w:rPr>
          <w:sz w:val="20"/>
          <w:szCs w:val="20"/>
          <w:color w:val="auto"/>
        </w:rPr>
      </w:pPr>
    </w:p>
    <w:p>
      <w:pPr>
        <w:jc w:val="both"/>
        <w:ind w:right="100" w:firstLine="643"/>
        <w:spacing w:after="0" w:line="292" w:lineRule="auto"/>
        <w:tabs>
          <w:tab w:leader="none" w:pos="1108"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203" w:lineRule="exact"/>
        <w:rPr>
          <w:rFonts w:ascii="Arial" w:cs="Arial" w:eastAsia="Arial" w:hAnsi="Arial"/>
          <w:sz w:val="18"/>
          <w:szCs w:val="18"/>
          <w:color w:val="010000"/>
        </w:rPr>
      </w:pPr>
    </w:p>
    <w:p>
      <w:pPr>
        <w:jc w:val="both"/>
        <w:ind w:firstLine="643"/>
        <w:spacing w:after="0" w:line="300" w:lineRule="auto"/>
        <w:tabs>
          <w:tab w:leader="none" w:pos="1048"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95" w:lineRule="exact"/>
        <w:rPr>
          <w:rFonts w:ascii="Arial" w:cs="Arial" w:eastAsia="Arial" w:hAnsi="Arial"/>
          <w:sz w:val="18"/>
          <w:szCs w:val="18"/>
          <w:color w:val="010000"/>
        </w:rPr>
      </w:pPr>
    </w:p>
    <w:p>
      <w:pPr>
        <w:ind w:left="1000" w:hanging="357"/>
        <w:spacing w:after="0"/>
        <w:tabs>
          <w:tab w:leader="none" w:pos="100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2366645</wp:posOffset>
            </wp:positionV>
            <wp:extent cx="16459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7"/>
          <w:szCs w:val="17"/>
          <w:color w:val="auto"/>
        </w:rPr>
        <w:t>Contained in agreement with Chief Financial Officer only.</w:t>
      </w:r>
    </w:p>
    <w:p>
      <w:pPr>
        <w:sectPr>
          <w:pgSz w:w="11900" w:h="16838" w:orient="portrait"/>
          <w:cols w:equalWidth="0" w:num="1">
            <w:col w:w="11120"/>
          </w:cols>
          <w:pgMar w:left="440" w:top="1349" w:right="339" w:bottom="1440" w:gutter="0" w:footer="0" w:header="0"/>
        </w:sectPr>
      </w:pPr>
    </w:p>
    <w:bookmarkStart w:id="138" w:name="page139"/>
    <w:bookmarkEnd w:id="138"/>
    <w:p>
      <w:pPr>
        <w:ind w:left="345" w:hanging="344"/>
        <w:spacing w:after="0"/>
        <w:tabs>
          <w:tab w:leader="none" w:pos="345" w:val="left"/>
        </w:tabs>
        <w:numPr>
          <w:ilvl w:val="0"/>
          <w:numId w:val="115"/>
        </w:numPr>
        <w:rPr>
          <w:rFonts w:ascii="Arial" w:cs="Arial" w:eastAsia="Arial" w:hAnsi="Arial"/>
          <w:sz w:val="18"/>
          <w:szCs w:val="18"/>
          <w:color w:val="010000"/>
        </w:rPr>
      </w:pPr>
      <w:r>
        <w:rPr>
          <w:rFonts w:ascii="Arial" w:cs="Arial" w:eastAsia="Arial" w:hAnsi="Arial"/>
          <w:sz w:val="18"/>
          <w:szCs w:val="18"/>
          <w:b w:val="1"/>
          <w:bCs w:val="1"/>
          <w:color w:val="auto"/>
        </w:rPr>
        <w:t>Successors.</w:t>
      </w:r>
    </w:p>
    <w:p>
      <w:pPr>
        <w:spacing w:after="0" w:line="292" w:lineRule="exact"/>
        <w:rPr>
          <w:rFonts w:ascii="Arial" w:cs="Arial" w:eastAsia="Arial" w:hAnsi="Arial"/>
          <w:sz w:val="18"/>
          <w:szCs w:val="18"/>
          <w:color w:val="010000"/>
        </w:rPr>
      </w:pPr>
    </w:p>
    <w:p>
      <w:pPr>
        <w:jc w:val="both"/>
        <w:ind w:left="5" w:right="100" w:firstLine="643"/>
        <w:spacing w:after="0" w:line="286" w:lineRule="auto"/>
        <w:tabs>
          <w:tab w:leader="none" w:pos="1127" w:val="left"/>
        </w:tabs>
        <w:numPr>
          <w:ilvl w:val="1"/>
          <w:numId w:val="115"/>
        </w:numPr>
        <w:rPr>
          <w:rFonts w:ascii="Arial" w:cs="Arial" w:eastAsia="Arial" w:hAnsi="Arial"/>
          <w:sz w:val="18"/>
          <w:szCs w:val="18"/>
          <w:color w:val="010000"/>
        </w:rPr>
      </w:pPr>
      <w:r>
        <w:rPr>
          <w:rFonts w:ascii="Arial" w:cs="Arial" w:eastAsia="Arial" w:hAnsi="Arial"/>
          <w:sz w:val="18"/>
          <w:szCs w:val="18"/>
          <w:b w:val="1"/>
          <w:bCs w:val="1"/>
          <w:color w:val="auto"/>
        </w:rPr>
        <w:t xml:space="preserve">Company’s Successors. </w:t>
      </w:r>
      <w:r>
        <w:rPr>
          <w:rFonts w:ascii="Arial" w:cs="Arial" w:eastAsia="Arial" w:hAnsi="Arial"/>
          <w:sz w:val="18"/>
          <w:szCs w:val="18"/>
          <w:color w:val="auto"/>
        </w:rPr>
        <w:t>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207" w:lineRule="exact"/>
        <w:rPr>
          <w:rFonts w:ascii="Arial" w:cs="Arial" w:eastAsia="Arial" w:hAnsi="Arial"/>
          <w:sz w:val="18"/>
          <w:szCs w:val="18"/>
          <w:color w:val="010000"/>
        </w:rPr>
      </w:pPr>
    </w:p>
    <w:p>
      <w:pPr>
        <w:jc w:val="both"/>
        <w:ind w:left="5" w:right="120" w:firstLine="643"/>
        <w:spacing w:after="0" w:line="300" w:lineRule="auto"/>
        <w:tabs>
          <w:tab w:leader="none" w:pos="1154" w:val="left"/>
        </w:tabs>
        <w:numPr>
          <w:ilvl w:val="1"/>
          <w:numId w:val="115"/>
        </w:numPr>
        <w:rPr>
          <w:rFonts w:ascii="Arial" w:cs="Arial" w:eastAsia="Arial" w:hAnsi="Arial"/>
          <w:sz w:val="18"/>
          <w:szCs w:val="18"/>
          <w:color w:val="010000"/>
        </w:rPr>
      </w:pPr>
      <w:r>
        <w:rPr>
          <w:rFonts w:ascii="Arial" w:cs="Arial" w:eastAsia="Arial" w:hAnsi="Arial"/>
          <w:sz w:val="18"/>
          <w:szCs w:val="18"/>
          <w:b w:val="1"/>
          <w:bCs w:val="1"/>
          <w:color w:val="auto"/>
        </w:rPr>
        <w:t xml:space="preserve">Executive’s Successors. </w:t>
      </w:r>
      <w:r>
        <w:rPr>
          <w:rFonts w:ascii="Arial" w:cs="Arial" w:eastAsia="Arial" w:hAnsi="Arial"/>
          <w:sz w:val="18"/>
          <w:szCs w:val="18"/>
          <w:color w:val="auto"/>
        </w:rPr>
        <w:t>This Agreement and all rights of the Executive hereunder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Executive’s personal or legal representatives, executors, administrators, successors, heirs, distributees, devisees and legatees.</w:t>
      </w:r>
    </w:p>
    <w:p>
      <w:pPr>
        <w:spacing w:after="0" w:line="182" w:lineRule="exact"/>
        <w:rPr>
          <w:rFonts w:ascii="Arial" w:cs="Arial" w:eastAsia="Arial" w:hAnsi="Arial"/>
          <w:sz w:val="18"/>
          <w:szCs w:val="18"/>
          <w:color w:val="010000"/>
        </w:rPr>
      </w:pPr>
    </w:p>
    <w:p>
      <w:pPr>
        <w:ind w:left="345" w:hanging="345"/>
        <w:spacing w:after="0"/>
        <w:tabs>
          <w:tab w:leader="none" w:pos="345" w:val="left"/>
        </w:tabs>
        <w:numPr>
          <w:ilvl w:val="0"/>
          <w:numId w:val="115"/>
        </w:numPr>
        <w:rPr>
          <w:rFonts w:ascii="Arial" w:cs="Arial" w:eastAsia="Arial" w:hAnsi="Arial"/>
          <w:sz w:val="18"/>
          <w:szCs w:val="18"/>
          <w:color w:val="010000"/>
        </w:rPr>
      </w:pPr>
      <w:r>
        <w:rPr>
          <w:rFonts w:ascii="Arial" w:cs="Arial" w:eastAsia="Arial" w:hAnsi="Arial"/>
          <w:sz w:val="18"/>
          <w:szCs w:val="18"/>
          <w:b w:val="1"/>
          <w:bCs w:val="1"/>
          <w:color w:val="auto"/>
        </w:rPr>
        <w:t>Golden Parachute Taxes.</w:t>
      </w:r>
    </w:p>
    <w:p>
      <w:pPr>
        <w:spacing w:after="0" w:line="306" w:lineRule="exact"/>
        <w:rPr>
          <w:rFonts w:ascii="Arial" w:cs="Arial" w:eastAsia="Arial" w:hAnsi="Arial"/>
          <w:sz w:val="18"/>
          <w:szCs w:val="18"/>
          <w:color w:val="010000"/>
        </w:rPr>
      </w:pPr>
    </w:p>
    <w:p>
      <w:pPr>
        <w:jc w:val="both"/>
        <w:ind w:left="5" w:right="100" w:firstLine="643"/>
        <w:spacing w:after="0" w:line="278" w:lineRule="auto"/>
        <w:tabs>
          <w:tab w:leader="none" w:pos="1127" w:val="left"/>
        </w:tabs>
        <w:numPr>
          <w:ilvl w:val="1"/>
          <w:numId w:val="115"/>
        </w:numPr>
        <w:rPr>
          <w:rFonts w:ascii="Arial" w:cs="Arial" w:eastAsia="Arial" w:hAnsi="Arial"/>
          <w:sz w:val="18"/>
          <w:szCs w:val="18"/>
          <w:color w:val="010000"/>
        </w:rPr>
      </w:pPr>
      <w:r>
        <w:rPr>
          <w:rFonts w:ascii="Arial" w:cs="Arial" w:eastAsia="Arial" w:hAnsi="Arial"/>
          <w:sz w:val="18"/>
          <w:szCs w:val="18"/>
          <w:b w:val="1"/>
          <w:bCs w:val="1"/>
          <w:color w:val="auto"/>
        </w:rPr>
        <w:t xml:space="preserve">Best After-Tax Result. </w:t>
      </w:r>
      <w:r>
        <w:rPr>
          <w:rFonts w:ascii="Arial" w:cs="Arial" w:eastAsia="Arial" w:hAnsi="Arial"/>
          <w:sz w:val="18"/>
          <w:szCs w:val="18"/>
          <w:color w:val="auto"/>
        </w:rPr>
        <w:t>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Tax Counsel</w:t>
      </w:r>
      <w:r>
        <w:rPr>
          <w:rFonts w:ascii="Arial" w:cs="Arial" w:eastAsia="Arial" w:hAnsi="Arial"/>
          <w:sz w:val="18"/>
          <w:szCs w:val="18"/>
          <w:color w:val="auto"/>
        </w:rPr>
        <w:t>”), whose determination shall be conclusive and binding upon Executive and the Company for all purposes.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8(b) hereof shall apply, and the enforcement of Section 8(b) shall be the exclusive remedy to the Company.</w:t>
      </w:r>
    </w:p>
    <w:p>
      <w:pPr>
        <w:spacing w:after="0" w:line="57" w:lineRule="exact"/>
        <w:rPr>
          <w:rFonts w:ascii="Arial" w:cs="Arial" w:eastAsia="Arial" w:hAnsi="Arial"/>
          <w:sz w:val="18"/>
          <w:szCs w:val="18"/>
          <w:color w:val="010000"/>
        </w:rPr>
      </w:pPr>
    </w:p>
    <w:p>
      <w:pPr>
        <w:jc w:val="both"/>
        <w:ind w:left="5" w:firstLine="643"/>
        <w:spacing w:after="0" w:line="300" w:lineRule="auto"/>
        <w:tabs>
          <w:tab w:leader="none" w:pos="1073" w:val="left"/>
        </w:tabs>
        <w:numPr>
          <w:ilvl w:val="1"/>
          <w:numId w:val="115"/>
        </w:numPr>
        <w:rPr>
          <w:rFonts w:ascii="Arial" w:cs="Arial" w:eastAsia="Arial" w:hAnsi="Arial"/>
          <w:sz w:val="18"/>
          <w:szCs w:val="18"/>
          <w:color w:val="010000"/>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If, notwithstanding any reduction described in Section 8(a) hereof (or in the absence of any such reduction),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IRS determines that Executive is liable for the Excise Tax as a result of the receipt of one or more Payments, then Executive shall be obligated to surrender or pay back to the</w:t>
      </w:r>
    </w:p>
    <w:p>
      <w:pPr>
        <w:sectPr>
          <w:pgSz w:w="11900" w:h="16838" w:orient="portrait"/>
          <w:cols w:equalWidth="0" w:num="1">
            <w:col w:w="11125"/>
          </w:cols>
          <w:pgMar w:left="435" w:top="1417" w:right="339" w:bottom="1440" w:gutter="0" w:footer="0" w:header="0"/>
        </w:sectPr>
      </w:pPr>
    </w:p>
    <w:bookmarkStart w:id="139" w:name="page140"/>
    <w:bookmarkEnd w:id="139"/>
    <w:p>
      <w:pPr>
        <w:jc w:val="both"/>
        <w:ind w:left="5"/>
        <w:spacing w:after="0" w:line="282" w:lineRule="auto"/>
        <w:rPr>
          <w:sz w:val="20"/>
          <w:szCs w:val="20"/>
          <w:color w:val="auto"/>
        </w:rPr>
      </w:pPr>
      <w:r>
        <w:rPr>
          <w:rFonts w:ascii="Arial" w:cs="Arial" w:eastAsia="Arial" w:hAnsi="Arial"/>
          <w:sz w:val="18"/>
          <w:szCs w:val="18"/>
          <w:color w:val="auto"/>
        </w:rPr>
        <w:t>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201" w:lineRule="exact"/>
        <w:rPr>
          <w:sz w:val="20"/>
          <w:szCs w:val="20"/>
          <w:color w:val="auto"/>
        </w:rPr>
      </w:pPr>
    </w:p>
    <w:p>
      <w:pPr>
        <w:ind w:left="345" w:hanging="345"/>
        <w:spacing w:after="0"/>
        <w:tabs>
          <w:tab w:leader="none" w:pos="345" w:val="left"/>
        </w:tabs>
        <w:numPr>
          <w:ilvl w:val="0"/>
          <w:numId w:val="116"/>
        </w:numPr>
        <w:rPr>
          <w:rFonts w:ascii="Arial" w:cs="Arial" w:eastAsia="Arial" w:hAnsi="Arial"/>
          <w:sz w:val="18"/>
          <w:szCs w:val="18"/>
          <w:color w:val="010000"/>
        </w:rPr>
      </w:pPr>
      <w:r>
        <w:rPr>
          <w:rFonts w:ascii="Arial" w:cs="Arial" w:eastAsia="Arial" w:hAnsi="Arial"/>
          <w:sz w:val="18"/>
          <w:szCs w:val="18"/>
          <w:b w:val="1"/>
          <w:bCs w:val="1"/>
          <w:color w:val="auto"/>
        </w:rPr>
        <w:t>Miscellaneous Provisions.</w:t>
      </w:r>
    </w:p>
    <w:p>
      <w:pPr>
        <w:spacing w:after="0" w:line="306" w:lineRule="exact"/>
        <w:rPr>
          <w:rFonts w:ascii="Arial" w:cs="Arial" w:eastAsia="Arial" w:hAnsi="Arial"/>
          <w:sz w:val="18"/>
          <w:szCs w:val="18"/>
          <w:color w:val="010000"/>
        </w:rPr>
      </w:pPr>
    </w:p>
    <w:p>
      <w:pPr>
        <w:jc w:val="both"/>
        <w:ind w:left="5" w:firstLine="642"/>
        <w:spacing w:after="0" w:line="280" w:lineRule="auto"/>
        <w:tabs>
          <w:tab w:leader="none" w:pos="1099" w:val="left"/>
        </w:tabs>
        <w:numPr>
          <w:ilvl w:val="1"/>
          <w:numId w:val="116"/>
        </w:numPr>
        <w:rPr>
          <w:rFonts w:ascii="Arial" w:cs="Arial" w:eastAsia="Arial" w:hAnsi="Arial"/>
          <w:sz w:val="18"/>
          <w:szCs w:val="18"/>
          <w:color w:val="010000"/>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To the extent (i) any payments to which Executive becomes entitled under this Agreement, or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plan referenced herein, in connection with Executive’s termination of employment with the Company constitute deferred compensation subject to Section 409A of the Code and</w:t>
      </w:r>
    </w:p>
    <w:p>
      <w:pPr>
        <w:jc w:val="both"/>
        <w:ind w:left="5" w:right="100"/>
        <w:spacing w:after="0" w:line="279" w:lineRule="auto"/>
        <w:rPr>
          <w:rFonts w:ascii="Arial" w:cs="Arial" w:eastAsia="Arial" w:hAnsi="Arial"/>
          <w:sz w:val="18"/>
          <w:szCs w:val="18"/>
          <w:color w:val="010000"/>
        </w:rPr>
      </w:pPr>
      <w:r>
        <w:rPr>
          <w:rFonts w:ascii="Arial" w:cs="Arial" w:eastAsia="Arial" w:hAnsi="Arial"/>
          <w:sz w:val="18"/>
          <w:szCs w:val="18"/>
          <w:color w:val="auto"/>
        </w:rPr>
        <w:t xml:space="preserve">(ii)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213" w:lineRule="exact"/>
        <w:rPr>
          <w:rFonts w:ascii="Arial" w:cs="Arial" w:eastAsia="Arial" w:hAnsi="Arial"/>
          <w:sz w:val="18"/>
          <w:szCs w:val="18"/>
          <w:color w:val="010000"/>
        </w:rPr>
      </w:pPr>
    </w:p>
    <w:p>
      <w:pPr>
        <w:jc w:val="both"/>
        <w:ind w:left="5" w:right="100" w:firstLine="642"/>
        <w:spacing w:after="0" w:line="282" w:lineRule="auto"/>
        <w:tabs>
          <w:tab w:leader="none" w:pos="1180" w:val="left"/>
        </w:tabs>
        <w:numPr>
          <w:ilvl w:val="1"/>
          <w:numId w:val="116"/>
        </w:numPr>
        <w:rPr>
          <w:rFonts w:ascii="Arial" w:cs="Arial" w:eastAsia="Arial" w:hAnsi="Arial"/>
          <w:sz w:val="18"/>
          <w:szCs w:val="18"/>
          <w:color w:val="010000"/>
        </w:rPr>
      </w:pPr>
      <w:r>
        <w:rPr>
          <w:rFonts w:ascii="Arial" w:cs="Arial" w:eastAsia="Arial" w:hAnsi="Arial"/>
          <w:sz w:val="18"/>
          <w:szCs w:val="18"/>
          <w:b w:val="1"/>
          <w:bCs w:val="1"/>
          <w:color w:val="auto"/>
        </w:rPr>
        <w:t xml:space="preserve">Other Arrangements. </w:t>
      </w:r>
      <w:r>
        <w:rPr>
          <w:rFonts w:ascii="Arial" w:cs="Arial" w:eastAsia="Arial" w:hAnsi="Arial"/>
          <w:sz w:val="18"/>
          <w:szCs w:val="18"/>
          <w:color w:val="auto"/>
        </w:rPr>
        <w:t>This Agreement supersedes any and all cash severance arrangements and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under any agreement governing Equity 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ectPr>
          <w:pgSz w:w="11900" w:h="16838" w:orient="portrait"/>
          <w:cols w:equalWidth="0" w:num="1">
            <w:col w:w="11125"/>
          </w:cols>
          <w:pgMar w:left="435" w:top="1430" w:right="339" w:bottom="1440" w:gutter="0" w:footer="0" w:header="0"/>
        </w:sectPr>
      </w:pPr>
    </w:p>
    <w:bookmarkStart w:id="140" w:name="page141"/>
    <w:bookmarkEnd w:id="140"/>
    <w:p>
      <w:pPr>
        <w:spacing w:after="0" w:line="166" w:lineRule="exact"/>
        <w:rPr>
          <w:sz w:val="20"/>
          <w:szCs w:val="20"/>
          <w:color w:val="auto"/>
        </w:rPr>
      </w:pPr>
    </w:p>
    <w:p>
      <w:pPr>
        <w:jc w:val="both"/>
        <w:ind w:left="-643" w:firstLine="643"/>
        <w:spacing w:after="0" w:line="282" w:lineRule="auto"/>
        <w:tabs>
          <w:tab w:leader="none" w:pos="415"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ensure rapid and economical resolution of any and all disputes that might arise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228" w:lineRule="exact"/>
        <w:rPr>
          <w:rFonts w:ascii="Arial" w:cs="Arial" w:eastAsia="Arial" w:hAnsi="Arial"/>
          <w:sz w:val="18"/>
          <w:szCs w:val="18"/>
          <w:color w:val="010000"/>
        </w:rPr>
      </w:pPr>
    </w:p>
    <w:p>
      <w:pPr>
        <w:jc w:val="both"/>
        <w:ind w:left="-643" w:right="100" w:firstLine="643"/>
        <w:spacing w:after="0" w:line="282" w:lineRule="auto"/>
        <w:tabs>
          <w:tab w:leader="none" w:pos="479"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214" w:lineRule="exact"/>
        <w:rPr>
          <w:rFonts w:ascii="Arial" w:cs="Arial" w:eastAsia="Arial" w:hAnsi="Arial"/>
          <w:sz w:val="18"/>
          <w:szCs w:val="18"/>
          <w:color w:val="010000"/>
        </w:rPr>
      </w:pPr>
    </w:p>
    <w:p>
      <w:pPr>
        <w:jc w:val="both"/>
        <w:ind w:left="-643" w:firstLine="643"/>
        <w:spacing w:after="0" w:line="294" w:lineRule="auto"/>
        <w:tabs>
          <w:tab w:leader="none" w:pos="425"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this Agreement shall be modified, waived or discharged unless the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0" w:lineRule="exact"/>
        <w:rPr>
          <w:rFonts w:ascii="Arial" w:cs="Arial" w:eastAsia="Arial" w:hAnsi="Arial"/>
          <w:sz w:val="18"/>
          <w:szCs w:val="18"/>
          <w:color w:val="010000"/>
        </w:rPr>
      </w:pPr>
    </w:p>
    <w:p>
      <w:pPr>
        <w:ind w:left="-643" w:right="120" w:firstLine="643"/>
        <w:spacing w:after="0" w:line="318" w:lineRule="auto"/>
        <w:tabs>
          <w:tab w:leader="none" w:pos="401"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All payments made under this Agreement shall be subject to reduction to reflect taxes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by law.</w:t>
      </w:r>
    </w:p>
    <w:p>
      <w:pPr>
        <w:spacing w:after="0" w:line="180" w:lineRule="exact"/>
        <w:rPr>
          <w:rFonts w:ascii="Arial" w:cs="Arial" w:eastAsia="Arial" w:hAnsi="Arial"/>
          <w:sz w:val="18"/>
          <w:szCs w:val="18"/>
          <w:color w:val="010000"/>
        </w:rPr>
      </w:pPr>
    </w:p>
    <w:p>
      <w:pPr>
        <w:ind w:left="-643" w:right="120" w:firstLine="643"/>
        <w:spacing w:after="0" w:line="318" w:lineRule="auto"/>
        <w:tabs>
          <w:tab w:leader="none" w:pos="437"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180" w:lineRule="exact"/>
        <w:rPr>
          <w:rFonts w:ascii="Arial" w:cs="Arial" w:eastAsia="Arial" w:hAnsi="Arial"/>
          <w:sz w:val="18"/>
          <w:szCs w:val="18"/>
          <w:color w:val="010000"/>
        </w:rPr>
      </w:pPr>
    </w:p>
    <w:p>
      <w:pPr>
        <w:jc w:val="both"/>
        <w:ind w:left="-643" w:firstLine="643"/>
        <w:spacing w:after="0" w:line="288" w:lineRule="auto"/>
        <w:tabs>
          <w:tab w:leader="none" w:pos="506"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No Retention Rights. </w:t>
      </w:r>
      <w:r>
        <w:rPr>
          <w:rFonts w:ascii="Arial" w:cs="Arial" w:eastAsia="Arial" w:hAnsi="Arial"/>
          <w:sz w:val="18"/>
          <w:szCs w:val="18"/>
          <w:color w:val="auto"/>
        </w:rPr>
        <w:t>Nothing in this Agreement shall confer upon the Executive any right to continue in service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221" w:lineRule="exact"/>
        <w:rPr>
          <w:rFonts w:ascii="Arial" w:cs="Arial" w:eastAsia="Arial" w:hAnsi="Arial"/>
          <w:sz w:val="18"/>
          <w:szCs w:val="18"/>
          <w:color w:val="010000"/>
        </w:rPr>
      </w:pPr>
    </w:p>
    <w:p>
      <w:pPr>
        <w:ind w:left="-643" w:firstLine="643"/>
        <w:spacing w:after="0" w:line="303" w:lineRule="auto"/>
        <w:tabs>
          <w:tab w:leader="none" w:pos="392" w:val="left"/>
        </w:tabs>
        <w:numPr>
          <w:ilvl w:val="0"/>
          <w:numId w:val="117"/>
        </w:numPr>
        <w:rPr>
          <w:rFonts w:ascii="Arial" w:cs="Arial" w:eastAsia="Arial" w:hAnsi="Arial"/>
          <w:sz w:val="18"/>
          <w:szCs w:val="18"/>
          <w:color w:val="010000"/>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validity, interpretation, construction and performance of this Agreement shall be governed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Washington (other than its choice-of-law provisions).</w:t>
      </w:r>
    </w:p>
    <w:p>
      <w:pPr>
        <w:sectPr>
          <w:pgSz w:w="11900" w:h="16838" w:orient="portrait"/>
          <w:cols w:equalWidth="0" w:num="1">
            <w:col w:w="10477"/>
          </w:cols>
          <w:pgMar w:left="1083" w:top="1440" w:right="339" w:bottom="1440" w:gutter="0" w:footer="0" w:header="0"/>
        </w:sectPr>
      </w:pPr>
    </w:p>
    <w:bookmarkStart w:id="141" w:name="page142"/>
    <w:bookmarkEnd w:id="141"/>
    <w:p>
      <w:pPr>
        <w:ind w:firstLine="648"/>
        <w:spacing w:after="0" w:line="303"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617855</wp:posOffset>
            </wp:positionV>
            <wp:extent cx="41916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ectPr>
          <w:pgSz w:w="11900" w:h="16838" w:orient="portrait"/>
          <w:cols w:equalWidth="0" w:num="1">
            <w:col w:w="10640"/>
          </w:cols>
          <w:pgMar w:left="440" w:top="1430" w:right="8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This Agreement is between Remitly, Inc.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undersigned independent contractor (“</w:t>
      </w:r>
      <w:r>
        <w:rPr>
          <w:rFonts w:ascii="Times New Roman" w:cs="Times New Roman" w:eastAsia="Times New Roman" w:hAnsi="Times New Roman"/>
          <w:sz w:val="22"/>
          <w:szCs w:val="22"/>
          <w:b w:val="1"/>
          <w:bCs w:val="1"/>
          <w:i w:val="1"/>
          <w:iCs w:val="1"/>
          <w:color w:val="auto"/>
        </w:rPr>
        <w:t>Contractor</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This Agreement includes a binding Mutual Arbitration Agreement (“</w:t>
      </w:r>
      <w:r>
        <w:rPr>
          <w:rFonts w:ascii="Times New Roman" w:cs="Times New Roman" w:eastAsia="Times New Roman" w:hAnsi="Times New Roman"/>
          <w:sz w:val="22"/>
          <w:szCs w:val="22"/>
          <w:b w:val="1"/>
          <w:bCs w:val="1"/>
          <w:i w:val="1"/>
          <w:iCs w:val="1"/>
          <w:color w:val="auto"/>
        </w:rPr>
        <w:t>Arbitration Agreement</w:t>
      </w:r>
      <w:r>
        <w:rPr>
          <w:rFonts w:ascii="Times New Roman" w:cs="Times New Roman" w:eastAsia="Times New Roman" w:hAnsi="Times New Roman"/>
          <w:sz w:val="22"/>
          <w:szCs w:val="22"/>
          <w:color w:val="auto"/>
        </w:rPr>
        <w:t>”) below. The Parties agree as follows:</w:t>
      </w:r>
    </w:p>
    <w:p>
      <w:pPr>
        <w:spacing w:after="0" w:line="52" w:lineRule="exact"/>
        <w:rPr>
          <w:sz w:val="20"/>
          <w:szCs w:val="20"/>
          <w:color w:val="auto"/>
        </w:rPr>
      </w:pPr>
    </w:p>
    <w:p>
      <w:pPr>
        <w:jc w:val="both"/>
        <w:ind w:left="340" w:hanging="332"/>
        <w:spacing w:after="0" w:line="253" w:lineRule="auto"/>
        <w:tabs>
          <w:tab w:leader="none" w:pos="538"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 Status</w:t>
      </w:r>
      <w:r>
        <w:rPr>
          <w:rFonts w:ascii="Times New Roman" w:cs="Times New Roman" w:eastAsia="Times New Roman" w:hAnsi="Times New Roman"/>
          <w:sz w:val="22"/>
          <w:szCs w:val="22"/>
          <w:color w:val="auto"/>
        </w:rPr>
        <w:t>. Contractor shall perform the Services described in the Scope of Work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herein by reference. Contractor is an independent contractor and neither Contractor, Contractor’s employees, or other contract personnel are, or shall be deemed, Company’s employees. Contractor has no authority to bind Company by contract or otherwise. In her capacity as an independent contractor, Contractor agrees and represents:</w:t>
      </w:r>
    </w:p>
    <w:p>
      <w:pPr>
        <w:spacing w:after="0" w:line="81" w:lineRule="exact"/>
        <w:rPr>
          <w:sz w:val="20"/>
          <w:szCs w:val="20"/>
          <w:color w:val="auto"/>
        </w:rPr>
      </w:pPr>
    </w:p>
    <w:p>
      <w:pPr>
        <w:jc w:val="both"/>
        <w:ind w:left="1240" w:hanging="647"/>
        <w:spacing w:after="0" w:line="257" w:lineRule="auto"/>
        <w:tabs>
          <w:tab w:leader="none" w:pos="122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2"/>
          <w:szCs w:val="22"/>
          <w:color w:val="auto"/>
        </w:rPr>
        <w:t>Contractor is customarily engaged in her own independent trade, occupation, or business. Contractor has the right to perform Services for others, and expects to do so, during the term of this Agreement. This Agreement is not exclusive, but is subject to the conflict of interest clause and other terms herein.</w:t>
      </w:r>
    </w:p>
    <w:p>
      <w:pPr>
        <w:spacing w:after="0" w:line="65" w:lineRule="exact"/>
        <w:rPr>
          <w:sz w:val="20"/>
          <w:szCs w:val="20"/>
          <w:color w:val="auto"/>
        </w:rPr>
      </w:pPr>
    </w:p>
    <w:p>
      <w:pPr>
        <w:jc w:val="both"/>
        <w:ind w:left="1240" w:hanging="647"/>
        <w:spacing w:after="0" w:line="271" w:lineRule="auto"/>
        <w:tabs>
          <w:tab w:leader="none" w:pos="122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2"/>
          <w:szCs w:val="22"/>
          <w:color w:val="auto"/>
        </w:rPr>
        <w:t>Contractor possesses the skills, knowledge, and experience to complete the Services without the need for training from Company, and Contractor will exercise due skill and care in discharging the Services.</w:t>
      </w:r>
    </w:p>
    <w:p>
      <w:pPr>
        <w:spacing w:after="0" w:line="50" w:lineRule="exact"/>
        <w:rPr>
          <w:sz w:val="20"/>
          <w:szCs w:val="20"/>
          <w:color w:val="auto"/>
        </w:rPr>
      </w:pPr>
    </w:p>
    <w:p>
      <w:pPr>
        <w:jc w:val="both"/>
        <w:ind w:left="1200" w:hanging="647"/>
        <w:spacing w:after="0" w:line="263" w:lineRule="auto"/>
        <w:tabs>
          <w:tab w:leader="none" w:pos="11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2"/>
          <w:szCs w:val="22"/>
          <w:color w:val="auto"/>
        </w:rPr>
        <w:t>Contractor has the sole right to control and direct the means, manner, and method by which the Services required by this Agreement will be performed. Contractor shall select the routes taken, starting and ending times, days of work, and order the work is performed. Company does not exercise authority or control over the Services.</w:t>
      </w:r>
    </w:p>
    <w:p>
      <w:pPr>
        <w:spacing w:after="0" w:line="59" w:lineRule="exact"/>
        <w:rPr>
          <w:sz w:val="20"/>
          <w:szCs w:val="20"/>
          <w:color w:val="auto"/>
        </w:rPr>
      </w:pPr>
    </w:p>
    <w:p>
      <w:pPr>
        <w:jc w:val="both"/>
        <w:ind w:left="1200" w:hanging="647"/>
        <w:spacing w:after="0" w:line="271" w:lineRule="auto"/>
        <w:tabs>
          <w:tab w:leader="none" w:pos="11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2"/>
          <w:szCs w:val="22"/>
          <w:color w:val="auto"/>
        </w:rPr>
        <w:t>Contractor is free to accept or reject work and has complete discretion whether to enter into this Agreement and any particular Scope of Work hereunder.</w:t>
      </w:r>
    </w:p>
    <w:p>
      <w:pPr>
        <w:spacing w:after="0" w:line="50" w:lineRule="exact"/>
        <w:rPr>
          <w:sz w:val="20"/>
          <w:szCs w:val="20"/>
          <w:color w:val="auto"/>
        </w:rPr>
      </w:pPr>
    </w:p>
    <w:p>
      <w:pPr>
        <w:jc w:val="both"/>
        <w:ind w:left="1240" w:hanging="647"/>
        <w:spacing w:after="0" w:line="263" w:lineRule="auto"/>
        <w:tabs>
          <w:tab w:leader="none" w:pos="122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2"/>
          <w:szCs w:val="22"/>
          <w:color w:val="auto"/>
        </w:rPr>
        <w:t>Contractor shall provide the tools and equipment necessary to complete the Services, and shall not be reimbursed for any expenses, unless otherwise expressly agreed to by the Parties. Contractor shall pay all operational costs for her business.</w:t>
      </w:r>
    </w:p>
    <w:p>
      <w:pPr>
        <w:spacing w:after="0" w:line="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color w:val="auto"/>
        </w:rPr>
        <w:t>Contractor bears the risk of profit or loss based on Contractor’s Fees and operating expenses.</w:t>
      </w:r>
    </w:p>
    <w:p>
      <w:pPr>
        <w:spacing w:after="0" w:line="11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2"/>
          <w:szCs w:val="22"/>
          <w:color w:val="auto"/>
        </w:rPr>
        <w:t>Contractor will comply with all applicable laws, rules, and regulations in performing the Services. Contractor agrees to promptly report to Company in writing any violations of applicable law arising out of or related to Contractor’s services, including without limitation any discrimination, harassment, health and safety violations, bribes, or conflicts of interest. The Services Contractor provides under this Agreement do not infringe on any rights of a third party.</w:t>
      </w:r>
    </w:p>
    <w:p>
      <w:pPr>
        <w:spacing w:after="0" w:line="71" w:lineRule="exact"/>
        <w:rPr>
          <w:sz w:val="20"/>
          <w:szCs w:val="20"/>
          <w:color w:val="auto"/>
        </w:rPr>
      </w:pPr>
    </w:p>
    <w:p>
      <w:pPr>
        <w:ind w:left="380" w:hanging="372"/>
        <w:spacing w:after="0"/>
        <w:tabs>
          <w:tab w:leader="none" w:pos="38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Fees. </w:t>
      </w:r>
      <w:r>
        <w:rPr>
          <w:rFonts w:ascii="Times New Roman" w:cs="Times New Roman" w:eastAsia="Times New Roman" w:hAnsi="Times New Roman"/>
          <w:sz w:val="22"/>
          <w:szCs w:val="22"/>
          <w:color w:val="auto"/>
        </w:rPr>
        <w:t>Fees for Contractor’s Services are set forth in the Scope of Work.</w:t>
      </w:r>
    </w:p>
    <w:p>
      <w:pPr>
        <w:spacing w:after="0" w:line="111" w:lineRule="exact"/>
        <w:rPr>
          <w:rFonts w:ascii="Times New Roman" w:cs="Times New Roman" w:eastAsia="Times New Roman" w:hAnsi="Times New Roman"/>
          <w:sz w:val="22"/>
          <w:szCs w:val="22"/>
          <w:b w:val="1"/>
          <w:bCs w:val="1"/>
          <w:color w:val="auto"/>
        </w:rPr>
      </w:pPr>
    </w:p>
    <w:p>
      <w:pPr>
        <w:jc w:val="both"/>
        <w:ind w:left="340" w:hanging="332"/>
        <w:spacing w:after="0" w:line="258" w:lineRule="auto"/>
        <w:tabs>
          <w:tab w:leader="none" w:pos="394"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Licenses, Permits, and Certificates</w:t>
      </w:r>
      <w:r>
        <w:rPr>
          <w:rFonts w:ascii="Times New Roman" w:cs="Times New Roman" w:eastAsia="Times New Roman" w:hAnsi="Times New Roman"/>
          <w:sz w:val="22"/>
          <w:szCs w:val="22"/>
          <w:color w:val="auto"/>
        </w:rPr>
        <w:t>. Contractor represents and warrants that she maintains, if applicable, necessary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licenses and registrations. Contractor represents and warrants that all employees and personnel associated with her shall comply with federal, state, and local laws requiring any required licenses, permits, and certificates necessary to perform the Services under this Agreement.</w:t>
      </w:r>
    </w:p>
    <w:p>
      <w:pPr>
        <w:spacing w:after="0" w:line="59" w:lineRule="exact"/>
        <w:rPr>
          <w:rFonts w:ascii="Times New Roman" w:cs="Times New Roman" w:eastAsia="Times New Roman" w:hAnsi="Times New Roman"/>
          <w:sz w:val="22"/>
          <w:szCs w:val="22"/>
          <w:b w:val="1"/>
          <w:bCs w:val="1"/>
          <w:color w:val="auto"/>
        </w:rPr>
      </w:pPr>
    </w:p>
    <w:p>
      <w:pPr>
        <w:jc w:val="both"/>
        <w:ind w:left="340" w:hanging="332"/>
        <w:spacing w:after="0" w:line="259" w:lineRule="auto"/>
        <w:tabs>
          <w:tab w:leader="none" w:pos="46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 Wages</w:t>
      </w:r>
      <w:r>
        <w:rPr>
          <w:rFonts w:ascii="Times New Roman" w:cs="Times New Roman" w:eastAsia="Times New Roman" w:hAnsi="Times New Roman"/>
          <w:sz w:val="22"/>
          <w:szCs w:val="22"/>
          <w:color w:val="auto"/>
        </w:rPr>
        <w:t>. Contractor, and not Company, is solely responsible for: federal, state, and other tax obligations,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contribution, and reporting, withholding FICA, Medicare, Social Security, or any other tax obligations related to Contractor or her employees or personnel, payment</w:t>
      </w:r>
    </w:p>
    <w:p>
      <w:pPr>
        <w:sectPr>
          <w:pgSz w:w="11900" w:h="16838" w:orient="portrait"/>
          <w:cols w:equalWidth="0" w:num="1">
            <w:col w:w="11240"/>
          </w:cols>
          <w:pgMar w:left="320" w:top="135" w:right="339" w:bottom="1440" w:gutter="0" w:footer="0" w:header="0"/>
        </w:sectPr>
      </w:pPr>
    </w:p>
    <w:bookmarkStart w:id="143" w:name="page144"/>
    <w:bookmarkEnd w:id="143"/>
    <w:p>
      <w:pPr>
        <w:ind w:left="340"/>
        <w:spacing w:after="0" w:line="271" w:lineRule="auto"/>
        <w:rPr>
          <w:sz w:val="20"/>
          <w:szCs w:val="20"/>
          <w:color w:val="auto"/>
        </w:rPr>
      </w:pPr>
      <w:r>
        <w:rPr>
          <w:rFonts w:ascii="Times New Roman" w:cs="Times New Roman" w:eastAsia="Times New Roman" w:hAnsi="Times New Roman"/>
          <w:sz w:val="22"/>
          <w:szCs w:val="22"/>
          <w:color w:val="auto"/>
        </w:rPr>
        <w:t>of wages, and compliance with employer wage and hour obligations, for all of Contractor’s employees, and protected time off (including paid sick time) for herself and her employees.</w:t>
      </w:r>
    </w:p>
    <w:p>
      <w:pPr>
        <w:spacing w:after="0" w:line="46" w:lineRule="exact"/>
        <w:rPr>
          <w:sz w:val="20"/>
          <w:szCs w:val="20"/>
          <w:color w:val="auto"/>
        </w:rPr>
      </w:pPr>
    </w:p>
    <w:p>
      <w:pPr>
        <w:jc w:val="both"/>
        <w:ind w:left="340" w:hanging="332"/>
        <w:spacing w:after="0" w:line="254" w:lineRule="auto"/>
        <w:tabs>
          <w:tab w:leader="none" w:pos="502"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Except as provided in the Scope of Work, Contractor understands and agrees she is solely responsible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of herself and her employees, including without limitation health care (ACA-compliant minimal essential coverage), vision, dental, short or long term disability, retirement plans, and fringe benefits. Contractor is not entitled to participate in Company’s benefit programs, other than those she was a participant in prior to the Start Date, to the extent permitted by those programs.</w:t>
      </w:r>
    </w:p>
    <w:p>
      <w:pPr>
        <w:spacing w:after="0" w:line="65" w:lineRule="exact"/>
        <w:rPr>
          <w:rFonts w:ascii="Times New Roman" w:cs="Times New Roman" w:eastAsia="Times New Roman" w:hAnsi="Times New Roman"/>
          <w:sz w:val="22"/>
          <w:szCs w:val="22"/>
          <w:b w:val="1"/>
          <w:bCs w:val="1"/>
          <w:color w:val="auto"/>
        </w:rPr>
      </w:pPr>
    </w:p>
    <w:p>
      <w:pPr>
        <w:jc w:val="both"/>
        <w:ind w:left="340" w:hanging="332"/>
        <w:spacing w:after="0" w:line="283" w:lineRule="auto"/>
        <w:tabs>
          <w:tab w:leader="none" w:pos="412" w:val="left"/>
        </w:tabs>
        <w:numPr>
          <w:ilvl w:val="0"/>
          <w:numId w:val="1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Unemployment; Workers’ Compensation</w:t>
      </w:r>
      <w:r>
        <w:rPr>
          <w:rFonts w:ascii="Times New Roman" w:cs="Times New Roman" w:eastAsia="Times New Roman" w:hAnsi="Times New Roman"/>
          <w:sz w:val="21"/>
          <w:szCs w:val="21"/>
          <w:color w:val="auto"/>
        </w:rPr>
        <w:t>. Contractor is not eligible for unemployment benefits or workers’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coverage from Company because the Contractor is not an employee of Company. Contractor shall be solely responsible for providing all unemployment insurance and workers’ compensation insurance on behalf of herself and her employees.</w:t>
      </w:r>
    </w:p>
    <w:p>
      <w:pPr>
        <w:spacing w:after="0" w:line="36" w:lineRule="exact"/>
        <w:rPr>
          <w:rFonts w:ascii="Times New Roman" w:cs="Times New Roman" w:eastAsia="Times New Roman" w:hAnsi="Times New Roman"/>
          <w:sz w:val="21"/>
          <w:szCs w:val="21"/>
          <w:b w:val="1"/>
          <w:bCs w:val="1"/>
          <w:color w:val="auto"/>
        </w:rPr>
      </w:pPr>
    </w:p>
    <w:p>
      <w:pPr>
        <w:jc w:val="both"/>
        <w:ind w:left="340" w:hanging="332"/>
        <w:spacing w:after="0" w:line="259" w:lineRule="auto"/>
        <w:tabs>
          <w:tab w:leader="none" w:pos="402"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Conflict of Interest. </w:t>
      </w:r>
      <w:r>
        <w:rPr>
          <w:rFonts w:ascii="Times New Roman" w:cs="Times New Roman" w:eastAsia="Times New Roman" w:hAnsi="Times New Roman"/>
          <w:sz w:val="22"/>
          <w:szCs w:val="22"/>
          <w:color w:val="auto"/>
        </w:rPr>
        <w:t>Contractor shall avoid conflicts of interest, which includes undue influence over her Services, receiving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personal or business benefit that interferes with Contractor’s ability to provide Services in Company’s best interest, or impairs Contractor’s ability to exercise good business judgment regarding the Services.</w:t>
      </w:r>
    </w:p>
    <w:p>
      <w:pPr>
        <w:spacing w:after="0" w:line="58"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w:t>
      </w:r>
    </w:p>
    <w:p>
      <w:pPr>
        <w:spacing w:after="0" w:line="123" w:lineRule="exact"/>
        <w:rPr>
          <w:sz w:val="20"/>
          <w:szCs w:val="20"/>
          <w:color w:val="auto"/>
        </w:rPr>
      </w:pPr>
    </w:p>
    <w:p>
      <w:pPr>
        <w:jc w:val="both"/>
        <w:ind w:left="720" w:hanging="388"/>
        <w:spacing w:after="0" w:line="249"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8.1.</w:t>
        <w:tab/>
        <w:t xml:space="preserve">Definition.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an item or compilation of non-public proprietary information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(tangible or intangible) related to the Company’s business that Contractor acquires or gains access to during the engagement that the Company has not authorized public disclosure of, and that is not readily available to the public or persons outside the Company. By way of example and not limitation, Confidential Information includes: private contract terms, customer business preferences, historical transaction data regarding customers, and customer implementation plans; financial performance; business plans and strategies; customized software, internal business methods, processes, and systems and innovations; marketing plans, market surveys, research and analysis; unpublished pricing information, and variables such as costs, discounting options, and profit margins; business sale and acquisition opportunities identified by the Company; dealings with vendors, suppliers, manufacturers, distributors, and customers; information regarding product sourcing, ingredients, formulas, and manufacturing processes, including where products are made and by whom; and Company trade secrets.</w:t>
      </w:r>
    </w:p>
    <w:p>
      <w:pPr>
        <w:spacing w:after="0" w:line="71" w:lineRule="exact"/>
        <w:rPr>
          <w:sz w:val="20"/>
          <w:szCs w:val="20"/>
          <w:color w:val="auto"/>
        </w:rPr>
      </w:pPr>
    </w:p>
    <w:p>
      <w:pPr>
        <w:jc w:val="both"/>
        <w:ind w:left="720" w:hanging="388"/>
        <w:spacing w:after="0" w:line="249"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8.2.</w:t>
        <w:tab/>
        <w:t xml:space="preserve">Obligations. </w:t>
      </w:r>
      <w:r>
        <w:rPr>
          <w:rFonts w:ascii="Times New Roman" w:cs="Times New Roman" w:eastAsia="Times New Roman" w:hAnsi="Times New Roman"/>
          <w:sz w:val="22"/>
          <w:szCs w:val="22"/>
          <w:color w:val="auto"/>
        </w:rPr>
        <w:t>Contractor acknowledges that items of Confidential Information are the Company’s valuable assets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economic value because they are not generally known by the public or others who could use them to their own economic benefit and/or to the competitive disadvantage of the Company. Subject to the protected rights described in Section 8.3, Contractor agrees to use Confidential Information only in the performance of her Services, to hold such information in confidence and trust, and not to engage in any unauthorized use or disclosure of such information during the engagement and for so long thereafter as such information qualifies as Confidential Information. Contractor will follow industry best practices and any additional Company instructions regarding use or storage of Confidential Information and return all such records (including all copies) when the engagement with Company ends, or sooner if requested. The obligations hereunder regarding Confidential Information shall continue for so long as the information remains confidential. However, in the event a reviewing court requires a time frame for the protection of Confidential Information, Contractor’s nondisclosure obligation shall extend for a period of three (3) years after Contractor’s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205" w:right="339" w:bottom="1440" w:gutter="0" w:footer="0" w:header="0"/>
        </w:sectPr>
      </w:pPr>
    </w:p>
    <w:bookmarkStart w:id="144" w:name="page145"/>
    <w:bookmarkEnd w:id="144"/>
    <w:p>
      <w:pPr>
        <w:ind w:left="380"/>
        <w:spacing w:after="0" w:line="271" w:lineRule="auto"/>
        <w:rPr>
          <w:sz w:val="20"/>
          <w:szCs w:val="20"/>
          <w:color w:val="auto"/>
        </w:rPr>
      </w:pPr>
      <w:r>
        <w:rPr>
          <w:rFonts w:ascii="Times New Roman" w:cs="Times New Roman" w:eastAsia="Times New Roman" w:hAnsi="Times New Roman"/>
          <w:sz w:val="22"/>
          <w:szCs w:val="22"/>
          <w:color w:val="auto"/>
        </w:rPr>
        <w:t>termination as to Confidential Information that does not qualify for protection as a trade secret. Trade Secret information shall be protected from disclosure as long as the information at issue continues to qualify as a trade secret.</w:t>
      </w:r>
    </w:p>
    <w:p>
      <w:pPr>
        <w:spacing w:after="0" w:line="46" w:lineRule="exact"/>
        <w:rPr>
          <w:sz w:val="20"/>
          <w:szCs w:val="20"/>
          <w:color w:val="auto"/>
        </w:rPr>
      </w:pPr>
    </w:p>
    <w:p>
      <w:pPr>
        <w:jc w:val="both"/>
        <w:ind w:left="380" w:hanging="388"/>
        <w:spacing w:after="0" w:line="247" w:lineRule="auto"/>
        <w:tabs>
          <w:tab w:leader="none" w:pos="360" w:val="left"/>
        </w:tabs>
        <w:rPr>
          <w:sz w:val="20"/>
          <w:szCs w:val="20"/>
          <w:color w:val="auto"/>
        </w:rPr>
      </w:pPr>
      <w:r>
        <w:rPr>
          <w:rFonts w:ascii="Times New Roman" w:cs="Times New Roman" w:eastAsia="Times New Roman" w:hAnsi="Times New Roman"/>
          <w:sz w:val="22"/>
          <w:szCs w:val="22"/>
          <w:b w:val="1"/>
          <w:bCs w:val="1"/>
          <w:color w:val="auto"/>
        </w:rPr>
        <w:t>8.3.</w:t>
        <w:tab/>
        <w:t xml:space="preserve">No Interference With Rights. </w:t>
      </w:r>
      <w:r>
        <w:rPr>
          <w:rFonts w:ascii="Times New Roman" w:cs="Times New Roman" w:eastAsia="Times New Roman" w:hAnsi="Times New Roman"/>
          <w:sz w:val="22"/>
          <w:szCs w:val="22"/>
          <w:color w:val="auto"/>
        </w:rPr>
        <w:t>Nothing in this Agreement or otherwise prohibits any person, including Contractor,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reporting possible violations of federal, state, or local law or regulation, communicating directly with or providing information (including documents) not otherwise protected from disclosure by any applicable law or privilege to any governmental agency or entity, including but not limited to the Department of Justice,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Congress, the Equal Opportunity Commission, the National Labor Relations Board, the Occupational Safety and Health Administration, any agency Inspector General, or any other federal, state, or local governmental agency or commission (collectively, “</w:t>
      </w:r>
      <w:r>
        <w:rPr>
          <w:rFonts w:ascii="Times New Roman" w:cs="Times New Roman" w:eastAsia="Times New Roman" w:hAnsi="Times New Roman"/>
          <w:sz w:val="22"/>
          <w:szCs w:val="22"/>
          <w:b w:val="1"/>
          <w:bCs w:val="1"/>
          <w:i w:val="1"/>
          <w:iCs w:val="1"/>
          <w:color w:val="auto"/>
        </w:rPr>
        <w:t>Government Entities</w:t>
      </w:r>
      <w:r>
        <w:rPr>
          <w:rFonts w:ascii="Times New Roman" w:cs="Times New Roman" w:eastAsia="Times New Roman" w:hAnsi="Times New Roman"/>
          <w:sz w:val="22"/>
          <w:szCs w:val="22"/>
          <w:color w:val="auto"/>
        </w:rPr>
        <w:t>”), participating in an investigation or proceeding conducted by a Government Entity, disclosing or discussing conduct they reasonably believe to be illegal discrimination, illegal harassment, illegal retaliation, a wage and hour violation, or sexual assault, or that is recognized as against a clear mandate of public policy, or the existence of a settlement involving any such event or conduct or making other disclosures that are protected under the whistleblower provisions of federal law and regulation. Contractor does not need the prior authorization of Company to make any such reports or disclosures. Contractor is not required to notify Company that she has made any such reports or disclosures and any such reports or disclosures expressly do not violate any provision of this Agreement. Contractor can provide Confidential Information to Government Entities without risk of being held liable by Company for liquidated damages or other financial penalties. Company may not retaliate against Contractor for any of these activities and nothing in this Agreement or otherwise requires Contractor to waive or limit Contractor’s right to receive any monetary award or other payment for information provided to Government Entities. Nothing in this Agreement or otherwise (i) requires Contractor to disclose any communications Contractor may have had or information Contractor may have provided to the SEC or any other Government Entities regarding possible legal violations or (ii) is intended to limit, nor does it limit, any applicable rights that Contractor may have under Section 7 of the National Labor Relations Act.</w:t>
      </w:r>
    </w:p>
    <w:p>
      <w:pPr>
        <w:spacing w:after="0" w:line="81" w:lineRule="exact"/>
        <w:rPr>
          <w:sz w:val="20"/>
          <w:szCs w:val="20"/>
          <w:color w:val="auto"/>
        </w:rPr>
      </w:pPr>
    </w:p>
    <w:p>
      <w:pPr>
        <w:jc w:val="both"/>
        <w:ind w:left="380" w:hanging="388"/>
        <w:spacing w:after="0" w:line="254" w:lineRule="auto"/>
        <w:tabs>
          <w:tab w:leader="none" w:pos="360" w:val="left"/>
        </w:tabs>
        <w:rPr>
          <w:sz w:val="20"/>
          <w:szCs w:val="20"/>
          <w:color w:val="auto"/>
        </w:rPr>
      </w:pPr>
      <w:r>
        <w:rPr>
          <w:rFonts w:ascii="Times New Roman" w:cs="Times New Roman" w:eastAsia="Times New Roman" w:hAnsi="Times New Roman"/>
          <w:sz w:val="22"/>
          <w:szCs w:val="22"/>
          <w:b w:val="1"/>
          <w:bCs w:val="1"/>
          <w:color w:val="auto"/>
        </w:rPr>
        <w:t>8.4.</w:t>
        <w:tab/>
        <w:t xml:space="preserve">DTSA. </w:t>
      </w:r>
      <w:r>
        <w:rPr>
          <w:rFonts w:ascii="Times New Roman" w:cs="Times New Roman" w:eastAsia="Times New Roman" w:hAnsi="Times New Roman"/>
          <w:sz w:val="22"/>
          <w:szCs w:val="22"/>
          <w:color w:val="auto"/>
        </w:rPr>
        <w:t>Nothing in this Agreement prohibits Contractor from reporting an event that Contractor reasonably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faith believes is a violation of law to the relevant law enforcement agency (such as the Securities and Exchange Commission, Equal Employment Opportunity Commission, or Department of Labor), or from cooperating in an investigation conducted by such a government agency. Contractor is hereby provided notice that under the 2016 Defend Trade Secrets Act (“</w:t>
      </w:r>
      <w:r>
        <w:rPr>
          <w:rFonts w:ascii="Times New Roman" w:cs="Times New Roman" w:eastAsia="Times New Roman" w:hAnsi="Times New Roman"/>
          <w:sz w:val="22"/>
          <w:szCs w:val="22"/>
          <w:b w:val="1"/>
          <w:bCs w:val="1"/>
          <w:i w:val="1"/>
          <w:iCs w:val="1"/>
          <w:color w:val="auto"/>
        </w:rPr>
        <w:t>DTSA</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jc w:val="both"/>
        <w:ind w:left="380" w:firstLine="1"/>
        <w:spacing w:after="0" w:line="253" w:lineRule="auto"/>
        <w:tabs>
          <w:tab w:leader="none" w:pos="82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individual will be held criminally or civilly liable under federal or state trade secret law for the disclosure of a trade secret (as defined under the DTSA) that: (i) is made in confidence to a federal, state, or local government official, either directly or indirectly, or to an attorney; and made solely for the purpose of reporting or investigating a suspected violation of law; or (ii) is made in a complaint or other document filed in a lawsuit or other proceeding, if such filing is made under seal so that it is not made public; and</w:t>
      </w:r>
    </w:p>
    <w:p>
      <w:pPr>
        <w:spacing w:after="0" w:line="70" w:lineRule="exact"/>
        <w:rPr>
          <w:rFonts w:ascii="Times New Roman" w:cs="Times New Roman" w:eastAsia="Times New Roman" w:hAnsi="Times New Roman"/>
          <w:sz w:val="22"/>
          <w:szCs w:val="22"/>
          <w:color w:val="auto"/>
        </w:rPr>
      </w:pPr>
    </w:p>
    <w:p>
      <w:pPr>
        <w:jc w:val="both"/>
        <w:ind w:left="380" w:firstLine="1"/>
        <w:spacing w:after="0" w:line="256" w:lineRule="auto"/>
        <w:tabs>
          <w:tab w:leader="none" w:pos="78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0"/>
          </w:cols>
          <w:pgMar w:left="660" w:top="1205" w:right="339" w:bottom="1440" w:gutter="0" w:footer="0" w:header="0"/>
        </w:sectPr>
      </w:pPr>
    </w:p>
    <w:bookmarkStart w:id="145" w:name="page146"/>
    <w:bookmarkEnd w:id="145"/>
    <w:p>
      <w:pPr>
        <w:jc w:val="both"/>
        <w:ind w:left="340" w:hanging="332"/>
        <w:spacing w:after="0" w:line="259" w:lineRule="auto"/>
        <w:tabs>
          <w:tab w:leader="none" w:pos="502"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Property. </w:t>
      </w:r>
      <w:r>
        <w:rPr>
          <w:rFonts w:ascii="Times New Roman" w:cs="Times New Roman" w:eastAsia="Times New Roman" w:hAnsi="Times New Roman"/>
          <w:sz w:val="22"/>
          <w:szCs w:val="22"/>
          <w:color w:val="auto"/>
        </w:rPr>
        <w:t>Subject to Section 8.3, on termination of this Agreement, or sooner if instructed, Contractor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return all Company property. This includes laptops, cell phones, keys, Confidential Information, and other Company property. This also includes all log-ins and passwords necessary for Company to access her information.</w:t>
      </w:r>
    </w:p>
    <w:p>
      <w:pPr>
        <w:spacing w:after="0" w:line="69" w:lineRule="exact"/>
        <w:rPr>
          <w:rFonts w:ascii="Times New Roman" w:cs="Times New Roman" w:eastAsia="Times New Roman" w:hAnsi="Times New Roman"/>
          <w:sz w:val="22"/>
          <w:szCs w:val="22"/>
          <w:b w:val="1"/>
          <w:bCs w:val="1"/>
          <w:color w:val="auto"/>
        </w:rPr>
      </w:pPr>
    </w:p>
    <w:p>
      <w:pPr>
        <w:jc w:val="both"/>
        <w:ind w:left="340" w:hanging="332"/>
        <w:spacing w:after="0" w:line="264" w:lineRule="auto"/>
        <w:tabs>
          <w:tab w:leader="none" w:pos="548" w:val="left"/>
        </w:tabs>
        <w:numPr>
          <w:ilvl w:val="0"/>
          <w:numId w:val="1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Intellectual Property Ownership. </w:t>
      </w:r>
      <w:r>
        <w:rPr>
          <w:rFonts w:ascii="Times New Roman" w:cs="Times New Roman" w:eastAsia="Times New Roman" w:hAnsi="Times New Roman"/>
          <w:sz w:val="21"/>
          <w:szCs w:val="21"/>
          <w:color w:val="auto"/>
        </w:rPr>
        <w:t>Contractor agrees to promptly disclose to Company any and all Work Product. “</w:t>
      </w:r>
      <w:r>
        <w:rPr>
          <w:rFonts w:ascii="Times New Roman" w:cs="Times New Roman" w:eastAsia="Times New Roman" w:hAnsi="Times New Roman"/>
          <w:sz w:val="21"/>
          <w:szCs w:val="21"/>
          <w:b w:val="1"/>
          <w:bCs w:val="1"/>
          <w:i w:val="1"/>
          <w:iCs w:val="1"/>
          <w:color w:val="auto"/>
        </w:rPr>
        <w:t>Work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Product</w:t>
      </w:r>
      <w:r>
        <w:rPr>
          <w:rFonts w:ascii="Times New Roman" w:cs="Times New Roman" w:eastAsia="Times New Roman" w:hAnsi="Times New Roman"/>
          <w:sz w:val="21"/>
          <w:szCs w:val="21"/>
          <w:color w:val="auto"/>
        </w:rPr>
        <w:t>” includes without limitation any and all results and proceeds of Contractor’s services, including but not limited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code, software, programs, notes, drawings, designs, technical data, know how, works of authorship, firmware, ideas, improvements, inventions, material, information, marketing materials, work, or product conceived, created, written, or first reduced to practice by Contractor either solely or jointly with others in the performance of Services for Company and/or resulting from use of Confidential Information by Contractor solely or jointly with others. Contractor represents and warrants all work product is owned by Contractor and does not infringe upon the intellectual property rights of any third party.</w:t>
      </w:r>
    </w:p>
    <w:p>
      <w:pPr>
        <w:spacing w:after="0" w:line="64" w:lineRule="exact"/>
        <w:rPr>
          <w:sz w:val="20"/>
          <w:szCs w:val="20"/>
          <w:color w:val="auto"/>
        </w:rPr>
      </w:pPr>
    </w:p>
    <w:p>
      <w:pPr>
        <w:jc w:val="both"/>
        <w:ind w:left="340"/>
        <w:spacing w:after="0" w:line="248" w:lineRule="auto"/>
        <w:rPr>
          <w:sz w:val="20"/>
          <w:szCs w:val="20"/>
          <w:color w:val="auto"/>
        </w:rPr>
      </w:pPr>
      <w:r>
        <w:rPr>
          <w:rFonts w:ascii="Times New Roman" w:cs="Times New Roman" w:eastAsia="Times New Roman" w:hAnsi="Times New Roman"/>
          <w:sz w:val="22"/>
          <w:szCs w:val="22"/>
          <w:color w:val="auto"/>
        </w:rPr>
        <w:t>All Work Product shall be deemed a “work made for hire,” as such term is defined under the copyright laws of the United States, with Company as the author and exclusive owner thereof. In the event the Work Product does not qualify as a “work made for hire” for Company, Contractor hereby irrevocably and exclusively transfers to Company all right, title, and interest in and to the Work Product, including without limitation all worldwide copyrights, patent, trade secret, trademark (including the good will associated therewith), or other intellectual property rights therein including any extensions and renewals thereof, throughout the world in perpetuity in any and all media, now known or hereafter devised. Accordingly, Company is the sole and exclusive owner and copyright proprietor of all right, title, and interest in the work in whatever stage of completion. Contractor shall promptly execute and deliver to Company documents reasonably requested for Company to secure copyright protection in Contractor’s services and the results and proceeds thereof. Upon request of Company, Contractor will deliver to Company all files and materials related to the work at no cost to Company. Contractor hereby grants Company the right to change, add to, take from, translate, reformat, modify, edit, or reprocess the work in any manner Company may in its sole discretion determine. Contractor hereby irrevocably waives all so-called “moral rights” or “droit moral” rights and any similar or analogous rights under the applicable laws of any country of the world. Without limiting the foregoing, Company has no obligation to provide “credit” or “attribution” to Contractor for the Work delivered or services rendered hereunder.</w:t>
      </w:r>
    </w:p>
    <w:p>
      <w:pPr>
        <w:spacing w:after="0" w:line="71" w:lineRule="exact"/>
        <w:rPr>
          <w:sz w:val="20"/>
          <w:szCs w:val="20"/>
          <w:color w:val="auto"/>
        </w:rPr>
      </w:pPr>
    </w:p>
    <w:p>
      <w:pPr>
        <w:jc w:val="both"/>
        <w:ind w:left="340" w:hanging="332"/>
        <w:spacing w:after="0" w:line="259" w:lineRule="auto"/>
        <w:tabs>
          <w:tab w:leader="none" w:pos="501"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Non-Circumvention. </w:t>
      </w:r>
      <w:r>
        <w:rPr>
          <w:rFonts w:ascii="Times New Roman" w:cs="Times New Roman" w:eastAsia="Times New Roman" w:hAnsi="Times New Roman"/>
          <w:sz w:val="22"/>
          <w:szCs w:val="22"/>
          <w:color w:val="auto"/>
        </w:rPr>
        <w:t>During the term of this Agreement (including any Scope of Work), and for a period of six (6)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thereafter, Contractor shall not, directly or indirectly, circumvent the relationship between Company and its employees, personnel, or clients for Contractor’s own benefit or the benefit of any other person or entity.</w:t>
      </w:r>
    </w:p>
    <w:p>
      <w:pPr>
        <w:spacing w:after="0" w:line="58" w:lineRule="exact"/>
        <w:rPr>
          <w:rFonts w:ascii="Times New Roman" w:cs="Times New Roman" w:eastAsia="Times New Roman" w:hAnsi="Times New Roman"/>
          <w:sz w:val="22"/>
          <w:szCs w:val="22"/>
          <w:b w:val="1"/>
          <w:bCs w:val="1"/>
          <w:color w:val="auto"/>
        </w:rPr>
      </w:pPr>
    </w:p>
    <w:p>
      <w:pPr>
        <w:ind w:left="340" w:right="20" w:hanging="332"/>
        <w:spacing w:after="0" w:line="299" w:lineRule="auto"/>
        <w:tabs>
          <w:tab w:leader="none" w:pos="578"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Use of Company Name, Logos, and Marks. </w:t>
      </w:r>
      <w:r>
        <w:rPr>
          <w:rFonts w:ascii="Times New Roman" w:cs="Times New Roman" w:eastAsia="Times New Roman" w:hAnsi="Times New Roman"/>
          <w:sz w:val="21"/>
          <w:szCs w:val="21"/>
          <w:color w:val="auto"/>
        </w:rPr>
        <w:t>Contractor shall not use Company’s name, logos and marks,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proprietary designations thereof, in any manner and for any purpose, without the prior express written approval of Company.</w:t>
      </w:r>
    </w:p>
    <w:p>
      <w:pPr>
        <w:spacing w:after="0" w:line="32" w:lineRule="exact"/>
        <w:rPr>
          <w:rFonts w:ascii="Times New Roman" w:cs="Times New Roman" w:eastAsia="Times New Roman" w:hAnsi="Times New Roman"/>
          <w:sz w:val="21"/>
          <w:szCs w:val="21"/>
          <w:b w:val="1"/>
          <w:bCs w:val="1"/>
          <w:color w:val="auto"/>
        </w:rPr>
      </w:pPr>
    </w:p>
    <w:p>
      <w:pPr>
        <w:jc w:val="both"/>
        <w:ind w:left="340" w:hanging="332"/>
        <w:spacing w:after="0" w:line="251" w:lineRule="auto"/>
        <w:tabs>
          <w:tab w:leader="none" w:pos="545"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Liability; Indemnification</w:t>
      </w:r>
      <w:r>
        <w:rPr>
          <w:rFonts w:ascii="Times New Roman" w:cs="Times New Roman" w:eastAsia="Times New Roman" w:hAnsi="Times New Roman"/>
          <w:sz w:val="22"/>
          <w:szCs w:val="22"/>
          <w:color w:val="auto"/>
        </w:rPr>
        <w:t>. Unless prohibited by applicable law, Contractor shall be responsible for, and shall indemnify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defend, and hold harmless Company, its owners, officers, employees, and agents, of and from, any and all claims, demands, taxes, fines, penalties, actions, charges, liabilities, or damages, including reasonable attorneys’ fees and costs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arising out of or related to Contractor’s: (i) breach of this Agreement; (ii) negligent or intentional acts or omissions; or (iii) violation of applicable law. Contractor shall promptly notify Company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201" w:right="339" w:bottom="1440" w:gutter="0" w:footer="0" w:header="0"/>
        </w:sectPr>
      </w:pPr>
    </w:p>
    <w:bookmarkStart w:id="146" w:name="page147"/>
    <w:bookmarkEnd w:id="146"/>
    <w:p>
      <w:pPr>
        <w:ind w:left="340" w:right="20"/>
        <w:spacing w:after="0" w:line="271" w:lineRule="auto"/>
        <w:rPr>
          <w:sz w:val="20"/>
          <w:szCs w:val="20"/>
          <w:color w:val="auto"/>
        </w:rPr>
      </w:pPr>
      <w:r>
        <w:rPr>
          <w:rFonts w:ascii="Times New Roman" w:cs="Times New Roman" w:eastAsia="Times New Roman" w:hAnsi="Times New Roman"/>
          <w:sz w:val="22"/>
          <w:szCs w:val="22"/>
          <w:color w:val="auto"/>
        </w:rPr>
        <w:t>if it becomes aware of any such Claims. Company shall have the right to approve any non-monetary settlement entered on its behalf.</w:t>
      </w:r>
    </w:p>
    <w:p>
      <w:pPr>
        <w:spacing w:after="0" w:line="46" w:lineRule="exact"/>
        <w:rPr>
          <w:sz w:val="20"/>
          <w:szCs w:val="20"/>
          <w:color w:val="auto"/>
        </w:rPr>
      </w:pPr>
    </w:p>
    <w:p>
      <w:pPr>
        <w:jc w:val="both"/>
        <w:ind w:left="340" w:hanging="332"/>
        <w:spacing w:after="0" w:line="258" w:lineRule="auto"/>
        <w:tabs>
          <w:tab w:leader="none" w:pos="542"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Insurance. </w:t>
      </w:r>
      <w:r>
        <w:rPr>
          <w:rFonts w:ascii="Times New Roman" w:cs="Times New Roman" w:eastAsia="Times New Roman" w:hAnsi="Times New Roman"/>
          <w:sz w:val="22"/>
          <w:szCs w:val="22"/>
          <w:color w:val="auto"/>
        </w:rPr>
        <w:t>Contractor shall be responsible for the costs related to purchasing and maintaining insurance policies to 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Services, including selection of the vendor(s) and manner through which such policies are obtained. Company reserves the right to inspect documents showing proof of such coverage. Contractor shall name Company as an additional insured, and shall notify Company in writing prior to making any material changes to required insurance.</w:t>
      </w:r>
    </w:p>
    <w:p>
      <w:pPr>
        <w:spacing w:after="0" w:line="59" w:lineRule="exact"/>
        <w:rPr>
          <w:rFonts w:ascii="Times New Roman" w:cs="Times New Roman" w:eastAsia="Times New Roman" w:hAnsi="Times New Roman"/>
          <w:sz w:val="22"/>
          <w:szCs w:val="22"/>
          <w:b w:val="1"/>
          <w:bCs w:val="1"/>
          <w:color w:val="auto"/>
        </w:rPr>
      </w:pPr>
    </w:p>
    <w:p>
      <w:pPr>
        <w:ind w:left="500" w:hanging="492"/>
        <w:spacing w:after="0"/>
        <w:tabs>
          <w:tab w:leader="none" w:pos="50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Mutual Arbitration Agreement.</w:t>
      </w:r>
    </w:p>
    <w:p>
      <w:pPr>
        <w:spacing w:after="0" w:line="115" w:lineRule="exact"/>
        <w:rPr>
          <w:rFonts w:ascii="Times New Roman" w:cs="Times New Roman" w:eastAsia="Times New Roman" w:hAnsi="Times New Roman"/>
          <w:sz w:val="22"/>
          <w:szCs w:val="22"/>
          <w:b w:val="1"/>
          <w:bCs w:val="1"/>
          <w:color w:val="auto"/>
        </w:rPr>
      </w:pPr>
    </w:p>
    <w:p>
      <w:pPr>
        <w:ind w:left="980" w:hanging="324"/>
        <w:spacing w:after="0" w:line="284" w:lineRule="auto"/>
        <w:tabs>
          <w:tab w:leader="none" w:pos="122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Federal Arbitration Act (9 U.S.C. § 1 et seq.) governs the terms of the Mutual Arbitration Agreement (“</w:t>
      </w:r>
      <w:r>
        <w:rPr>
          <w:rFonts w:ascii="Times New Roman" w:cs="Times New Roman" w:eastAsia="Times New Roman" w:hAnsi="Times New Roman"/>
          <w:sz w:val="22"/>
          <w:szCs w:val="22"/>
          <w:b w:val="1"/>
          <w:bCs w:val="1"/>
          <w:i w:val="1"/>
          <w:iCs w:val="1"/>
          <w:color w:val="auto"/>
        </w:rPr>
        <w:t>Arbitration Agreement</w:t>
      </w:r>
      <w:r>
        <w:rPr>
          <w:rFonts w:ascii="Times New Roman" w:cs="Times New Roman" w:eastAsia="Times New Roman" w:hAnsi="Times New Roman"/>
          <w:sz w:val="22"/>
          <w:szCs w:val="22"/>
          <w:color w:val="auto"/>
        </w:rPr>
        <w:t>”), which evidences a transaction involving commerce.</w:t>
      </w:r>
    </w:p>
    <w:p>
      <w:pPr>
        <w:spacing w:after="0" w:line="35" w:lineRule="exact"/>
        <w:rPr>
          <w:rFonts w:ascii="Times New Roman" w:cs="Times New Roman" w:eastAsia="Times New Roman" w:hAnsi="Times New Roman"/>
          <w:sz w:val="22"/>
          <w:szCs w:val="22"/>
          <w:color w:val="auto"/>
        </w:rPr>
      </w:pPr>
    </w:p>
    <w:p>
      <w:pPr>
        <w:jc w:val="both"/>
        <w:ind w:left="980" w:hanging="324"/>
        <w:spacing w:after="0" w:line="247" w:lineRule="auto"/>
        <w:tabs>
          <w:tab w:leader="none" w:pos="119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COVERED BY THIS ARBITRATION AGREEMENT: All disputes arising out of or related to this Consulting Agreement shall be decided by a single arbitrator through final and binding arbitration and not by way of court or jury trial. THE PARTIES EXPRESSLY WAIVE THEIR RIGHT TO A JURY TRIAL. This Arbitration Agreement applies to any dispute between Contractor and Company (including any of its officers, directors, employees, or agents). Without limiting the foregoing, this Arbitration Agreement applies to claims alleging an employment relationship between Contractor and Company. Contractor and Company specifically acknowledge and agree that nothing in this Arbitration Agreement, including without limitation, referencing the types of claims covered by this Arbitration Agreement, is intended in any way to create an employment relationship or imply that Contractor is an employee of the Company. The arbitrator shall have authority to decide gateway issues, including statute of limitations and timeliness, validity, applicability, enforceability, waiver, formation, or arbitrability.</w:t>
      </w:r>
    </w:p>
    <w:p>
      <w:pPr>
        <w:spacing w:after="0" w:line="96" w:lineRule="exact"/>
        <w:rPr>
          <w:rFonts w:ascii="Times New Roman" w:cs="Times New Roman" w:eastAsia="Times New Roman" w:hAnsi="Times New Roman"/>
          <w:sz w:val="22"/>
          <w:szCs w:val="22"/>
          <w:color w:val="auto"/>
        </w:rPr>
      </w:pPr>
    </w:p>
    <w:p>
      <w:pPr>
        <w:jc w:val="both"/>
        <w:ind w:left="980" w:hanging="324"/>
        <w:spacing w:after="0" w:line="250" w:lineRule="auto"/>
        <w:tabs>
          <w:tab w:leader="none" w:pos="106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NOT COVERED BY THIS ARBITRATION AGREEMENT: The following claims are not covered under the Arbitration Agreement: disputes that may not be subject to arbitration or pre-dispute arbitration agreement as expressly provided by a controlling federal statute (including, for example, disputes that may not be subject to pre-dispute arbitration agreement under the Ending Forced Arbitration of Sexual Assault and Sexual Harassment Act (at Contractor’s election)). If any claim(s) not covered under this Arbitration Agreement above are combined with claims that are covered under this Arbitration Agreement, to the maximum extent allowed under applicable law, the covered claims will be arbitrated and continue to be covered under this Arbitration Agreement.</w:t>
      </w:r>
    </w:p>
    <w:p>
      <w:pPr>
        <w:spacing w:after="0" w:line="72" w:lineRule="exact"/>
        <w:rPr>
          <w:sz w:val="20"/>
          <w:szCs w:val="20"/>
          <w:color w:val="auto"/>
        </w:rPr>
      </w:pPr>
    </w:p>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Nothing in this Arbitration Agreement prevents Contractor from making a report to or filing a claim or charge with a governmental agency, or law enforcement agencies, and nothing in this Arbitration Agreement prevents the investigation by a government agency of any report, claim or charge otherwise covered by this Arbitration Agreement. This Arbitration Agreement also does not prevent federal administrative agencies from adjudicating claims and awarding remedies based on the claims addressed in this paragraph, even if the claims would otherwise be covered by this Arbitration Agreement. Company will not retaliate against Contractor for filing a claim with an administrative agency. This Arbitration Agreement also does not prevent or prohibit Contractor in any way from reporting, communicating about, or disclosing claims for discrimination, harassment, retaliation, or sexual abuse.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205" w:right="339" w:bottom="1440" w:gutter="0" w:footer="0" w:header="0"/>
        </w:sectPr>
      </w:pPr>
    </w:p>
    <w:bookmarkStart w:id="147" w:name="page148"/>
    <w:bookmarkEnd w:id="147"/>
    <w:p>
      <w:pPr>
        <w:jc w:val="both"/>
        <w:ind w:left="324" w:hanging="324"/>
        <w:spacing w:after="0" w:line="249" w:lineRule="auto"/>
        <w:tabs>
          <w:tab w:leader="none" w:pos="39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AND COLLECTIVE ACTION WAIVERS: COMPANY AND CONTRACTOR WAIVE ANY RIGHT FOR ANY DISPUTE TO BE BROUGHT, HEARD, DECIDED, OR ARBITRATED AS A CLASS OR COLLECTIVE ACTION AND THE ARBITRATOR WILL HAVE NO AUTHORITY TO HEAR OR PRESIDE OVER ANY SUCH CLAIM (“</w:t>
      </w:r>
      <w:r>
        <w:rPr>
          <w:rFonts w:ascii="Times New Roman" w:cs="Times New Roman" w:eastAsia="Times New Roman" w:hAnsi="Times New Roman"/>
          <w:sz w:val="22"/>
          <w:szCs w:val="22"/>
          <w:b w:val="1"/>
          <w:bCs w:val="1"/>
          <w:i w:val="1"/>
          <w:iCs w:val="1"/>
          <w:color w:val="auto"/>
        </w:rPr>
        <w:t>Class Action Waiver</w:t>
      </w:r>
      <w:r>
        <w:rPr>
          <w:rFonts w:ascii="Times New Roman" w:cs="Times New Roman" w:eastAsia="Times New Roman" w:hAnsi="Times New Roman"/>
          <w:sz w:val="22"/>
          <w:szCs w:val="22"/>
          <w:color w:val="auto"/>
        </w:rPr>
        <w:t>”). The Class Action Waiver will be severable from this Arbitration Agreement in any case in which the dispute is filed as a class or collective action and there is a final judicial determination that the Class Action Waiver is invalid, unenforceable, unconscionable, void, or voidable. In such case, the class or collective action must be litigated in a civil court of competent jurisdiction—not in arbitration—but the portion of the Class Action Waiver that is enforceable shall be enforced in arbitration.</w:t>
      </w:r>
    </w:p>
    <w:p>
      <w:pPr>
        <w:spacing w:after="0" w:line="81" w:lineRule="exact"/>
        <w:rPr>
          <w:rFonts w:ascii="Times New Roman" w:cs="Times New Roman" w:eastAsia="Times New Roman" w:hAnsi="Times New Roman"/>
          <w:sz w:val="22"/>
          <w:szCs w:val="22"/>
          <w:color w:val="auto"/>
        </w:rPr>
      </w:pPr>
    </w:p>
    <w:p>
      <w:pPr>
        <w:jc w:val="both"/>
        <w:ind w:left="324" w:hanging="324"/>
        <w:spacing w:after="0" w:line="248" w:lineRule="auto"/>
        <w:tabs>
          <w:tab w:leader="none" w:pos="47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PRIVATE ATTORNEYS GENERAL ACT (“</w:t>
      </w:r>
      <w:r>
        <w:rPr>
          <w:rFonts w:ascii="Times New Roman" w:cs="Times New Roman" w:eastAsia="Times New Roman" w:hAnsi="Times New Roman"/>
          <w:sz w:val="22"/>
          <w:szCs w:val="22"/>
          <w:b w:val="1"/>
          <w:bCs w:val="1"/>
          <w:i w:val="1"/>
          <w:iCs w:val="1"/>
          <w:color w:val="auto"/>
        </w:rPr>
        <w:t>PAGA</w:t>
      </w:r>
      <w:r>
        <w:rPr>
          <w:rFonts w:ascii="Times New Roman" w:cs="Times New Roman" w:eastAsia="Times New Roman" w:hAnsi="Times New Roman"/>
          <w:sz w:val="22"/>
          <w:szCs w:val="22"/>
          <w:color w:val="auto"/>
        </w:rPr>
        <w:t>”) INDIVIDUAL ACTION REQUIREMENT. Contractor and Company agree to arbitrate PAGA claims on an individual basis only. Therefore, any claim by Contractor under PAGA to recover civil penalties or other individual relief must be arbitrated under this Arbitration Agreement. Company and Contractor also agree that Contractor’s non-individual PAGA claims will be stayed and Contractor will not pursue any non-individual PAGA claims in Court until after the arbitrator makes a final determination as to Contractor’s status as “aggrieved,” and, then, only if the determination is that Contractor was “aggrieved”; the arbitrator, and not any court, will determine Contractor’s alleged status as “an aggrieved employee.” The arbitrator is without authority to preside over any PAGA claim by Contractor on behalf of any other person or joined by or consolidated with another person’s PAGA claim. This PAGA Individual Action Requirement clause will be severable from this Arbitration Agreement if there is a final judicial determination that it is invalid, unenforceable, unconscionable, void, or voidable. In such case, the PAGA action must be litigated in a civil court of competent jurisdiction—not in arbitration—but the portion of the PAGA Individual Action Requirement that is enforceable will be enforced in arbitration.</w:t>
      </w:r>
    </w:p>
    <w:p>
      <w:pPr>
        <w:spacing w:after="0" w:line="77" w:lineRule="exact"/>
        <w:rPr>
          <w:rFonts w:ascii="Times New Roman" w:cs="Times New Roman" w:eastAsia="Times New Roman" w:hAnsi="Times New Roman"/>
          <w:sz w:val="22"/>
          <w:szCs w:val="22"/>
          <w:color w:val="auto"/>
        </w:rPr>
      </w:pPr>
    </w:p>
    <w:p>
      <w:pPr>
        <w:jc w:val="both"/>
        <w:ind w:left="324" w:hanging="324"/>
        <w:spacing w:after="0" w:line="266" w:lineRule="auto"/>
        <w:tabs>
          <w:tab w:leader="none" w:pos="34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Party wishes to initiate arbitration, the initiating Party must notify the other Party in writing via certified mail, return receipt requested, within the applicable statute of limitations period. This demand for arbitration must include</w:t>
      </w:r>
    </w:p>
    <w:p>
      <w:pPr>
        <w:spacing w:after="0" w:line="1" w:lineRule="exact"/>
        <w:rPr>
          <w:rFonts w:ascii="Times New Roman" w:cs="Times New Roman" w:eastAsia="Times New Roman" w:hAnsi="Times New Roman"/>
          <w:sz w:val="21"/>
          <w:szCs w:val="21"/>
          <w:color w:val="auto"/>
        </w:rPr>
      </w:pPr>
    </w:p>
    <w:p>
      <w:pPr>
        <w:jc w:val="both"/>
        <w:ind w:left="324"/>
        <w:spacing w:after="0" w:line="249" w:lineRule="auto"/>
        <w:tabs>
          <w:tab w:leader="none" w:pos="64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Party seeking arbitration, (2) a statement of the legal and factual basis of the claim, and (3) a description of the remedy sought and must be signed by the Party bringing the claim. The arbitrator will resolve all disputes regarding the timeliness or propriety of the demand for arbitration and apply the statute of limitations that would have applied if the claim(s) been brought in court.</w:t>
      </w:r>
    </w:p>
    <w:p>
      <w:pPr>
        <w:spacing w:after="0" w:line="67" w:lineRule="exact"/>
        <w:rPr>
          <w:rFonts w:ascii="Times New Roman" w:cs="Times New Roman" w:eastAsia="Times New Roman" w:hAnsi="Times New Roman"/>
          <w:sz w:val="22"/>
          <w:szCs w:val="22"/>
          <w:color w:val="auto"/>
        </w:rPr>
      </w:pPr>
    </w:p>
    <w:p>
      <w:pPr>
        <w:jc w:val="both"/>
        <w:ind w:left="324" w:hanging="324"/>
        <w:spacing w:after="0" w:line="254" w:lineRule="auto"/>
        <w:tabs>
          <w:tab w:leader="none" w:pos="54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Arbitration shall be governed by the American Arbitration Association Commercial Arbitration Rules, (“</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Rules</w:t>
      </w:r>
      <w:r>
        <w:rPr>
          <w:rFonts w:ascii="Times New Roman" w:cs="Times New Roman" w:eastAsia="Times New Roman" w:hAnsi="Times New Roman"/>
          <w:sz w:val="22"/>
          <w:szCs w:val="22"/>
          <w:color w:val="auto"/>
        </w:rPr>
        <w:t>”), incorporated herein by reference (the AAA Rules are available via the internet at www.adr.org/commercial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using a service such as www.google.com to search for “AAA Commercial Arbitration Rules”) provided however, that if there is a conflict between the AAA Rules and this Arbitration Agreement, this Arbitration Agreement shall govern.</w:t>
      </w:r>
    </w:p>
    <w:p>
      <w:pPr>
        <w:spacing w:after="0" w:line="71" w:lineRule="exact"/>
        <w:rPr>
          <w:rFonts w:ascii="Times New Roman" w:cs="Times New Roman" w:eastAsia="Times New Roman" w:hAnsi="Times New Roman"/>
          <w:sz w:val="22"/>
          <w:szCs w:val="22"/>
          <w:color w:val="auto"/>
        </w:rPr>
      </w:pPr>
    </w:p>
    <w:p>
      <w:pPr>
        <w:ind w:left="964" w:hanging="316"/>
        <w:spacing w:after="0" w:line="271" w:lineRule="auto"/>
        <w:tabs>
          <w:tab w:leader="none" w:pos="1139"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heard by one neutral arbitrator selected in accordance with the AAA Rules. The arbitrator shall be an attorney with experience in the law underlying the dispute or a retired judge.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4"/>
          </w:cols>
          <w:pgMar w:left="976" w:top="1205" w:right="339" w:bottom="1440" w:gutter="0" w:footer="0" w:header="0"/>
        </w:sectPr>
      </w:pPr>
    </w:p>
    <w:bookmarkStart w:id="148" w:name="page149"/>
    <w:bookmarkEnd w:id="148"/>
    <w:p>
      <w:pPr>
        <w:jc w:val="both"/>
        <w:ind w:left="1620" w:hanging="316"/>
        <w:spacing w:after="0" w:line="257" w:lineRule="auto"/>
        <w:tabs>
          <w:tab w:leader="none" w:pos="176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cannot otherwise agree on a location for the arbitration, the arbitration shall take place in the county and state where Contractor primarily performed services for Company or last performed work for Company.</w:t>
      </w:r>
    </w:p>
    <w:p>
      <w:pPr>
        <w:spacing w:after="0" w:line="78" w:lineRule="exact"/>
        <w:rPr>
          <w:rFonts w:ascii="Times New Roman" w:cs="Times New Roman" w:eastAsia="Times New Roman" w:hAnsi="Times New Roman"/>
          <w:sz w:val="22"/>
          <w:szCs w:val="22"/>
          <w:color w:val="auto"/>
        </w:rPr>
      </w:pPr>
    </w:p>
    <w:p>
      <w:pPr>
        <w:jc w:val="both"/>
        <w:ind w:left="1620" w:hanging="316"/>
        <w:spacing w:after="0" w:line="265" w:lineRule="auto"/>
        <w:tabs>
          <w:tab w:leader="none" w:pos="1713" w:val="left"/>
        </w:tabs>
        <w:numPr>
          <w:ilvl w:val="2"/>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Contractor must pay for any filing or initiation fee. Contractor and Company will otherwise pay the fees and costs of arbitration in accordance with the AAA Rules and applicable law. In the event applicable law requires a different allocation of fees and costs in order for this Arbitration Agreement to be enforceable, then such law will be followed. Each Party will pay for its own costs and attorneys’ fees, if any, but if any Party prevails on a claim which affords the prevailing Party attorneys’ fees and costs, the arbitrator shall award reasonable fees to the prevailing Party. The arbitrator will resolve any disputes regarding costs/fees associated with arbitration.</w:t>
      </w:r>
    </w:p>
    <w:p>
      <w:pPr>
        <w:spacing w:after="0" w:line="60" w:lineRule="exact"/>
        <w:rPr>
          <w:rFonts w:ascii="Times New Roman" w:cs="Times New Roman" w:eastAsia="Times New Roman" w:hAnsi="Times New Roman"/>
          <w:sz w:val="21"/>
          <w:szCs w:val="21"/>
          <w:color w:val="auto"/>
        </w:rPr>
      </w:pPr>
    </w:p>
    <w:p>
      <w:pPr>
        <w:ind w:left="1620" w:hanging="316"/>
        <w:spacing w:after="0" w:line="271" w:lineRule="auto"/>
        <w:tabs>
          <w:tab w:leader="none" w:pos="1727"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arbitrator’s decision or award shall be in writing with findings of fact and conclusions of law. Judgment may be entered on the arbitrator’s decision or award in any court having jurisdiction.</w:t>
      </w:r>
    </w:p>
    <w:p>
      <w:pPr>
        <w:spacing w:after="0" w:line="49"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108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The mutual obligations by Company and Contractor to arbitrate provide consideration for this Arbitration Agreement.</w:t>
      </w:r>
    </w:p>
    <w:p>
      <w:pPr>
        <w:spacing w:after="0" w:line="49" w:lineRule="exact"/>
        <w:rPr>
          <w:rFonts w:ascii="Times New Roman" w:cs="Times New Roman" w:eastAsia="Times New Roman" w:hAnsi="Times New Roman"/>
          <w:sz w:val="22"/>
          <w:szCs w:val="22"/>
          <w:color w:val="auto"/>
        </w:rPr>
      </w:pPr>
    </w:p>
    <w:p>
      <w:pPr>
        <w:jc w:val="both"/>
        <w:ind w:left="980" w:hanging="324"/>
        <w:spacing w:after="0" w:line="263" w:lineRule="auto"/>
        <w:tabs>
          <w:tab w:leader="none" w:pos="99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agrees and acknowledges that entering into this Arbitration Agreement does not change Contractor’s status as an independent contractor in fact and in law, and that Contractor is not an employee of Company notwithstanding this Arbitration Agreement.</w:t>
      </w:r>
    </w:p>
    <w:p>
      <w:pPr>
        <w:spacing w:after="0" w:line="59"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8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Arbitration Agreement is the full and complete agreement relating to the formal resolution of disputes covered by this Arbitration Agreement. This Arbitration Agreement will survive the termination of Contractor’s services for Company and it will apply upon renewal or performance of services for Company and/or if Contractor becomes employed by Company.</w:t>
      </w:r>
    </w:p>
    <w:p>
      <w:pPr>
        <w:spacing w:after="0" w:line="64" w:lineRule="exact"/>
        <w:rPr>
          <w:rFonts w:ascii="Times New Roman" w:cs="Times New Roman" w:eastAsia="Times New Roman" w:hAnsi="Times New Roman"/>
          <w:sz w:val="22"/>
          <w:szCs w:val="22"/>
          <w:color w:val="auto"/>
        </w:rPr>
      </w:pPr>
    </w:p>
    <w:p>
      <w:pPr>
        <w:jc w:val="both"/>
        <w:ind w:left="980" w:right="2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By signing below, Contractor is agreeing to and accepting this Arbitration Agreement. By issuance of this Arbitration Agreement, Company agrees to be bound by its terms without any requirement to sign this Arbitration Agreement.</w:t>
      </w:r>
    </w:p>
    <w:p>
      <w:pPr>
        <w:spacing w:after="0" w:line="58" w:lineRule="exact"/>
        <w:rPr>
          <w:rFonts w:ascii="Times New Roman" w:cs="Times New Roman" w:eastAsia="Times New Roman" w:hAnsi="Times New Roman"/>
          <w:sz w:val="22"/>
          <w:szCs w:val="22"/>
          <w:color w:val="auto"/>
        </w:rPr>
      </w:pPr>
    </w:p>
    <w:p>
      <w:pPr>
        <w:jc w:val="both"/>
        <w:ind w:left="340" w:hanging="332"/>
        <w:spacing w:after="0" w:line="258" w:lineRule="auto"/>
        <w:tabs>
          <w:tab w:leader="none" w:pos="507"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and Termination. </w:t>
      </w:r>
      <w:r>
        <w:rPr>
          <w:rFonts w:ascii="Times New Roman" w:cs="Times New Roman" w:eastAsia="Times New Roman" w:hAnsi="Times New Roman"/>
          <w:sz w:val="22"/>
          <w:szCs w:val="22"/>
          <w:color w:val="auto"/>
        </w:rPr>
        <w:t>The term of this Agreement shall commence on December 31, 2024, and shall continue for a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two years, unless either Party cancels with or without cause upon five days’ written notice. The rights and obligations of the Parties under Sections 1.7, 2, 4, 5, 6, 8, 9, 10, 11, 12, 13, 15, 16, 17, 18, and 19 will survive the expiration or termination of this Agreement.</w:t>
      </w:r>
    </w:p>
    <w:p>
      <w:pPr>
        <w:spacing w:after="0" w:line="59" w:lineRule="exact"/>
        <w:rPr>
          <w:rFonts w:ascii="Times New Roman" w:cs="Times New Roman" w:eastAsia="Times New Roman" w:hAnsi="Times New Roman"/>
          <w:sz w:val="22"/>
          <w:szCs w:val="22"/>
          <w:b w:val="1"/>
          <w:bCs w:val="1"/>
          <w:color w:val="auto"/>
        </w:rPr>
      </w:pPr>
    </w:p>
    <w:p>
      <w:pPr>
        <w:ind w:left="500" w:hanging="492"/>
        <w:spacing w:after="0"/>
        <w:tabs>
          <w:tab w:leader="none" w:pos="50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Claims.</w:t>
      </w:r>
    </w:p>
    <w:p>
      <w:pPr>
        <w:spacing w:after="0" w:line="11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2"/>
          <w:szCs w:val="22"/>
          <w:color w:val="auto"/>
        </w:rPr>
        <w:t>The payments and promises set forth in this Agreement are in full satisfaction of all accrued salary, vacation pay, bonus and commission pay, profit-sharing, stock, stock options or other ownership interest in Company, termination benefits, or other compensation to which Contractor may be entitled by virtue of Contractor’s prior employment with Company or Contractor’s separation from Company. Subject to applicable law, and to the fullest extent permitted by law, Contractor hereby releases and waives any other claims Contractor may have against Company and its owners, agents, officers, stockholders, employees, directors, attorneys, insurers, insurance policies, benefit plans, subscribers, subsidiaries, affiliates, successors, and assigns (collectively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whether known or not known, that arose on or before the time Contractor signed this Agreement, including, without limitation, claims of wrongful termination,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05" w:right="339" w:bottom="1440" w:gutter="0" w:footer="0" w:header="0"/>
        </w:sectPr>
      </w:pPr>
    </w:p>
    <w:bookmarkStart w:id="149" w:name="page150"/>
    <w:bookmarkEnd w:id="149"/>
    <w:p>
      <w:pPr>
        <w:jc w:val="both"/>
        <w:ind w:left="180"/>
        <w:spacing w:after="0" w:line="260" w:lineRule="auto"/>
        <w:rPr>
          <w:sz w:val="20"/>
          <w:szCs w:val="20"/>
          <w:color w:val="auto"/>
        </w:rPr>
      </w:pPr>
      <w:r>
        <w:rPr>
          <w:rFonts w:ascii="Times New Roman" w:cs="Times New Roman" w:eastAsia="Times New Roman" w:hAnsi="Times New Roman"/>
          <w:sz w:val="21"/>
          <w:szCs w:val="21"/>
          <w:color w:val="auto"/>
        </w:rPr>
        <w:t>claims of constructive discharge, claims arising out of agreements, representations, or policies related to Contractor’s prior employment, claims arising under federal, state, or local laws, statutes, or ordinances prohibiting discrimination or harassment or requiring accommodation on the basis of age, race, color, national origin, religion, sex, disability, marital status, sexual orientation, or any other status, claims arising under federal, state, or local laws, statutes, or ordinances prohibiting retaliation or discrimination against a person for making complaints or for any other actions or inactions, claims of failure to accommodate a disability or religious practice, claims for violation of public policy, claims of failure to assist Contractor in applying for future position openings, claims of failure to hire Contractor for future position openings, claims for wages or compensation of any kind, claims of willful withholding of wages, claims of tortious interference with contract or expectancy, claims of fraud or negligent misrepresentation, claims of breach of privacy, defamation claims, claims of intentional or negligent infliction of emotional distress, claims of unfair labor practices, claims arising out of any claimed right to stock or stock options, claims for attorneys’ fees or costs, and any and all claims that are based on any legal obligations that arise out of or are related to Contractor’s prior employment relationship with Company.</w:t>
      </w:r>
    </w:p>
    <w:p>
      <w:pPr>
        <w:spacing w:after="0" w:line="65"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22"/>
          <w:szCs w:val="22"/>
          <w:b w:val="1"/>
          <w:bCs w:val="1"/>
          <w:color w:val="auto"/>
        </w:rPr>
        <w:t>17.2.</w:t>
      </w:r>
      <w:r>
        <w:rPr>
          <w:sz w:val="20"/>
          <w:szCs w:val="20"/>
          <w:color w:val="auto"/>
        </w:rPr>
        <w:tab/>
      </w:r>
      <w:r>
        <w:rPr>
          <w:rFonts w:ascii="Times New Roman" w:cs="Times New Roman" w:eastAsia="Times New Roman" w:hAnsi="Times New Roman"/>
          <w:sz w:val="21"/>
          <w:szCs w:val="21"/>
          <w:color w:val="auto"/>
        </w:rPr>
        <w:t>The claims Contractor is releasing also include, but are not limited to, claims arising under or based on any of the following statutes, among others: the Washington Law Against Discrimination (RCW 49.60), the Washington Prohibited Employment Practices Law (RCW 49.44), the anti-retaliation provisions of the Washington Industrial Insurance Act (RCW 51.48) and Washington Industrial Safety and Health Act (RCW 49.17), the Washington Whistleblower Act (RCW 42.40), the Washington Minimum Wage Act (RCW 49.46), the Washington Industrial Welfare Act (RCW 49.12), the Washington Agricultural Labor Law (RCW 49.30), the Washington Hours of Labor Law (RCW 49.28), Washington’s statutes related to wages (including RCW 49.48, RCW 49.52, and RCW 49.58), the Washington Veterans Employment and Reemployment Act (RCW 73.16), the Washington Military Family Leave Act (RCW 49.77), the Washington Domestic Violence Leave Law (RCW 49.76), the Washington Family Care Act and Parental Leave Law (RCW 49.12), the Washington Paid Family and Medical Leave Act (RCW 50A.05), the Washington Healthy Starts Act (RCW 43.10.005), the Washington Little Norris-LaGuardia Act (RCW 49.32), the Washington Fair Credit Reporting Act (RCW 19.182), the Washington Electronic Privacy Act (RCW 9.73), the Washington noncompetition law (RCW 49.62), the Washington Silenced No More Act (RCW 49.44.211), the Civil Rights Act of 1870 (42 U.S.C. § 1981), the Civil Rights Act of 1871 (42 U.S.C. § 1983), the Equal Pay Act of 1963, the Civil Rights Act of 1964 (including Title VII of that Act), the Age Discrimination in Employment Act of 1967 (ADEA), the Rehabilitation Act of 1973, the Americans with Disabilities Act of 1990 (ADA), the Older Workers Benefit Protection Act of 1990 (OWBPA), the Family and Medical Leave Act (FMLA), the Uniformed Services Employment and Reemployment Rights Act of 1994 (USERRA), the Genetic Information Nondiscrimination Act of 2008 (GINA), the Worker Adjustment and Retraining Notification Act (WARN), the Employee Retirement Income Security Act of 1974 (ERISA), the National Labor Relations Act (NLRA), the Sarbanes-Oxley Act, the False Claims Act, the Dodd–Frank Wall Street Reform and Consumer Protection Act, the Consumer Product Safety Improvement Act, the Occupational Safety and Health Act, the Food Safety Modernization Act, and all similar federal, state, and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205" w:right="339" w:bottom="1440" w:gutter="0" w:footer="0" w:header="0"/>
        </w:sectPr>
      </w:pPr>
    </w:p>
    <w:bookmarkStart w:id="150" w:name="page151"/>
    <w:bookmarkEnd w:id="150"/>
    <w:p>
      <w:pPr>
        <w:jc w:val="both"/>
        <w:ind w:left="1292" w:hanging="647"/>
        <w:spacing w:after="0" w:line="256"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17.3.</w:t>
      </w:r>
      <w:r>
        <w:rPr>
          <w:sz w:val="20"/>
          <w:szCs w:val="20"/>
          <w:color w:val="auto"/>
        </w:rPr>
        <w:tab/>
      </w:r>
      <w:r>
        <w:rPr>
          <w:rFonts w:ascii="Times New Roman" w:cs="Times New Roman" w:eastAsia="Times New Roman" w:hAnsi="Times New Roman"/>
          <w:sz w:val="22"/>
          <w:szCs w:val="22"/>
          <w:color w:val="auto"/>
        </w:rPr>
        <w:t>Except as set forth in the protected rights described in Section 8.3, Contractor agrees not to seek any personal recovery (of money damages, injunctive relief, or otherwise) for the claims Contractor is releasing in this Agreement and agrees never to start any lawsuit or arbitration asserting any of the claims Contractor is releasing in this Agreement.</w:t>
      </w:r>
    </w:p>
    <w:p>
      <w:pPr>
        <w:spacing w:after="0" w:line="68" w:lineRule="exact"/>
        <w:rPr>
          <w:sz w:val="20"/>
          <w:szCs w:val="20"/>
          <w:color w:val="auto"/>
        </w:rPr>
      </w:pPr>
    </w:p>
    <w:p>
      <w:pPr>
        <w:jc w:val="both"/>
        <w:ind w:left="1292" w:hanging="647"/>
        <w:spacing w:after="0" w:line="257"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17.4.</w:t>
      </w:r>
      <w:r>
        <w:rPr>
          <w:sz w:val="20"/>
          <w:szCs w:val="20"/>
          <w:color w:val="auto"/>
        </w:rPr>
        <w:tab/>
      </w:r>
      <w:r>
        <w:rPr>
          <w:rFonts w:ascii="Times New Roman" w:cs="Times New Roman" w:eastAsia="Times New Roman" w:hAnsi="Times New Roman"/>
          <w:sz w:val="22"/>
          <w:szCs w:val="22"/>
          <w:color w:val="auto"/>
        </w:rPr>
        <w:t>Contractor represents and warrants that Contractor has not initiated any complaint, charge, lawsuit, or arbitration involving any of the claims Contractor is releasing in this Agreement. This representation does not limit Contractor’s right to file certain governmental charges in the future as permitted by applicable law.</w:t>
      </w:r>
    </w:p>
    <w:p>
      <w:pPr>
        <w:spacing w:after="0" w:line="65" w:lineRule="exact"/>
        <w:rPr>
          <w:sz w:val="20"/>
          <w:szCs w:val="20"/>
          <w:color w:val="auto"/>
        </w:rPr>
      </w:pPr>
    </w:p>
    <w:p>
      <w:pPr>
        <w:jc w:val="both"/>
        <w:ind w:left="1292" w:hanging="647"/>
        <w:spacing w:after="0" w:line="250"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17.5.</w:t>
      </w:r>
      <w:r>
        <w:rPr>
          <w:sz w:val="20"/>
          <w:szCs w:val="20"/>
          <w:color w:val="auto"/>
        </w:rPr>
        <w:tab/>
      </w:r>
      <w:r>
        <w:rPr>
          <w:rFonts w:ascii="Times New Roman" w:cs="Times New Roman" w:eastAsia="Times New Roman" w:hAnsi="Times New Roman"/>
          <w:sz w:val="22"/>
          <w:szCs w:val="22"/>
          <w:color w:val="auto"/>
        </w:rPr>
        <w:t>Contractor agrees that this Agreement gives Contractor fair economic value for any and all potential claims Contractor may have, and that Contractor is not entitled to any other damages or relief. Contractor understands that Contractor is releasing potentially unknown claims, and that Contractor has limited knowledge with respect to some of the claims being released. Contractor acknowledges that there is a risk that, after signing this Agreement, Contractor may learn information that might have affected Contractor’s decision to enter into this Agreement. Contractor acknowledges, for example, that Contractor may learn that Contractor has suffered injuries of which Contractor is not presently aware. Contractor assumes this risk and all other risks of any mistake in entering into this Agreement. Contractor agrees that this release is fairly and knowingly made.</w:t>
      </w:r>
    </w:p>
    <w:p>
      <w:pPr>
        <w:spacing w:after="0" w:line="79" w:lineRule="exact"/>
        <w:rPr>
          <w:sz w:val="20"/>
          <w:szCs w:val="20"/>
          <w:color w:val="auto"/>
        </w:rPr>
      </w:pPr>
    </w:p>
    <w:p>
      <w:pPr>
        <w:jc w:val="both"/>
        <w:ind w:left="1292" w:hanging="647"/>
        <w:spacing w:after="0" w:line="252"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2"/>
          <w:szCs w:val="22"/>
          <w:color w:val="auto"/>
        </w:rPr>
        <w:t>Contractor hereby acknowledges that Contractor is aware of the principle that a general release does not extend to claims that the releasor does not know or suspect to exist in its favor at the time of executing the release, which, if known by him or her, must have materially affected its settlement with the releasee. With knowledge of this principle, Contractor hereby agrees to expressly waive any rights Contractor may have to that effect.</w:t>
      </w:r>
    </w:p>
    <w:p>
      <w:pPr>
        <w:spacing w:after="0" w:line="85" w:lineRule="exact"/>
        <w:rPr>
          <w:sz w:val="20"/>
          <w:szCs w:val="20"/>
          <w:color w:val="auto"/>
        </w:rPr>
      </w:pPr>
    </w:p>
    <w:p>
      <w:pPr>
        <w:ind w:left="492" w:hanging="492"/>
        <w:spacing w:after="0"/>
        <w:tabs>
          <w:tab w:leader="none" w:pos="492"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p>
    <w:p>
      <w:pPr>
        <w:spacing w:after="0" w:line="112" w:lineRule="exact"/>
        <w:rPr>
          <w:sz w:val="20"/>
          <w:szCs w:val="20"/>
          <w:color w:val="auto"/>
        </w:rPr>
      </w:pPr>
    </w:p>
    <w:p>
      <w:pPr>
        <w:jc w:val="both"/>
        <w:ind w:left="1292" w:hanging="647"/>
        <w:spacing w:after="0" w:line="257"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18.1.</w:t>
      </w:r>
      <w:r>
        <w:rPr>
          <w:sz w:val="20"/>
          <w:szCs w:val="20"/>
          <w:color w:val="auto"/>
        </w:rPr>
        <w:tab/>
      </w:r>
      <w:r>
        <w:rPr>
          <w:rFonts w:ascii="Times New Roman" w:cs="Times New Roman" w:eastAsia="Times New Roman" w:hAnsi="Times New Roman"/>
          <w:sz w:val="22"/>
          <w:szCs w:val="22"/>
          <w:color w:val="auto"/>
        </w:rPr>
        <w:t>Contractor agrees that, when requested by Company, Contractor will promptly and fully respond to all inquires from Company and its representatives relating to any lawsuit, audit, or investigation in which Contractor is identified as having factual information needed by Company.</w:t>
      </w:r>
    </w:p>
    <w:p>
      <w:pPr>
        <w:spacing w:after="0" w:line="65" w:lineRule="exact"/>
        <w:rPr>
          <w:sz w:val="20"/>
          <w:szCs w:val="20"/>
          <w:color w:val="auto"/>
        </w:rPr>
      </w:pPr>
    </w:p>
    <w:p>
      <w:pPr>
        <w:jc w:val="both"/>
        <w:ind w:left="1292" w:hanging="647"/>
        <w:spacing w:after="0" w:line="284"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18.2.</w:t>
      </w:r>
      <w:r>
        <w:rPr>
          <w:sz w:val="20"/>
          <w:szCs w:val="20"/>
          <w:color w:val="auto"/>
        </w:rPr>
        <w:tab/>
      </w:r>
      <w:r>
        <w:rPr>
          <w:rFonts w:ascii="Times New Roman" w:cs="Times New Roman" w:eastAsia="Times New Roman" w:hAnsi="Times New Roman"/>
          <w:sz w:val="22"/>
          <w:szCs w:val="22"/>
          <w:color w:val="auto"/>
        </w:rPr>
        <w:t>Contractor agrees that, when requested by Company, Contractor will promptly complete her Directors’ and Officers’ Questionnaire.</w:t>
      </w:r>
    </w:p>
    <w:p>
      <w:pPr>
        <w:spacing w:after="0" w:line="36" w:lineRule="exact"/>
        <w:rPr>
          <w:sz w:val="20"/>
          <w:szCs w:val="20"/>
          <w:color w:val="auto"/>
        </w:rPr>
      </w:pPr>
    </w:p>
    <w:p>
      <w:pPr>
        <w:ind w:left="492" w:hanging="492"/>
        <w:spacing w:after="0"/>
        <w:tabs>
          <w:tab w:leader="none" w:pos="492"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12" w:lineRule="exact"/>
        <w:rPr>
          <w:sz w:val="20"/>
          <w:szCs w:val="20"/>
          <w:color w:val="auto"/>
        </w:rPr>
      </w:pPr>
    </w:p>
    <w:p>
      <w:pPr>
        <w:jc w:val="both"/>
        <w:ind w:left="1292" w:hanging="647"/>
        <w:spacing w:after="0" w:line="299"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19.1.</w:t>
      </w:r>
      <w:r>
        <w:rPr>
          <w:sz w:val="20"/>
          <w:szCs w:val="20"/>
          <w:color w:val="auto"/>
        </w:rPr>
        <w:tab/>
      </w:r>
      <w:r>
        <w:rPr>
          <w:rFonts w:ascii="Times New Roman" w:cs="Times New Roman" w:eastAsia="Times New Roman" w:hAnsi="Times New Roman"/>
          <w:sz w:val="21"/>
          <w:szCs w:val="21"/>
          <w:b w:val="1"/>
          <w:bCs w:val="1"/>
          <w:color w:val="auto"/>
        </w:rPr>
        <w:t xml:space="preserve">No Assignment. </w:t>
      </w:r>
      <w:r>
        <w:rPr>
          <w:rFonts w:ascii="Times New Roman" w:cs="Times New Roman" w:eastAsia="Times New Roman" w:hAnsi="Times New Roman"/>
          <w:sz w:val="21"/>
          <w:szCs w:val="21"/>
          <w:color w:val="auto"/>
        </w:rPr>
        <w:t>Company may assign its rights under this Agreement to its affiliates. Aside from this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neither Party may assign this Agreement, in whole or in part, without the prior written consent of the other Party.</w:t>
      </w:r>
    </w:p>
    <w:p>
      <w:pPr>
        <w:spacing w:after="0" w:line="19" w:lineRule="exact"/>
        <w:rPr>
          <w:sz w:val="20"/>
          <w:szCs w:val="20"/>
          <w:color w:val="auto"/>
        </w:rPr>
      </w:pPr>
    </w:p>
    <w:p>
      <w:pPr>
        <w:jc w:val="both"/>
        <w:ind w:left="1292" w:hanging="647"/>
        <w:spacing w:after="0" w:line="265"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19.2.</w:t>
        <w:tab/>
        <w:t xml:space="preserve">Governing Law; Venue. </w:t>
      </w:r>
      <w:r>
        <w:rPr>
          <w:rFonts w:ascii="Times New Roman" w:cs="Times New Roman" w:eastAsia="Times New Roman" w:hAnsi="Times New Roman"/>
          <w:sz w:val="22"/>
          <w:szCs w:val="22"/>
          <w:color w:val="auto"/>
        </w:rPr>
        <w:t>Except as provided in the Arbitration Agreement above, any action arising out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this Agreement, shall be governed by the laws of the State of Washington, without regard to its conflict of law principles, and brought in the State of Washington.</w:t>
      </w:r>
    </w:p>
    <w:p>
      <w:pPr>
        <w:spacing w:after="0" w:line="53" w:lineRule="exact"/>
        <w:rPr>
          <w:sz w:val="20"/>
          <w:szCs w:val="20"/>
          <w:color w:val="auto"/>
        </w:rPr>
      </w:pPr>
    </w:p>
    <w:p>
      <w:pPr>
        <w:jc w:val="both"/>
        <w:ind w:left="1292" w:hanging="647"/>
        <w:spacing w:after="0" w:line="275" w:lineRule="auto"/>
        <w:tabs>
          <w:tab w:leader="none" w:pos="1272" w:val="left"/>
        </w:tabs>
        <w:rPr>
          <w:sz w:val="20"/>
          <w:szCs w:val="20"/>
          <w:color w:val="auto"/>
        </w:rPr>
      </w:pPr>
      <w:r>
        <w:rPr>
          <w:rFonts w:ascii="Times New Roman" w:cs="Times New Roman" w:eastAsia="Times New Roman" w:hAnsi="Times New Roman"/>
          <w:sz w:val="22"/>
          <w:szCs w:val="22"/>
          <w:b w:val="1"/>
          <w:bCs w:val="1"/>
          <w:color w:val="auto"/>
        </w:rPr>
        <w:t>19.3.</w:t>
        <w:tab/>
        <w:t xml:space="preserve">Severability/Survival. </w:t>
      </w:r>
      <w:r>
        <w:rPr>
          <w:rFonts w:ascii="Times New Roman" w:cs="Times New Roman" w:eastAsia="Times New Roman" w:hAnsi="Times New Roman"/>
          <w:sz w:val="22"/>
          <w:szCs w:val="22"/>
          <w:color w:val="auto"/>
        </w:rPr>
        <w:t>Except as provided in the Arbitration Agreement, in the event that any term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invalid or void by any court of competent jurisdiction or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32"/>
          </w:cols>
          <w:pgMar w:left="328" w:top="1201" w:right="339" w:bottom="1440" w:gutter="0" w:footer="0" w:header="0"/>
        </w:sectPr>
      </w:pPr>
    </w:p>
    <w:bookmarkStart w:id="151" w:name="page152"/>
    <w:bookmarkEnd w:id="151"/>
    <w:p>
      <w:pPr>
        <w:jc w:val="center"/>
        <w:ind w:right="-119"/>
        <w:spacing w:after="0"/>
        <w:rPr>
          <w:sz w:val="20"/>
          <w:szCs w:val="20"/>
          <w:color w:val="auto"/>
        </w:rPr>
      </w:pPr>
      <w:r>
        <w:rPr>
          <w:rFonts w:ascii="Times New Roman" w:cs="Times New Roman" w:eastAsia="Times New Roman" w:hAnsi="Times New Roman"/>
          <w:sz w:val="22"/>
          <w:szCs w:val="22"/>
          <w:color w:val="auto"/>
        </w:rPr>
        <w:t>arbitrator, such term shall be severed and all the remaining terms shall remain in full force and effect.</w:t>
      </w:r>
    </w:p>
    <w:p>
      <w:pPr>
        <w:spacing w:after="0" w:line="108" w:lineRule="exact"/>
        <w:rPr>
          <w:sz w:val="20"/>
          <w:szCs w:val="20"/>
          <w:color w:val="auto"/>
        </w:rPr>
      </w:pPr>
    </w:p>
    <w:p>
      <w:pPr>
        <w:jc w:val="both"/>
        <w:ind w:left="1300" w:hanging="647"/>
        <w:spacing w:after="0" w:line="275"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19.4.</w:t>
        <w:tab/>
        <w:t xml:space="preserve">Non-Waiver. </w:t>
      </w:r>
      <w:r>
        <w:rPr>
          <w:rFonts w:ascii="Times New Roman" w:cs="Times New Roman" w:eastAsia="Times New Roman" w:hAnsi="Times New Roman"/>
          <w:sz w:val="22"/>
          <w:szCs w:val="22"/>
          <w:color w:val="auto"/>
        </w:rPr>
        <w:t>The failure of either Party to insist upon strict performance of any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be construed as a waiver of any other terms.</w:t>
      </w:r>
    </w:p>
    <w:p>
      <w:pPr>
        <w:spacing w:after="0" w:line="5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19.5.</w:t>
        <w:tab/>
        <w:t xml:space="preserve">Entirety of Agreement/Amendment. </w:t>
      </w:r>
      <w:r>
        <w:rPr>
          <w:rFonts w:ascii="Times New Roman" w:cs="Times New Roman" w:eastAsia="Times New Roman" w:hAnsi="Times New Roman"/>
          <w:sz w:val="22"/>
          <w:szCs w:val="22"/>
          <w:color w:val="auto"/>
        </w:rPr>
        <w:t>This Agreement sets forth the entire agreement and understanding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relating to the subject matter contained herein and supersedes all prior agreements, and neither Party shall be bound by any representation or term other than as expressly stated in this Agreement or by a written amendment to this Agreement signed by authorized representatives of both Parties.</w:t>
      </w:r>
    </w:p>
    <w:p>
      <w:pPr>
        <w:spacing w:after="0" w:line="67"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19.6.</w:t>
        <w:tab/>
        <w:t xml:space="preserve">Signature. </w:t>
      </w:r>
      <w:r>
        <w:rPr>
          <w:rFonts w:ascii="Times New Roman" w:cs="Times New Roman" w:eastAsia="Times New Roman" w:hAnsi="Times New Roman"/>
          <w:sz w:val="22"/>
          <w:szCs w:val="22"/>
          <w:color w:val="auto"/>
        </w:rPr>
        <w:t>This Agreement may be signed in counterparts and by electronic signature. Contractor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authorizes electronic signature for this Agreement, including the Mutual Arbitration Agreement herein.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6"/>
        </w:trPr>
        <w:tc>
          <w:tcPr>
            <w:tcW w:w="14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Remitly, Inc.</w:t>
            </w:r>
          </w:p>
        </w:tc>
        <w:tc>
          <w:tcPr>
            <w:tcW w:w="900" w:type="dxa"/>
            <w:vAlign w:val="bottom"/>
          </w:tcPr>
          <w:p>
            <w:pPr>
              <w:spacing w:after="0"/>
              <w:rPr>
                <w:sz w:val="24"/>
                <w:szCs w:val="24"/>
                <w:color w:val="auto"/>
              </w:rPr>
            </w:pPr>
          </w:p>
        </w:tc>
        <w:tc>
          <w:tcPr>
            <w:tcW w:w="3060" w:type="dxa"/>
            <w:vAlign w:val="bottom"/>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CONTRACTOR</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4"/>
        </w:trPr>
        <w:tc>
          <w:tcPr>
            <w:tcW w:w="2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Matthew Oppenheimer; CEO</w:t>
            </w:r>
          </w:p>
        </w:tc>
        <w:tc>
          <w:tcPr>
            <w:tcW w:w="620" w:type="dxa"/>
            <w:vAlign w:val="bottom"/>
          </w:tcPr>
          <w:p>
            <w:pPr>
              <w:spacing w:after="0"/>
              <w:rPr>
                <w:sz w:val="24"/>
                <w:szCs w:val="24"/>
                <w:color w:val="auto"/>
              </w:rPr>
            </w:pPr>
          </w:p>
        </w:tc>
        <w:tc>
          <w:tcPr>
            <w:tcW w:w="224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Rene Yoakum</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2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6"/>
        </w:trPr>
        <w:tc>
          <w:tcPr>
            <w:tcW w:w="2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Print Name and Title</w:t>
            </w:r>
          </w:p>
        </w:tc>
        <w:tc>
          <w:tcPr>
            <w:tcW w:w="200" w:type="dxa"/>
            <w:vAlign w:val="bottom"/>
          </w:tcPr>
          <w:p>
            <w:pPr>
              <w:spacing w:after="0"/>
              <w:rPr>
                <w:sz w:val="24"/>
                <w:szCs w:val="24"/>
                <w:color w:val="auto"/>
              </w:rPr>
            </w:pPr>
          </w:p>
        </w:tc>
        <w:tc>
          <w:tcPr>
            <w:tcW w:w="2860" w:type="dxa"/>
            <w:vAlign w:val="bottom"/>
            <w:gridSpan w:val="5"/>
          </w:tcPr>
          <w:p>
            <w:pPr>
              <w:ind w:left="320"/>
              <w:spacing w:after="0"/>
              <w:rPr>
                <w:sz w:val="20"/>
                <w:szCs w:val="20"/>
                <w:color w:val="auto"/>
              </w:rPr>
            </w:pPr>
            <w:r>
              <w:rPr>
                <w:rFonts w:ascii="Times New Roman" w:cs="Times New Roman" w:eastAsia="Times New Roman" w:hAnsi="Times New Roman"/>
                <w:sz w:val="22"/>
                <w:szCs w:val="22"/>
                <w:color w:val="auto"/>
              </w:rPr>
              <w:t>Print Contractor’s Name</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31"/>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Matthew Oppenheimer</w:t>
            </w:r>
          </w:p>
        </w:tc>
        <w:tc>
          <w:tcPr>
            <w:tcW w:w="1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12/17/2024</w:t>
            </w: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9"/>
              </w:rPr>
              <w:t>/s/ Rene Yoakum</w:t>
            </w:r>
          </w:p>
        </w:tc>
        <w:tc>
          <w:tcPr>
            <w:tcW w:w="15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12/16/2024</w:t>
            </w:r>
          </w:p>
        </w:tc>
      </w:tr>
      <w:tr>
        <w:trPr>
          <w:trHeight w:val="316"/>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Date</w:t>
            </w: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Signature</w:t>
            </w:r>
          </w:p>
        </w:tc>
        <w:tc>
          <w:tcPr>
            <w:tcW w:w="22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Date</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84"/>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gridSpan w:val="2"/>
          </w:tcPr>
          <w:p>
            <w:pPr>
              <w:jc w:val="right"/>
              <w:ind w:right="1260"/>
              <w:spacing w:after="0"/>
              <w:rPr>
                <w:sz w:val="20"/>
                <w:szCs w:val="20"/>
                <w:color w:val="auto"/>
              </w:rPr>
            </w:pPr>
            <w:r>
              <w:rPr>
                <w:rFonts w:ascii="Arial" w:cs="Arial" w:eastAsia="Arial" w:hAnsi="Arial"/>
                <w:sz w:val="20"/>
                <w:szCs w:val="20"/>
                <w:color w:val="auto"/>
              </w:rPr>
              <w:t>10</w:t>
            </w:r>
          </w:p>
        </w:tc>
      </w:tr>
    </w:tbl>
    <w:p>
      <w:pPr>
        <w:sectPr>
          <w:pgSz w:w="11900" w:h="16838" w:orient="portrait"/>
          <w:cols w:equalWidth="0" w:num="1">
            <w:col w:w="11240"/>
          </w:cols>
          <w:pgMar w:left="320" w:top="1205" w:right="339" w:bottom="1440" w:gutter="0" w:footer="0" w:header="0"/>
        </w:sectPr>
      </w:pPr>
    </w:p>
    <w:bookmarkStart w:id="152" w:name="page153"/>
    <w:bookmarkEnd w:id="15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Scope of Work</w:t>
      </w:r>
    </w:p>
    <w:p>
      <w:pPr>
        <w:spacing w:after="0" w:line="284" w:lineRule="exact"/>
        <w:rPr>
          <w:sz w:val="20"/>
          <w:szCs w:val="20"/>
          <w:color w:val="auto"/>
        </w:rPr>
      </w:pPr>
    </w:p>
    <w:p>
      <w:pPr>
        <w:ind w:left="720" w:hanging="388"/>
        <w:spacing w:after="0"/>
        <w:tabs>
          <w:tab w:leader="none" w:pos="7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 of Services</w:t>
      </w:r>
    </w:p>
    <w:p>
      <w:pPr>
        <w:spacing w:after="0" w:line="272" w:lineRule="exact"/>
        <w:rPr>
          <w:sz w:val="20"/>
          <w:szCs w:val="20"/>
          <w:color w:val="auto"/>
        </w:rPr>
      </w:pPr>
    </w:p>
    <w:p>
      <w:pPr>
        <w:ind w:left="660" w:right="60"/>
        <w:spacing w:after="0" w:line="302" w:lineRule="auto"/>
        <w:rPr>
          <w:sz w:val="20"/>
          <w:szCs w:val="20"/>
          <w:color w:val="auto"/>
        </w:rPr>
      </w:pPr>
      <w:r>
        <w:rPr>
          <w:rFonts w:ascii="Times New Roman" w:cs="Times New Roman" w:eastAsia="Times New Roman" w:hAnsi="Times New Roman"/>
          <w:sz w:val="22"/>
          <w:szCs w:val="22"/>
          <w:color w:val="auto"/>
        </w:rPr>
        <w:t>Contractor’s services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shall include the provision of transition support services to Company’s Chief Executive Officer. Contractor will report directly to Company’s Chief Executive Officer.</w:t>
      </w:r>
    </w:p>
    <w:p>
      <w:pPr>
        <w:spacing w:after="0" w:line="175" w:lineRule="exact"/>
        <w:rPr>
          <w:sz w:val="20"/>
          <w:szCs w:val="20"/>
          <w:color w:val="auto"/>
        </w:rPr>
      </w:pPr>
    </w:p>
    <w:p>
      <w:pPr>
        <w:ind w:left="720" w:hanging="388"/>
        <w:spacing w:after="0"/>
        <w:tabs>
          <w:tab w:leader="none" w:pos="7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Fees</w:t>
      </w:r>
    </w:p>
    <w:p>
      <w:pPr>
        <w:spacing w:after="0" w:line="291" w:lineRule="exact"/>
        <w:rPr>
          <w:sz w:val="20"/>
          <w:szCs w:val="20"/>
          <w:color w:val="auto"/>
        </w:rPr>
      </w:pPr>
    </w:p>
    <w:p>
      <w:pPr>
        <w:ind w:left="660" w:right="400"/>
        <w:spacing w:after="0" w:line="268" w:lineRule="auto"/>
        <w:rPr>
          <w:sz w:val="20"/>
          <w:szCs w:val="20"/>
          <w:color w:val="auto"/>
        </w:rPr>
      </w:pPr>
      <w:r>
        <w:rPr>
          <w:rFonts w:ascii="Times New Roman" w:cs="Times New Roman" w:eastAsia="Times New Roman" w:hAnsi="Times New Roman"/>
          <w:sz w:val="22"/>
          <w:szCs w:val="22"/>
          <w:color w:val="auto"/>
        </w:rPr>
        <w:t>Company will recommend to the Board of Directors of Company’s parent entity, Remitly Global, Inc., that Contractor will receive:</w:t>
      </w:r>
    </w:p>
    <w:p>
      <w:pPr>
        <w:spacing w:after="0" w:line="1" w:lineRule="exact"/>
        <w:rPr>
          <w:sz w:val="20"/>
          <w:szCs w:val="20"/>
          <w:color w:val="auto"/>
        </w:rPr>
      </w:pPr>
    </w:p>
    <w:p>
      <w:pPr>
        <w:jc w:val="both"/>
        <w:ind w:left="1300" w:right="60" w:hanging="320"/>
        <w:spacing w:after="0" w:line="289" w:lineRule="auto"/>
        <w:tabs>
          <w:tab w:leader="none" w:pos="132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Continued Equity Vesting</w:t>
      </w:r>
      <w:r>
        <w:rPr>
          <w:rFonts w:ascii="Times New Roman" w:cs="Times New Roman" w:eastAsia="Times New Roman" w:hAnsi="Times New Roman"/>
          <w:sz w:val="22"/>
          <w:szCs w:val="22"/>
          <w:color w:val="auto"/>
        </w:rPr>
        <w:t>: Continued vesting of Contractor’s outstanding and unvested equity awards according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its terms during the term of this Agreement. Contractor’s outstanding and unvested equity awards as of the Start Date are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1220" w:type="dxa"/>
            <w:vAlign w:val="bottom"/>
            <w:tcBorders>
              <w:top w:val="single" w:sz="8" w:color="auto"/>
              <w:left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22"/>
                <w:szCs w:val="22"/>
                <w:b w:val="1"/>
                <w:bCs w:val="1"/>
                <w:color w:val="auto"/>
              </w:rPr>
              <w:t>Equity</w:t>
            </w:r>
          </w:p>
        </w:tc>
        <w:tc>
          <w:tcPr>
            <w:tcW w:w="1300" w:type="dxa"/>
            <w:vAlign w:val="bottom"/>
            <w:tcBorders>
              <w:top w:val="single" w:sz="8" w:color="auto"/>
              <w:right w:val="single" w:sz="8" w:color="auto"/>
            </w:tcBorders>
            <w:shd w:val="clear" w:color="auto" w:fill="D9D9D9"/>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7480" w:type="dxa"/>
            <w:vAlign w:val="bottom"/>
            <w:tcBorders>
              <w:top w:val="single" w:sz="8" w:color="auto"/>
              <w:right w:val="single" w:sz="8" w:color="auto"/>
            </w:tcBorders>
            <w:shd w:val="clear" w:color="auto" w:fill="D9D9D9"/>
          </w:tcPr>
          <w:p>
            <w:pPr>
              <w:ind w:left="2940"/>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1260" w:type="dxa"/>
            <w:vAlign w:val="bottom"/>
            <w:tcBorders>
              <w:top w:val="single" w:sz="8" w:color="auto"/>
              <w:right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22"/>
                <w:szCs w:val="22"/>
                <w:b w:val="1"/>
                <w:bCs w:val="1"/>
                <w:color w:val="auto"/>
              </w:rPr>
              <w:t>Unvested</w:t>
            </w:r>
          </w:p>
        </w:tc>
      </w:tr>
      <w:tr>
        <w:trPr>
          <w:trHeight w:val="333"/>
        </w:trPr>
        <w:tc>
          <w:tcPr>
            <w:tcW w:w="1220" w:type="dxa"/>
            <w:vAlign w:val="bottom"/>
            <w:tcBorders>
              <w:left w:val="single" w:sz="8" w:color="auto"/>
              <w:bottom w:val="single" w:sz="8" w:color="D9D9D9"/>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22"/>
                <w:szCs w:val="22"/>
                <w:b w:val="1"/>
                <w:bCs w:val="1"/>
                <w:color w:val="auto"/>
              </w:rPr>
              <w:t>Award</w:t>
            </w:r>
          </w:p>
        </w:tc>
        <w:tc>
          <w:tcPr>
            <w:tcW w:w="1300" w:type="dxa"/>
            <w:vAlign w:val="bottom"/>
            <w:tcBorders>
              <w:bottom w:val="single" w:sz="8" w:color="D9D9D9"/>
              <w:right w:val="single" w:sz="8" w:color="auto"/>
            </w:tcBorders>
            <w:shd w:val="clear" w:color="auto" w:fill="D9D9D9"/>
          </w:tcPr>
          <w:p>
            <w:pPr>
              <w:spacing w:after="0"/>
              <w:rPr>
                <w:sz w:val="24"/>
                <w:szCs w:val="24"/>
                <w:color w:val="auto"/>
              </w:rPr>
            </w:pPr>
          </w:p>
        </w:tc>
        <w:tc>
          <w:tcPr>
            <w:tcW w:w="7480" w:type="dxa"/>
            <w:vAlign w:val="bottom"/>
            <w:tcBorders>
              <w:bottom w:val="single" w:sz="8" w:color="D9D9D9"/>
              <w:right w:val="single" w:sz="8" w:color="auto"/>
            </w:tcBorders>
            <w:shd w:val="clear" w:color="auto" w:fill="D9D9D9"/>
          </w:tcPr>
          <w:p>
            <w:pPr>
              <w:spacing w:after="0"/>
              <w:rPr>
                <w:sz w:val="24"/>
                <w:szCs w:val="24"/>
                <w:color w:val="auto"/>
              </w:rPr>
            </w:pPr>
          </w:p>
        </w:tc>
        <w:tc>
          <w:tcPr>
            <w:tcW w:w="1260" w:type="dxa"/>
            <w:vAlign w:val="bottom"/>
            <w:tcBorders>
              <w:bottom w:val="single" w:sz="8" w:color="D9D9D9"/>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22"/>
                <w:szCs w:val="22"/>
                <w:b w:val="1"/>
                <w:bCs w:val="1"/>
                <w:color w:val="auto"/>
              </w:rPr>
              <w:t>Shares</w:t>
            </w:r>
          </w:p>
        </w:tc>
      </w:tr>
      <w:tr>
        <w:trPr>
          <w:trHeight w:val="302"/>
        </w:trPr>
        <w:tc>
          <w:tcPr>
            <w:tcW w:w="12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Options</w:t>
            </w:r>
          </w:p>
        </w:tc>
        <w:tc>
          <w:tcPr>
            <w:tcW w:w="130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8/12/2021</w:t>
            </w:r>
          </w:p>
        </w:tc>
        <w:tc>
          <w:tcPr>
            <w:tcW w:w="7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1/12 Options vest on vesting commencement date, remaining Options vest monthly</w:t>
            </w:r>
          </w:p>
        </w:tc>
        <w:tc>
          <w:tcPr>
            <w:tcW w:w="12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31,250</w:t>
            </w:r>
          </w:p>
        </w:tc>
      </w:tr>
      <w:tr>
        <w:trPr>
          <w:trHeight w:val="284"/>
        </w:trPr>
        <w:tc>
          <w:tcPr>
            <w:tcW w:w="122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thereafter for 11 months</w:t>
            </w:r>
          </w:p>
        </w:tc>
        <w:tc>
          <w:tcPr>
            <w:tcW w:w="1260" w:type="dxa"/>
            <w:vAlign w:val="bottom"/>
            <w:tcBorders>
              <w:right w:val="single" w:sz="8" w:color="auto"/>
            </w:tcBorders>
          </w:tcPr>
          <w:p>
            <w:pPr>
              <w:spacing w:after="0"/>
              <w:rPr>
                <w:sz w:val="24"/>
                <w:szCs w:val="24"/>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303"/>
        </w:trPr>
        <w:tc>
          <w:tcPr>
            <w:tcW w:w="1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RSUs</w:t>
            </w:r>
          </w:p>
        </w:tc>
        <w:tc>
          <w:tcPr>
            <w:tcW w:w="13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4/25/2022</w:t>
            </w: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 RSUs vest on vesting commencement date, remaining RSUs vest 1/4 on a</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11,667</w:t>
            </w:r>
          </w:p>
        </w:tc>
      </w:tr>
      <w:tr>
        <w:trPr>
          <w:trHeight w:val="283"/>
        </w:trPr>
        <w:tc>
          <w:tcPr>
            <w:tcW w:w="122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quarterly basis thereafter</w:t>
            </w:r>
          </w:p>
        </w:tc>
        <w:tc>
          <w:tcPr>
            <w:tcW w:w="1260" w:type="dxa"/>
            <w:vAlign w:val="bottom"/>
            <w:tcBorders>
              <w:right w:val="single" w:sz="8" w:color="auto"/>
            </w:tcBorders>
          </w:tcPr>
          <w:p>
            <w:pPr>
              <w:spacing w:after="0"/>
              <w:rPr>
                <w:sz w:val="24"/>
                <w:szCs w:val="24"/>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303"/>
        </w:trPr>
        <w:tc>
          <w:tcPr>
            <w:tcW w:w="1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RSUs</w:t>
            </w:r>
          </w:p>
        </w:tc>
        <w:tc>
          <w:tcPr>
            <w:tcW w:w="13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4/29/2023</w:t>
            </w: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 RSUs vest on vesting commencement date, remaining RSUs vest 1/4 on a</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22,451</w:t>
            </w:r>
          </w:p>
        </w:tc>
      </w:tr>
      <w:tr>
        <w:trPr>
          <w:trHeight w:val="283"/>
        </w:trPr>
        <w:tc>
          <w:tcPr>
            <w:tcW w:w="122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quarterly basis thereafter</w:t>
            </w:r>
          </w:p>
        </w:tc>
        <w:tc>
          <w:tcPr>
            <w:tcW w:w="1260" w:type="dxa"/>
            <w:vAlign w:val="bottom"/>
            <w:tcBorders>
              <w:right w:val="single" w:sz="8" w:color="auto"/>
            </w:tcBorders>
          </w:tcPr>
          <w:p>
            <w:pPr>
              <w:spacing w:after="0"/>
              <w:rPr>
                <w:sz w:val="24"/>
                <w:szCs w:val="24"/>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303"/>
        </w:trPr>
        <w:tc>
          <w:tcPr>
            <w:tcW w:w="1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RSUs</w:t>
            </w:r>
          </w:p>
        </w:tc>
        <w:tc>
          <w:tcPr>
            <w:tcW w:w="13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4/29/2023</w:t>
            </w: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 RSUs vest on vesting commencement date, remaining RSUs vest 1/4 on a</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15,241</w:t>
            </w:r>
          </w:p>
        </w:tc>
      </w:tr>
      <w:tr>
        <w:trPr>
          <w:trHeight w:val="283"/>
        </w:trPr>
        <w:tc>
          <w:tcPr>
            <w:tcW w:w="122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quarterly basis thereafter</w:t>
            </w:r>
          </w:p>
        </w:tc>
        <w:tc>
          <w:tcPr>
            <w:tcW w:w="1260" w:type="dxa"/>
            <w:vAlign w:val="bottom"/>
            <w:tcBorders>
              <w:right w:val="single" w:sz="8" w:color="auto"/>
            </w:tcBorders>
          </w:tcPr>
          <w:p>
            <w:pPr>
              <w:spacing w:after="0"/>
              <w:rPr>
                <w:sz w:val="24"/>
                <w:szCs w:val="24"/>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303"/>
        </w:trPr>
        <w:tc>
          <w:tcPr>
            <w:tcW w:w="12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RSUs</w:t>
            </w:r>
          </w:p>
        </w:tc>
        <w:tc>
          <w:tcPr>
            <w:tcW w:w="13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4/16/2024</w:t>
            </w: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1/8 RSUs vest on vesting commencement date, remaining RSUs vest 1/8 on a</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213,632</w:t>
            </w:r>
          </w:p>
        </w:tc>
      </w:tr>
      <w:tr>
        <w:trPr>
          <w:trHeight w:val="283"/>
        </w:trPr>
        <w:tc>
          <w:tcPr>
            <w:tcW w:w="122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7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quarterly basis thereafter</w:t>
            </w:r>
          </w:p>
        </w:tc>
        <w:tc>
          <w:tcPr>
            <w:tcW w:w="1260" w:type="dxa"/>
            <w:vAlign w:val="bottom"/>
            <w:tcBorders>
              <w:right w:val="single" w:sz="8" w:color="auto"/>
            </w:tcBorders>
          </w:tcPr>
          <w:p>
            <w:pPr>
              <w:spacing w:after="0"/>
              <w:rPr>
                <w:sz w:val="24"/>
                <w:szCs w:val="24"/>
                <w:color w:val="auto"/>
              </w:rPr>
            </w:pPr>
          </w:p>
        </w:tc>
      </w:tr>
      <w:tr>
        <w:trPr>
          <w:trHeight w:val="42"/>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bl>
    <w:p>
      <w:pPr>
        <w:spacing w:after="0" w:line="333" w:lineRule="exact"/>
        <w:rPr>
          <w:sz w:val="20"/>
          <w:szCs w:val="20"/>
          <w:color w:val="auto"/>
        </w:rPr>
      </w:pPr>
    </w:p>
    <w:p>
      <w:pPr>
        <w:ind w:left="1300" w:right="60" w:hanging="320"/>
        <w:spacing w:after="0" w:line="272" w:lineRule="auto"/>
        <w:tabs>
          <w:tab w:leader="none" w:pos="132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Acceleration upon Death</w:t>
      </w:r>
      <w:r>
        <w:rPr>
          <w:rFonts w:ascii="Times New Roman" w:cs="Times New Roman" w:eastAsia="Times New Roman" w:hAnsi="Times New Roman"/>
          <w:sz w:val="22"/>
          <w:szCs w:val="22"/>
          <w:color w:val="auto"/>
        </w:rPr>
        <w:t>: In the event of the death of Contractor, Contractor’s outstanding and unvested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of such death that would have otherwise vested during the term of this Agreement will accelerate and vest in full. In the event of such a death by Contractor, the estate of Contractor will be permitted to acquire the vested equity awards on the same terms and conditions as set forth thereunder.</w:t>
      </w:r>
    </w:p>
    <w:p>
      <w:pPr>
        <w:ind w:left="1300" w:right="160" w:hanging="320"/>
        <w:spacing w:after="0" w:line="296" w:lineRule="auto"/>
        <w:tabs>
          <w:tab w:leader="none" w:pos="132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Other Benefits</w:t>
      </w:r>
      <w:r>
        <w:rPr>
          <w:rFonts w:ascii="Times New Roman" w:cs="Times New Roman" w:eastAsia="Times New Roman" w:hAnsi="Times New Roman"/>
          <w:sz w:val="21"/>
          <w:szCs w:val="21"/>
          <w:color w:val="auto"/>
        </w:rPr>
        <w:t>: During the term of this Agreement, payment by Company of (i) the cost of Contractor’s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premiums for continued coverage under the group health plan of Company for Contractor and, if applicable, Contractor’s eligible dependents covered by the applicable group health plan until 18 months after the Start Date; and (ii) thereafter, a monthly lump sum amount of $4,000 during the remainder of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60"/>
          </w:cols>
          <w:pgMar w:left="320" w:top="1107" w:right="319" w:bottom="1440" w:gutter="0" w:footer="0" w:header="0"/>
        </w:sectPr>
      </w:pPr>
    </w:p>
    <w:bookmarkStart w:id="153" w:name="page154"/>
    <w:bookmarkEnd w:id="153"/>
    <w:p>
      <w:pPr>
        <w:ind w:left="388" w:hanging="388"/>
        <w:spacing w:after="0"/>
        <w:tabs>
          <w:tab w:leader="none" w:pos="388"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Start/End Date</w:t>
      </w:r>
    </w:p>
    <w:p>
      <w:pPr>
        <w:spacing w:after="0" w:line="27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1"/>
          <w:szCs w:val="21"/>
          <w:color w:val="auto"/>
        </w:rPr>
        <w:t>Subject to the terms set forth in Section 16, the Services shall start/end as follows:</w:t>
      </w:r>
    </w:p>
    <w:p>
      <w:pPr>
        <w:spacing w:after="0" w:line="29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Start Date: January 1, 2025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w:t>
      </w:r>
    </w:p>
    <w:p>
      <w:pPr>
        <w:spacing w:after="0" w:line="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End Date: December 31,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88"/>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9807"/>
          </w:cols>
          <w:pgMar w:left="652" w:top="1107" w:right="1440" w:bottom="1440" w:gutter="0" w:footer="0" w:header="0"/>
        </w:sectPr>
      </w:pPr>
    </w:p>
    <w:bookmarkStart w:id="154" w:name="page155"/>
    <w:bookmarkEnd w:id="154"/>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REMITLY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Effective Date: November 14, 2024</w:t>
      </w:r>
    </w:p>
    <w:p>
      <w:pPr>
        <w:spacing w:after="0" w:line="200" w:lineRule="exact"/>
        <w:rPr>
          <w:sz w:val="20"/>
          <w:szCs w:val="20"/>
          <w:color w:val="auto"/>
        </w:rPr>
      </w:pPr>
    </w:p>
    <w:p>
      <w:pPr>
        <w:spacing w:after="0" w:line="374" w:lineRule="exact"/>
        <w:rPr>
          <w:sz w:val="20"/>
          <w:szCs w:val="20"/>
          <w:color w:val="auto"/>
        </w:rPr>
      </w:pPr>
    </w:p>
    <w:p>
      <w:pPr>
        <w:ind w:left="640" w:hanging="308"/>
        <w:spacing w:after="0"/>
        <w:tabs>
          <w:tab w:leader="none" w:pos="6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ind w:right="480" w:firstLine="324"/>
        <w:spacing w:after="0" w:line="317" w:lineRule="auto"/>
        <w:rPr>
          <w:sz w:val="20"/>
          <w:szCs w:val="20"/>
          <w:color w:val="auto"/>
        </w:rPr>
      </w:pPr>
      <w:r>
        <w:rPr>
          <w:rFonts w:ascii="Times New Roman" w:cs="Times New Roman" w:eastAsia="Times New Roman" w:hAnsi="Times New Roman"/>
          <w:sz w:val="17"/>
          <w:szCs w:val="17"/>
          <w:color w:val="auto"/>
        </w:rPr>
        <w:t>Remitly Global, Inc. (together with its subsidiaries,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Insider Trading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to help its directors, officers, employees, and other service providers comply with insider trading laws and promote high standards of honest and ethical business conduct.</w:t>
      </w:r>
    </w:p>
    <w:p>
      <w:pPr>
        <w:spacing w:after="0" w:line="78"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color w:val="auto"/>
        </w:rPr>
        <w:t>Insider trading happens when someone who is in possession of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trades securities or discloses MNPI to someone else who trades on the basis of that information.</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considering trading our stock or other securities, please keep these three key points in mind:</w:t>
      </w:r>
    </w:p>
    <w:p>
      <w:pPr>
        <w:spacing w:after="0" w:line="171" w:lineRule="exact"/>
        <w:rPr>
          <w:sz w:val="20"/>
          <w:szCs w:val="20"/>
          <w:color w:val="auto"/>
        </w:rPr>
      </w:pPr>
    </w:p>
    <w:p>
      <w:pPr>
        <w:ind w:left="980" w:hanging="324"/>
        <w:spacing w:after="0"/>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buy or sell our securities when you are in possession of MNPI;</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all MNPI confidential, including from your family and friends;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 doubt about whether you have MNPI, ask before trading.</w:t>
      </w:r>
    </w:p>
    <w:p>
      <w:pPr>
        <w:spacing w:after="0" w:line="15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You are responsible for understanding and following this Policy and for the consequences of any actions you may take. The Chief Legal and Corporate Affairs Officer and their designees (each, a “</w:t>
      </w:r>
      <w:r>
        <w:rPr>
          <w:rFonts w:ascii="Times New Roman" w:cs="Times New Roman" w:eastAsia="Times New Roman" w:hAnsi="Times New Roman"/>
          <w:sz w:val="18"/>
          <w:szCs w:val="18"/>
          <w:b w:val="1"/>
          <w:bCs w:val="1"/>
          <w:i w:val="1"/>
          <w:iCs w:val="1"/>
          <w:color w:val="auto"/>
        </w:rPr>
        <w:t>Policy Administrator</w:t>
      </w:r>
      <w:r>
        <w:rPr>
          <w:rFonts w:ascii="Times New Roman" w:cs="Times New Roman" w:eastAsia="Times New Roman" w:hAnsi="Times New Roman"/>
          <w:sz w:val="18"/>
          <w:szCs w:val="18"/>
          <w:color w:val="auto"/>
        </w:rPr>
        <w:t>”) will assist with implementing, interpreting, and enforcing this Policy, pre-clearing trading activities of Restricted Insiders (as defined below), and pre-approving any Rule 10b5-1 Plans (as discussed below).</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Policy Scope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WHO is covered by this Policy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applies to (collectively,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right="400" w:hanging="324"/>
        <w:spacing w:after="0" w:line="261" w:lineRule="auto"/>
        <w:tabs>
          <w:tab w:leader="none" w:pos="9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and other people who gain access to Company MNPI, including contractors, vendors, consultants, and board members;</w:t>
      </w: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spouses, domestic partners, and minor children (even if financially independent) of such directors, officers, or employees;</w:t>
      </w:r>
    </w:p>
    <w:p>
      <w:pPr>
        <w:spacing w:after="0" w:line="9" w:lineRule="exact"/>
        <w:rPr>
          <w:rFonts w:ascii="Times New Roman" w:cs="Times New Roman" w:eastAsia="Times New Roman" w:hAnsi="Times New Roman"/>
          <w:sz w:val="18"/>
          <w:szCs w:val="18"/>
          <w:color w:val="auto"/>
        </w:rPr>
      </w:pPr>
    </w:p>
    <w:p>
      <w:pPr>
        <w:ind w:left="980" w:right="280" w:hanging="324"/>
        <w:spacing w:after="0" w:line="250" w:lineRule="auto"/>
        <w:tabs>
          <w:tab w:leader="none" w:pos="9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people sharing their households or subject to influence or control of our employees and board members (including those who consult those employees and board members before they trade in Remitly securities); and</w:t>
      </w:r>
    </w:p>
    <w:p>
      <w:pPr>
        <w:ind w:left="980" w:right="640" w:hanging="324"/>
        <w:spacing w:after="0" w:line="260" w:lineRule="auto"/>
        <w:tabs>
          <w:tab w:leader="none" w:pos="9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entities such as venture capital funds, partnerships, trusts, and corporations which are associated or affiliated with our employees, contractors, consultants, and board members.</w:t>
      </w:r>
    </w:p>
    <w:p>
      <w:pPr>
        <w:spacing w:after="0" w:line="123" w:lineRule="exact"/>
        <w:rPr>
          <w:sz w:val="20"/>
          <w:szCs w:val="20"/>
          <w:color w:val="auto"/>
        </w:rPr>
      </w:pPr>
    </w:p>
    <w:p>
      <w:pPr>
        <w:jc w:val="both"/>
        <w:ind w:right="260" w:firstLine="324"/>
        <w:spacing w:after="0" w:line="262" w:lineRule="auto"/>
        <w:rPr>
          <w:sz w:val="20"/>
          <w:szCs w:val="20"/>
          <w:color w:val="auto"/>
        </w:rPr>
      </w:pPr>
      <w:r>
        <w:rPr>
          <w:rFonts w:ascii="Times New Roman" w:cs="Times New Roman" w:eastAsia="Times New Roman" w:hAnsi="Times New Roman"/>
          <w:sz w:val="18"/>
          <w:szCs w:val="18"/>
          <w:color w:val="auto"/>
        </w:rPr>
        <w:t>Additional trading restrictions in this Policy apply to directors and executive officers of Remitly Global, Inc. (“</w:t>
      </w:r>
      <w:r>
        <w:rPr>
          <w:rFonts w:ascii="Times New Roman" w:cs="Times New Roman" w:eastAsia="Times New Roman" w:hAnsi="Times New Roman"/>
          <w:sz w:val="18"/>
          <w:szCs w:val="18"/>
          <w:b w:val="1"/>
          <w:bCs w:val="1"/>
          <w:i w:val="1"/>
          <w:iCs w:val="1"/>
          <w:color w:val="auto"/>
        </w:rPr>
        <w:t>Section 16 Reporting Persons</w:t>
      </w:r>
      <w:r>
        <w:rPr>
          <w:rFonts w:ascii="Times New Roman" w:cs="Times New Roman" w:eastAsia="Times New Roman" w:hAnsi="Times New Roman"/>
          <w:sz w:val="18"/>
          <w:szCs w:val="18"/>
          <w:color w:val="auto"/>
        </w:rPr>
        <w:t>”) and other key employees and insiders listed on Exhibit A (collectively, the “</w:t>
      </w:r>
      <w:r>
        <w:rPr>
          <w:rFonts w:ascii="Times New Roman" w:cs="Times New Roman" w:eastAsia="Times New Roman" w:hAnsi="Times New Roman"/>
          <w:sz w:val="18"/>
          <w:szCs w:val="18"/>
          <w:b w:val="1"/>
          <w:bCs w:val="1"/>
          <w:i w:val="1"/>
          <w:iCs w:val="1"/>
          <w:color w:val="auto"/>
        </w:rPr>
        <w:t>Restricted Insiders</w:t>
      </w:r>
      <w:r>
        <w:rPr>
          <w:rFonts w:ascii="Times New Roman" w:cs="Times New Roman" w:eastAsia="Times New Roman" w:hAnsi="Times New Roman"/>
          <w:sz w:val="18"/>
          <w:szCs w:val="18"/>
          <w:color w:val="auto"/>
        </w:rPr>
        <w:t>”) who have regular access to MNPI in the normal course of their job. The list of Restricted Insiders will be subject to periodic modification from time to time as required in order to comply with legal requirements and best practices.</w:t>
      </w:r>
    </w:p>
    <w:p>
      <w:pPr>
        <w:spacing w:after="0" w:line="12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addition, if you are aware of MNPI when your employment or service relationship with the Company ends, you still may not trade our securities until that MNPI has become public or is no longer material.</w:t>
      </w:r>
    </w:p>
    <w:p>
      <w:pPr>
        <w:sectPr>
          <w:pgSz w:w="11900" w:h="16838" w:orient="portrait"/>
          <w:cols w:equalWidth="0" w:num="1">
            <w:col w:w="11240"/>
          </w:cols>
          <w:pgMar w:left="320" w:top="1413" w:right="339" w:bottom="1440" w:gutter="0" w:footer="0" w:header="0"/>
        </w:sectPr>
      </w:pPr>
    </w:p>
    <w:bookmarkStart w:id="155" w:name="page156"/>
    <w:bookmarkEnd w:id="15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WHAT is covered by this Policy</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primary purpose of this Policy is to prevent people who are in possession of MNPI from trading in our stock or other securities or disclosing MNPI to someone else who trades on the basis of that information. This Policy applies to all transactions involving our securities, including common stock,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options and warrants to purchase common stock, and any other debt or equity securities the Company may issue from time to time, such as bonds, preferred stock, convertible notes, as well as to derivative securities relating to the Company’s securities, whether or not issued by the Company, such as exchange-traded options.</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information</w:t>
      </w:r>
      <w:r>
        <w:rPr>
          <w:rFonts w:ascii="Times New Roman" w:cs="Times New Roman" w:eastAsia="Times New Roman" w:hAnsi="Times New Roman"/>
          <w:sz w:val="18"/>
          <w:szCs w:val="18"/>
          <w:color w:val="auto"/>
        </w:rPr>
        <w:t>” is information about our company that a reasonable investor would consider important in making a decision to purchase or sell the Company’s securities. Material information can be positive or negative and can relate to virtually any aspect of the Company’s business. Determination of what may constitute material information will depend upon the facts and circumstances in each particular situation.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examples of material information may include (but are not limited to):</w:t>
      </w:r>
    </w:p>
    <w:p>
      <w:pPr>
        <w:spacing w:after="0" w:line="171" w:lineRule="exact"/>
        <w:rPr>
          <w:sz w:val="20"/>
          <w:szCs w:val="20"/>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forecasted revenues, earnings, or other financial results;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 or other product developments;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partners or the loss of a significant contract or partner;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the Company’s technology or business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or acquisitions, joint ventures, restructurings, or dispositions of significant subsidiaries or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litigation or regulatory inquiries or developments in existing litigation or inquiries;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 or data breaches;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 borrowings, or financings or capital investments;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financial condition or asset value or liquidity issues;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corporate strategy;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 stock splits, or changes in dividend policy.</w:t>
      </w:r>
    </w:p>
    <w:p>
      <w:pPr>
        <w:spacing w:after="0" w:line="149"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means that the confidential information has not yet been shared broadly outside the Company. If you are not sure whether information is considered public, you should either consult with the Policy Administrator or our Corporate Legal team, or assume that the information is nonpublic and treat it as confidential.</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Companies’ Stock</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Please remember as well that we may possess confidential information relating to or belonging to our customers, partners, or other third parties and that it is equally important that we treat this information with the same care with which we treat our own information.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Prohibited Activities and Other Restrictions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Prohibited Activities for All Covered Persons</w:t>
      </w:r>
    </w:p>
    <w:p>
      <w:pPr>
        <w:spacing w:after="0" w:line="175" w:lineRule="exact"/>
        <w:rPr>
          <w:sz w:val="20"/>
          <w:szCs w:val="20"/>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while in possession of MNPI or during a Blackout Period:</w:t>
      </w:r>
    </w:p>
    <w:p>
      <w:pPr>
        <w:spacing w:after="0" w:line="27" w:lineRule="exact"/>
        <w:rPr>
          <w:rFonts w:ascii="Times New Roman" w:cs="Times New Roman" w:eastAsia="Times New Roman" w:hAnsi="Times New Roman"/>
          <w:sz w:val="18"/>
          <w:szCs w:val="18"/>
          <w:color w:val="auto"/>
        </w:rPr>
      </w:pPr>
    </w:p>
    <w:p>
      <w:pPr>
        <w:ind w:left="1620" w:right="100" w:hanging="316"/>
        <w:spacing w:after="0" w:line="250" w:lineRule="auto"/>
        <w:tabs>
          <w:tab w:leader="none" w:pos="161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our securities </w:t>
      </w:r>
      <w:r>
        <w:rPr>
          <w:rFonts w:ascii="Times New Roman" w:cs="Times New Roman" w:eastAsia="Times New Roman" w:hAnsi="Times New Roman"/>
          <w:sz w:val="18"/>
          <w:szCs w:val="18"/>
          <w:u w:val="single" w:color="auto"/>
          <w:color w:val="auto"/>
        </w:rPr>
        <w:t>at any time</w:t>
      </w:r>
      <w:r>
        <w:rPr>
          <w:rFonts w:ascii="Times New Roman" w:cs="Times New Roman" w:eastAsia="Times New Roman" w:hAnsi="Times New Roman"/>
          <w:sz w:val="18"/>
          <w:szCs w:val="18"/>
          <w:color w:val="auto"/>
        </w:rPr>
        <w:t xml:space="preserve"> while in possession of any MNPI (other than pursuant to a 10b5-1 Plan entered into in accordance with this Policy), regardless of whether a Blackout Period is in place.</w:t>
      </w:r>
    </w:p>
    <w:p>
      <w:pPr>
        <w:ind w:left="1620" w:right="160" w:hanging="316"/>
        <w:spacing w:after="0" w:line="250" w:lineRule="auto"/>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our securities outside of a Trading Window or during a Blackout Period designated by the Policy Administrator (other than pursuant to a 10b5-1 Plan entered into in accordance with this Policy). See the definition of “</w:t>
      </w:r>
      <w:r>
        <w:rPr>
          <w:rFonts w:ascii="Times New Roman" w:cs="Times New Roman" w:eastAsia="Times New Roman" w:hAnsi="Times New Roman"/>
          <w:sz w:val="18"/>
          <w:szCs w:val="18"/>
          <w:b w:val="1"/>
          <w:bCs w:val="1"/>
          <w:i w:val="1"/>
          <w:iCs w:val="1"/>
          <w:color w:val="auto"/>
        </w:rPr>
        <w:t>Trading Window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securities of another company (including securities you may already own) if you have MNPI about that company.</w:t>
      </w:r>
    </w:p>
    <w:p>
      <w:pPr>
        <w:sectPr>
          <w:pgSz w:w="11900" w:h="16838" w:orient="portrait"/>
          <w:cols w:equalWidth="0" w:num="1">
            <w:col w:w="11240"/>
          </w:cols>
          <w:pgMar w:left="320" w:top="1413" w:right="339" w:bottom="1440" w:gutter="0" w:footer="0" w:header="0"/>
        </w:sectPr>
      </w:pPr>
    </w:p>
    <w:bookmarkStart w:id="156" w:name="page157"/>
    <w:bookmarkEnd w:id="156"/>
    <w:p>
      <w:pPr>
        <w:jc w:val="both"/>
        <w:ind w:left="1620" w:right="80" w:hanging="316"/>
        <w:spacing w:after="0" w:line="257" w:lineRule="auto"/>
        <w:tabs>
          <w:tab w:leader="none" w:pos="16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our securities to limited partners, general partners, or stockholders of any entity outside of a Trading Window or during a Blackout Period, unless those limited partners, general partners, or stockholders have agreed in writing to hold the securities until the next open Trading Window.</w:t>
      </w:r>
    </w:p>
    <w:p>
      <w:pPr>
        <w:spacing w:after="0" w:line="1" w:lineRule="exact"/>
        <w:rPr>
          <w:rFonts w:ascii="Times New Roman" w:cs="Times New Roman" w:eastAsia="Times New Roman" w:hAnsi="Times New Roman"/>
          <w:sz w:val="18"/>
          <w:szCs w:val="18"/>
          <w:color w:val="auto"/>
        </w:rPr>
      </w:pPr>
    </w:p>
    <w:p>
      <w:pPr>
        <w:ind w:left="1620" w:right="400" w:hanging="316"/>
        <w:spacing w:after="0" w:line="250" w:lineRule="auto"/>
        <w:tabs>
          <w:tab w:leader="none" w:pos="161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Gifts - Unless approved in advance by the Policy Administrator, making a gift, charitable contribution, or other transfer without consideration, of our securities during a period when the Covered Person cannot trade.</w:t>
      </w: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MNPI:</w:t>
      </w:r>
    </w:p>
    <w:p>
      <w:pPr>
        <w:spacing w:after="0" w:line="9" w:lineRule="exact"/>
        <w:rPr>
          <w:rFonts w:ascii="Times New Roman" w:cs="Times New Roman" w:eastAsia="Times New Roman" w:hAnsi="Times New Roman"/>
          <w:sz w:val="18"/>
          <w:szCs w:val="18"/>
          <w:color w:val="auto"/>
        </w:rPr>
      </w:pPr>
    </w:p>
    <w:p>
      <w:pPr>
        <w:ind w:left="1620" w:right="100" w:hanging="316"/>
        <w:spacing w:after="0" w:line="250" w:lineRule="auto"/>
        <w:tabs>
          <w:tab w:leader="none" w:pos="161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Sharing MNPI with any outside person, unless required by your job and such person is under NDA, or as authorized by the Policy Administrator. Sharing MNPI directly or indirectly with any other person, including family members, where such information may be used by such person to their profit by trading or in recommending or advising others to trade in the securities of companies to which the MNPI relates, is considered “tipping” and will violate this Policy.</w:t>
      </w:r>
    </w:p>
    <w:p>
      <w:pPr>
        <w:spacing w:after="0" w:line="1" w:lineRule="exact"/>
        <w:rPr>
          <w:rFonts w:ascii="Times New Roman" w:cs="Times New Roman" w:eastAsia="Times New Roman" w:hAnsi="Times New Roman"/>
          <w:sz w:val="18"/>
          <w:szCs w:val="18"/>
          <w:color w:val="auto"/>
        </w:rPr>
      </w:pPr>
    </w:p>
    <w:p>
      <w:pPr>
        <w:ind w:left="1620" w:right="560" w:hanging="316"/>
        <w:spacing w:after="0" w:line="250" w:lineRule="auto"/>
        <w:tabs>
          <w:tab w:leader="none" w:pos="16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trading advice or expressing trading opinions about the Company, unless the advice is to tell someone not to trade our securities because the trade would violate this Policy or the law.</w:t>
      </w: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derivative transactions:</w:t>
      </w:r>
    </w:p>
    <w:p>
      <w:pPr>
        <w:spacing w:after="0" w:line="9" w:lineRule="exact"/>
        <w:rPr>
          <w:rFonts w:ascii="Times New Roman" w:cs="Times New Roman" w:eastAsia="Times New Roman" w:hAnsi="Times New Roman"/>
          <w:sz w:val="18"/>
          <w:szCs w:val="18"/>
          <w:color w:val="auto"/>
        </w:rPr>
      </w:pPr>
    </w:p>
    <w:p>
      <w:pPr>
        <w:ind w:left="1620" w:hanging="316"/>
        <w:spacing w:after="0" w:line="250" w:lineRule="auto"/>
        <w:tabs>
          <w:tab w:leader="none" w:pos="161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exercise of equity awards issued by us, engaging in transactions involving options or other derivative securities on our stock, such as puts and calls, whether on an exchange or in any other market.</w:t>
      </w:r>
    </w:p>
    <w:p>
      <w:pPr>
        <w:ind w:left="1620" w:right="240" w:hanging="316"/>
        <w:spacing w:after="0" w:line="250" w:lineRule="auto"/>
        <w:tabs>
          <w:tab w:leader="none" w:pos="16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or monetization transactions involving our securities, such as zero cost collars and forward sale contracts, or contributing our securities to exchange funds in a manner that could be interpreted as hedging in our stock.</w:t>
      </w:r>
    </w:p>
    <w:p>
      <w:pPr>
        <w:ind w:left="1620" w:hanging="316"/>
        <w:spacing w:after="0"/>
        <w:tabs>
          <w:tab w:leader="none" w:pos="16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sales of our securities, meaning a sale of securities that you do not own, including short sales “against the box.”</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of Company securities:</w:t>
      </w:r>
    </w:p>
    <w:p>
      <w:pPr>
        <w:spacing w:after="0" w:line="9" w:lineRule="exact"/>
        <w:rPr>
          <w:rFonts w:ascii="Times New Roman" w:cs="Times New Roman" w:eastAsia="Times New Roman" w:hAnsi="Times New Roman"/>
          <w:sz w:val="18"/>
          <w:szCs w:val="18"/>
          <w:color w:val="auto"/>
        </w:rPr>
      </w:pPr>
    </w:p>
    <w:p>
      <w:pPr>
        <w:ind w:left="1620" w:right="100" w:hanging="316"/>
        <w:spacing w:after="0" w:line="255" w:lineRule="auto"/>
        <w:tabs>
          <w:tab w:leader="none" w:pos="161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Using or pledging our securities as collateral in a margin account or as collateral for a loan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the pledge has been pre-approved by the Chief Legal and Corporate Affairs Officer based on the guidelines set forth by the board of directors for pledges, and the Covered Person clearly demonstrates the financial capacity to repay such loan without resort to any pledged securities.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Restrictions Applicable to Restricted Insiders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restrictions noted above for Covered Persons also apply to our Restricted Insiders.</w:t>
      </w:r>
    </w:p>
    <w:p>
      <w:pPr>
        <w:spacing w:after="0" w:line="167"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Pre-Approval for Trades. </w:t>
      </w:r>
      <w:r>
        <w:rPr>
          <w:rFonts w:ascii="Times New Roman" w:cs="Times New Roman" w:eastAsia="Times New Roman" w:hAnsi="Times New Roman"/>
          <w:sz w:val="18"/>
          <w:szCs w:val="18"/>
          <w:color w:val="auto"/>
        </w:rPr>
        <w:t>Prior to trading our securities, Restricted Insiders must obtain pre-approval from a Policy Administrator. To obtain pre-approval, the Restricted Insider must:</w:t>
      </w:r>
    </w:p>
    <w:p>
      <w:pPr>
        <w:spacing w:after="0" w:line="105" w:lineRule="exact"/>
        <w:rPr>
          <w:sz w:val="20"/>
          <w:szCs w:val="20"/>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notification of the amount and nature of the proposed trade;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prior to the proposed trade that the Restricted Insider does not have any MNPI;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email confirmation from the Policy Administrator approving the trade, which approval can be granted or denied at their discretion.</w:t>
      </w:r>
    </w:p>
    <w:p>
      <w:pPr>
        <w:spacing w:after="0" w:line="15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You may satisfy the pre-approval requirement through our stock administration platform or by contacting the required information to the Policy Administrator.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pre-approval must be obtained even if the Restricted Insider wants to trade during an open Trading Window.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Restrictions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trading prohibitions of this Policy are not the only stock-trading rules and regulations you need to follow. You should be aware of additional prohibitions and restrictions set by contract or by federal and state securities laws and regulations (e.g., lock-up agreements, contractual restrictions on the resale of securities, rules on short swing</w:t>
      </w:r>
    </w:p>
    <w:p>
      <w:pPr>
        <w:sectPr>
          <w:pgSz w:w="11900" w:h="16838" w:orient="portrait"/>
          <w:cols w:equalWidth="0" w:num="1">
            <w:col w:w="11200"/>
          </w:cols>
          <w:pgMar w:left="320" w:top="1417" w:right="379" w:bottom="1440" w:gutter="0" w:footer="0" w:header="0"/>
        </w:sectPr>
      </w:pPr>
    </w:p>
    <w:bookmarkStart w:id="157" w:name="page158"/>
    <w:bookmarkEnd w:id="157"/>
    <w:p>
      <w:pPr>
        <w:ind w:right="120"/>
        <w:spacing w:after="0" w:line="282" w:lineRule="auto"/>
        <w:rPr>
          <w:sz w:val="20"/>
          <w:szCs w:val="20"/>
          <w:color w:val="auto"/>
        </w:rPr>
      </w:pPr>
      <w:r>
        <w:rPr>
          <w:rFonts w:ascii="Times New Roman" w:cs="Times New Roman" w:eastAsia="Times New Roman" w:hAnsi="Times New Roman"/>
          <w:sz w:val="18"/>
          <w:szCs w:val="18"/>
          <w:color w:val="auto"/>
        </w:rPr>
        <w:t>trading by Section 16 Reporting Persons, compliance with Rule 144 under the Securities Act of 1933, as amended, and others). Any Covered Person who is uncertain whether other prohibitions or restrictions apply should send a request to a Policy Administrator.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When Trading Is Allowed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Trading Windows and Blackout Periods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To promote compliance with insider trading laws, we have designated periods when Covered Persons can trade in our securities, which are described below.</w:t>
      </w:r>
    </w:p>
    <w:p>
      <w:pPr>
        <w:spacing w:after="0" w:line="104" w:lineRule="exact"/>
        <w:rPr>
          <w:sz w:val="20"/>
          <w:szCs w:val="20"/>
          <w:color w:val="auto"/>
        </w:rPr>
      </w:pPr>
    </w:p>
    <w:p>
      <w:pPr>
        <w:jc w:val="both"/>
        <w:ind w:left="660" w:right="80" w:hanging="328"/>
        <w:spacing w:after="0" w:line="268"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can only trade during a Trading Window</w:t>
      </w:r>
      <w:r>
        <w:rPr>
          <w:rFonts w:ascii="Times New Roman" w:cs="Times New Roman" w:eastAsia="Times New Roman" w:hAnsi="Times New Roman"/>
          <w:sz w:val="18"/>
          <w:szCs w:val="18"/>
          <w:color w:val="auto"/>
        </w:rPr>
        <w:t>. Covered Persons are allowed to trade our securities only during a Trading Window period,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opens after the close of trading on the next full trading day following the widespread public release of our quarterly or year-end operating results, and closes at the close of trading on the fifteenth calendar day of the third month of the then-current quarter.</w:t>
      </w:r>
    </w:p>
    <w:p>
      <w:pPr>
        <w:spacing w:after="0" w:line="120" w:lineRule="exact"/>
        <w:rPr>
          <w:rFonts w:ascii="Times New Roman" w:cs="Times New Roman" w:eastAsia="Times New Roman" w:hAnsi="Times New Roman"/>
          <w:sz w:val="18"/>
          <w:szCs w:val="18"/>
          <w:color w:val="auto"/>
        </w:rPr>
      </w:pPr>
    </w:p>
    <w:p>
      <w:pPr>
        <w:ind w:left="6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if we publicly announce our quarterly financial results after close of trading on a Monday (or before trading begins on a Tuesday), then the first time a Covered Person can trade our securities is after the close of market on Tuesday (effectively at the opening of the market on Wednesday for regular trading). However, if we announce quarterly financial results before trading begins on that Monday, then the first time the Covered Person can trade is after the close of market on Monday (effectively at the opening of the market on Tuesday for regular trading).</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Even during a Trading Window, you are not allowed to trade while in possession of MNPI</w:t>
      </w:r>
      <w:r>
        <w:rPr>
          <w:rFonts w:ascii="Times New Roman" w:cs="Times New Roman" w:eastAsia="Times New Roman" w:hAnsi="Times New Roman"/>
          <w:sz w:val="18"/>
          <w:szCs w:val="18"/>
          <w:color w:val="auto"/>
        </w:rPr>
        <w:t>. Trading in the Company’s securities in a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Window should not be considered to be within the “safe harbor” - please use your judgment. Even during a Trading Window, you still may not trade our securities if you possess MNPI at that time. A Covered Person who possesses MNPI during a Trading Window may only trade our securities after that MNPI has been widely disclosed to the public or is no longer material.</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You cannot trade during a Blackout Period</w:t>
      </w:r>
      <w:r>
        <w:rPr>
          <w:rFonts w:ascii="Times New Roman" w:cs="Times New Roman" w:eastAsia="Times New Roman" w:hAnsi="Times New Roman"/>
          <w:sz w:val="17"/>
          <w:szCs w:val="17"/>
          <w:color w:val="auto"/>
        </w:rPr>
        <w:t>. Even during a Trading Window, the Company may, in its sole discretion, designate special trading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Blackout Periods that apply to specific individuals or groups of people (including all Covered Persons). No Covered Person may trade our securities while subject to any such Blackout Period. Additionally, no Covered Person may tell anyone that a special Blackout Period has been designated or that one previously was in place because that also is confidential information that cannot be disclosed internally or externally.</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Exceptions to Prohibited Activities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trading restrictions of this Policy do not apply to the following:</w:t>
      </w:r>
    </w:p>
    <w:p>
      <w:pPr>
        <w:spacing w:after="0" w:line="169" w:lineRule="exact"/>
        <w:rPr>
          <w:sz w:val="20"/>
          <w:szCs w:val="20"/>
          <w:color w:val="auto"/>
        </w:rPr>
      </w:pPr>
    </w:p>
    <w:p>
      <w:pPr>
        <w:ind w:left="660" w:right="40" w:hanging="328"/>
        <w:spacing w:after="0" w:line="284"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Investing 401(k) plan contributions in a company stock fund in accordance with the terms of our 401(k) plan. However, any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your investment election regarding the Company’s securities are subject to trading restrictions under this Policy.</w:t>
      </w:r>
    </w:p>
    <w:p>
      <w:pPr>
        <w:spacing w:after="0" w:line="104"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ESPP</w:t>
      </w:r>
      <w:r>
        <w:rPr>
          <w:rFonts w:ascii="Times New Roman" w:cs="Times New Roman" w:eastAsia="Times New Roman" w:hAnsi="Times New Roman"/>
          <w:sz w:val="17"/>
          <w:szCs w:val="17"/>
          <w:color w:val="auto"/>
        </w:rPr>
        <w:t>. Purchasing our stock through periodic, automatic payroll contributions under our Employee Stock Purchase Plan. However,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not make any changes in elections under the ESPP outside of a Trading Window or during a Blackout Period or while in possession of MNPI; provided, however, that employees who (a) do not possess MNPI and (b) are not Restricted Insiders, may decrease their contributions or make withdrawals during a Blackout Period. Moreover, any sales of stock acquired under the ESPP are subject to trading restrictions under this Policy.</w:t>
      </w:r>
    </w:p>
    <w:p>
      <w:pPr>
        <w:spacing w:after="0" w:line="110" w:lineRule="exact"/>
        <w:rPr>
          <w:rFonts w:ascii="Times New Roman" w:cs="Times New Roman" w:eastAsia="Times New Roman" w:hAnsi="Times New Roman"/>
          <w:sz w:val="17"/>
          <w:szCs w:val="17"/>
          <w:color w:val="auto"/>
        </w:rPr>
      </w:pPr>
    </w:p>
    <w:p>
      <w:pPr>
        <w:ind w:left="660" w:hanging="328"/>
        <w:spacing w:after="0" w:line="261"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Exercising stock options granted under our equity incentive plans for cash or by delivering to the Company previously owned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through a net exercise of a stock option that is permitted by the Company’s equity incentive plan and that does not involve a sale of shares in the open market; or paying taxes in connection with exercising stock options granted under our equity incentive plans that does not involve a sale of shares in the open market. However, the sale of any shares issued on the exercise of</w:t>
      </w:r>
    </w:p>
    <w:p>
      <w:pPr>
        <w:sectPr>
          <w:pgSz w:w="11900" w:h="16838" w:orient="portrait"/>
          <w:cols w:equalWidth="0" w:num="1">
            <w:col w:w="11220"/>
          </w:cols>
          <w:pgMar w:left="320" w:top="1417" w:right="359" w:bottom="1440" w:gutter="0" w:footer="0" w:header="0"/>
        </w:sectPr>
      </w:pPr>
    </w:p>
    <w:bookmarkStart w:id="158" w:name="page159"/>
    <w:bookmarkEnd w:id="158"/>
    <w:p>
      <w:pPr>
        <w:ind w:left="660" w:right="160"/>
        <w:spacing w:after="0" w:line="282" w:lineRule="auto"/>
        <w:rPr>
          <w:sz w:val="20"/>
          <w:szCs w:val="20"/>
          <w:color w:val="auto"/>
        </w:rPr>
      </w:pPr>
      <w:r>
        <w:rPr>
          <w:rFonts w:ascii="Times New Roman" w:cs="Times New Roman" w:eastAsia="Times New Roman" w:hAnsi="Times New Roman"/>
          <w:sz w:val="18"/>
          <w:szCs w:val="18"/>
          <w:color w:val="auto"/>
        </w:rPr>
        <w:t>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106" w:lineRule="exact"/>
        <w:rPr>
          <w:sz w:val="20"/>
          <w:szCs w:val="20"/>
          <w:color w:val="auto"/>
        </w:rPr>
      </w:pPr>
    </w:p>
    <w:p>
      <w:pPr>
        <w:ind w:left="660" w:right="320" w:hanging="328"/>
        <w:spacing w:after="0" w:line="284"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The settlement of RSUs pursuant to a net settlement or a “sale to cover” for non-discretionary, automatic tax withholdings initiated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Company for the payment of taxes upon the vesting of RSUs.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Permitted Trades Under 10b5-1 Plans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individuals who want to trade in our securities but may frequently be in possession of MNPI, a “10b5-1 Plan” may be utilized to continue trading in our securities while in possession of MNPI, outside of a Trading Window or during a Blackout Period.</w:t>
      </w:r>
    </w:p>
    <w:p>
      <w:pPr>
        <w:spacing w:after="0" w:line="104" w:lineRule="exact"/>
        <w:rPr>
          <w:sz w:val="20"/>
          <w:szCs w:val="20"/>
          <w:color w:val="auto"/>
        </w:rPr>
      </w:pPr>
    </w:p>
    <w:p>
      <w:pPr>
        <w:ind w:left="660" w:right="40" w:hanging="328"/>
        <w:spacing w:after="0" w:line="286" w:lineRule="auto"/>
        <w:tabs>
          <w:tab w:leader="none" w:pos="7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Is a 10b5-1 Plan? </w:t>
      </w:r>
      <w:r>
        <w:rPr>
          <w:rFonts w:ascii="Times New Roman" w:cs="Times New Roman" w:eastAsia="Times New Roman" w:hAnsi="Times New Roman"/>
          <w:sz w:val="18"/>
          <w:szCs w:val="18"/>
          <w:color w:val="auto"/>
        </w:rPr>
        <w:t>A 10b5-1 Plan is a written plan entered into while a Restricted Insider is not in possession of MNPI and that establishes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forward-looking schedule for selling or purchasing a predetermined number of shares.</w:t>
      </w:r>
    </w:p>
    <w:p>
      <w:pPr>
        <w:spacing w:after="0" w:line="100"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Who can enter into a 10b5-1 Plan? </w:t>
      </w:r>
      <w:r>
        <w:rPr>
          <w:rFonts w:ascii="Times New Roman" w:cs="Times New Roman" w:eastAsia="Times New Roman" w:hAnsi="Times New Roman"/>
          <w:sz w:val="18"/>
          <w:szCs w:val="18"/>
          <w:color w:val="auto"/>
        </w:rPr>
        <w:t>Because Restricted Insiders are more likely than other Covered Persons to have access to MNPI, we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 our Restricted Insiders to set up and enter into a 10b5-1 Plan. Other insiders who are interested in a 10b5-1 Plan should reach out to the Policy Administrator.</w:t>
      </w:r>
    </w:p>
    <w:p>
      <w:pPr>
        <w:spacing w:after="0" w:line="116"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How do I adopt a 10b5-1 Plan? </w:t>
      </w:r>
      <w:r>
        <w:rPr>
          <w:rFonts w:ascii="Times New Roman" w:cs="Times New Roman" w:eastAsia="Times New Roman" w:hAnsi="Times New Roman"/>
          <w:sz w:val="18"/>
          <w:szCs w:val="18"/>
          <w:color w:val="auto"/>
        </w:rPr>
        <w:t>If you are eligible and interested in setting up a 10b5-1 Plan, you should consult with a Policy Administrator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sure that:</w:t>
      </w:r>
    </w:p>
    <w:p>
      <w:pPr>
        <w:spacing w:after="0" w:line="105" w:lineRule="exact"/>
        <w:rPr>
          <w:sz w:val="20"/>
          <w:szCs w:val="20"/>
          <w:color w:val="auto"/>
        </w:rPr>
      </w:pPr>
    </w:p>
    <w:p>
      <w:pPr>
        <w:ind w:left="1300" w:right="580" w:hanging="320"/>
        <w:spacing w:after="0" w:line="280" w:lineRule="auto"/>
        <w:tabs>
          <w:tab w:leader="none" w:pos="1297" w:val="left"/>
        </w:tabs>
        <w:numPr>
          <w:ilvl w:val="0"/>
          <w:numId w:val="14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10b5-1 Plan complies with the requirements of Rule 10b5-1 under the Securities Exchange Act of 1934, as amended, and this Policy.</w:t>
      </w:r>
    </w:p>
    <w:p>
      <w:pPr>
        <w:spacing w:after="0" w:line="106" w:lineRule="exact"/>
        <w:rPr>
          <w:rFonts w:ascii="Courier New" w:cs="Courier New" w:eastAsia="Courier New" w:hAnsi="Courier New"/>
          <w:sz w:val="18"/>
          <w:szCs w:val="18"/>
          <w:color w:val="auto"/>
        </w:rPr>
      </w:pPr>
    </w:p>
    <w:p>
      <w:pPr>
        <w:jc w:val="both"/>
        <w:ind w:left="1300" w:right="160" w:hanging="320"/>
        <w:spacing w:after="0" w:line="286" w:lineRule="auto"/>
        <w:tabs>
          <w:tab w:leader="none" w:pos="1297" w:val="left"/>
        </w:tabs>
        <w:numPr>
          <w:ilvl w:val="0"/>
          <w:numId w:val="14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You have certified to the Policy Administrator in writing prior to the date that the 10b5-1 Plan is formally adopted that (i) you are not in possession of MNPI, (ii) all trades to be made pursuant to the 10b5-1 Plan will be in accordance with applicable SEC rules, and (iii) the 10b5-1 Plan complies with the requirements of Rule 10b5-1. This certification may be made in an email to the Policy Administrator.</w:t>
      </w:r>
    </w:p>
    <w:p>
      <w:pPr>
        <w:spacing w:after="0" w:line="107" w:lineRule="exact"/>
        <w:rPr>
          <w:rFonts w:ascii="Courier New" w:cs="Courier New" w:eastAsia="Courier New" w:hAnsi="Courier New"/>
          <w:sz w:val="17"/>
          <w:szCs w:val="17"/>
          <w:color w:val="auto"/>
        </w:rPr>
      </w:pPr>
    </w:p>
    <w:p>
      <w:pPr>
        <w:ind w:left="1300" w:right="300" w:hanging="320"/>
        <w:spacing w:after="0" w:line="311" w:lineRule="auto"/>
        <w:tabs>
          <w:tab w:leader="none" w:pos="1297" w:val="left"/>
        </w:tabs>
        <w:numPr>
          <w:ilvl w:val="0"/>
          <w:numId w:val="14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first trade under the 10b5-1 Plan does not occur until the later of (i) the 91st day after the 10b5-1 Plan is adopted and (ii) the third business day following the filing of the company’s Form 10-Q or Form 10-K (but no later than 120 days after the adoption date).</w:t>
      </w:r>
    </w:p>
    <w:p>
      <w:pPr>
        <w:spacing w:after="0" w:line="82" w:lineRule="exact"/>
        <w:rPr>
          <w:rFonts w:ascii="Courier New" w:cs="Courier New" w:eastAsia="Courier New" w:hAnsi="Courier New"/>
          <w:sz w:val="17"/>
          <w:szCs w:val="17"/>
          <w:color w:val="auto"/>
        </w:rPr>
      </w:pPr>
    </w:p>
    <w:p>
      <w:pPr>
        <w:ind w:left="1300" w:hanging="320"/>
        <w:spacing w:after="0"/>
        <w:tabs>
          <w:tab w:leader="none" w:pos="1300" w:val="left"/>
        </w:tabs>
        <w:numPr>
          <w:ilvl w:val="0"/>
          <w:numId w:val="14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10b5-1 Plan is adopted during a Trading Window and not during any Blackout Period.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individual may have no more than one 10b5-1 Plan adopted at any point in time (i.e., multiple concurrent plans are prohibited).</w:t>
      </w:r>
    </w:p>
    <w:p>
      <w:pPr>
        <w:spacing w:after="0" w:line="171"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Approval of a 10b5-1 Plan by a Policy Administrator shall not be considered a determination by us or the Policy Administrator that the 10b5-1 Plan satisfies the requirements of Rule 10b5-1.</w:t>
      </w:r>
    </w:p>
    <w:p>
      <w:pPr>
        <w:spacing w:after="0" w:line="104" w:lineRule="exact"/>
        <w:rPr>
          <w:sz w:val="20"/>
          <w:szCs w:val="20"/>
          <w:color w:val="auto"/>
        </w:rPr>
      </w:pPr>
    </w:p>
    <w:p>
      <w:pPr>
        <w:ind w:left="660" w:hanging="328"/>
        <w:spacing w:after="0" w:line="255"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How do I modify a 10b5-1 Plan? </w:t>
      </w:r>
      <w:r>
        <w:rPr>
          <w:rFonts w:ascii="Times New Roman" w:cs="Times New Roman" w:eastAsia="Times New Roman" w:hAnsi="Times New Roman"/>
          <w:sz w:val="18"/>
          <w:szCs w:val="18"/>
          <w:color w:val="auto"/>
        </w:rPr>
        <w:t>Because the SEC views the modification of a 10b5-1 Plan to be the same as terminating an existing 10b5-1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entering into a new 10b5-1 Plan, the approval process for modifying a 10b5-1 Plan is similar to those for initially adopting the plan. Once you have an approved 10b5-1 Plan in place, you will need approval from a Policy Administrator if you want to make any changes to it. We may limit your ability to modify your 10b5-1 Plan because making frequent changes to a 10b5-1 Plan may give the appearance that you are trading on MNPI under the guise of that plan. Modifications to a 10b5-1 Plan can only be made during a Trading Window and not during any Blackout Period and when you are not in possession of MNPI. Any changes to your 10b5-1 Plan will be subject to a “cooling off’ period, meaning that the first trade under the modified 10b5-1 Plan may not occur until the later of: (i) the 91st day after the 10b5-1 Plan is modified and (ii) the third business day following the filing of the company’s Form 10-Q or Form 10-K (but no later than 120 days after the modification date).</w:t>
      </w:r>
    </w:p>
    <w:p>
      <w:pPr>
        <w:sectPr>
          <w:pgSz w:w="11900" w:h="16838" w:orient="portrait"/>
          <w:cols w:equalWidth="0" w:num="1">
            <w:col w:w="11240"/>
          </w:cols>
          <w:pgMar w:left="320" w:top="1417" w:right="339" w:bottom="1440" w:gutter="0" w:footer="0" w:header="0"/>
        </w:sectPr>
      </w:pPr>
    </w:p>
    <w:bookmarkStart w:id="159" w:name="page160"/>
    <w:bookmarkEnd w:id="159"/>
    <w:p>
      <w:pPr>
        <w:ind w:left="34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Violations Of This Policy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Violating this Policy</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consequences of violating the insider trading laws can be severe. If any securities transaction becomes the subject of an investigation, please note the SEC will review it after the fact with the benefit of 20/20 hindsight. People who violate insider trading laws may be required to disgorge profits made or losses avoided by trading, pay the loss suffered by the persons who purchased securities from or sold securities to the insider tipper,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may impose discipline on anyone in violation of this Policy, up to and including termination of employment, and we may issue stop transfer orders to our transfer agent to prevent any attempted trades that would violate this Policy.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Reporting Violations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Any Covered Person who violates this Policy or any federal or state laws governing insider trading or tipping, or who knows of any such violation by any other Covered Person, must report the violation immediately to our General Counsel. If you want to submit a concern or complaint regarding a possible violation of this Policy anonymously, you should follow the procedures outlined in our Whistleblower and Speak Up Policy or reach out to a Policy Administrator. Anyone who violates this Policy may be subject to disciplinary measures, which may include termination of employment.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Administration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Chief Legal and Corporate Affairs Officer will administer and interpret this Policy and enforce compliance as needed. The Policy Administrator may consult with the Company’s outside legal counsel as needed. The Chief Legal and Corporate Affairs Officer may designate other individuals to perform their duties under this policy.</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Neither the Company nor the Policy Administrator will be liable for any act made under this Policy. Neither the Company nor the Policy Administrator is responsible for any failure to approve a trade or for imposing any Blackout Period.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to this Policy</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reserves the right in its sole discretion to modify or grant waivers to this Policy. Any amendments or waiver may be publicly disclosed if required by applicable laws, rules, and regulations.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list of Restricted Insiders may be amended with the approval of the Chief Legal and Corporate Affairs Officer.</w:t>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Subsidiary of Remitly Global, Inc.</w:t>
      </w:r>
    </w:p>
    <w:p>
      <w:pPr>
        <w:sectPr>
          <w:pgSz w:w="11900" w:h="16838" w:orient="portrait"/>
          <w:cols w:equalWidth="0" w:num="1">
            <w:col w:w="11220"/>
          </w:cols>
          <w:pgMar w:left="340" w:top="1427" w:right="3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Remitly,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Remitly Canada, Inc.</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Incorporation or Organization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 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ectPr>
          <w:pgSz w:w="11900" w:h="16838" w:orient="portrait"/>
          <w:cols w:equalWidth="0" w:num="2">
            <w:col w:w="4900" w:space="720"/>
            <w:col w:w="5600"/>
          </w:cols>
          <w:pgMar w:left="340" w:top="1427" w:right="339" w:bottom="1440" w:gutter="0" w:footer="0" w:header="0"/>
          <w:type w:val="continuous"/>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78"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u w:val="single" w:color="auto"/>
          <w:color w:val="auto"/>
        </w:rPr>
        <w:t>CONSENT OF INDEPENDENT REGISTERED PUBLIC ACCOUNTING FIRM</w:t>
      </w:r>
    </w:p>
    <w:p>
      <w:pPr>
        <w:spacing w:after="0" w:line="24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333-277337, No. 333-270112, No. 333-263958, No. 333-259738, and No. 333-259737) of Remitly Global, Inc. of our report dated February 19, 2025 relating to the financial statements and the effectiveness of internal control over financial reporting, which appears in this Form 10-K.</w:t>
      </w:r>
    </w:p>
    <w:p>
      <w:pPr>
        <w:spacing w:after="0" w:line="25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Seattle, Washington</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19, 2025</w:t>
      </w:r>
    </w:p>
    <w:p>
      <w:pPr>
        <w:sectPr>
          <w:pgSz w:w="11900" w:h="16838" w:orient="portrait"/>
          <w:cols w:equalWidth="0" w:num="1">
            <w:col w:w="11240"/>
          </w:cols>
          <w:pgMar w:left="320" w:top="1436" w:right="339" w:bottom="1440" w:gutter="0" w:footer="0" w:header="0"/>
        </w:sectPr>
      </w:pPr>
    </w:p>
    <w:bookmarkStart w:id="162" w:name="page163"/>
    <w:bookmarkEnd w:id="162"/>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8"/>
        <w:spacing w:after="0" w:line="376" w:lineRule="auto"/>
        <w:tabs>
          <w:tab w:leader="none" w:pos="65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163" w:name="page164"/>
    <w:bookmarkEnd w:id="1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Vikas Mehta, certify that:</w:t>
      </w:r>
    </w:p>
    <w:p>
      <w:pPr>
        <w:spacing w:after="0" w:line="306" w:lineRule="exact"/>
        <w:rPr>
          <w:sz w:val="20"/>
          <w:szCs w:val="20"/>
          <w:color w:val="auto"/>
        </w:rPr>
      </w:pPr>
    </w:p>
    <w:p>
      <w:pPr>
        <w:ind w:left="640" w:hanging="308"/>
        <w:spacing w:after="0"/>
        <w:tabs>
          <w:tab w:leader="none" w:pos="6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firstLine="8"/>
        <w:spacing w:after="0" w:line="376" w:lineRule="auto"/>
        <w:tabs>
          <w:tab w:leader="none" w:pos="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376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27" w:right="339" w:bottom="1158" w:gutter="0" w:footer="0" w:header="0"/>
        </w:sectPr>
      </w:pPr>
    </w:p>
    <w:bookmarkStart w:id="164" w:name="page165"/>
    <w:bookmarkEnd w:id="1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660" w:right="960" w:hanging="328"/>
        <w:spacing w:after="0" w:line="275" w:lineRule="auto"/>
        <w:tabs>
          <w:tab w:leader="none" w:pos="65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as amended; and</w:t>
      </w:r>
    </w:p>
    <w:p>
      <w:pPr>
        <w:spacing w:after="0" w:line="228" w:lineRule="exact"/>
        <w:rPr>
          <w:rFonts w:ascii="Times New Roman" w:cs="Times New Roman" w:eastAsia="Times New Roman" w:hAnsi="Times New Roman"/>
          <w:sz w:val="22"/>
          <w:szCs w:val="22"/>
          <w:color w:val="auto"/>
        </w:rPr>
      </w:pPr>
    </w:p>
    <w:p>
      <w:pPr>
        <w:ind w:left="660" w:right="240" w:hanging="328"/>
        <w:spacing w:after="0" w:line="291" w:lineRule="auto"/>
        <w:tabs>
          <w:tab w:leader="none" w:pos="65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4"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I, Vikas Mehta, Chief Financial Officer of Remitly Global, Inc. (the “Company”), do hereby certify, pursuant to 18 U.S.C. Section 1350, as adopted pursuant to Section 906 of the Sarbanes-Oxley Act of 2002, that to the best of my knowledge:</w:t>
      </w:r>
    </w:p>
    <w:p>
      <w:pPr>
        <w:spacing w:after="0" w:line="175" w:lineRule="exact"/>
        <w:rPr>
          <w:sz w:val="20"/>
          <w:szCs w:val="20"/>
          <w:color w:val="auto"/>
        </w:rPr>
      </w:pPr>
    </w:p>
    <w:p>
      <w:pPr>
        <w:ind w:left="660" w:right="960" w:hanging="328"/>
        <w:spacing w:after="0" w:line="275" w:lineRule="auto"/>
        <w:tabs>
          <w:tab w:leader="none" w:pos="65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Annual Report on Form 10-K of the Company for the fiscal year ended December 31, 2024 (the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22"/>
          <w:szCs w:val="22"/>
          <w:color w:val="auto"/>
        </w:rPr>
      </w:pPr>
    </w:p>
    <w:p>
      <w:pPr>
        <w:ind w:left="660" w:right="240" w:hanging="328"/>
        <w:spacing w:after="0" w:line="275" w:lineRule="auto"/>
        <w:tabs>
          <w:tab w:leader="none" w:pos="65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9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2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REMITLY GLOBAL, INC.</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COMPENSATION RECOUPMENT POLICY</w:t>
      </w:r>
    </w:p>
    <w:p>
      <w:pPr>
        <w:ind w:right="260" w:firstLine="392"/>
        <w:spacing w:after="0" w:line="211" w:lineRule="auto"/>
        <w:rPr>
          <w:sz w:val="20"/>
          <w:szCs w:val="20"/>
          <w:color w:val="auto"/>
        </w:rPr>
      </w:pPr>
      <w:r>
        <w:rPr>
          <w:rFonts w:ascii="Times New Roman" w:cs="Times New Roman" w:eastAsia="Times New Roman" w:hAnsi="Times New Roman"/>
          <w:sz w:val="20"/>
          <w:szCs w:val="20"/>
          <w:color w:val="auto"/>
        </w:rPr>
        <w:t>This Compensation Recoupment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adopted by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Remitly Global,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on May 11, 2023. This Policy provides for the recoupment of certain executive compensation in the event of an</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accounting restatement resulting from material noncompliance with financial reporting requirements under U.S. federal securities laws in accordance with the terms and conditions set forth herein. This Policy is intended to comply with the requirements of Section 10D of the</w:t>
      </w:r>
    </w:p>
    <w:p>
      <w:pPr>
        <w:spacing w:after="0"/>
        <w:rPr>
          <w:sz w:val="20"/>
          <w:szCs w:val="20"/>
          <w:color w:val="auto"/>
        </w:rPr>
      </w:pPr>
      <w:r>
        <w:rPr>
          <w:rFonts w:ascii="Times New Roman" w:cs="Times New Roman" w:eastAsia="Times New Roman" w:hAnsi="Times New Roman"/>
          <w:sz w:val="20"/>
          <w:szCs w:val="20"/>
          <w:color w:val="auto"/>
        </w:rPr>
        <w:t>Exchange Act (as defined below) and Section 5608 of the Nasdaq Listing Rules.</w:t>
      </w:r>
    </w:p>
    <w:p>
      <w:pPr>
        <w:spacing w:after="0" w:line="194"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the purposes of this Policy, the following terms shall have the meanings set forth below.</w:t>
      </w:r>
    </w:p>
    <w:p>
      <w:pPr>
        <w:spacing w:after="0" w:line="19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talent and compensation committee of the Board.</w:t>
      </w:r>
    </w:p>
    <w:p>
      <w:pPr>
        <w:spacing w:after="0" w:line="215" w:lineRule="exact"/>
        <w:rPr>
          <w:rFonts w:ascii="Times New Roman" w:cs="Times New Roman" w:eastAsia="Times New Roman" w:hAnsi="Times New Roman"/>
          <w:sz w:val="20"/>
          <w:szCs w:val="20"/>
          <w:color w:val="auto"/>
        </w:rPr>
      </w:pPr>
    </w:p>
    <w:p>
      <w:pPr>
        <w:ind w:right="720" w:firstLine="656"/>
        <w:spacing w:after="0" w:line="245" w:lineRule="auto"/>
        <w:tabs>
          <w:tab w:leader="none" w:pos="128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Compensation</w:t>
      </w:r>
      <w:r>
        <w:rPr>
          <w:rFonts w:ascii="Times New Roman" w:cs="Times New Roman" w:eastAsia="Times New Roman" w:hAnsi="Times New Roman"/>
          <w:sz w:val="20"/>
          <w:szCs w:val="20"/>
          <w:color w:val="auto"/>
        </w:rPr>
        <w:t xml:space="preserve">” means any Incentive-based Compensation “received” by a Covered Executive during the applicable Recoupment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15" w:lineRule="exact"/>
        <w:rPr>
          <w:sz w:val="20"/>
          <w:szCs w:val="20"/>
          <w:color w:val="auto"/>
        </w:rPr>
      </w:pPr>
    </w:p>
    <w:p>
      <w:pPr>
        <w:ind w:left="660" w:right="100" w:firstLine="198"/>
        <w:spacing w:after="0" w:line="230" w:lineRule="auto"/>
        <w:rPr>
          <w:sz w:val="20"/>
          <w:szCs w:val="20"/>
          <w:color w:val="auto"/>
        </w:rPr>
      </w:pPr>
      <w:r>
        <w:rPr>
          <w:rFonts w:ascii="Times New Roman" w:cs="Times New Roman" w:eastAsia="Times New Roman" w:hAnsi="Times New Roman"/>
          <w:sz w:val="20"/>
          <w:szCs w:val="20"/>
          <w:color w:val="auto"/>
        </w:rPr>
        <w:t>(i) such Covered Compensation was received by such Covered Executive (A) after the Effective Date, (B) after he or she commenced service as an Executive Officer and (C) while the Company had a class of securities publicly listed on a U.S. national securities exchange; and</w:t>
      </w:r>
    </w:p>
    <w:p>
      <w:pPr>
        <w:spacing w:after="0" w:line="135" w:lineRule="exact"/>
        <w:rPr>
          <w:sz w:val="20"/>
          <w:szCs w:val="20"/>
          <w:color w:val="auto"/>
        </w:rPr>
      </w:pPr>
    </w:p>
    <w:p>
      <w:pPr>
        <w:ind w:left="660" w:right="680" w:firstLine="198"/>
        <w:spacing w:after="0"/>
        <w:rPr>
          <w:sz w:val="20"/>
          <w:szCs w:val="20"/>
          <w:color w:val="auto"/>
        </w:rPr>
      </w:pPr>
      <w:r>
        <w:rPr>
          <w:rFonts w:ascii="Times New Roman" w:cs="Times New Roman" w:eastAsia="Times New Roman" w:hAnsi="Times New Roman"/>
          <w:sz w:val="20"/>
          <w:szCs w:val="20"/>
          <w:color w:val="auto"/>
        </w:rPr>
        <w:t>(ii) such Covered Executive served as an Executive Officer at any time during the performance period in respect of such Incentive-based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Incentive-based Compensation is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by a Covered Executive during the fiscal period in which the</w:t>
      </w:r>
    </w:p>
    <w:p>
      <w:pPr>
        <w:ind w:right="180"/>
        <w:spacing w:after="0" w:line="221" w:lineRule="auto"/>
        <w:rPr>
          <w:sz w:val="20"/>
          <w:szCs w:val="20"/>
          <w:color w:val="auto"/>
        </w:rPr>
      </w:pPr>
      <w:r>
        <w:rPr>
          <w:rFonts w:ascii="Times New Roman" w:cs="Times New Roman" w:eastAsia="Times New Roman" w:hAnsi="Times New Roman"/>
          <w:sz w:val="20"/>
          <w:szCs w:val="20"/>
          <w:color w:val="auto"/>
        </w:rPr>
        <w:t>Financial Reporting Measure applicable to such Incentive-based Compensation (or portion thereof) is attained, even if the payment or grant of such Incentive-based Compensation occurs thereafter.</w:t>
      </w:r>
    </w:p>
    <w:p>
      <w:pPr>
        <w:spacing w:after="0" w:line="185"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Executive</w:t>
      </w:r>
      <w:r>
        <w:rPr>
          <w:rFonts w:ascii="Times New Roman" w:cs="Times New Roman" w:eastAsia="Times New Roman" w:hAnsi="Times New Roman"/>
          <w:sz w:val="20"/>
          <w:szCs w:val="20"/>
          <w:color w:val="auto"/>
        </w:rPr>
        <w:t>” means any current or former Executive Officer.</w:t>
      </w:r>
    </w:p>
    <w:p>
      <w:pPr>
        <w:spacing w:after="0" w:line="215" w:lineRule="exact"/>
        <w:rPr>
          <w:rFonts w:ascii="Times New Roman" w:cs="Times New Roman" w:eastAsia="Times New Roman" w:hAnsi="Times New Roman"/>
          <w:sz w:val="20"/>
          <w:szCs w:val="20"/>
          <w:color w:val="auto"/>
        </w:rPr>
      </w:pPr>
    </w:p>
    <w:p>
      <w:pPr>
        <w:ind w:right="400" w:firstLine="656"/>
        <w:spacing w:after="0" w:line="227" w:lineRule="auto"/>
        <w:tabs>
          <w:tab w:leader="none" w:pos="12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the date on which Section 5608 of the Nasdaq Listing Rules, or such other listing standards implementing Section 10D of the Exchange Act of the national securities exchange on which the Company’s securities are listed become effective.</w:t>
      </w:r>
    </w:p>
    <w:p>
      <w:pPr>
        <w:spacing w:after="0" w:line="18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2" w:lineRule="exact"/>
        <w:rPr>
          <w:rFonts w:ascii="Times New Roman" w:cs="Times New Roman" w:eastAsia="Times New Roman" w:hAnsi="Times New Roman"/>
          <w:sz w:val="20"/>
          <w:szCs w:val="20"/>
          <w:color w:val="auto"/>
        </w:rPr>
      </w:pPr>
    </w:p>
    <w:p>
      <w:pPr>
        <w:ind w:right="160" w:firstLine="656"/>
        <w:spacing w:after="0" w:line="223" w:lineRule="auto"/>
        <w:tabs>
          <w:tab w:leader="none" w:pos="129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means any (i) “officer” of the Company, as defined under Rule 16a-1(f) of the Exchange Act, (ii) any other individual who is required to be covered by this Policy pursuant to Section 10D of the Exchange Act and the listing standards of the national securities exchange on which the Company’s securities are listed and (iii) any other employees of the Company and its subsidiaries identified by the Committee from time to time.</w:t>
      </w:r>
    </w:p>
    <w:p>
      <w:pPr>
        <w:spacing w:after="0" w:line="184" w:lineRule="exact"/>
        <w:rPr>
          <w:rFonts w:ascii="Times New Roman" w:cs="Times New Roman" w:eastAsia="Times New Roman" w:hAnsi="Times New Roman"/>
          <w:sz w:val="20"/>
          <w:szCs w:val="20"/>
          <w:color w:val="auto"/>
        </w:rPr>
      </w:pPr>
    </w:p>
    <w:p>
      <w:pPr>
        <w:ind w:right="100" w:firstLine="656"/>
        <w:spacing w:after="0" w:line="220" w:lineRule="auto"/>
        <w:tabs>
          <w:tab w:leader="none" w:pos="12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w:t>
      </w:r>
      <w:r>
        <w:rPr>
          <w:rFonts w:ascii="Times New Roman" w:cs="Times New Roman" w:eastAsia="Times New Roman" w:hAnsi="Times New Roman"/>
          <w:sz w:val="20"/>
          <w:szCs w:val="20"/>
          <w:color w:val="auto"/>
        </w:rPr>
        <w:t>” means any (i) measure that is determined and presented in accordance with the accounting principles used in preparing the Company’s financial statements (and any measures that are derived wholly or in part from any such measure), (ii) stock price measure or (iii) total shareholder return measure. For the avoidance of doubt, a Financial Reporting Measure does not need to be presented within the Company’s financial statements or included in a filing with the U.S. Securities and Exchange Commission.</w:t>
      </w:r>
    </w:p>
    <w:p>
      <w:pPr>
        <w:spacing w:after="0" w:line="174" w:lineRule="exact"/>
        <w:rPr>
          <w:rFonts w:ascii="Times New Roman" w:cs="Times New Roman" w:eastAsia="Times New Roman" w:hAnsi="Times New Roman"/>
          <w:sz w:val="20"/>
          <w:szCs w:val="20"/>
          <w:color w:val="auto"/>
        </w:rPr>
      </w:pPr>
    </w:p>
    <w:p>
      <w:pPr>
        <w:ind w:right="140" w:firstLine="656"/>
        <w:spacing w:after="0" w:line="224" w:lineRule="auto"/>
        <w:tabs>
          <w:tab w:leader="none" w:pos="12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Restatement</w:t>
      </w:r>
      <w:r>
        <w:rPr>
          <w:rFonts w:ascii="Times New Roman" w:cs="Times New Roman" w:eastAsia="Times New Roman" w:hAnsi="Times New Roman"/>
          <w:sz w:val="20"/>
          <w:szCs w:val="20"/>
          <w:color w:val="auto"/>
        </w:rPr>
        <w:t>” means a restatement of the Company’s financial statements due to the material noncompliance of the Company with any financial reporting requirement under U.S. federal securities laws that is required in order to correct:</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error in previously issued financial statements that is material to the previously issued financial statements; or</w:t>
      </w:r>
    </w:p>
    <w:p>
      <w:pPr>
        <w:sectPr>
          <w:pgSz w:w="11900" w:h="16838" w:orient="portrait"/>
          <w:cols w:equalWidth="0" w:num="1">
            <w:col w:w="11240"/>
          </w:cols>
          <w:pgMar w:left="320" w:top="104" w:right="339" w:bottom="1440" w:gutter="0" w:footer="0" w:header="0"/>
        </w:sectPr>
      </w:pPr>
    </w:p>
    <w:bookmarkStart w:id="168" w:name="page169"/>
    <w:bookmarkEnd w:id="168"/>
    <w:p>
      <w:pPr>
        <w:ind w:left="980" w:right="500"/>
        <w:spacing w:after="0"/>
        <w:rPr>
          <w:sz w:val="20"/>
          <w:szCs w:val="20"/>
          <w:color w:val="auto"/>
        </w:rPr>
      </w:pPr>
      <w:r>
        <w:rPr>
          <w:rFonts w:ascii="Times New Roman" w:cs="Times New Roman" w:eastAsia="Times New Roman" w:hAnsi="Times New Roman"/>
          <w:sz w:val="20"/>
          <w:szCs w:val="20"/>
          <w:color w:val="auto"/>
        </w:rPr>
        <w:t>(ii) an error that would result in a material misstatement if (A) the error were corrected in the current period or (B) left uncorrected in the current period.</w:t>
      </w:r>
    </w:p>
    <w:p>
      <w:pPr>
        <w:spacing w:after="0" w:line="175"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19"/>
          <w:szCs w:val="19"/>
          <w:color w:val="auto"/>
        </w:rPr>
        <w:t>For purposes of this Policy, a Financial Restatement shall not be deemed to occur in the event of a restatement of the Company’s financial statements due to an out-of-period adjustment or a retrospective (1) application of a change in accounting principles; (2) revision to</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reportable segment information due to a change in the structure of the Company’s internal organization; (3) reclassification due to a discontinued operation; (4) application of a change in reporting entity, such as from a reorganization of entities under common control; or (5)</w:t>
      </w:r>
    </w:p>
    <w:p>
      <w:pPr>
        <w:spacing w:after="0"/>
        <w:rPr>
          <w:sz w:val="20"/>
          <w:szCs w:val="20"/>
          <w:color w:val="auto"/>
        </w:rPr>
      </w:pPr>
      <w:r>
        <w:rPr>
          <w:rFonts w:ascii="Times New Roman" w:cs="Times New Roman" w:eastAsia="Times New Roman" w:hAnsi="Times New Roman"/>
          <w:sz w:val="20"/>
          <w:szCs w:val="20"/>
          <w:color w:val="auto"/>
        </w:rPr>
        <w:t>revision for stock splits, reverse stock splits, stock dividends, or other changes in capital structure.</w:t>
      </w:r>
    </w:p>
    <w:p>
      <w:pPr>
        <w:spacing w:after="0" w:line="190" w:lineRule="exact"/>
        <w:rPr>
          <w:sz w:val="20"/>
          <w:szCs w:val="20"/>
          <w:color w:val="auto"/>
        </w:rPr>
      </w:pPr>
    </w:p>
    <w:p>
      <w:pPr>
        <w:ind w:firstLine="656"/>
        <w:spacing w:after="0" w:line="223" w:lineRule="auto"/>
        <w:tabs>
          <w:tab w:leader="none" w:pos="129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Restatement Preparation Date</w:t>
      </w:r>
      <w:r>
        <w:rPr>
          <w:rFonts w:ascii="Times New Roman" w:cs="Times New Roman" w:eastAsia="Times New Roman" w:hAnsi="Times New Roman"/>
          <w:sz w:val="20"/>
          <w:szCs w:val="20"/>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spacing w:after="0" w:line="171" w:lineRule="exact"/>
        <w:rPr>
          <w:rFonts w:ascii="Times New Roman" w:cs="Times New Roman" w:eastAsia="Times New Roman" w:hAnsi="Times New Roman"/>
          <w:sz w:val="20"/>
          <w:szCs w:val="20"/>
          <w:color w:val="auto"/>
        </w:rPr>
      </w:pPr>
    </w:p>
    <w:p>
      <w:pPr>
        <w:ind w:firstLine="656"/>
        <w:spacing w:after="0" w:line="219" w:lineRule="auto"/>
        <w:tabs>
          <w:tab w:leader="none" w:pos="128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plan or any notional account that is based on Incentive-based Compensation, as well as any earnings accrued thereon).</w:t>
      </w:r>
    </w:p>
    <w:p>
      <w:pPr>
        <w:spacing w:after="0" w:line="17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means the NASDAQ Global Select Market, or any successor thereof.</w:t>
      </w:r>
    </w:p>
    <w:p>
      <w:pPr>
        <w:spacing w:after="0" w:line="215" w:lineRule="exact"/>
        <w:rPr>
          <w:rFonts w:ascii="Times New Roman" w:cs="Times New Roman" w:eastAsia="Times New Roman" w:hAnsi="Times New Roman"/>
          <w:sz w:val="20"/>
          <w:szCs w:val="20"/>
          <w:color w:val="auto"/>
        </w:rPr>
      </w:pPr>
    </w:p>
    <w:p>
      <w:pPr>
        <w:ind w:right="20" w:firstLine="656"/>
        <w:spacing w:after="0" w:line="218" w:lineRule="auto"/>
        <w:tabs>
          <w:tab w:leader="none" w:pos="1285"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Recoupment Period</w:t>
      </w:r>
      <w:r>
        <w:rPr>
          <w:rFonts w:ascii="Times New Roman" w:cs="Times New Roman" w:eastAsia="Times New Roman" w:hAnsi="Times New Roman"/>
          <w:sz w:val="20"/>
          <w:szCs w:val="20"/>
          <w:color w:val="auto"/>
        </w:rPr>
        <w:t xml:space="preserve">” means the three fiscal years completed immediately preceding the date of any applicable Financial Restatement Preparation Date. Notwithstanding the foregoing, the Recoupment Period additionally includes any transition period (that results from a change in the Company’s fiscal year) within or immediately following those three completed fiscal years,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transition period between the last day of the Company’s previous fiscal year end and the first day of its new fiscal year that compromises a period of nine (9) to twelve (12) months would be deemed a completed fiscal year.</w:t>
      </w:r>
    </w:p>
    <w:p>
      <w:pPr>
        <w:spacing w:after="0" w:line="18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Recoupment of Erroneously Awarded Compensation</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Financial Restatement, if the amount of any Covered Compensation received by a Covered Executive (the</w:t>
      </w:r>
    </w:p>
    <w:p>
      <w:pPr>
        <w:ind w:right="160"/>
        <w:spacing w:after="0" w:line="22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Awarded Compensation</w:t>
      </w:r>
      <w:r>
        <w:rPr>
          <w:rFonts w:ascii="Times New Roman" w:cs="Times New Roman" w:eastAsia="Times New Roman" w:hAnsi="Times New Roman"/>
          <w:sz w:val="19"/>
          <w:szCs w:val="19"/>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9"/>
          <w:szCs w:val="19"/>
          <w:b w:val="1"/>
          <w:bCs w:val="1"/>
          <w:color w:val="auto"/>
        </w:rPr>
        <w:t>Adjusted Compensation</w:t>
      </w:r>
      <w:r>
        <w:rPr>
          <w:rFonts w:ascii="Times New Roman" w:cs="Times New Roman" w:eastAsia="Times New Roman" w:hAnsi="Times New Roman"/>
          <w:sz w:val="19"/>
          <w:szCs w:val="19"/>
          <w:color w:val="auto"/>
        </w:rPr>
        <w:t>”), the Company shall reasonably promptly</w:t>
      </w:r>
    </w:p>
    <w:p>
      <w:pPr>
        <w:spacing w:after="0" w:line="1" w:lineRule="exact"/>
        <w:rPr>
          <w:sz w:val="20"/>
          <w:szCs w:val="20"/>
          <w:color w:val="auto"/>
        </w:rPr>
      </w:pPr>
    </w:p>
    <w:p>
      <w:pPr>
        <w:ind w:right="200"/>
        <w:spacing w:after="0" w:line="204" w:lineRule="auto"/>
        <w:rPr>
          <w:sz w:val="20"/>
          <w:szCs w:val="20"/>
          <w:color w:val="auto"/>
        </w:rPr>
      </w:pPr>
      <w:r>
        <w:rPr>
          <w:rFonts w:ascii="Times New Roman" w:cs="Times New Roman" w:eastAsia="Times New Roman" w:hAnsi="Times New Roman"/>
          <w:sz w:val="20"/>
          <w:szCs w:val="20"/>
          <w:color w:val="auto"/>
        </w:rPr>
        <w:t>recover from such Covered Executive an amount equal to the excess of the Received Compensation over the Adjusted Compensation (such excess amount, the “</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subject to Section (2)(b) hereof.</w:t>
      </w:r>
    </w:p>
    <w:p>
      <w:pPr>
        <w:spacing w:after="0" w:line="1" w:lineRule="exact"/>
        <w:rPr>
          <w:sz w:val="20"/>
          <w:szCs w:val="20"/>
          <w:color w:val="auto"/>
        </w:rPr>
      </w:pPr>
    </w:p>
    <w:p>
      <w:pPr>
        <w:ind w:right="80" w:firstLine="656"/>
        <w:spacing w:after="0" w:line="205"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applicable Financial Reporting Measure applicable to the relevant Covered Compensation is a stock price or total shareholder return measure, if the amount of such Erroneously Awarded Compensation is not subject to mathematical recalculation directly from the information in the Financial Restatement, then the amount of the Erroneously Awarded Compensation shall be determined based on the Company’s reasonable estimate of the effect of the Financial Restatement on the Company’s stock price or total shareholder return upon which such Covered Compensation was received.</w:t>
      </w:r>
    </w:p>
    <w:p>
      <w:pPr>
        <w:spacing w:after="0" w:line="3" w:lineRule="exact"/>
        <w:rPr>
          <w:rFonts w:ascii="Times New Roman" w:cs="Times New Roman" w:eastAsia="Times New Roman" w:hAnsi="Times New Roman"/>
          <w:sz w:val="20"/>
          <w:szCs w:val="20"/>
          <w:color w:val="auto"/>
        </w:rPr>
      </w:pPr>
    </w:p>
    <w:p>
      <w:pPr>
        <w:ind w:left="1300" w:hanging="644"/>
        <w:spacing w:after="0" w:line="211" w:lineRule="auto"/>
        <w:tabs>
          <w:tab w:leader="none" w:pos="13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Erroneously Awarded Compensation shall be calculated on a pre-tax basis.</w:t>
      </w:r>
    </w:p>
    <w:p>
      <w:pPr>
        <w:ind w:right="40" w:firstLine="656"/>
        <w:spacing w:after="0" w:line="228"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Company’s obligation to recover Erroneously Awarded Compensation is not dependent on (i) if or when the restated financial statements are filed; or (ii) 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39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auto"/>
        </w:rPr>
        <w:t>fault of the Covered Executive for the accounting errors leading to a restatement.</w:t>
      </w:r>
    </w:p>
    <w:p>
      <w:pPr>
        <w:ind w:right="220" w:firstLine="656"/>
        <w:spacing w:after="0" w:line="216" w:lineRule="auto"/>
        <w:tabs>
          <w:tab w:leader="none" w:pos="1286"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Sections 2(a) through (d) hereof, the Company shall not be required to recover any Erroneously Awarded Compensation in the event that (x) the conditions set forth in either of clause (i) or (ii) are satisfied and (y) the Committee (or a majority of the independent directors serving on the Board) has made a determination that recovery of the Erroneously Awarded Compensation would be impracticable:</w:t>
      </w:r>
    </w:p>
    <w:p>
      <w:pPr>
        <w:spacing w:after="0" w:line="176" w:lineRule="exact"/>
        <w:rPr>
          <w:rFonts w:ascii="Times New Roman" w:cs="Times New Roman" w:eastAsia="Times New Roman" w:hAnsi="Times New Roman"/>
          <w:sz w:val="20"/>
          <w:szCs w:val="20"/>
          <w:color w:val="auto"/>
        </w:rPr>
      </w:pPr>
    </w:p>
    <w:p>
      <w:pPr>
        <w:ind w:left="660" w:right="60" w:firstLine="968"/>
        <w:spacing w:after="0" w:line="225" w:lineRule="auto"/>
        <w:tabs>
          <w:tab w:leader="none" w:pos="1954" w:val="left"/>
        </w:tabs>
        <w:numPr>
          <w:ilvl w:val="3"/>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before concluding that it would be impracticable to recover any amount of Erroneously Awarded Compensation pursuant to this Section</w:t>
      </w:r>
    </w:p>
    <w:p>
      <w:pPr>
        <w:spacing w:after="0" w:line="1" w:lineRule="exact"/>
        <w:rPr>
          <w:rFonts w:ascii="Times New Roman" w:cs="Times New Roman" w:eastAsia="Times New Roman" w:hAnsi="Times New Roman"/>
          <w:sz w:val="19"/>
          <w:szCs w:val="19"/>
          <w:color w:val="auto"/>
        </w:rPr>
      </w:pPr>
    </w:p>
    <w:p>
      <w:pPr>
        <w:ind w:left="660" w:right="220"/>
        <w:spacing w:after="0" w:line="22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2(e), the Company shall have first made a reasonable attempt to recover such Erroneously Awarded Compensation, document such reasonable attempt(s) to make such recovery, and provide that documentation to Nasdaq; or</w:t>
      </w:r>
    </w:p>
    <w:p>
      <w:pPr>
        <w:spacing w:after="0" w:line="189" w:lineRule="exact"/>
        <w:rPr>
          <w:rFonts w:ascii="Times New Roman" w:cs="Times New Roman" w:eastAsia="Times New Roman" w:hAnsi="Times New Roman"/>
          <w:sz w:val="19"/>
          <w:szCs w:val="19"/>
          <w:color w:val="auto"/>
        </w:rPr>
      </w:pPr>
    </w:p>
    <w:p>
      <w:pPr>
        <w:jc w:val="both"/>
        <w:ind w:left="660" w:right="180" w:firstLine="968"/>
        <w:spacing w:after="0" w:line="226" w:lineRule="auto"/>
        <w:tabs>
          <w:tab w:leader="none" w:pos="1955" w:val="left"/>
        </w:tabs>
        <w:numPr>
          <w:ilvl w:val="3"/>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80" w:right="80" w:firstLine="414"/>
        <w:spacing w:after="0" w:line="226" w:lineRule="auto"/>
        <w:tabs>
          <w:tab w:leader="none" w:pos="1306"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87" w:lineRule="exact"/>
        <w:rPr>
          <w:rFonts w:ascii="Times New Roman" w:cs="Times New Roman" w:eastAsia="Times New Roman" w:hAnsi="Times New Roman"/>
          <w:sz w:val="20"/>
          <w:szCs w:val="20"/>
          <w:color w:val="auto"/>
        </w:rPr>
      </w:pPr>
    </w:p>
    <w:p>
      <w:pPr>
        <w:ind w:left="80" w:right="40" w:firstLine="414"/>
        <w:spacing w:after="0" w:line="211" w:lineRule="auto"/>
        <w:tabs>
          <w:tab w:leader="none" w:pos="1299"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Committee shall determine, in its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2(e), in no event ay the Company accept an amount that is less than the amount of Erroneously Awarded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Code) shall be made in compliance with Section 409A of the Code.</w:t>
      </w:r>
    </w:p>
    <w:p>
      <w:pPr>
        <w:spacing w:after="0" w:line="192" w:lineRule="exact"/>
        <w:rPr>
          <w:rFonts w:ascii="Times New Roman" w:cs="Times New Roman" w:eastAsia="Times New Roman" w:hAnsi="Times New Roman"/>
          <w:sz w:val="20"/>
          <w:szCs w:val="20"/>
          <w:color w:val="auto"/>
        </w:rPr>
      </w:pPr>
    </w:p>
    <w:p>
      <w:pPr>
        <w:ind w:firstLine="413"/>
        <w:spacing w:after="0" w:line="215" w:lineRule="auto"/>
        <w:tabs>
          <w:tab w:leader="none" w:pos="72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This Policy shall be administered by the Committee. All decisions of the Committee shall be final, conclusive and binding upon all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w:t>
      </w:r>
    </w:p>
    <w:p>
      <w:pPr>
        <w:spacing w:after="0" w:line="174" w:lineRule="exact"/>
        <w:rPr>
          <w:rFonts w:ascii="Times New Roman" w:cs="Times New Roman" w:eastAsia="Times New Roman" w:hAnsi="Times New Roman"/>
          <w:sz w:val="20"/>
          <w:szCs w:val="20"/>
          <w:color w:val="auto"/>
        </w:rPr>
      </w:pPr>
    </w:p>
    <w:p>
      <w:pPr>
        <w:ind w:firstLine="413"/>
        <w:spacing w:after="0" w:line="218" w:lineRule="auto"/>
        <w:tabs>
          <w:tab w:leader="none" w:pos="72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Amendment/Termination</w:t>
      </w:r>
      <w:r>
        <w:rPr>
          <w:rFonts w:ascii="Times New Roman" w:cs="Times New Roman" w:eastAsia="Times New Roman" w:hAnsi="Times New Roman"/>
          <w:sz w:val="20"/>
          <w:szCs w:val="20"/>
          <w:color w:val="auto"/>
        </w:rPr>
        <w:t>. Subject to Section 10D of the Exchange Act and Section 5608 of the Nasdsaq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39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from and after the date that the Company no longer has a class of securities publicly listed on a U.S. national securities exchange.</w:t>
      </w:r>
    </w:p>
    <w:p>
      <w:pPr>
        <w:spacing w:after="0" w:line="216" w:lineRule="exact"/>
        <w:rPr>
          <w:sz w:val="20"/>
          <w:szCs w:val="20"/>
          <w:color w:val="auto"/>
        </w:rPr>
      </w:pPr>
    </w:p>
    <w:p>
      <w:pPr>
        <w:ind w:right="180" w:firstLine="413"/>
        <w:spacing w:after="0" w:line="217" w:lineRule="auto"/>
        <w:tabs>
          <w:tab w:leader="none" w:pos="729"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and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this conflict.</w:t>
      </w:r>
    </w:p>
    <w:p>
      <w:pPr>
        <w:spacing w:after="0" w:line="188" w:lineRule="exact"/>
        <w:rPr>
          <w:rFonts w:ascii="Times New Roman" w:cs="Times New Roman" w:eastAsia="Times New Roman" w:hAnsi="Times New Roman"/>
          <w:sz w:val="20"/>
          <w:szCs w:val="20"/>
          <w:color w:val="auto"/>
        </w:rPr>
      </w:pPr>
    </w:p>
    <w:p>
      <w:pPr>
        <w:ind w:right="20" w:firstLine="413"/>
        <w:spacing w:after="0" w:line="216" w:lineRule="auto"/>
        <w:tabs>
          <w:tab w:leader="none" w:pos="729"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Compensation Clawback/Recoupment Rights</w:t>
      </w:r>
      <w:r>
        <w:rPr>
          <w:rFonts w:ascii="Times New Roman" w:cs="Times New Roman" w:eastAsia="Times New Roman" w:hAnsi="Times New Roman"/>
          <w:sz w:val="20"/>
          <w:szCs w:val="20"/>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similar policy in any employment agreement, offer letter, equity award agreement or similar agreement and any other legal remedies available to the Company, as well as applicable law, stock market or exchange rules, listing standards or regulations;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amounts recouped or clawed back under any other policy shall count toward any required clawback or recoupment under this Policy and vice versa.</w:t>
      </w:r>
    </w:p>
    <w:p>
      <w:pPr>
        <w:spacing w:after="0" w:line="189" w:lineRule="exact"/>
        <w:rPr>
          <w:rFonts w:ascii="Times New Roman" w:cs="Times New Roman" w:eastAsia="Times New Roman" w:hAnsi="Times New Roman"/>
          <w:sz w:val="20"/>
          <w:szCs w:val="20"/>
          <w:color w:val="auto"/>
        </w:rPr>
      </w:pPr>
    </w:p>
    <w:p>
      <w:pPr>
        <w:ind w:right="60" w:firstLine="413"/>
        <w:spacing w:after="0" w:line="210" w:lineRule="auto"/>
        <w:tabs>
          <w:tab w:leader="none" w:pos="778"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Compensation</w:t>
      </w:r>
      <w:r>
        <w:rPr>
          <w:rFonts w:ascii="Times New Roman" w:cs="Times New Roman" w:eastAsia="Times New Roman" w:hAnsi="Times New Roman"/>
          <w:sz w:val="20"/>
          <w:szCs w:val="20"/>
          <w:color w:val="auto"/>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amounts are in no way contingent on the achievement of any Financial Reporting Measure.</w:t>
      </w:r>
    </w:p>
    <w:p>
      <w:pPr>
        <w:spacing w:after="0" w:line="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right="120" w:firstLine="737"/>
        <w:spacing w:after="0" w:line="217" w:lineRule="auto"/>
        <w:tabs>
          <w:tab w:leader="none" w:pos="1367"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w:t>
      </w:r>
    </w:p>
    <w:p>
      <w:pPr>
        <w:spacing w:after="0" w:line="188" w:lineRule="exact"/>
        <w:rPr>
          <w:rFonts w:ascii="Times New Roman" w:cs="Times New Roman" w:eastAsia="Times New Roman" w:hAnsi="Times New Roman"/>
          <w:sz w:val="20"/>
          <w:szCs w:val="20"/>
          <w:color w:val="auto"/>
        </w:rPr>
      </w:pPr>
    </w:p>
    <w:p>
      <w:pPr>
        <w:ind w:right="640" w:firstLine="737"/>
        <w:spacing w:after="0" w:line="215" w:lineRule="auto"/>
        <w:tabs>
          <w:tab w:leader="none" w:pos="1365"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1" w:lineRule="exact"/>
        <w:rPr>
          <w:rFonts w:ascii="Times New Roman" w:cs="Times New Roman" w:eastAsia="Times New Roman" w:hAnsi="Times New Roman"/>
          <w:sz w:val="20"/>
          <w:szCs w:val="20"/>
          <w:color w:val="auto"/>
        </w:rPr>
      </w:pPr>
    </w:p>
    <w:p>
      <w:pPr>
        <w:ind w:firstLine="737"/>
        <w:spacing w:after="0" w:line="208" w:lineRule="auto"/>
        <w:tabs>
          <w:tab w:leader="none" w:pos="1367"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Washington, without giving effect to any choice of law or conflict of law rules or provisions (whether of the State of Washington or any other jurisdiction) that would cause the application of the laws of any jurisdiction other than the State of Washington.</w:t>
      </w:r>
    </w:p>
    <w:p>
      <w:pPr>
        <w:spacing w:after="0" w:line="2" w:lineRule="exact"/>
        <w:rPr>
          <w:rFonts w:ascii="Times New Roman" w:cs="Times New Roman" w:eastAsia="Times New Roman" w:hAnsi="Times New Roman"/>
          <w:sz w:val="20"/>
          <w:szCs w:val="20"/>
          <w:color w:val="auto"/>
        </w:rPr>
      </w:pPr>
    </w:p>
    <w:p>
      <w:pPr>
        <w:ind w:right="20" w:firstLine="737"/>
        <w:spacing w:after="0" w:line="221" w:lineRule="auto"/>
        <w:tabs>
          <w:tab w:leader="none" w:pos="1365" w:val="left"/>
        </w:tabs>
        <w:numPr>
          <w:ilvl w:val="2"/>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located within 25 miles from the last where the Covered Executive last worked for the Company, conducted by Judicial Arbitration and Mediation Services, Inc. (“</w:t>
      </w:r>
      <w:r>
        <w:rPr>
          <w:rFonts w:ascii="Times New Roman" w:cs="Times New Roman" w:eastAsia="Times New Roman" w:hAnsi="Times New Roman"/>
          <w:sz w:val="19"/>
          <w:szCs w:val="19"/>
          <w:b w:val="1"/>
          <w:bCs w:val="1"/>
          <w:color w:val="auto"/>
        </w:rPr>
        <w:t>JAMS</w:t>
      </w:r>
      <w:r>
        <w:rPr>
          <w:rFonts w:ascii="Times New Roman" w:cs="Times New Roman" w:eastAsia="Times New Roman" w:hAnsi="Times New Roman"/>
          <w:sz w:val="19"/>
          <w:szCs w:val="19"/>
          <w:color w:val="auto"/>
        </w:rPr>
        <w:t>”) under the applicable JAMS rules. The Covered Executives, their beneficiaries, executors, administrators, and any other legal representative and the Company, shall waive the right to resolve any such dispute through a trial by jury or judge or administrative proceeding. The arbitrator shall: (i) have the authority to compel adequate discovery for the resolution of the dispute and to award such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39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color w:val="auto"/>
        </w:rPr>
        <w:t>relief as would otherwise be permitted by law; and (ii) issue a written arbitration decision, to include the arbitrator’s essential findings and</w:t>
      </w:r>
    </w:p>
    <w:p>
      <w:pPr>
        <w:ind w:right="100"/>
        <w:spacing w:after="0" w:line="204" w:lineRule="auto"/>
        <w:rPr>
          <w:sz w:val="20"/>
          <w:szCs w:val="20"/>
          <w:color w:val="auto"/>
        </w:rPr>
      </w:pPr>
      <w:r>
        <w:rPr>
          <w:rFonts w:ascii="Times New Roman" w:cs="Times New Roman" w:eastAsia="Times New Roman" w:hAnsi="Times New Roman"/>
          <w:sz w:val="20"/>
          <w:szCs w:val="20"/>
          <w:color w:val="auto"/>
        </w:rPr>
        <w:t>conclusions and a statement of the award. The arbitrator shall be authorized to award any or all remedies that any party would be entitled to seek in a court of law.</w:t>
      </w:r>
    </w:p>
    <w:p>
      <w:pPr>
        <w:spacing w:after="0" w:line="1" w:lineRule="exact"/>
        <w:rPr>
          <w:sz w:val="20"/>
          <w:szCs w:val="20"/>
          <w:color w:val="auto"/>
        </w:rPr>
      </w:pPr>
    </w:p>
    <w:p>
      <w:pPr>
        <w:ind w:firstLine="737"/>
        <w:spacing w:after="0" w:line="218" w:lineRule="auto"/>
        <w:tabs>
          <w:tab w:leader="none" w:pos="136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5</w:t>
      </w:r>
    </w:p>
    <w:sectPr>
      <w:pgSz w:w="11900" w:h="16838" w:orient="portrait"/>
      <w:cols w:equalWidth="0" w:num="1">
        <w:col w:w="11160"/>
      </w:cols>
      <w:pgMar w:left="320" w:top="139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1)"/>
      <w:numFmt w:val="lowerRoman"/>
      <w:start w:val="2"/>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1)"/>
      <w:numFmt w:val="decimal"/>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1)"/>
      <w:numFmt w:val="decimal"/>
      <w:start w:val="1"/>
    </w:lvl>
  </w:abstractNum>
  <w:abstractNum w:abstractNumId="34">
    <w:nsid w:val="6A5F7029"/>
    <w:multiLevelType w:val="hybridMultilevel"/>
    <w:lvl w:ilvl="0">
      <w:lvlJc w:val="left"/>
      <w:lvlText w:val="%1."/>
      <w:numFmt w:val="decimal"/>
      <w:start w:val="1"/>
    </w:lvl>
  </w:abstractNum>
  <w:abstractNum w:abstractNumId="35">
    <w:nsid w:val="7D5E18F8"/>
    <w:multiLevelType w:val="hybridMultilevel"/>
    <w:lvl w:ilvl="0">
      <w:lvlJc w:val="left"/>
      <w:lvlText w:val="%1."/>
      <w:numFmt w:val="decimal"/>
      <w:start w:val="2"/>
    </w:lvl>
  </w:abstractNum>
  <w:abstractNum w:abstractNumId="36">
    <w:nsid w:val="5F3534A4"/>
    <w:multiLevelType w:val="hybridMultilevel"/>
    <w:lvl w:ilvl="0">
      <w:lvlJc w:val="left"/>
      <w:lvlText w:val="%1."/>
      <w:numFmt w:val="decimal"/>
      <w:start w:val="3"/>
    </w:lvl>
  </w:abstractNum>
  <w:abstractNum w:abstractNumId="37">
    <w:nsid w:val="73A1821B"/>
    <w:multiLevelType w:val="hybridMultilevel"/>
    <w:lvl w:ilvl="0">
      <w:lvlJc w:val="left"/>
      <w:lvlText w:val="(%1)"/>
      <w:numFmt w:val="decimal"/>
      <w:start w:val="1"/>
    </w:lvl>
  </w:abstractNum>
  <w:abstractNum w:abstractNumId="38">
    <w:nsid w:val="7DE67713"/>
    <w:multiLevelType w:val="hybridMultilevel"/>
    <w:lvl w:ilvl="0">
      <w:lvlJc w:val="left"/>
      <w:lvlText w:val="(%1)"/>
      <w:numFmt w:val="decimal"/>
      <w:start w:val="1"/>
    </w:lvl>
  </w:abstractNum>
  <w:abstractNum w:abstractNumId="39">
    <w:nsid w:val="555C55B5"/>
    <w:multiLevelType w:val="hybridMultilevel"/>
    <w:lvl w:ilvl="0">
      <w:lvlJc w:val="left"/>
      <w:lvlText w:val="(%1)"/>
      <w:numFmt w:val="decimal"/>
      <w:start w:val="1"/>
    </w:lvl>
  </w:abstractNum>
  <w:abstractNum w:abstractNumId="40">
    <w:nsid w:val="3FA62ACA"/>
    <w:multiLevelType w:val="hybridMultilevel"/>
    <w:lvl w:ilvl="0">
      <w:lvlJc w:val="left"/>
      <w:lvlText w:val="%1."/>
      <w:numFmt w:val="decimal"/>
      <w:start w:val="6"/>
    </w:lvl>
  </w:abstractNum>
  <w:abstractNum w:abstractNumId="41">
    <w:nsid w:val="14FCE74E"/>
    <w:multiLevelType w:val="hybridMultilevel"/>
    <w:lvl w:ilvl="0">
      <w:lvlJc w:val="left"/>
      <w:lvlText w:val="%1."/>
      <w:numFmt w:val="decimal"/>
      <w:start w:val="7"/>
    </w:lvl>
  </w:abstractNum>
  <w:abstractNum w:abstractNumId="42">
    <w:nsid w:val="6A3DD3E8"/>
    <w:multiLevelType w:val="hybridMultilevel"/>
    <w:lvl w:ilvl="0">
      <w:lvlJc w:val="left"/>
      <w:lvlText w:val="%1."/>
      <w:numFmt w:val="decimal"/>
      <w:start w:val="9"/>
    </w:lvl>
  </w:abstractNum>
  <w:abstractNum w:abstractNumId="43">
    <w:nsid w:val="71C91298"/>
    <w:multiLevelType w:val="hybridMultilevel"/>
    <w:lvl w:ilvl="0">
      <w:lvlJc w:val="left"/>
      <w:lvlText w:val="(%1)"/>
      <w:numFmt w:val="decimal"/>
      <w:start w:val="1"/>
    </w:lvl>
  </w:abstractNum>
  <w:abstractNum w:abstractNumId="44">
    <w:nsid w:val="9DAF632"/>
    <w:multiLevelType w:val="hybridMultilevel"/>
    <w:lvl w:ilvl="0">
      <w:lvlJc w:val="left"/>
      <w:lvlText w:val="%1."/>
      <w:numFmt w:val="decimal"/>
      <w:start w:val="11"/>
    </w:lvl>
  </w:abstractNum>
  <w:abstractNum w:abstractNumId="45">
    <w:nsid w:val="53299938"/>
    <w:multiLevelType w:val="hybridMultilevel"/>
    <w:lvl w:ilvl="0">
      <w:lvlJc w:val="left"/>
      <w:lvlText w:val="%1."/>
      <w:numFmt w:val="decimal"/>
      <w:start w:val="12"/>
    </w:lvl>
  </w:abstractNum>
  <w:abstractNum w:abstractNumId="46">
    <w:nsid w:val="1FBFE8E0"/>
    <w:multiLevelType w:val="hybridMultilevel"/>
    <w:lvl w:ilvl="0">
      <w:lvlJc w:val="left"/>
      <w:lvlText w:val="(%1)"/>
      <w:numFmt w:val="decimal"/>
      <w:start w:val="1"/>
    </w:lvl>
  </w:abstractNum>
  <w:abstractNum w:abstractNumId="47">
    <w:nsid w:val="5092CA79"/>
    <w:multiLevelType w:val="hybridMultilevel"/>
    <w:lvl w:ilvl="0">
      <w:lvlJc w:val="left"/>
      <w:lvlText w:val="(%1)"/>
      <w:numFmt w:val="decimal"/>
      <w:start w:val="1"/>
    </w:lvl>
  </w:abstractNum>
  <w:abstractNum w:abstractNumId="48">
    <w:nsid w:val="1D545C4D"/>
    <w:multiLevelType w:val="hybridMultilevel"/>
    <w:lvl w:ilvl="0">
      <w:lvlJc w:val="left"/>
      <w:lvlText w:val="%1."/>
      <w:numFmt w:val="decimal"/>
      <w:start w:val="16"/>
    </w:lvl>
  </w:abstractNum>
  <w:abstractNum w:abstractNumId="49">
    <w:nsid w:val="59ADEA3D"/>
    <w:multiLevelType w:val="hybridMultilevel"/>
    <w:lvl w:ilvl="0">
      <w:lvlJc w:val="left"/>
      <w:lvlText w:val="(%1)"/>
      <w:numFmt w:val="decimal"/>
      <w:start w:val="1"/>
    </w:lvl>
  </w:abstractNum>
  <w:abstractNum w:abstractNumId="50">
    <w:nsid w:val="288F1A34"/>
    <w:multiLevelType w:val="hybridMultilevel"/>
    <w:lvl w:ilvl="0">
      <w:lvlJc w:val="left"/>
      <w:lvlText w:val="(%1)"/>
      <w:numFmt w:val="decimal"/>
      <w:start w:val="1"/>
    </w:lvl>
  </w:abstractNum>
  <w:abstractNum w:abstractNumId="51">
    <w:nsid w:val="2A155DBC"/>
    <w:multiLevelType w:val="hybridMultilevel"/>
    <w:lvl w:ilvl="0">
      <w:lvlJc w:val="left"/>
      <w:lvlText w:val="(%1)"/>
      <w:numFmt w:val="lowerLetter"/>
      <w:start w:val="1"/>
    </w:lvl>
  </w:abstractNum>
  <w:abstractNum w:abstractNumId="52">
    <w:nsid w:val="1D9F6E5F"/>
    <w:multiLevelType w:val="hybridMultilevel"/>
    <w:lvl w:ilvl="0">
      <w:lvlJc w:val="left"/>
      <w:lvlText w:val="%1"/>
      <w:numFmt w:val="decimal"/>
      <w:start w:val="104"/>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1."/>
      <w:numFmt w:val="decimal"/>
      <w:start w:val="1"/>
    </w:lvl>
  </w:abstractNum>
  <w:abstractNum w:abstractNumId="59">
    <w:nsid w:val="23D86AAC"/>
    <w:multiLevelType w:val="hybridMultilevel"/>
    <w:lvl w:ilvl="0">
      <w:lvlJc w:val="left"/>
      <w:lvlText w:val="%1."/>
      <w:numFmt w:val="decimal"/>
      <w:start w:val="3"/>
    </w:lvl>
  </w:abstractNum>
  <w:abstractNum w:abstractNumId="60">
    <w:nsid w:val="45E6D486"/>
    <w:multiLevelType w:val="hybridMultilevel"/>
    <w:lvl w:ilvl="0">
      <w:lvlJc w:val="left"/>
      <w:lvlText w:val="(%1)"/>
      <w:numFmt w:val="lowerLetter"/>
      <w:start w:val="1"/>
    </w:lvl>
  </w:abstractNum>
  <w:abstractNum w:abstractNumId="61">
    <w:nsid w:val="5C10FE21"/>
    <w:multiLevelType w:val="hybridMultilevel"/>
    <w:lvl w:ilvl="0">
      <w:lvlJc w:val="left"/>
      <w:lvlText w:val="(%1)"/>
      <w:numFmt w:val="lowerLetter"/>
      <w:start w:val="2"/>
    </w:lvl>
  </w:abstractNum>
  <w:abstractNum w:abstractNumId="62">
    <w:nsid w:val="E7FFA2B"/>
    <w:multiLevelType w:val="hybridMultilevel"/>
    <w:lvl w:ilvl="0">
      <w:lvlJc w:val="left"/>
      <w:lvlText w:val="(%1)"/>
      <w:numFmt w:val="lowerLetter"/>
      <w:start w:val="5"/>
    </w:lvl>
  </w:abstractNum>
  <w:abstractNum w:abstractNumId="63">
    <w:nsid w:val="3C5991AA"/>
    <w:multiLevelType w:val="hybridMultilevel"/>
    <w:lvl w:ilvl="0">
      <w:lvlJc w:val="left"/>
      <w:lvlText w:val="%1."/>
      <w:numFmt w:val="decimal"/>
      <w:start w:val="5"/>
    </w:lvl>
  </w:abstractNum>
  <w:abstractNum w:abstractNumId="64">
    <w:nsid w:val="4BD8591A"/>
    <w:multiLevelType w:val="hybridMultilevel"/>
    <w:lvl w:ilvl="0">
      <w:lvlJc w:val="left"/>
      <w:lvlText w:val="(%1)"/>
      <w:numFmt w:val="lowerLetter"/>
      <w:start w:val="1"/>
    </w:lvl>
  </w:abstractNum>
  <w:abstractNum w:abstractNumId="65">
    <w:nsid w:val="78DF6A55"/>
    <w:multiLevelType w:val="hybridMultilevel"/>
    <w:lvl w:ilvl="0">
      <w:lvlJc w:val="left"/>
      <w:lvlText w:val="%1"/>
      <w:numFmt w:val="lowerLetter"/>
      <w:start w:val="1"/>
    </w:lvl>
    <w:lvl w:ilvl="1">
      <w:lvlJc w:val="left"/>
      <w:lvlText w:val="(%2)"/>
      <w:numFmt w:val="lowerLetter"/>
      <w:start w:val="2"/>
    </w:lvl>
  </w:abstractNum>
  <w:abstractNum w:abstractNumId="66">
    <w:nsid w:val="39B7AAA2"/>
    <w:multiLevelType w:val="hybridMultilevel"/>
    <w:lvl w:ilvl="0">
      <w:lvlJc w:val="left"/>
      <w:lvlText w:val="(%1)"/>
      <w:numFmt w:val="lowerLetter"/>
      <w:start w:val="2"/>
    </w:lvl>
    <w:lvl w:ilvl="1">
      <w:lvlJc w:val="left"/>
      <w:lvlText w:val="%2"/>
      <w:numFmt w:val="lowerLetter"/>
      <w:start w:val="1"/>
    </w:lvl>
  </w:abstractNum>
  <w:abstractNum w:abstractNumId="67">
    <w:nsid w:val="2B0D8DBE"/>
    <w:multiLevelType w:val="hybridMultilevel"/>
    <w:lvl w:ilvl="0">
      <w:lvlJc w:val="left"/>
      <w:lvlText w:val="(%1)"/>
      <w:numFmt w:val="lowerLetter"/>
      <w:start w:val="3"/>
    </w:lvl>
  </w:abstractNum>
  <w:abstractNum w:abstractNumId="68">
    <w:nsid w:val="6C80EC70"/>
    <w:multiLevelType w:val="hybridMultilevel"/>
    <w:lvl w:ilvl="0">
      <w:lvlJc w:val="left"/>
      <w:lvlText w:val="%1."/>
      <w:numFmt w:val="decimal"/>
      <w:start w:val="6"/>
    </w:lvl>
  </w:abstractNum>
  <w:abstractNum w:abstractNumId="69">
    <w:nsid w:val="379E21B5"/>
    <w:multiLevelType w:val="hybridMultilevel"/>
    <w:lvl w:ilvl="0">
      <w:lvlJc w:val="left"/>
      <w:lvlText w:val="%1"/>
      <w:numFmt w:val="decimal"/>
      <w:start w:val="1"/>
    </w:lvl>
    <w:lvl w:ilvl="1">
      <w:lvlJc w:val="left"/>
      <w:lvlText w:val="(%2)"/>
      <w:numFmt w:val="lowerLetter"/>
      <w:start w:val="1"/>
    </w:lvl>
  </w:abstractNum>
  <w:abstractNum w:abstractNumId="70">
    <w:nsid w:val="69E373"/>
    <w:multiLevelType w:val="hybridMultilevel"/>
    <w:lvl w:ilvl="0">
      <w:lvlJc w:val="left"/>
      <w:lvlText w:val="%1."/>
      <w:numFmt w:val="decimal"/>
      <w:start w:val="7"/>
    </w:lvl>
    <w:lvl w:ilvl="1">
      <w:lvlJc w:val="left"/>
      <w:lvlText w:val="%2"/>
      <w:numFmt w:val="lowerLetter"/>
      <w:start w:val="1"/>
    </w:lvl>
  </w:abstractNum>
  <w:abstractNum w:abstractNumId="71">
    <w:nsid w:val="2C27173B"/>
    <w:multiLevelType w:val="hybridMultilevel"/>
    <w:lvl w:ilvl="0">
      <w:lvlJc w:val="left"/>
      <w:lvlText w:val="%1."/>
      <w:numFmt w:val="decimal"/>
      <w:start w:val="8"/>
    </w:lvl>
  </w:abstractNum>
  <w:abstractNum w:abstractNumId="72">
    <w:nsid w:val="4C9B0904"/>
    <w:multiLevelType w:val="hybridMultilevel"/>
    <w:lvl w:ilvl="0">
      <w:lvlJc w:val="left"/>
      <w:lvlText w:val="%1."/>
      <w:numFmt w:val="decimal"/>
      <w:start w:val="9"/>
    </w:lvl>
  </w:abstractNum>
  <w:abstractNum w:abstractNumId="73">
    <w:nsid w:val="6AA7B75C"/>
    <w:multiLevelType w:val="hybridMultilevel"/>
    <w:lvl w:ilvl="0">
      <w:lvlJc w:val="left"/>
      <w:lvlText w:val="%1."/>
      <w:numFmt w:val="decimal"/>
      <w:start w:val="10"/>
    </w:lvl>
  </w:abstractNum>
  <w:abstractNum w:abstractNumId="74">
    <w:nsid w:val="1DF029D3"/>
    <w:multiLevelType w:val="hybridMultilevel"/>
    <w:lvl w:ilvl="0">
      <w:lvlJc w:val="left"/>
      <w:lvlText w:val="(%1)"/>
      <w:numFmt w:val="lowerLetter"/>
      <w:start w:val="1"/>
    </w:lvl>
  </w:abstractNum>
  <w:abstractNum w:abstractNumId="75">
    <w:nsid w:val="5675FF36"/>
    <w:multiLevelType w:val="hybridMultilevel"/>
    <w:lvl w:ilvl="0">
      <w:lvlJc w:val="left"/>
      <w:lvlText w:val="(%1)"/>
      <w:numFmt w:val="lowerLetter"/>
      <w:start w:val="3"/>
    </w:lvl>
  </w:abstractNum>
  <w:abstractNum w:abstractNumId="76">
    <w:nsid w:val="3DD15094"/>
    <w:multiLevelType w:val="hybridMultilevel"/>
    <w:lvl w:ilvl="0">
      <w:lvlJc w:val="left"/>
      <w:lvlText w:val="%1."/>
      <w:numFmt w:val="decimal"/>
      <w:start w:val="11"/>
    </w:lvl>
    <w:lvl w:ilvl="1">
      <w:lvlJc w:val="left"/>
      <w:lvlText w:val="(%2)"/>
      <w:numFmt w:val="lowerLetter"/>
      <w:start w:val="1"/>
    </w:lvl>
  </w:abstractNum>
  <w:abstractNum w:abstractNumId="77">
    <w:nsid w:val="3DB012B3"/>
    <w:multiLevelType w:val="hybridMultilevel"/>
    <w:lvl w:ilvl="0">
      <w:lvlJc w:val="left"/>
      <w:lvlText w:val="%1."/>
      <w:numFmt w:val="decimal"/>
      <w:start w:val="12"/>
    </w:lvl>
  </w:abstractNum>
  <w:abstractNum w:abstractNumId="78">
    <w:nsid w:val="2708C9AF"/>
    <w:multiLevelType w:val="hybridMultilevel"/>
    <w:lvl w:ilvl="0">
      <w:lvlJc w:val="left"/>
      <w:lvlText w:val="%1."/>
      <w:numFmt w:val="decimal"/>
      <w:start w:val="13"/>
    </w:lvl>
  </w:abstractNum>
  <w:abstractNum w:abstractNumId="79">
    <w:nsid w:val="5B25ACE2"/>
    <w:multiLevelType w:val="hybridMultilevel"/>
    <w:lvl w:ilvl="0">
      <w:lvlJc w:val="left"/>
      <w:lvlText w:val="%1."/>
      <w:numFmt w:val="decimal"/>
      <w:start w:val="14"/>
    </w:lvl>
  </w:abstractNum>
  <w:abstractNum w:abstractNumId="80">
    <w:nsid w:val="175DFCF0"/>
    <w:multiLevelType w:val="hybridMultilevel"/>
    <w:lvl w:ilvl="0">
      <w:lvlJc w:val="left"/>
      <w:lvlText w:val="%1."/>
      <w:numFmt w:val="decimal"/>
      <w:start w:val="16"/>
    </w:lvl>
  </w:abstractNum>
  <w:abstractNum w:abstractNumId="81">
    <w:nsid w:val="4F97E3E4"/>
    <w:multiLevelType w:val="hybridMultilevel"/>
    <w:lvl w:ilvl="0">
      <w:lvlJc w:val="left"/>
      <w:lvlText w:val="%1."/>
      <w:numFmt w:val="decimal"/>
      <w:start w:val="20"/>
    </w:lvl>
  </w:abstractNum>
  <w:abstractNum w:abstractNumId="82">
    <w:nsid w:val="53B0A9E"/>
    <w:multiLevelType w:val="hybridMultilevel"/>
    <w:lvl w:ilvl="0">
      <w:lvlJc w:val="left"/>
      <w:lvlText w:val="(%1)"/>
      <w:numFmt w:val="lowerLetter"/>
      <w:start w:val="1"/>
    </w:lvl>
  </w:abstractNum>
  <w:abstractNum w:abstractNumId="83">
    <w:nsid w:val="34FD6B4F"/>
    <w:multiLevelType w:val="hybridMultilevel"/>
    <w:lvl w:ilvl="0">
      <w:lvlJc w:val="left"/>
      <w:lvlText w:val="%1."/>
      <w:numFmt w:val="decimal"/>
      <w:start w:val="22"/>
    </w:lvl>
  </w:abstractNum>
  <w:abstractNum w:abstractNumId="84">
    <w:nsid w:val="5915FF32"/>
    <w:multiLevelType w:val="hybridMultilevel"/>
    <w:lvl w:ilvl="0">
      <w:lvlJc w:val="left"/>
      <w:lvlText w:val="%1."/>
      <w:numFmt w:val="decimal"/>
      <w:start w:val="25"/>
    </w:lvl>
  </w:abstractNum>
  <w:abstractNum w:abstractNumId="85">
    <w:nsid w:val="56438D15"/>
    <w:multiLevelType w:val="hybridMultilevel"/>
    <w:lvl w:ilvl="0">
      <w:lvlJc w:val="left"/>
      <w:lvlText w:val="(%1)"/>
      <w:numFmt w:val="lowerLetter"/>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1)"/>
      <w:numFmt w:val="lowerLetter"/>
      <w:start w:val="22"/>
    </w:lvl>
  </w:abstractNum>
  <w:abstractNum w:abstractNumId="88">
    <w:nsid w:val="17A1B582"/>
    <w:multiLevelType w:val="hybridMultilevel"/>
    <w:lvl w:ilvl="0">
      <w:lvlJc w:val="left"/>
      <w:lvlText w:val="(%1)"/>
      <w:numFmt w:val="lowerLetter"/>
      <w:start w:val="27"/>
    </w:lvl>
  </w:abstractNum>
  <w:abstractNum w:abstractNumId="89">
    <w:nsid w:val="4DF72E4E"/>
    <w:multiLevelType w:val="hybridMultilevel"/>
    <w:lvl w:ilvl="0">
      <w:lvlJc w:val="left"/>
      <w:lvlText w:val="%1."/>
      <w:numFmt w:val="decimal"/>
      <w:start w:val="1"/>
    </w:lvl>
  </w:abstractNum>
  <w:abstractNum w:abstractNumId="90">
    <w:nsid w:val="5046B5A9"/>
    <w:multiLevelType w:val="hybridMultilevel"/>
    <w:lvl w:ilvl="0">
      <w:lvlJc w:val="left"/>
      <w:lvlText w:val="(%1)"/>
      <w:numFmt w:val="lowerLetter"/>
      <w:start w:val="1"/>
    </w:lvl>
  </w:abstractNum>
  <w:abstractNum w:abstractNumId="91">
    <w:nsid w:val="5D888A08"/>
    <w:multiLevelType w:val="hybridMultilevel"/>
    <w:lvl w:ilvl="0">
      <w:lvlJc w:val="left"/>
      <w:lvlText w:val="(%1)"/>
      <w:numFmt w:val="decimal"/>
      <w:start w:val="3"/>
    </w:lvl>
  </w:abstractNum>
  <w:abstractNum w:abstractNumId="92">
    <w:nsid w:val="2A082C70"/>
    <w:multiLevelType w:val="hybridMultilevel"/>
    <w:lvl w:ilvl="0">
      <w:lvlJc w:val="left"/>
      <w:lvlText w:val="%1."/>
      <w:numFmt w:val="decimal"/>
      <w:start w:val="2"/>
    </w:lvl>
    <w:lvl w:ilvl="1">
      <w:lvlJc w:val="left"/>
      <w:lvlText w:val="(%2)"/>
      <w:numFmt w:val="lowerLetter"/>
      <w:start w:val="1"/>
    </w:lvl>
  </w:abstractNum>
  <w:abstractNum w:abstractNumId="93">
    <w:nsid w:val="5EC6AFD4"/>
    <w:multiLevelType w:val="hybridMultilevel"/>
    <w:lvl w:ilvl="0">
      <w:lvlJc w:val="left"/>
      <w:lvlText w:val="%1"/>
      <w:numFmt w:val="decimal"/>
      <w:start w:val="1"/>
    </w:lvl>
    <w:lvl w:ilvl="1">
      <w:lvlJc w:val="left"/>
      <w:lvlText w:val="(%2)"/>
      <w:numFmt w:val="lowerLetter"/>
      <w:start w:val="3"/>
    </w:lvl>
  </w:abstractNum>
  <w:abstractNum w:abstractNumId="94">
    <w:nsid w:val="19E21BB2"/>
    <w:multiLevelType w:val="hybridMultilevel"/>
    <w:lvl w:ilvl="0">
      <w:lvlJc w:val="left"/>
      <w:lvlText w:val="%1."/>
      <w:numFmt w:val="decimal"/>
      <w:start w:val="3"/>
    </w:lvl>
    <w:lvl w:ilvl="1">
      <w:lvlJc w:val="left"/>
      <w:lvlText w:val="(%2)"/>
      <w:numFmt w:val="lowerLetter"/>
      <w:start w:val="1"/>
    </w:lvl>
  </w:abstractNum>
  <w:abstractNum w:abstractNumId="95">
    <w:nsid w:val="75E0858A"/>
    <w:multiLevelType w:val="hybridMultilevel"/>
    <w:lvl w:ilvl="0">
      <w:lvlJc w:val="left"/>
      <w:lvlText w:val="%1"/>
      <w:numFmt w:val="decimal"/>
      <w:start w:val="1"/>
    </w:lvl>
    <w:lvl w:ilvl="1">
      <w:lvlJc w:val="left"/>
      <w:lvlText w:val="(%2)"/>
      <w:numFmt w:val="lowerLetter"/>
      <w:start w:val="3"/>
    </w:lvl>
  </w:abstractNum>
  <w:abstractNum w:abstractNumId="96">
    <w:nsid w:val="57A61A29"/>
    <w:multiLevelType w:val="hybridMultilevel"/>
    <w:lvl w:ilvl="0">
      <w:lvlJc w:val="left"/>
      <w:lvlText w:val="%1."/>
      <w:numFmt w:val="decimal"/>
      <w:start w:val="4"/>
    </w:lvl>
    <w:lvl w:ilvl="1">
      <w:lvlJc w:val="left"/>
      <w:lvlText w:val="%2"/>
      <w:numFmt w:val="lowerLetter"/>
      <w:start w:val="1"/>
    </w:lvl>
  </w:abstractNum>
  <w:abstractNum w:abstractNumId="97">
    <w:nsid w:val="5399C654"/>
    <w:multiLevelType w:val="hybridMultilevel"/>
    <w:lvl w:ilvl="0">
      <w:lvlJc w:val="left"/>
      <w:lvlText w:val="%1."/>
      <w:numFmt w:val="decimal"/>
      <w:start w:val="5"/>
    </w:lvl>
    <w:lvl w:ilvl="1">
      <w:lvlJc w:val="left"/>
      <w:lvlText w:val="(%2)"/>
      <w:numFmt w:val="lowerLetter"/>
      <w:start w:val="1"/>
    </w:lvl>
  </w:abstractNum>
  <w:abstractNum w:abstractNumId="98">
    <w:nsid w:val="20EE1348"/>
    <w:multiLevelType w:val="hybridMultilevel"/>
    <w:lvl w:ilvl="0">
      <w:lvlJc w:val="left"/>
      <w:lvlText w:val="%1"/>
      <w:numFmt w:val="lowerLetter"/>
      <w:start w:val="1"/>
    </w:lvl>
    <w:lvl w:ilvl="1">
      <w:lvlJc w:val="left"/>
      <w:lvlText w:val="(%2)"/>
      <w:numFmt w:val="lowerLetter"/>
      <w:start w:val="4"/>
    </w:lvl>
  </w:abstractNum>
  <w:abstractNum w:abstractNumId="99">
    <w:nsid w:val="4427069A"/>
    <w:multiLevelType w:val="hybridMultilevel"/>
    <w:lvl w:ilvl="0">
      <w:lvlJc w:val="left"/>
      <w:lvlText w:val="(%1)"/>
      <w:numFmt w:val="lowerLetter"/>
      <w:start w:val="61"/>
    </w:lvl>
    <w:lvl w:ilvl="1">
      <w:lvlJc w:val="left"/>
      <w:lvlText w:val="(%2)"/>
      <w:numFmt w:val="lowerLetter"/>
      <w:start w:val="7"/>
    </w:lvl>
  </w:abstractNum>
  <w:abstractNum w:abstractNumId="100">
    <w:nsid w:val="B37E80A"/>
    <w:multiLevelType w:val="hybridMultilevel"/>
    <w:lvl w:ilvl="0">
      <w:lvlJc w:val="left"/>
      <w:lvlText w:val="%1"/>
      <w:numFmt w:val="decimal"/>
      <w:start w:val="1"/>
    </w:lvl>
    <w:lvl w:ilvl="1">
      <w:lvlJc w:val="left"/>
      <w:lvlText w:val="(%2)"/>
      <w:numFmt w:val="lowerLetter"/>
      <w:start w:val="8"/>
    </w:lvl>
  </w:abstractNum>
  <w:abstractNum w:abstractNumId="101">
    <w:nsid w:val="2157F6BC"/>
    <w:multiLevelType w:val="hybridMultilevel"/>
    <w:lvl w:ilvl="0">
      <w:lvlJc w:val="left"/>
      <w:lvlText w:val="%1."/>
      <w:numFmt w:val="decimal"/>
      <w:start w:val="7"/>
    </w:lvl>
    <w:lvl w:ilvl="1">
      <w:lvlJc w:val="left"/>
      <w:lvlText w:val="(%2)"/>
      <w:numFmt w:val="lowerLetter"/>
      <w:start w:val="1"/>
    </w:lvl>
  </w:abstractNum>
  <w:abstractNum w:abstractNumId="102">
    <w:nsid w:val="704E1DD5"/>
    <w:multiLevelType w:val="hybridMultilevel"/>
    <w:lvl w:ilvl="0">
      <w:lvlJc w:val="left"/>
      <w:lvlText w:val="%1"/>
      <w:numFmt w:val="decimal"/>
      <w:start w:val="1"/>
    </w:lvl>
    <w:lvl w:ilvl="1">
      <w:lvlJc w:val="left"/>
      <w:lvlText w:val="(%2)"/>
      <w:numFmt w:val="lowerLetter"/>
      <w:start w:val="2"/>
    </w:lvl>
  </w:abstractNum>
  <w:abstractNum w:abstractNumId="103">
    <w:nsid w:val="57D2F10E"/>
    <w:multiLevelType w:val="hybridMultilevel"/>
    <w:lvl w:ilvl="0">
      <w:lvlJc w:val="left"/>
      <w:lvlText w:val="%1."/>
      <w:numFmt w:val="decimal"/>
      <w:start w:val="8"/>
    </w:lvl>
    <w:lvl w:ilvl="1">
      <w:lvlJc w:val="left"/>
      <w:lvlText w:val="(%2)"/>
      <w:numFmt w:val="lowerLetter"/>
      <w:start w:val="1"/>
    </w:lvl>
  </w:abstractNum>
  <w:abstractNum w:abstractNumId="104">
    <w:nsid w:val="BFFAE18"/>
    <w:multiLevelType w:val="hybridMultilevel"/>
    <w:lvl w:ilvl="0">
      <w:lvlJc w:val="left"/>
      <w:lvlText w:val="%1."/>
      <w:numFmt w:val="decimal"/>
      <w:start w:val="9"/>
    </w:lvl>
    <w:lvl w:ilvl="1">
      <w:lvlJc w:val="left"/>
      <w:lvlText w:val="(%2)"/>
      <w:numFmt w:val="lowerLetter"/>
      <w:start w:val="1"/>
    </w:lvl>
  </w:abstractNum>
  <w:abstractNum w:abstractNumId="105">
    <w:nsid w:val="E3E47A8"/>
    <w:multiLevelType w:val="hybridMultilevel"/>
    <w:lvl w:ilvl="0">
      <w:lvlJc w:val="left"/>
      <w:lvlText w:val="(%1)"/>
      <w:numFmt w:val="lowerLetter"/>
      <w:start w:val="3"/>
    </w:lvl>
  </w:abstractNum>
  <w:abstractNum w:abstractNumId="106">
    <w:nsid w:val="2E48F044"/>
    <w:multiLevelType w:val="hybridMultilevel"/>
    <w:lvl w:ilvl="0">
      <w:lvlJc w:val="left"/>
      <w:lvlText w:val="(%1)"/>
      <w:numFmt w:val="lowerLetter"/>
      <w:start w:val="1"/>
    </w:lvl>
  </w:abstractNum>
  <w:abstractNum w:abstractNumId="107">
    <w:nsid w:val="49D0FEAC"/>
    <w:multiLevelType w:val="hybridMultilevel"/>
    <w:lvl w:ilvl="0">
      <w:lvlJc w:val="left"/>
      <w:lvlText w:val="(%1)"/>
      <w:numFmt w:val="decimal"/>
      <w:start w:val="3"/>
    </w:lvl>
  </w:abstractNum>
  <w:abstractNum w:abstractNumId="108">
    <w:nsid w:val="4BEE5A5B"/>
    <w:multiLevelType w:val="hybridMultilevel"/>
    <w:lvl w:ilvl="0">
      <w:lvlJc w:val="left"/>
      <w:lvlText w:val="%1."/>
      <w:numFmt w:val="decimal"/>
      <w:start w:val="2"/>
    </w:lvl>
    <w:lvl w:ilvl="1">
      <w:lvlJc w:val="left"/>
      <w:lvlText w:val="(%2)"/>
      <w:numFmt w:val="lowerLetter"/>
      <w:start w:val="1"/>
    </w:lvl>
  </w:abstractNum>
  <w:abstractNum w:abstractNumId="109">
    <w:nsid w:val="5551B9F3"/>
    <w:multiLevelType w:val="hybridMultilevel"/>
    <w:lvl w:ilvl="0">
      <w:lvlJc w:val="left"/>
      <w:lvlText w:val="(%1)"/>
      <w:numFmt w:val="lowerRoman"/>
      <w:start w:val="1"/>
    </w:lvl>
  </w:abstractNum>
  <w:abstractNum w:abstractNumId="110">
    <w:nsid w:val="24F6AB8E"/>
    <w:multiLevelType w:val="hybridMultilevel"/>
    <w:lvl w:ilvl="0">
      <w:lvlJc w:val="left"/>
      <w:lvlText w:val="%1."/>
      <w:numFmt w:val="decimal"/>
      <w:start w:val="3"/>
    </w:lvl>
    <w:lvl w:ilvl="1">
      <w:lvlJc w:val="left"/>
      <w:lvlText w:val="(%2)"/>
      <w:numFmt w:val="lowerLetter"/>
      <w:start w:val="1"/>
    </w:lvl>
  </w:abstractNum>
  <w:abstractNum w:abstractNumId="111">
    <w:nsid w:val="634C574C"/>
    <w:multiLevelType w:val="hybridMultilevel"/>
    <w:lvl w:ilvl="0">
      <w:lvlJc w:val="left"/>
      <w:lvlText w:val="%1."/>
      <w:numFmt w:val="decimal"/>
      <w:start w:val="5"/>
    </w:lvl>
    <w:lvl w:ilvl="1">
      <w:lvlJc w:val="left"/>
      <w:lvlText w:val="(%2)"/>
      <w:numFmt w:val="lowerLetter"/>
      <w:start w:val="1"/>
    </w:lvl>
  </w:abstractNum>
  <w:abstractNum w:abstractNumId="112">
    <w:nsid w:val="24E99DD7"/>
    <w:multiLevelType w:val="hybridMultilevel"/>
    <w:lvl w:ilvl="0">
      <w:lvlJc w:val="left"/>
      <w:lvlText w:val="(%1)"/>
      <w:numFmt w:val="lowerLetter"/>
      <w:start w:val="7"/>
    </w:lvl>
  </w:abstractNum>
  <w:abstractNum w:abstractNumId="113">
    <w:nsid w:val="2A31B62D"/>
    <w:multiLevelType w:val="hybridMultilevel"/>
    <w:lvl w:ilvl="0">
      <w:lvlJc w:val="left"/>
      <w:lvlText w:val="(%1)"/>
      <w:numFmt w:val="lowerLetter"/>
      <w:start w:val="8"/>
    </w:lvl>
  </w:abstractNum>
  <w:abstractNum w:abstractNumId="114">
    <w:nsid w:val="1849C29B"/>
    <w:multiLevelType w:val="hybridMultilevel"/>
    <w:lvl w:ilvl="0">
      <w:lvlJc w:val="left"/>
      <w:lvlText w:val="%1."/>
      <w:numFmt w:val="decimal"/>
      <w:start w:val="7"/>
    </w:lvl>
    <w:lvl w:ilvl="1">
      <w:lvlJc w:val="left"/>
      <w:lvlText w:val="(%2)"/>
      <w:numFmt w:val="lowerLetter"/>
      <w:start w:val="1"/>
    </w:lvl>
  </w:abstractNum>
  <w:abstractNum w:abstractNumId="115">
    <w:nsid w:val="7DFF9D09"/>
    <w:multiLevelType w:val="hybridMultilevel"/>
    <w:lvl w:ilvl="0">
      <w:lvlJc w:val="left"/>
      <w:lvlText w:val="%1."/>
      <w:numFmt w:val="decimal"/>
      <w:start w:val="9"/>
    </w:lvl>
    <w:lvl w:ilvl="1">
      <w:lvlJc w:val="left"/>
      <w:lvlText w:val="(%2)"/>
      <w:numFmt w:val="lowerLetter"/>
      <w:start w:val="1"/>
    </w:lvl>
  </w:abstractNum>
  <w:abstractNum w:abstractNumId="116">
    <w:nsid w:val="754342"/>
    <w:multiLevelType w:val="hybridMultilevel"/>
    <w:lvl w:ilvl="0">
      <w:lvlJc w:val="left"/>
      <w:lvlText w:val="(%1)"/>
      <w:numFmt w:val="lowerLetter"/>
      <w:start w:val="3"/>
    </w:lvl>
  </w:abstractNum>
  <w:abstractNum w:abstractNumId="117">
    <w:nsid w:val="69E7F3E5"/>
    <w:multiLevelType w:val="hybridMultilevel"/>
    <w:lvl w:ilvl="0">
      <w:lvlJc w:val="left"/>
      <w:lvlText w:val="%1."/>
      <w:numFmt w:val="decimal"/>
      <w:start w:val="1"/>
    </w:lvl>
  </w:abstractNum>
  <w:abstractNum w:abstractNumId="118">
    <w:nsid w:val="2A6DE806"/>
    <w:multiLevelType w:val="hybridMultilevel"/>
    <w:lvl w:ilvl="0">
      <w:lvlJc w:val="left"/>
      <w:lvlText w:val="%1."/>
      <w:numFmt w:val="decimal"/>
      <w:start w:val="2"/>
    </w:lvl>
  </w:abstractNum>
  <w:abstractNum w:abstractNumId="119">
    <w:nsid w:val="1816F8C4"/>
    <w:multiLevelType w:val="hybridMultilevel"/>
    <w:lvl w:ilvl="0">
      <w:lvlJc w:val="left"/>
      <w:lvlText w:val="%1."/>
      <w:numFmt w:val="decimal"/>
      <w:start w:val="5"/>
    </w:lvl>
  </w:abstractNum>
  <w:abstractNum w:abstractNumId="120">
    <w:nsid w:val="37DF2233"/>
    <w:multiLevelType w:val="hybridMultilevel"/>
    <w:lvl w:ilvl="0">
      <w:lvlJc w:val="left"/>
      <w:lvlText w:val="%1)"/>
      <w:numFmt w:val="lowerLetter"/>
      <w:start w:val="1"/>
    </w:lvl>
  </w:abstractNum>
  <w:abstractNum w:abstractNumId="121">
    <w:nsid w:val="7AB49DAF"/>
    <w:multiLevelType w:val="hybridMultilevel"/>
    <w:lvl w:ilvl="0">
      <w:lvlJc w:val="left"/>
      <w:lvlText w:val="%1."/>
      <w:numFmt w:val="decimal"/>
      <w:start w:val="9"/>
    </w:lvl>
  </w:abstractNum>
  <w:abstractNum w:abstractNumId="122">
    <w:nsid w:val="759F82CD"/>
    <w:multiLevelType w:val="hybridMultilevel"/>
    <w:lvl w:ilvl="0">
      <w:lvlJc w:val="left"/>
      <w:lvlText w:val="%1."/>
      <w:numFmt w:val="decimal"/>
      <w:start w:val="11"/>
    </w:lvl>
  </w:abstractNum>
  <w:abstractNum w:abstractNumId="123">
    <w:nsid w:val="61E74EA3"/>
    <w:multiLevelType w:val="hybridMultilevel"/>
    <w:lvl w:ilvl="0">
      <w:lvlJc w:val="left"/>
      <w:lvlText w:val="%1."/>
      <w:numFmt w:val="decimal"/>
      <w:start w:val="14"/>
    </w:lvl>
    <w:lvl w:ilvl="1">
      <w:lvlJc w:val="left"/>
      <w:lvlText w:val="%2."/>
      <w:numFmt w:val="lowerLetter"/>
      <w:start w:val="1"/>
    </w:lvl>
  </w:abstractNum>
  <w:abstractNum w:abstractNumId="124">
    <w:nsid w:val="597B4D8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25">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26">
    <w:nsid w:val="57C7D42D"/>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27">
    <w:nsid w:val="312167AD"/>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128">
    <w:nsid w:val="631B64D4"/>
    <w:multiLevelType w:val="hybridMultilevel"/>
    <w:lvl w:ilvl="0">
      <w:lvlJc w:val="left"/>
      <w:lvlText w:val="%1."/>
      <w:numFmt w:val="decimal"/>
      <w:start w:val="18"/>
    </w:lvl>
  </w:abstractNum>
  <w:abstractNum w:abstractNumId="129">
    <w:nsid w:val="78B5E776"/>
    <w:multiLevelType w:val="hybridMultilevel"/>
    <w:lvl w:ilvl="0">
      <w:lvlJc w:val="left"/>
      <w:lvlText w:val="%1."/>
      <w:numFmt w:val="decimal"/>
      <w:start w:val="19"/>
    </w:lvl>
  </w:abstractNum>
  <w:abstractNum w:abstractNumId="130">
    <w:nsid w:val="75486E47"/>
    <w:multiLevelType w:val="hybridMultilevel"/>
    <w:lvl w:ilvl="0">
      <w:lvlJc w:val="left"/>
      <w:lvlText w:val="%1."/>
      <w:numFmt w:val="decimal"/>
      <w:start w:val="1"/>
    </w:lvl>
  </w:abstractNum>
  <w:abstractNum w:abstractNumId="131">
    <w:nsid w:val="6E534CDE"/>
    <w:multiLevelType w:val="hybridMultilevel"/>
    <w:lvl w:ilvl="0">
      <w:lvlJc w:val="left"/>
      <w:lvlText w:val="%1."/>
      <w:numFmt w:val="decimal"/>
      <w:start w:val="2"/>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1."/>
      <w:numFmt w:val="decimal"/>
      <w:start w:val="3"/>
    </w:lvl>
  </w:abstractNum>
  <w:abstractNum w:abstractNumId="135">
    <w:nsid w:val="260D8C4A"/>
    <w:multiLevelType w:val="hybridMultilevel"/>
    <w:lvl w:ilvl="0">
      <w:lvlJc w:val="left"/>
      <w:lvlText w:val="%1."/>
      <w:numFmt w:val="upperLetter"/>
      <w:start w:val="9"/>
    </w:lvl>
  </w:abstractNum>
  <w:abstractNum w:abstractNumId="136">
    <w:nsid w:val="73D4D3C4"/>
    <w:multiLevelType w:val="hybridMultilevel"/>
    <w:lvl w:ilvl="0">
      <w:lvlJc w:val="left"/>
      <w:lvlText w:val="•"/>
      <w:numFmt w:val="bullet"/>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1."/>
      <w:numFmt w:val="decimal"/>
      <w:start w:val="1"/>
    </w:lvl>
    <w:lvl w:ilvl="1">
      <w:lvlJc w:val="left"/>
      <w:lvlText w:val="%2."/>
      <w:numFmt w:val="lowerLetter"/>
      <w:start w:val="1"/>
    </w:lvl>
  </w:abstractNum>
  <w:abstractNum w:abstractNumId="140">
    <w:nsid w:val="49C0E823"/>
    <w:multiLevelType w:val="hybridMultilevel"/>
    <w:lvl w:ilvl="0">
      <w:lvlJc w:val="left"/>
      <w:lvlText w:val="%1"/>
      <w:numFmt w:val="decimal"/>
      <w:start w:val="1"/>
    </w:lvl>
    <w:lvl w:ilvl="1">
      <w:lvlJc w:val="left"/>
      <w:lvlText w:val="%2."/>
      <w:numFmt w:val="lowerLetter"/>
      <w:start w:val="4"/>
    </w:lvl>
  </w:abstractNum>
  <w:abstractNum w:abstractNumId="141">
    <w:nsid w:val="14D53685"/>
    <w:multiLevelType w:val="hybridMultilevel"/>
    <w:lvl w:ilvl="0">
      <w:lvlJc w:val="left"/>
      <w:lvlText w:val="%1."/>
      <w:numFmt w:val="decimal"/>
      <w:start w:val="2"/>
    </w:lvl>
    <w:lvl w:ilvl="1">
      <w:lvlJc w:val="left"/>
      <w:lvlText w:val="%2."/>
      <w:numFmt w:val="lowerLetter"/>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
      <w:numFmt w:val="bullet"/>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o"/>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1."/>
      <w:numFmt w:val="decimal"/>
      <w:start w:val="1"/>
    </w:lvl>
    <w:lvl w:ilvl="1">
      <w:lvlJc w:val="left"/>
      <w:lvlText w:val="%2)"/>
      <w:numFmt w:val="lowerLetter"/>
      <w:start w:val="1"/>
    </w:lvl>
  </w:abstractNum>
  <w:abstractNum w:abstractNumId="150">
    <w:nsid w:val="579328B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1">
    <w:nsid w:val="5D205E20"/>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1."/>
      <w:numFmt w:val="decimal"/>
      <w:start w:val="1"/>
    </w:lvl>
    <w:lvl w:ilvl="1">
      <w:lvlJc w:val="left"/>
      <w:lvlText w:val="(%2)"/>
      <w:numFmt w:val="lowerLetter"/>
      <w:start w:val="1"/>
    </w:lvl>
  </w:abstractNum>
  <w:abstractNum w:abstractNumId="155">
    <w:nsid w:val="6B47F63E"/>
    <w:multiLevelType w:val="hybridMultilevel"/>
    <w:lvl w:ilvl="0">
      <w:lvlJc w:val="left"/>
      <w:lvlText w:val="(%1)"/>
      <w:numFmt w:val="lowerLetter"/>
      <w:start w:val="3"/>
    </w:lvl>
    <w:lvl w:ilvl="1">
      <w:lvlJc w:val="left"/>
      <w:lvlText w:val="(%2)"/>
      <w:numFmt w:val="lowerLetter"/>
      <w:start w:val="9"/>
    </w:lvl>
  </w:abstractNum>
  <w:abstractNum w:abstractNumId="156">
    <w:nsid w:val="5CB44A05"/>
    <w:multiLevelType w:val="hybridMultilevel"/>
    <w:lvl w:ilvl="0">
      <w:lvlJc w:val="left"/>
      <w:lvlText w:val="%1"/>
      <w:numFmt w:val="decimal"/>
      <w:start w:val="1"/>
    </w:lvl>
    <w:lvl w:ilvl="1">
      <w:lvlJc w:val="left"/>
      <w:lvlText w:val="(%2)"/>
      <w:numFmt w:val="lowerLetter"/>
      <w:start w:val="10"/>
    </w:lvl>
  </w:abstractNum>
  <w:abstractNum w:abstractNumId="157">
    <w:nsid w:val="16CF80F1"/>
    <w:multiLevelType w:val="hybridMultilevel"/>
    <w:lvl w:ilvl="0">
      <w:lvlJc w:val="left"/>
      <w:lvlText w:val="%1."/>
      <w:numFmt w:val="decimal"/>
      <w:start w:val="2"/>
    </w:lvl>
    <w:lvl w:ilvl="1">
      <w:lvlJc w:val="left"/>
      <w:lvlText w:val="(%2)"/>
      <w:numFmt w:val="lowerLetter"/>
      <w:start w:val="1"/>
    </w:lvl>
  </w:abstractNum>
  <w:abstractNum w:abstractNumId="158">
    <w:nsid w:val="1C695DEC"/>
    <w:multiLevelType w:val="hybridMultilevel"/>
    <w:lvl w:ilvl="0">
      <w:lvlJc w:val="left"/>
      <w:lvlText w:val="(%1)"/>
      <w:numFmt w:val="lowerLetter"/>
      <w:start w:val="2"/>
    </w:lvl>
  </w:abstractNum>
  <w:abstractNum w:abstractNumId="159">
    <w:nsid w:val="3FCFAE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160">
    <w:nsid w:val="F85686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161">
    <w:nsid w:val="11B1CC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62">
    <w:nsid w:val="2E22FBB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63">
    <w:nsid w:val="29934699"/>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164">
    <w:nsid w:val="77485850"/>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12" Type="http://schemas.openxmlformats.org/officeDocument/2006/relationships/hyperlink" Target="https://www.sec.gov/Archives/edgar/data/1782170/000162828022022987/exhibit21-8xk.htm" TargetMode="External"/><Relationship Id="rId113" Type="http://schemas.openxmlformats.org/officeDocument/2006/relationships/hyperlink" Target="https://www.sec.gov/Archives/edgar/data/0001782170/000178217021000011/exhibit33-remitlyglobalxpu.htm" TargetMode="External"/><Relationship Id="rId114" Type="http://schemas.openxmlformats.org/officeDocument/2006/relationships/hyperlink" Target="https://www.sec.gov/Archives/edgar/data/1782170/000178217024000074/ex31-restatedbylaws.htm" TargetMode="External"/><Relationship Id="rId115" Type="http://schemas.openxmlformats.org/officeDocument/2006/relationships/hyperlink" Target="https://www.sec.gov/Archives/edgar/data/0001782170/000162828021018524/exhibit41-sx1a1.htm" TargetMode="External"/><Relationship Id="rId116" Type="http://schemas.openxmlformats.org/officeDocument/2006/relationships/hyperlink" Target="https://www.sec.gov/Archives/edgar/data/0001782170/000162828021017788/exhibit42-sx1.htm" TargetMode="External"/><Relationship Id="rId117" Type="http://schemas.openxmlformats.org/officeDocument/2006/relationships/hyperlink" Target="https://www.sec.gov/Archives/edgar/data/0001782170/000162828021017788/exhibit101-sx1.htm" TargetMode="External"/><Relationship Id="rId118" Type="http://schemas.openxmlformats.org/officeDocument/2006/relationships/hyperlink" Target="https://www.sec.gov/Archives/edgar/data/1782170/000162828021017788/exhibit103-sx1.htm" TargetMode="External"/><Relationship Id="rId119" Type="http://schemas.openxmlformats.org/officeDocument/2006/relationships/hyperlink" Target="https://www.sec.gov/Archives/edgar/data/1782170/000178217024000187/exhibit101-remitlyx2021emp.htm" TargetMode="External"/><Relationship Id="rId120" Type="http://schemas.openxmlformats.org/officeDocument/2006/relationships/hyperlink" Target="https://www.sec.gov/Archives/edgar/data/1782170/000162828021018524/exhibit107-sx1a1.htm" TargetMode="External"/><Relationship Id="rId121" Type="http://schemas.openxmlformats.org/officeDocument/2006/relationships/hyperlink" Target="https://www.sec.gov/Archives/edgar/data/1782170/000162828021018524/exhibit108-sx1a1.htm" TargetMode="External"/><Relationship Id="rId122" Type="http://schemas.openxmlformats.org/officeDocument/2006/relationships/hyperlink" Target="https://www.sec.gov/Archives/edgar/data/1782170/000162828021018524/exhibit1010-sx1a1.htm" TargetMode="External"/><Relationship Id="rId123" Type="http://schemas.openxmlformats.org/officeDocument/2006/relationships/hyperlink" Target="https://www.sec.gov/Archives/edgar/data/0001782170/000162828021017788/exhibit102-sx1.htm" TargetMode="External"/><Relationship Id="rId124" Type="http://schemas.openxmlformats.org/officeDocument/2006/relationships/hyperlink" Target="https://www.sec.gov/Archives/edgar/data/1782170/000178217022000123/remitly-cfoofferletter.htm" TargetMode="External"/><Relationship Id="rId125" Type="http://schemas.openxmlformats.org/officeDocument/2006/relationships/hyperlink" Target="https://www.sec.gov/Archives/edgar/data/1782170/000178217023000075/a102yoakumrestatedofferlet.htm" TargetMode="External"/><Relationship Id="rId126" Type="http://schemas.openxmlformats.org/officeDocument/2006/relationships/hyperlink" Target="https://www.sec.gov/Archives/edgar/data/1782170/000178217023000075/a103sinharestatedofferlett.htm" TargetMode="External"/><Relationship Id="rId127" Type="http://schemas.openxmlformats.org/officeDocument/2006/relationships/hyperlink" Target="https://www.sec.gov/Archives/edgar/data/1782170/000178217023000145/remitly-jpmrevolvingcredit.htm" TargetMode="External"/><Relationship Id="rId128" Type="http://schemas.openxmlformats.org/officeDocument/2006/relationships/hyperlink" Target="https://www.sec.gov/Archives/edgar/data/1782170/000095010323017845/dp204035_ex1001.htm" TargetMode="External"/><Relationship Id="rId129" Type="http://schemas.openxmlformats.org/officeDocument/2006/relationships/hyperlink" Target="https://www.sec.gov/Archives/edgar/data/1782170/000178217024000223/a2024-07x26xofferletterx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2025-02-19T15:26:36Z</dcterms:created>
  <dcterms:modified xsi:type="dcterms:W3CDTF">2025-02-19T15:26:36Z</dcterms:modified>
</cp:coreProperties>
</file>