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712470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678180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60325</wp:posOffset>
            </wp:positionV>
            <wp:extent cx="1380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1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71755</wp:posOffset>
            </wp:positionV>
            <wp:extent cx="1380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380490" cy="8255"/>
                    </a:xfrm>
                    <a:prstGeom prst="rect">
                      <a:avLst/>
                    </a:prstGeom>
                    <a:noFill/>
                  </pic:spPr>
                </pic:pic>
              </a:graphicData>
            </a:graphic>
          </wp:anchor>
        </w:drawing>
      </w:r>
    </w:p>
    <w:p>
      <w:pPr>
        <w:spacing w:after="0" w:line="246" w:lineRule="exact"/>
        <w:rPr>
          <w:sz w:val="24"/>
          <w:szCs w:val="24"/>
          <w:color w:val="auto"/>
        </w:rPr>
      </w:pPr>
    </w:p>
    <w:p>
      <w:pPr>
        <w:spacing w:after="0"/>
        <w:rPr>
          <w:sz w:val="20"/>
          <w:szCs w:val="20"/>
          <w:color w:val="auto"/>
        </w:rPr>
      </w:pPr>
      <w:r>
        <w:rPr>
          <w:rFonts w:ascii="Arial" w:cs="Arial" w:eastAsia="Arial" w:hAnsi="Arial"/>
          <w:sz w:val="16"/>
          <w:szCs w:val="16"/>
          <w:color w:val="auto"/>
        </w:rPr>
        <w:t>(Mark One)</w:t>
      </w:r>
    </w:p>
    <w:p>
      <w:pPr>
        <w:spacing w:after="0" w:line="163" w:lineRule="exact"/>
        <w:rPr>
          <w:sz w:val="24"/>
          <w:szCs w:val="24"/>
          <w:color w:val="auto"/>
        </w:rPr>
      </w:pPr>
    </w:p>
    <w:p>
      <w:pPr>
        <w:ind w:right="2800" w:firstLine="8"/>
        <w:spacing w:after="0" w:line="469" w:lineRule="auto"/>
        <w:tabs>
          <w:tab w:leader="none" w:pos="189"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QUARTERLY REPORT PURSUANT TO SECTION 13 OR 15(d) OF THE SECURITIES EXCHANGE ACT OF 1934 For the quarterly period ended September 30, 2022</w:t>
      </w:r>
    </w:p>
    <w:p>
      <w:pPr>
        <w:spacing w:after="0"/>
        <w:rPr>
          <w:sz w:val="20"/>
          <w:szCs w:val="20"/>
          <w:color w:val="auto"/>
        </w:rPr>
      </w:pPr>
      <w:r>
        <w:rPr>
          <w:rFonts w:ascii="Arial" w:cs="Arial" w:eastAsia="Arial" w:hAnsi="Arial"/>
          <w:sz w:val="16"/>
          <w:szCs w:val="16"/>
          <w:color w:val="auto"/>
        </w:rPr>
        <w:t>OR</w:t>
      </w:r>
    </w:p>
    <w:p>
      <w:pPr>
        <w:spacing w:after="0" w:line="163" w:lineRule="exact"/>
        <w:rPr>
          <w:sz w:val="24"/>
          <w:szCs w:val="24"/>
          <w:color w:val="auto"/>
        </w:rPr>
      </w:pPr>
    </w:p>
    <w:p>
      <w:pPr>
        <w:ind w:left="200" w:hanging="192"/>
        <w:spacing w:after="0"/>
        <w:tabs>
          <w:tab w:leader="none" w:pos="200" w:val="left"/>
        </w:tabs>
        <w:numPr>
          <w:ilvl w:val="0"/>
          <w:numId w:val="2"/>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TRANSITION REPORT PURSUANT TO SECTION 13 OR 15(d) OF THE SECURITIES EXCHANGE ACT OF 1934</w:t>
      </w:r>
    </w:p>
    <w:p>
      <w:pPr>
        <w:spacing w:after="0" w:line="167" w:lineRule="exact"/>
        <w:rPr>
          <w:sz w:val="24"/>
          <w:szCs w:val="24"/>
          <w:color w:val="auto"/>
        </w:rPr>
      </w:pPr>
    </w:p>
    <w:p>
      <w:pPr>
        <w:ind w:left="4540"/>
        <w:spacing w:after="0"/>
        <w:rPr>
          <w:sz w:val="20"/>
          <w:szCs w:val="20"/>
          <w:color w:val="auto"/>
        </w:rPr>
      </w:pPr>
      <w:r>
        <w:rPr>
          <w:rFonts w:ascii="Arial" w:cs="Arial" w:eastAsia="Arial" w:hAnsi="Arial"/>
          <w:sz w:val="16"/>
          <w:szCs w:val="16"/>
          <w:b w:val="1"/>
          <w:bCs w:val="1"/>
          <w:color w:val="auto"/>
        </w:rPr>
        <w:t>Commission file number: 001-40822</w:t>
      </w:r>
    </w:p>
    <w:p>
      <w:pPr>
        <w:spacing w:after="0" w:line="63"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Remitly Global, Inc.</w:t>
      </w:r>
    </w:p>
    <w:p>
      <w:pPr>
        <w:spacing w:after="0" w:line="77" w:lineRule="exact"/>
        <w:rPr>
          <w:sz w:val="24"/>
          <w:szCs w:val="24"/>
          <w:color w:val="auto"/>
        </w:rPr>
      </w:pPr>
    </w:p>
    <w:tbl>
      <w:tblPr>
        <w:tblLayout w:type="fixed"/>
        <w:tblInd w:w="1520" w:type="dxa"/>
        <w:tblCellMar>
          <w:top w:w="0" w:type="dxa"/>
          <w:left w:w="0" w:type="dxa"/>
          <w:bottom w:w="0" w:type="dxa"/>
          <w:right w:w="0" w:type="dxa"/>
        </w:tblCellMar>
      </w:tblPr>
      <w:tr>
        <w:trPr>
          <w:trHeight w:val="206"/>
        </w:trPr>
        <w:tc>
          <w:tcPr>
            <w:tcW w:w="6080" w:type="dxa"/>
            <w:vAlign w:val="bottom"/>
            <w:gridSpan w:val="8"/>
          </w:tcPr>
          <w:p>
            <w:pPr>
              <w:jc w:val="center"/>
              <w:ind w:left="2060"/>
              <w:spacing w:after="0"/>
              <w:rPr>
                <w:sz w:val="20"/>
                <w:szCs w:val="20"/>
                <w:color w:val="auto"/>
              </w:rPr>
            </w:pPr>
            <w:r>
              <w:rPr>
                <w:rFonts w:ascii="Arial" w:cs="Arial" w:eastAsia="Arial" w:hAnsi="Arial"/>
                <w:sz w:val="16"/>
                <w:szCs w:val="16"/>
                <w:color w:val="auto"/>
                <w:w w:val="91"/>
              </w:rPr>
              <w:t>(Exact name of registrant as specified in its charter)</w:t>
            </w:r>
          </w:p>
        </w:tc>
        <w:tc>
          <w:tcPr>
            <w:tcW w:w="2460" w:type="dxa"/>
            <w:vAlign w:val="bottom"/>
          </w:tcPr>
          <w:p>
            <w:pPr>
              <w:spacing w:after="0"/>
              <w:rPr>
                <w:sz w:val="17"/>
                <w:szCs w:val="17"/>
                <w:color w:val="auto"/>
              </w:rPr>
            </w:pPr>
          </w:p>
        </w:tc>
      </w:tr>
      <w:tr>
        <w:trPr>
          <w:trHeight w:val="141"/>
        </w:trPr>
        <w:tc>
          <w:tcPr>
            <w:tcW w:w="26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80" w:type="dxa"/>
            <w:vAlign w:val="bottom"/>
            <w:tcBorders>
              <w:bottom w:val="single" w:sz="8" w:color="auto"/>
            </w:tcBorders>
          </w:tcPr>
          <w:p>
            <w:pPr>
              <w:spacing w:after="0"/>
              <w:rPr>
                <w:sz w:val="12"/>
                <w:szCs w:val="12"/>
                <w:color w:val="auto"/>
              </w:rPr>
            </w:pPr>
          </w:p>
        </w:tc>
        <w:tc>
          <w:tcPr>
            <w:tcW w:w="880" w:type="dxa"/>
            <w:vAlign w:val="bottom"/>
          </w:tcPr>
          <w:p>
            <w:pPr>
              <w:spacing w:after="0"/>
              <w:rPr>
                <w:sz w:val="12"/>
                <w:szCs w:val="12"/>
                <w:color w:val="auto"/>
              </w:rPr>
            </w:pPr>
          </w:p>
        </w:tc>
        <w:tc>
          <w:tcPr>
            <w:tcW w:w="2460" w:type="dxa"/>
            <w:vAlign w:val="bottom"/>
          </w:tcPr>
          <w:p>
            <w:pPr>
              <w:spacing w:after="0"/>
              <w:rPr>
                <w:sz w:val="12"/>
                <w:szCs w:val="12"/>
                <w:color w:val="auto"/>
              </w:rPr>
            </w:pPr>
          </w:p>
        </w:tc>
      </w:tr>
      <w:tr>
        <w:trPr>
          <w:trHeight w:val="379"/>
        </w:trPr>
        <w:tc>
          <w:tcPr>
            <w:tcW w:w="2640" w:type="dxa"/>
            <w:vAlign w:val="bottom"/>
          </w:tcPr>
          <w:p>
            <w:pPr>
              <w:jc w:val="center"/>
              <w:ind w:right="180"/>
              <w:spacing w:after="0"/>
              <w:rPr>
                <w:sz w:val="20"/>
                <w:szCs w:val="20"/>
                <w:color w:val="auto"/>
              </w:rPr>
            </w:pPr>
            <w:r>
              <w:rPr>
                <w:rFonts w:ascii="Arial" w:cs="Arial" w:eastAsia="Arial" w:hAnsi="Arial"/>
                <w:sz w:val="16"/>
                <w:szCs w:val="16"/>
                <w:b w:val="1"/>
                <w:bCs w:val="1"/>
                <w:color w:val="auto"/>
                <w:w w:val="93"/>
              </w:rPr>
              <w:t>Delaware</w:t>
            </w:r>
          </w:p>
        </w:tc>
        <w:tc>
          <w:tcPr>
            <w:tcW w:w="1680" w:type="dxa"/>
            <w:vAlign w:val="bottom"/>
            <w:gridSpan w:val="3"/>
          </w:tcPr>
          <w:p>
            <w:pPr>
              <w:jc w:val="center"/>
              <w:ind w:left="1159"/>
              <w:spacing w:after="0"/>
              <w:rPr>
                <w:sz w:val="20"/>
                <w:szCs w:val="20"/>
                <w:color w:val="auto"/>
              </w:rPr>
            </w:pPr>
            <w:r>
              <w:rPr>
                <w:rFonts w:ascii="Arial" w:cs="Arial" w:eastAsia="Arial" w:hAnsi="Arial"/>
                <w:sz w:val="16"/>
                <w:szCs w:val="16"/>
                <w:b w:val="1"/>
                <w:bCs w:val="1"/>
                <w:color w:val="auto"/>
                <w:w w:val="89"/>
              </w:rPr>
              <w:t>7372</w:t>
            </w: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jc w:val="center"/>
              <w:ind w:right="521"/>
              <w:spacing w:after="0"/>
              <w:rPr>
                <w:sz w:val="20"/>
                <w:szCs w:val="20"/>
                <w:color w:val="auto"/>
              </w:rPr>
            </w:pPr>
            <w:r>
              <w:rPr>
                <w:rFonts w:ascii="Arial" w:cs="Arial" w:eastAsia="Arial" w:hAnsi="Arial"/>
                <w:sz w:val="16"/>
                <w:szCs w:val="16"/>
                <w:b w:val="1"/>
                <w:bCs w:val="1"/>
                <w:color w:val="auto"/>
                <w:w w:val="91"/>
              </w:rPr>
              <w:t>83-2301143</w:t>
            </w:r>
          </w:p>
        </w:tc>
      </w:tr>
      <w:tr>
        <w:trPr>
          <w:trHeight w:val="239"/>
        </w:trPr>
        <w:tc>
          <w:tcPr>
            <w:tcW w:w="2640" w:type="dxa"/>
            <w:vAlign w:val="bottom"/>
          </w:tcPr>
          <w:p>
            <w:pPr>
              <w:jc w:val="center"/>
              <w:ind w:right="200"/>
              <w:spacing w:after="0"/>
              <w:rPr>
                <w:sz w:val="20"/>
                <w:szCs w:val="20"/>
                <w:color w:val="auto"/>
              </w:rPr>
            </w:pPr>
            <w:r>
              <w:rPr>
                <w:rFonts w:ascii="Arial" w:cs="Arial" w:eastAsia="Arial" w:hAnsi="Arial"/>
                <w:sz w:val="16"/>
                <w:szCs w:val="16"/>
                <w:color w:val="auto"/>
                <w:w w:val="93"/>
              </w:rPr>
              <w:t>(State or other jurisdiction of</w:t>
            </w:r>
          </w:p>
        </w:tc>
        <w:tc>
          <w:tcPr>
            <w:tcW w:w="380" w:type="dxa"/>
            <w:vAlign w:val="bottom"/>
          </w:tcPr>
          <w:p>
            <w:pPr>
              <w:spacing w:after="0"/>
              <w:rPr>
                <w:sz w:val="20"/>
                <w:szCs w:val="20"/>
                <w:color w:val="auto"/>
              </w:rPr>
            </w:pPr>
          </w:p>
        </w:tc>
        <w:tc>
          <w:tcPr>
            <w:tcW w:w="3060" w:type="dxa"/>
            <w:vAlign w:val="bottom"/>
            <w:gridSpan w:val="6"/>
          </w:tcPr>
          <w:p>
            <w:pPr>
              <w:jc w:val="center"/>
              <w:ind w:right="900"/>
              <w:spacing w:after="0"/>
              <w:rPr>
                <w:sz w:val="20"/>
                <w:szCs w:val="20"/>
                <w:color w:val="auto"/>
              </w:rPr>
            </w:pPr>
            <w:r>
              <w:rPr>
                <w:rFonts w:ascii="Arial" w:cs="Arial" w:eastAsia="Arial" w:hAnsi="Arial"/>
                <w:sz w:val="16"/>
                <w:szCs w:val="16"/>
                <w:color w:val="auto"/>
                <w:w w:val="92"/>
              </w:rPr>
              <w:t>(Primary Standard Industrial</w:t>
            </w:r>
          </w:p>
        </w:tc>
        <w:tc>
          <w:tcPr>
            <w:tcW w:w="2460" w:type="dxa"/>
            <w:vAlign w:val="bottom"/>
          </w:tcPr>
          <w:p>
            <w:pPr>
              <w:jc w:val="center"/>
              <w:ind w:right="521"/>
              <w:spacing w:after="0"/>
              <w:rPr>
                <w:sz w:val="20"/>
                <w:szCs w:val="20"/>
                <w:color w:val="auto"/>
              </w:rPr>
            </w:pPr>
            <w:r>
              <w:rPr>
                <w:rFonts w:ascii="Arial" w:cs="Arial" w:eastAsia="Arial" w:hAnsi="Arial"/>
                <w:sz w:val="16"/>
                <w:szCs w:val="16"/>
                <w:color w:val="auto"/>
                <w:w w:val="93"/>
              </w:rPr>
              <w:t>(I.R.S. Employer</w:t>
            </w:r>
          </w:p>
        </w:tc>
      </w:tr>
      <w:tr>
        <w:trPr>
          <w:trHeight w:val="206"/>
        </w:trPr>
        <w:tc>
          <w:tcPr>
            <w:tcW w:w="2640" w:type="dxa"/>
            <w:vAlign w:val="bottom"/>
          </w:tcPr>
          <w:p>
            <w:pPr>
              <w:jc w:val="center"/>
              <w:ind w:right="180"/>
              <w:spacing w:after="0"/>
              <w:rPr>
                <w:sz w:val="20"/>
                <w:szCs w:val="20"/>
                <w:color w:val="auto"/>
              </w:rPr>
            </w:pPr>
            <w:r>
              <w:rPr>
                <w:rFonts w:ascii="Arial" w:cs="Arial" w:eastAsia="Arial" w:hAnsi="Arial"/>
                <w:sz w:val="16"/>
                <w:szCs w:val="16"/>
                <w:color w:val="auto"/>
                <w:w w:val="93"/>
              </w:rPr>
              <w:t>incorporation or organization)</w:t>
            </w:r>
          </w:p>
        </w:tc>
        <w:tc>
          <w:tcPr>
            <w:tcW w:w="380" w:type="dxa"/>
            <w:vAlign w:val="bottom"/>
          </w:tcPr>
          <w:p>
            <w:pPr>
              <w:spacing w:after="0"/>
              <w:rPr>
                <w:sz w:val="17"/>
                <w:szCs w:val="17"/>
                <w:color w:val="auto"/>
              </w:rPr>
            </w:pPr>
          </w:p>
        </w:tc>
        <w:tc>
          <w:tcPr>
            <w:tcW w:w="3060" w:type="dxa"/>
            <w:vAlign w:val="bottom"/>
            <w:gridSpan w:val="6"/>
          </w:tcPr>
          <w:p>
            <w:pPr>
              <w:jc w:val="center"/>
              <w:ind w:right="920"/>
              <w:spacing w:after="0"/>
              <w:rPr>
                <w:sz w:val="20"/>
                <w:szCs w:val="20"/>
                <w:color w:val="auto"/>
              </w:rPr>
            </w:pPr>
            <w:r>
              <w:rPr>
                <w:rFonts w:ascii="Arial" w:cs="Arial" w:eastAsia="Arial" w:hAnsi="Arial"/>
                <w:sz w:val="16"/>
                <w:szCs w:val="16"/>
                <w:color w:val="auto"/>
                <w:w w:val="93"/>
              </w:rPr>
              <w:t>Classification Code Number)</w:t>
            </w:r>
          </w:p>
        </w:tc>
        <w:tc>
          <w:tcPr>
            <w:tcW w:w="2460" w:type="dxa"/>
            <w:vAlign w:val="bottom"/>
          </w:tcPr>
          <w:p>
            <w:pPr>
              <w:jc w:val="center"/>
              <w:ind w:right="521"/>
              <w:spacing w:after="0"/>
              <w:rPr>
                <w:sz w:val="20"/>
                <w:szCs w:val="20"/>
                <w:color w:val="auto"/>
              </w:rPr>
            </w:pPr>
            <w:r>
              <w:rPr>
                <w:rFonts w:ascii="Arial" w:cs="Arial" w:eastAsia="Arial" w:hAnsi="Arial"/>
                <w:sz w:val="16"/>
                <w:szCs w:val="16"/>
                <w:color w:val="auto"/>
                <w:w w:val="95"/>
              </w:rPr>
              <w:t>Identification Number)</w:t>
            </w:r>
          </w:p>
        </w:tc>
      </w:tr>
      <w:tr>
        <w:trPr>
          <w:trHeight w:val="195"/>
        </w:trPr>
        <w:tc>
          <w:tcPr>
            <w:tcW w:w="26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880" w:type="dxa"/>
            <w:vAlign w:val="bottom"/>
          </w:tcPr>
          <w:p>
            <w:pPr>
              <w:spacing w:after="0"/>
              <w:rPr>
                <w:sz w:val="16"/>
                <w:szCs w:val="16"/>
                <w:color w:val="auto"/>
              </w:rPr>
            </w:pPr>
          </w:p>
        </w:tc>
        <w:tc>
          <w:tcPr>
            <w:tcW w:w="2460" w:type="dxa"/>
            <w:vAlign w:val="bottom"/>
          </w:tcPr>
          <w:p>
            <w:pPr>
              <w:spacing w:after="0"/>
              <w:rPr>
                <w:sz w:val="16"/>
                <w:szCs w:val="16"/>
                <w:color w:val="auto"/>
              </w:rPr>
            </w:pPr>
          </w:p>
        </w:tc>
      </w:tr>
      <w:tr>
        <w:trPr>
          <w:trHeight w:val="405"/>
        </w:trPr>
        <w:tc>
          <w:tcPr>
            <w:tcW w:w="2640" w:type="dxa"/>
            <w:vAlign w:val="bottom"/>
            <w:tcBorders>
              <w:bottom w:val="single" w:sz="8" w:color="auto"/>
            </w:tcBorders>
          </w:tcPr>
          <w:p>
            <w:pPr>
              <w:ind w:left="480"/>
              <w:spacing w:after="0"/>
              <w:rPr>
                <w:sz w:val="20"/>
                <w:szCs w:val="20"/>
                <w:color w:val="auto"/>
              </w:rPr>
            </w:pPr>
            <w:r>
              <w:rPr>
                <w:rFonts w:ascii="Arial" w:cs="Arial" w:eastAsia="Arial" w:hAnsi="Arial"/>
                <w:sz w:val="16"/>
                <w:szCs w:val="16"/>
                <w:b w:val="1"/>
                <w:bCs w:val="1"/>
                <w:color w:val="auto"/>
                <w:w w:val="92"/>
              </w:rPr>
              <w:t>1111 Third Avenue, Suite 2100</w:t>
            </w:r>
          </w:p>
        </w:tc>
        <w:tc>
          <w:tcPr>
            <w:tcW w:w="1680" w:type="dxa"/>
            <w:vAlign w:val="bottom"/>
            <w:tcBorders>
              <w:bottom w:val="single" w:sz="8" w:color="auto"/>
            </w:tcBorders>
            <w:gridSpan w:val="3"/>
          </w:tcPr>
          <w:p>
            <w:pPr>
              <w:ind w:left="60"/>
              <w:spacing w:after="0"/>
              <w:rPr>
                <w:sz w:val="20"/>
                <w:szCs w:val="20"/>
                <w:color w:val="auto"/>
              </w:rPr>
            </w:pPr>
            <w:r>
              <w:rPr>
                <w:rFonts w:ascii="Arial" w:cs="Arial" w:eastAsia="Arial" w:hAnsi="Arial"/>
                <w:sz w:val="16"/>
                <w:szCs w:val="16"/>
                <w:b w:val="1"/>
                <w:bCs w:val="1"/>
                <w:color w:val="auto"/>
              </w:rPr>
              <w:t>Seattle,  WA</w:t>
            </w:r>
          </w:p>
        </w:tc>
        <w:tc>
          <w:tcPr>
            <w:tcW w:w="160" w:type="dxa"/>
            <w:vAlign w:val="bottom"/>
          </w:tcPr>
          <w:p>
            <w:pPr>
              <w:spacing w:after="0"/>
              <w:rPr>
                <w:sz w:val="24"/>
                <w:szCs w:val="24"/>
                <w:color w:val="auto"/>
              </w:rPr>
            </w:pPr>
          </w:p>
        </w:tc>
        <w:tc>
          <w:tcPr>
            <w:tcW w:w="1600" w:type="dxa"/>
            <w:vAlign w:val="bottom"/>
            <w:tcBorders>
              <w:bottom w:val="single" w:sz="8" w:color="auto"/>
            </w:tcBorders>
            <w:gridSpan w:val="3"/>
          </w:tcPr>
          <w:p>
            <w:pPr>
              <w:spacing w:after="0"/>
              <w:rPr>
                <w:sz w:val="24"/>
                <w:szCs w:val="24"/>
                <w:color w:val="auto"/>
              </w:rPr>
            </w:pPr>
          </w:p>
        </w:tc>
        <w:tc>
          <w:tcPr>
            <w:tcW w:w="2460" w:type="dxa"/>
            <w:vAlign w:val="bottom"/>
            <w:tcBorders>
              <w:bottom w:val="single" w:sz="8" w:color="auto"/>
            </w:tcBorders>
          </w:tcPr>
          <w:p>
            <w:pPr>
              <w:jc w:val="right"/>
              <w:ind w:right="1761"/>
              <w:spacing w:after="0"/>
              <w:rPr>
                <w:sz w:val="20"/>
                <w:szCs w:val="20"/>
                <w:color w:val="auto"/>
              </w:rPr>
            </w:pPr>
            <w:r>
              <w:rPr>
                <w:rFonts w:ascii="Arial" w:cs="Arial" w:eastAsia="Arial" w:hAnsi="Arial"/>
                <w:sz w:val="16"/>
                <w:szCs w:val="16"/>
                <w:b w:val="1"/>
                <w:bCs w:val="1"/>
                <w:color w:val="auto"/>
              </w:rPr>
              <w:t>98101</w:t>
            </w:r>
          </w:p>
        </w:tc>
      </w:tr>
      <w:tr>
        <w:trPr>
          <w:trHeight w:val="191"/>
        </w:trPr>
        <w:tc>
          <w:tcPr>
            <w:tcW w:w="6080" w:type="dxa"/>
            <w:vAlign w:val="bottom"/>
            <w:gridSpan w:val="8"/>
          </w:tcPr>
          <w:p>
            <w:pPr>
              <w:ind w:left="980"/>
              <w:spacing w:after="0"/>
              <w:rPr>
                <w:sz w:val="20"/>
                <w:szCs w:val="20"/>
                <w:color w:val="auto"/>
              </w:rPr>
            </w:pPr>
            <w:r>
              <w:rPr>
                <w:rFonts w:ascii="Arial" w:cs="Arial" w:eastAsia="Arial" w:hAnsi="Arial"/>
                <w:sz w:val="14"/>
                <w:szCs w:val="14"/>
                <w:color w:val="auto"/>
              </w:rPr>
              <w:t>(Address of Principal Executive Offices)</w:t>
            </w:r>
          </w:p>
        </w:tc>
        <w:tc>
          <w:tcPr>
            <w:tcW w:w="2460" w:type="dxa"/>
            <w:vAlign w:val="bottom"/>
          </w:tcPr>
          <w:p>
            <w:pPr>
              <w:jc w:val="center"/>
              <w:ind w:right="1541"/>
              <w:spacing w:after="0"/>
              <w:rPr>
                <w:sz w:val="20"/>
                <w:szCs w:val="20"/>
                <w:color w:val="auto"/>
              </w:rPr>
            </w:pPr>
            <w:r>
              <w:rPr>
                <w:rFonts w:ascii="Arial" w:cs="Arial" w:eastAsia="Arial" w:hAnsi="Arial"/>
                <w:sz w:val="14"/>
                <w:szCs w:val="14"/>
                <w:color w:val="auto"/>
                <w:w w:val="96"/>
              </w:rPr>
              <w:t>(Zip Code)</w:t>
            </w:r>
          </w:p>
        </w:tc>
      </w:tr>
      <w:tr>
        <w:trPr>
          <w:trHeight w:val="444"/>
        </w:trPr>
        <w:tc>
          <w:tcPr>
            <w:tcW w:w="2640" w:type="dxa"/>
            <w:vAlign w:val="bottom"/>
          </w:tcPr>
          <w:p>
            <w:pPr>
              <w:spacing w:after="0"/>
              <w:rPr>
                <w:sz w:val="24"/>
                <w:szCs w:val="24"/>
                <w:color w:val="auto"/>
              </w:rPr>
            </w:pPr>
          </w:p>
        </w:tc>
        <w:tc>
          <w:tcPr>
            <w:tcW w:w="1980" w:type="dxa"/>
            <w:vAlign w:val="bottom"/>
            <w:gridSpan w:val="5"/>
          </w:tcPr>
          <w:p>
            <w:pPr>
              <w:jc w:val="center"/>
              <w:ind w:left="879"/>
              <w:spacing w:after="0"/>
              <w:rPr>
                <w:sz w:val="20"/>
                <w:szCs w:val="20"/>
                <w:color w:val="auto"/>
              </w:rPr>
            </w:pPr>
            <w:r>
              <w:rPr>
                <w:rFonts w:ascii="Arial" w:cs="Arial" w:eastAsia="Arial" w:hAnsi="Arial"/>
                <w:sz w:val="16"/>
                <w:szCs w:val="16"/>
                <w:color w:val="auto"/>
                <w:w w:val="93"/>
              </w:rPr>
              <w:t>(888) 736-4859</w:t>
            </w:r>
          </w:p>
        </w:tc>
        <w:tc>
          <w:tcPr>
            <w:tcW w:w="5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r>
      <w:tr>
        <w:trPr>
          <w:trHeight w:val="20"/>
        </w:trPr>
        <w:tc>
          <w:tcPr>
            <w:tcW w:w="3600" w:type="dxa"/>
            <w:vAlign w:val="bottom"/>
            <w:gridSpan w:val="3"/>
          </w:tcPr>
          <w:p>
            <w:pPr>
              <w:spacing w:after="0" w:line="20" w:lineRule="exact"/>
              <w:rPr>
                <w:sz w:val="1"/>
                <w:szCs w:val="1"/>
                <w:color w:val="auto"/>
              </w:rPr>
            </w:pPr>
          </w:p>
        </w:tc>
        <w:tc>
          <w:tcPr>
            <w:tcW w:w="1020" w:type="dxa"/>
            <w:vAlign w:val="bottom"/>
            <w:gridSpan w:val="3"/>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r>
      <w:tr>
        <w:trPr>
          <w:trHeight w:val="271"/>
        </w:trPr>
        <w:tc>
          <w:tcPr>
            <w:tcW w:w="6080" w:type="dxa"/>
            <w:vAlign w:val="bottom"/>
            <w:gridSpan w:val="8"/>
          </w:tcPr>
          <w:p>
            <w:pPr>
              <w:ind w:left="2560"/>
              <w:spacing w:after="0"/>
              <w:rPr>
                <w:sz w:val="20"/>
                <w:szCs w:val="20"/>
                <w:color w:val="auto"/>
              </w:rPr>
            </w:pPr>
            <w:r>
              <w:rPr>
                <w:rFonts w:ascii="Arial" w:cs="Arial" w:eastAsia="Arial" w:hAnsi="Arial"/>
                <w:sz w:val="16"/>
                <w:szCs w:val="16"/>
                <w:color w:val="auto"/>
                <w:w w:val="93"/>
              </w:rPr>
              <w:t>(Registrant’s telephone number, including area code)</w:t>
            </w:r>
          </w:p>
        </w:tc>
        <w:tc>
          <w:tcPr>
            <w:tcW w:w="2460" w:type="dxa"/>
            <w:vAlign w:val="bottom"/>
          </w:tcPr>
          <w:p>
            <w:pPr>
              <w:spacing w:after="0"/>
              <w:rPr>
                <w:sz w:val="23"/>
                <w:szCs w:val="23"/>
                <w:color w:val="auto"/>
              </w:rPr>
            </w:pPr>
          </w:p>
        </w:tc>
      </w:tr>
    </w:tbl>
    <w:p>
      <w:pPr>
        <w:spacing w:after="0" w:line="91" w:lineRule="exact"/>
        <w:rPr>
          <w:sz w:val="24"/>
          <w:szCs w:val="24"/>
          <w:color w:val="auto"/>
        </w:rPr>
      </w:pPr>
    </w:p>
    <w:p>
      <w:pPr>
        <w:spacing w:after="0" w:line="205"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28" w:lineRule="exact"/>
        <w:rPr>
          <w:sz w:val="24"/>
          <w:szCs w:val="24"/>
          <w:color w:val="auto"/>
        </w:rPr>
      </w:pPr>
    </w:p>
    <w:p>
      <w:pPr>
        <w:ind w:right="400"/>
        <w:spacing w:after="0" w:line="213"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128" w:lineRule="exact"/>
        <w:rPr>
          <w:sz w:val="24"/>
          <w:szCs w:val="24"/>
          <w:color w:val="auto"/>
        </w:rPr>
      </w:pPr>
    </w:p>
    <w:p>
      <w:pPr>
        <w:ind w:right="12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8" w:lineRule="exact"/>
        <w:rPr>
          <w:sz w:val="24"/>
          <w:szCs w:val="24"/>
          <w:color w:val="auto"/>
        </w:rPr>
      </w:pPr>
    </w:p>
    <w:tbl>
      <w:tblPr>
        <w:tblLayout w:type="fixed"/>
        <w:tblInd w:w="1140" w:type="dxa"/>
        <w:tblCellMar>
          <w:top w:w="0" w:type="dxa"/>
          <w:left w:w="0" w:type="dxa"/>
          <w:bottom w:w="0" w:type="dxa"/>
          <w:right w:w="0" w:type="dxa"/>
        </w:tblCellMar>
      </w:tblPr>
      <w:tr>
        <w:trPr>
          <w:trHeight w:val="254"/>
        </w:trPr>
        <w:tc>
          <w:tcPr>
            <w:tcW w:w="27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Arial" w:cs="Arial" w:eastAsia="Arial" w:hAnsi="Arial"/>
                <w:sz w:val="16"/>
                <w:szCs w:val="16"/>
                <w:color w:val="auto"/>
              </w:rPr>
              <w:t>Accelerated filer</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760" w:type="dxa"/>
            <w:vAlign w:val="bottom"/>
          </w:tcPr>
          <w:p>
            <w:pPr>
              <w:spacing w:after="0"/>
              <w:rPr>
                <w:sz w:val="20"/>
                <w:szCs w:val="20"/>
                <w:color w:val="auto"/>
              </w:rPr>
            </w:pPr>
            <w:r>
              <w:rPr>
                <w:rFonts w:ascii="Arial" w:cs="Arial" w:eastAsia="Arial" w:hAnsi="Arial"/>
                <w:sz w:val="16"/>
                <w:szCs w:val="16"/>
                <w:color w:val="auto"/>
              </w:rPr>
              <w:t>Non-accelerated filer</w:t>
            </w:r>
          </w:p>
        </w:tc>
        <w:tc>
          <w:tcPr>
            <w:tcW w:w="1580" w:type="dxa"/>
            <w:vAlign w:val="bottom"/>
          </w:tcPr>
          <w:p>
            <w:pPr>
              <w:ind w:left="1300"/>
              <w:spacing w:after="0" w:line="161" w:lineRule="exact"/>
              <w:rPr>
                <w:sz w:val="20"/>
                <w:szCs w:val="20"/>
                <w:color w:val="auto"/>
              </w:rPr>
            </w:pPr>
            <w:r>
              <w:rPr>
                <w:rFonts w:ascii="MS PGothic" w:cs="MS PGothic" w:eastAsia="MS PGothic" w:hAnsi="MS PGothic"/>
                <w:sz w:val="16"/>
                <w:szCs w:val="16"/>
                <w:color w:val="auto"/>
              </w:rPr>
              <w:t>☒</w:t>
            </w:r>
          </w:p>
        </w:tc>
        <w:tc>
          <w:tcPr>
            <w:tcW w:w="3080" w:type="dxa"/>
            <w:vAlign w:val="bottom"/>
          </w:tcPr>
          <w:p>
            <w:pPr>
              <w:ind w:left="140"/>
              <w:spacing w:after="0"/>
              <w:rPr>
                <w:sz w:val="20"/>
                <w:szCs w:val="20"/>
                <w:color w:val="auto"/>
              </w:rPr>
            </w:pPr>
            <w:r>
              <w:rPr>
                <w:rFonts w:ascii="Arial" w:cs="Arial" w:eastAsia="Arial" w:hAnsi="Arial"/>
                <w:sz w:val="16"/>
                <w:szCs w:val="16"/>
                <w:color w:val="auto"/>
              </w:rPr>
              <w:t>Smaller reporting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405"/>
        </w:trPr>
        <w:tc>
          <w:tcPr>
            <w:tcW w:w="27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080" w:type="dxa"/>
            <w:vAlign w:val="bottom"/>
          </w:tcPr>
          <w:p>
            <w:pPr>
              <w:ind w:left="140"/>
              <w:spacing w:after="0"/>
              <w:rPr>
                <w:sz w:val="20"/>
                <w:szCs w:val="20"/>
                <w:color w:val="auto"/>
              </w:rPr>
            </w:pPr>
            <w:r>
              <w:rPr>
                <w:rFonts w:ascii="Arial" w:cs="Arial" w:eastAsia="Arial" w:hAnsi="Arial"/>
                <w:sz w:val="16"/>
                <w:szCs w:val="16"/>
                <w:color w:val="auto"/>
              </w:rPr>
              <w:t>Emerging growth company</w:t>
            </w:r>
          </w:p>
        </w:tc>
        <w:tc>
          <w:tcPr>
            <w:tcW w:w="1300" w:type="dxa"/>
            <w:vAlign w:val="bottom"/>
          </w:tcPr>
          <w:p>
            <w:pPr>
              <w:ind w:left="116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2885440</wp:posOffset>
            </wp:positionH>
            <wp:positionV relativeFrom="paragraph">
              <wp:posOffset>215265</wp:posOffset>
            </wp:positionV>
            <wp:extent cx="13804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tbl>
      <w:tblPr>
        <w:tblLayout w:type="fixed"/>
        <w:tblInd w:w="940" w:type="dxa"/>
        <w:tblCellMar>
          <w:top w:w="0" w:type="dxa"/>
          <w:left w:w="0" w:type="dxa"/>
          <w:bottom w:w="0" w:type="dxa"/>
          <w:right w:w="0" w:type="dxa"/>
        </w:tblCellMar>
      </w:tblPr>
      <w:tr>
        <w:trPr>
          <w:trHeight w:val="210"/>
        </w:trPr>
        <w:tc>
          <w:tcPr>
            <w:tcW w:w="2780" w:type="dxa"/>
            <w:vAlign w:val="bottom"/>
          </w:tcPr>
          <w:p>
            <w:pPr>
              <w:spacing w:after="0"/>
              <w:rPr>
                <w:sz w:val="18"/>
                <w:szCs w:val="18"/>
                <w:color w:val="auto"/>
              </w:rPr>
            </w:pPr>
          </w:p>
        </w:tc>
        <w:tc>
          <w:tcPr>
            <w:tcW w:w="6920" w:type="dxa"/>
            <w:vAlign w:val="bottom"/>
            <w:gridSpan w:val="5"/>
          </w:tcPr>
          <w:p>
            <w:pPr>
              <w:jc w:val="center"/>
              <w:ind w:right="2719"/>
              <w:spacing w:after="0"/>
              <w:rPr>
                <w:sz w:val="20"/>
                <w:szCs w:val="20"/>
                <w:color w:val="auto"/>
              </w:rPr>
            </w:pPr>
            <w:r>
              <w:rPr>
                <w:rFonts w:ascii="Arial" w:cs="Arial" w:eastAsia="Arial" w:hAnsi="Arial"/>
                <w:sz w:val="16"/>
                <w:szCs w:val="16"/>
                <w:b w:val="1"/>
                <w:bCs w:val="1"/>
                <w:color w:val="auto"/>
                <w:w w:val="90"/>
              </w:rPr>
              <w:t>Securities registered pursuant to Section 12(b) of the Act:</w:t>
            </w:r>
          </w:p>
        </w:tc>
      </w:tr>
      <w:tr>
        <w:trPr>
          <w:trHeight w:val="283"/>
        </w:trPr>
        <w:tc>
          <w:tcPr>
            <w:tcW w:w="2780" w:type="dxa"/>
            <w:vAlign w:val="bottom"/>
            <w:tcBorders>
              <w:bottom w:val="single" w:sz="8" w:color="auto"/>
            </w:tcBorders>
          </w:tcPr>
          <w:p>
            <w:pPr>
              <w:jc w:val="center"/>
              <w:ind w:left="239"/>
              <w:spacing w:after="0"/>
              <w:rPr>
                <w:sz w:val="20"/>
                <w:szCs w:val="20"/>
                <w:color w:val="auto"/>
              </w:rPr>
            </w:pPr>
            <w:r>
              <w:rPr>
                <w:rFonts w:ascii="Arial" w:cs="Arial" w:eastAsia="Arial" w:hAnsi="Arial"/>
                <w:sz w:val="16"/>
                <w:szCs w:val="16"/>
                <w:color w:val="auto"/>
                <w:w w:val="92"/>
              </w:rPr>
              <w:t>Title of each class</w:t>
            </w:r>
          </w:p>
        </w:tc>
        <w:tc>
          <w:tcPr>
            <w:tcW w:w="34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314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4"/>
              </w:rPr>
              <w:t>Trading Symbol(s)</w:t>
            </w:r>
          </w:p>
        </w:tc>
        <w:tc>
          <w:tcPr>
            <w:tcW w:w="160" w:type="dxa"/>
            <w:vAlign w:val="bottom"/>
          </w:tcPr>
          <w:p>
            <w:pPr>
              <w:spacing w:after="0"/>
              <w:rPr>
                <w:sz w:val="24"/>
                <w:szCs w:val="24"/>
                <w:color w:val="auto"/>
              </w:rPr>
            </w:pPr>
          </w:p>
        </w:tc>
        <w:tc>
          <w:tcPr>
            <w:tcW w:w="3120" w:type="dxa"/>
            <w:vAlign w:val="bottom"/>
            <w:tcBorders>
              <w:bottom w:val="single" w:sz="8" w:color="auto"/>
            </w:tcBorders>
          </w:tcPr>
          <w:p>
            <w:pPr>
              <w:jc w:val="center"/>
              <w:spacing w:after="0"/>
              <w:rPr>
                <w:sz w:val="20"/>
                <w:szCs w:val="20"/>
                <w:color w:val="auto"/>
              </w:rPr>
            </w:pPr>
            <w:r>
              <w:rPr>
                <w:rFonts w:ascii="Arial" w:cs="Arial" w:eastAsia="Arial" w:hAnsi="Arial"/>
                <w:sz w:val="16"/>
                <w:szCs w:val="16"/>
                <w:color w:val="auto"/>
                <w:w w:val="90"/>
              </w:rPr>
              <w:t>Name of each exchange on which registered</w:t>
            </w:r>
          </w:p>
        </w:tc>
      </w:tr>
      <w:tr>
        <w:trPr>
          <w:trHeight w:val="223"/>
        </w:trPr>
        <w:tc>
          <w:tcPr>
            <w:tcW w:w="2780" w:type="dxa"/>
            <w:vAlign w:val="bottom"/>
          </w:tcPr>
          <w:p>
            <w:pPr>
              <w:jc w:val="center"/>
              <w:ind w:left="239"/>
              <w:spacing w:after="0"/>
              <w:rPr>
                <w:sz w:val="20"/>
                <w:szCs w:val="20"/>
                <w:color w:val="auto"/>
              </w:rPr>
            </w:pPr>
            <w:r>
              <w:rPr>
                <w:rFonts w:ascii="Arial" w:cs="Arial" w:eastAsia="Arial" w:hAnsi="Arial"/>
                <w:sz w:val="16"/>
                <w:szCs w:val="16"/>
                <w:color w:val="auto"/>
                <w:w w:val="91"/>
              </w:rPr>
              <w:t>Common Stock, $0.0001 par value</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300" w:type="dxa"/>
            <w:vAlign w:val="bottom"/>
            <w:gridSpan w:val="2"/>
          </w:tcPr>
          <w:p>
            <w:pPr>
              <w:jc w:val="center"/>
              <w:ind w:right="180"/>
              <w:spacing w:after="0"/>
              <w:rPr>
                <w:sz w:val="20"/>
                <w:szCs w:val="20"/>
                <w:color w:val="auto"/>
              </w:rPr>
            </w:pPr>
            <w:r>
              <w:rPr>
                <w:rFonts w:ascii="Arial" w:cs="Arial" w:eastAsia="Arial" w:hAnsi="Arial"/>
                <w:sz w:val="16"/>
                <w:szCs w:val="16"/>
                <w:color w:val="auto"/>
                <w:w w:val="95"/>
              </w:rPr>
              <w:t>RELY</w:t>
            </w:r>
          </w:p>
        </w:tc>
        <w:tc>
          <w:tcPr>
            <w:tcW w:w="3120" w:type="dxa"/>
            <w:vAlign w:val="bottom"/>
          </w:tcPr>
          <w:p>
            <w:pPr>
              <w:jc w:val="center"/>
              <w:spacing w:after="0"/>
              <w:rPr>
                <w:sz w:val="20"/>
                <w:szCs w:val="20"/>
                <w:color w:val="auto"/>
              </w:rPr>
            </w:pPr>
            <w:r>
              <w:rPr>
                <w:rFonts w:ascii="Arial" w:cs="Arial" w:eastAsia="Arial" w:hAnsi="Arial"/>
                <w:sz w:val="16"/>
                <w:szCs w:val="16"/>
                <w:color w:val="auto"/>
                <w:w w:val="91"/>
              </w:rPr>
              <w:t>The Nasdaq Global Select Market</w:t>
            </w:r>
          </w:p>
        </w:tc>
      </w:tr>
    </w:tbl>
    <w:p>
      <w:pPr>
        <w:spacing w:after="0" w:line="253" w:lineRule="exact"/>
        <w:rPr>
          <w:sz w:val="24"/>
          <w:szCs w:val="24"/>
          <w:color w:val="auto"/>
        </w:rPr>
      </w:pPr>
    </w:p>
    <w:p>
      <w:pPr>
        <w:jc w:val="both"/>
        <w:ind w:right="580"/>
        <w:spacing w:after="0" w:line="21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97" w:lineRule="exact"/>
        <w:rPr>
          <w:sz w:val="24"/>
          <w:szCs w:val="24"/>
          <w:color w:val="auto"/>
        </w:rPr>
      </w:pPr>
    </w:p>
    <w:p>
      <w:pPr>
        <w:ind w:right="2980"/>
        <w:spacing w:after="0" w:line="294"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r>
        <w:rPr>
          <w:rFonts w:ascii="Arial" w:cs="Arial" w:eastAsia="Arial" w:hAnsi="Arial"/>
          <w:sz w:val="14"/>
          <w:szCs w:val="14"/>
          <w:color w:val="auto"/>
        </w:rPr>
        <w:t xml:space="preserve"> As of November 4, 2022, the registrant had 170,663,803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780415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8" w:right="339" w:bottom="1440" w:gutter="0" w:footer="0" w:header="0"/>
        </w:sectPr>
      </w:pPr>
    </w:p>
    <w:bookmarkStart w:id="1" w:name="page2"/>
    <w:bookmarkEnd w:id="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10540" w:type="dxa"/>
            <w:vAlign w:val="bottom"/>
            <w:gridSpan w:val="18"/>
          </w:tcPr>
          <w:p>
            <w:pPr>
              <w:spacing w:after="0"/>
              <w:rPr>
                <w:sz w:val="20"/>
                <w:szCs w:val="20"/>
                <w:color w:val="auto"/>
              </w:rPr>
            </w:pPr>
            <w:r>
              <w:rPr>
                <w:rFonts w:ascii="Arial" w:cs="Arial" w:eastAsia="Arial" w:hAnsi="Arial"/>
                <w:sz w:val="16"/>
                <w:szCs w:val="16"/>
                <w:b w:val="1"/>
                <w:bCs w:val="1"/>
                <w:color w:val="auto"/>
              </w:rPr>
              <w:t>TABLE OF CONTENTS</w:t>
            </w:r>
          </w:p>
        </w:tc>
        <w:tc>
          <w:tcPr>
            <w:tcW w:w="540" w:type="dxa"/>
            <w:vAlign w:val="bottom"/>
          </w:tcPr>
          <w:p>
            <w:pPr>
              <w:jc w:val="center"/>
              <w:spacing w:after="0"/>
              <w:rPr>
                <w:sz w:val="20"/>
                <w:szCs w:val="20"/>
                <w:color w:val="auto"/>
              </w:rPr>
            </w:pPr>
            <w:r>
              <w:rPr>
                <w:rFonts w:ascii="Arial" w:cs="Arial" w:eastAsia="Arial" w:hAnsi="Arial"/>
                <w:sz w:val="14"/>
                <w:szCs w:val="14"/>
                <w:b w:val="1"/>
                <w:bCs w:val="1"/>
                <w:color w:val="auto"/>
                <w:w w:val="90"/>
              </w:rPr>
              <w:t>Page(s)</w:t>
            </w:r>
          </w:p>
        </w:tc>
        <w:tc>
          <w:tcPr>
            <w:tcW w:w="0" w:type="dxa"/>
            <w:vAlign w:val="bottom"/>
          </w:tcPr>
          <w:p>
            <w:pPr>
              <w:spacing w:after="0"/>
              <w:rPr>
                <w:sz w:val="1"/>
                <w:szCs w:val="1"/>
                <w:color w:val="auto"/>
              </w:rPr>
            </w:pPr>
          </w:p>
        </w:tc>
      </w:tr>
      <w:tr>
        <w:trPr>
          <w:trHeight w:val="243"/>
        </w:trPr>
        <w:tc>
          <w:tcPr>
            <w:tcW w:w="10540" w:type="dxa"/>
            <w:vAlign w:val="bottom"/>
            <w:gridSpan w:val="18"/>
          </w:tcPr>
          <w:p>
            <w:pPr>
              <w:spacing w:after="0"/>
              <w:rPr>
                <w:sz w:val="20"/>
                <w:szCs w:val="20"/>
                <w:color w:val="auto"/>
              </w:rPr>
            </w:pPr>
            <w:r>
              <w:rPr>
                <w:rFonts w:ascii="Arial" w:cs="Arial" w:eastAsia="Arial" w:hAnsi="Arial"/>
                <w:sz w:val="16"/>
                <w:szCs w:val="16"/>
                <w:b w:val="1"/>
                <w:bCs w:val="1"/>
                <w:color w:val="auto"/>
              </w:rPr>
              <w:t>Special Note Regarding Forward-Looking Statements</w:t>
            </w:r>
          </w:p>
        </w:tc>
        <w:tc>
          <w:tcPr>
            <w:tcW w:w="540" w:type="dxa"/>
            <w:vAlign w:val="bottom"/>
          </w:tcPr>
          <w:p>
            <w:pPr>
              <w:jc w:val="center"/>
              <w:spacing w:after="0"/>
              <w:rPr>
                <w:sz w:val="20"/>
                <w:szCs w:val="20"/>
                <w:color w:val="auto"/>
              </w:rPr>
            </w:pPr>
            <w:r>
              <w:rPr>
                <w:rFonts w:ascii="Arial" w:cs="Arial" w:eastAsia="Arial" w:hAnsi="Arial"/>
                <w:sz w:val="16"/>
                <w:szCs w:val="16"/>
                <w:color w:val="auto"/>
              </w:rPr>
              <w:t>ii</w:t>
            </w:r>
          </w:p>
        </w:tc>
        <w:tc>
          <w:tcPr>
            <w:tcW w:w="0" w:type="dxa"/>
            <w:vAlign w:val="bottom"/>
          </w:tcPr>
          <w:p>
            <w:pPr>
              <w:spacing w:after="0"/>
              <w:rPr>
                <w:sz w:val="1"/>
                <w:szCs w:val="1"/>
                <w:color w:val="auto"/>
              </w:rPr>
            </w:pPr>
          </w:p>
        </w:tc>
      </w:tr>
      <w:tr>
        <w:trPr>
          <w:trHeight w:val="500"/>
        </w:trPr>
        <w:tc>
          <w:tcPr>
            <w:tcW w:w="980" w:type="dxa"/>
            <w:vAlign w:val="bottom"/>
          </w:tcPr>
          <w:p>
            <w:pPr>
              <w:spacing w:after="0"/>
              <w:rPr>
                <w:sz w:val="20"/>
                <w:szCs w:val="20"/>
                <w:color w:val="auto"/>
              </w:rPr>
            </w:pPr>
            <w:r>
              <w:rPr>
                <w:rFonts w:ascii="Arial" w:cs="Arial" w:eastAsia="Arial" w:hAnsi="Arial"/>
                <w:sz w:val="16"/>
                <w:szCs w:val="16"/>
                <w:b w:val="1"/>
                <w:bCs w:val="1"/>
                <w:color w:val="auto"/>
              </w:rPr>
              <w:t>Part I</w:t>
            </w:r>
          </w:p>
        </w:tc>
        <w:tc>
          <w:tcPr>
            <w:tcW w:w="9560" w:type="dxa"/>
            <w:vAlign w:val="bottom"/>
            <w:gridSpan w:val="17"/>
          </w:tcPr>
          <w:p>
            <w:pPr>
              <w:spacing w:after="0"/>
              <w:rPr>
                <w:sz w:val="20"/>
                <w:szCs w:val="20"/>
                <w:color w:val="auto"/>
              </w:rPr>
            </w:pPr>
            <w:r>
              <w:rPr>
                <w:rFonts w:ascii="Arial" w:cs="Arial" w:eastAsia="Arial" w:hAnsi="Arial"/>
                <w:sz w:val="16"/>
                <w:szCs w:val="16"/>
                <w:b w:val="1"/>
                <w:bCs w:val="1"/>
                <w:color w:val="auto"/>
              </w:rPr>
              <w:t>Financial Information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980" w:type="dxa"/>
            <w:vAlign w:val="bottom"/>
          </w:tcPr>
          <w:p>
            <w:pPr>
              <w:spacing w:after="0"/>
              <w:rPr>
                <w:sz w:val="20"/>
                <w:szCs w:val="20"/>
                <w:color w:val="auto"/>
              </w:rPr>
            </w:pPr>
            <w:r>
              <w:rPr>
                <w:rFonts w:ascii="Arial" w:cs="Arial" w:eastAsia="Arial" w:hAnsi="Arial"/>
                <w:sz w:val="16"/>
                <w:szCs w:val="16"/>
                <w:color w:val="auto"/>
              </w:rPr>
              <w:t>Item 1.</w:t>
            </w:r>
          </w:p>
        </w:tc>
        <w:tc>
          <w:tcPr>
            <w:tcW w:w="1360" w:type="dxa"/>
            <w:vAlign w:val="bottom"/>
            <w:tcBorders>
              <w:bottom w:val="single" w:sz="8" w:color="3051F2"/>
            </w:tcBorders>
            <w:gridSpan w:val="5"/>
          </w:tcPr>
          <w:p>
            <w:pPr>
              <w:spacing w:after="0"/>
              <w:rPr>
                <w:sz w:val="20"/>
                <w:szCs w:val="20"/>
                <w:color w:val="auto"/>
              </w:rPr>
            </w:pPr>
            <w:r>
              <w:rPr>
                <w:rFonts w:ascii="Arial" w:cs="Arial" w:eastAsia="Arial" w:hAnsi="Arial"/>
                <w:sz w:val="16"/>
                <w:szCs w:val="16"/>
                <w:color w:val="3051F2"/>
                <w:w w:val="89"/>
              </w:rPr>
              <w:t>Financial Statements</w:t>
            </w:r>
          </w:p>
        </w:tc>
        <w:tc>
          <w:tcPr>
            <w:tcW w:w="8200" w:type="dxa"/>
            <w:vAlign w:val="bottom"/>
            <w:gridSpan w:val="12"/>
          </w:tcPr>
          <w:p>
            <w:pPr>
              <w:spacing w:after="0"/>
              <w:rPr>
                <w:sz w:val="18"/>
                <w:szCs w:val="18"/>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5920" w:type="dxa"/>
            <w:vAlign w:val="bottom"/>
            <w:tcBorders>
              <w:bottom w:val="single" w:sz="8" w:color="3051F2"/>
            </w:tcBorders>
            <w:gridSpan w:val="12"/>
          </w:tcPr>
          <w:p>
            <w:pPr>
              <w:spacing w:after="0"/>
              <w:rPr>
                <w:sz w:val="20"/>
                <w:szCs w:val="20"/>
                <w:color w:val="auto"/>
              </w:rPr>
            </w:pPr>
            <w:r>
              <w:rPr>
                <w:rFonts w:ascii="Arial" w:cs="Arial" w:eastAsia="Arial" w:hAnsi="Arial"/>
                <w:sz w:val="16"/>
                <w:szCs w:val="16"/>
                <w:color w:val="3051F2"/>
                <w:w w:val="89"/>
              </w:rPr>
              <w:t>Condensed Consolidated Balance Sheets as of September 30, 2022 and December 31, 2021</w:t>
            </w:r>
          </w:p>
        </w:tc>
        <w:tc>
          <w:tcPr>
            <w:tcW w:w="3640" w:type="dxa"/>
            <w:vAlign w:val="bottom"/>
            <w:gridSpan w:val="5"/>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1</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9560" w:type="dxa"/>
            <w:vAlign w:val="bottom"/>
            <w:gridSpan w:val="17"/>
          </w:tcPr>
          <w:p>
            <w:pPr>
              <w:spacing w:after="0"/>
              <w:rPr>
                <w:sz w:val="20"/>
                <w:szCs w:val="20"/>
                <w:color w:val="auto"/>
              </w:rPr>
            </w:pPr>
            <w:r>
              <w:rPr>
                <w:rFonts w:ascii="Arial" w:cs="Arial" w:eastAsia="Arial" w:hAnsi="Arial"/>
                <w:sz w:val="16"/>
                <w:szCs w:val="16"/>
                <w:color w:val="3051F2"/>
              </w:rPr>
              <w:t>Condensed Consolidated Statements of Operations for the three and nine months ended September 30, 2022 and 2021</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2</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240" w:type="dxa"/>
            <w:vAlign w:val="bottom"/>
            <w:shd w:val="clear" w:color="auto" w:fill="3051F2"/>
          </w:tcPr>
          <w:p>
            <w:pPr>
              <w:spacing w:after="0" w:line="20" w:lineRule="exact"/>
              <w:rPr>
                <w:sz w:val="1"/>
                <w:szCs w:val="1"/>
                <w:color w:val="auto"/>
              </w:rPr>
            </w:pPr>
          </w:p>
        </w:tc>
        <w:tc>
          <w:tcPr>
            <w:tcW w:w="320" w:type="dxa"/>
            <w:vAlign w:val="bottom"/>
            <w:shd w:val="clear" w:color="auto" w:fill="3051F2"/>
          </w:tcPr>
          <w:p>
            <w:pPr>
              <w:spacing w:after="0" w:line="20" w:lineRule="exact"/>
              <w:rPr>
                <w:sz w:val="1"/>
                <w:szCs w:val="1"/>
                <w:color w:val="auto"/>
              </w:rPr>
            </w:pPr>
          </w:p>
        </w:tc>
        <w:tc>
          <w:tcPr>
            <w:tcW w:w="1900" w:type="dxa"/>
            <w:vAlign w:val="bottom"/>
            <w:shd w:val="clear" w:color="auto" w:fill="3051F2"/>
          </w:tcPr>
          <w:p>
            <w:pPr>
              <w:spacing w:after="0" w:line="20" w:lineRule="exact"/>
              <w:rPr>
                <w:sz w:val="1"/>
                <w:szCs w:val="1"/>
                <w:color w:val="auto"/>
              </w:rPr>
            </w:pPr>
          </w:p>
        </w:tc>
        <w:tc>
          <w:tcPr>
            <w:tcW w:w="1240" w:type="dxa"/>
            <w:vAlign w:val="bottom"/>
            <w:gridSpan w:val="2"/>
            <w:shd w:val="clear" w:color="auto" w:fill="3051F2"/>
          </w:tcPr>
          <w:p>
            <w:pPr>
              <w:spacing w:after="0" w:line="20" w:lineRule="exact"/>
              <w:rPr>
                <w:sz w:val="1"/>
                <w:szCs w:val="1"/>
                <w:color w:val="auto"/>
              </w:rPr>
            </w:pPr>
          </w:p>
        </w:tc>
        <w:tc>
          <w:tcPr>
            <w:tcW w:w="580" w:type="dxa"/>
            <w:vAlign w:val="bottom"/>
            <w:shd w:val="clear" w:color="auto" w:fill="3051F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980" w:type="dxa"/>
            <w:vAlign w:val="bottom"/>
          </w:tcPr>
          <w:p>
            <w:pPr>
              <w:spacing w:after="0"/>
              <w:rPr>
                <w:sz w:val="19"/>
                <w:szCs w:val="19"/>
                <w:color w:val="auto"/>
              </w:rPr>
            </w:pPr>
          </w:p>
        </w:tc>
        <w:tc>
          <w:tcPr>
            <w:tcW w:w="8300" w:type="dxa"/>
            <w:vAlign w:val="bottom"/>
            <w:tcBorders>
              <w:bottom w:val="single" w:sz="8" w:color="3051F2"/>
            </w:tcBorders>
            <w:gridSpan w:val="15"/>
          </w:tcPr>
          <w:p>
            <w:pPr>
              <w:spacing w:after="0"/>
              <w:rPr>
                <w:sz w:val="20"/>
                <w:szCs w:val="20"/>
                <w:color w:val="auto"/>
              </w:rPr>
            </w:pPr>
            <w:r>
              <w:rPr>
                <w:rFonts w:ascii="Arial" w:cs="Arial" w:eastAsia="Arial" w:hAnsi="Arial"/>
                <w:sz w:val="16"/>
                <w:szCs w:val="16"/>
                <w:color w:val="3051F2"/>
                <w:w w:val="89"/>
              </w:rPr>
              <w:t>Condensed Consolidated Statements of Comprehensive Loss for the three and nine months ended September 30, 2022 and 2021</w:t>
            </w:r>
          </w:p>
        </w:tc>
        <w:tc>
          <w:tcPr>
            <w:tcW w:w="1260" w:type="dxa"/>
            <w:vAlign w:val="bottom"/>
            <w:gridSpan w:val="2"/>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9560" w:type="dxa"/>
            <w:vAlign w:val="bottom"/>
            <w:gridSpan w:val="17"/>
          </w:tcPr>
          <w:p>
            <w:pPr>
              <w:spacing w:after="0"/>
              <w:rPr>
                <w:sz w:val="20"/>
                <w:szCs w:val="20"/>
                <w:color w:val="auto"/>
              </w:rPr>
            </w:pPr>
            <w:r>
              <w:rPr>
                <w:rFonts w:ascii="Arial" w:cs="Arial" w:eastAsia="Arial" w:hAnsi="Arial"/>
                <w:sz w:val="16"/>
                <w:szCs w:val="16"/>
                <w:color w:val="3051F2"/>
                <w:w w:val="92"/>
              </w:rPr>
              <w:t>Condensed Consolidated Statements of Redeemable Convertible Preferred Stock and Stockholders’ Equity (Deficit) for the three and nine months</w:t>
            </w: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980" w:type="dxa"/>
            <w:vAlign w:val="bottom"/>
          </w:tcPr>
          <w:p>
            <w:pPr>
              <w:spacing w:after="0"/>
              <w:rPr>
                <w:sz w:val="14"/>
                <w:szCs w:val="14"/>
                <w:color w:val="auto"/>
              </w:rPr>
            </w:pPr>
          </w:p>
        </w:tc>
        <w:tc>
          <w:tcPr>
            <w:tcW w:w="9460" w:type="dxa"/>
            <w:vAlign w:val="bottom"/>
            <w:tcBorders>
              <w:top w:val="single" w:sz="8" w:color="3051F2"/>
            </w:tcBorders>
            <w:gridSpan w:val="16"/>
          </w:tcPr>
          <w:p>
            <w:pPr>
              <w:spacing w:after="0" w:line="155" w:lineRule="exact"/>
              <w:rPr>
                <w:sz w:val="20"/>
                <w:szCs w:val="20"/>
                <w:color w:val="auto"/>
              </w:rPr>
            </w:pPr>
            <w:r>
              <w:rPr>
                <w:rFonts w:ascii="Arial" w:cs="Arial" w:eastAsia="Arial" w:hAnsi="Arial"/>
                <w:sz w:val="16"/>
                <w:szCs w:val="16"/>
                <w:color w:val="3051F2"/>
              </w:rPr>
              <w:t>ended September 30, 2022 and 2021</w:t>
            </w:r>
          </w:p>
        </w:tc>
        <w:tc>
          <w:tcPr>
            <w:tcW w:w="100" w:type="dxa"/>
            <w:vAlign w:val="bottom"/>
          </w:tcPr>
          <w:p>
            <w:pPr>
              <w:spacing w:after="0"/>
              <w:rPr>
                <w:sz w:val="14"/>
                <w:szCs w:val="14"/>
                <w:color w:val="auto"/>
              </w:rPr>
            </w:pPr>
          </w:p>
        </w:tc>
        <w:tc>
          <w:tcPr>
            <w:tcW w:w="540" w:type="dxa"/>
            <w:vAlign w:val="bottom"/>
          </w:tcPr>
          <w:p>
            <w:pPr>
              <w:jc w:val="center"/>
              <w:spacing w:after="0" w:line="155" w:lineRule="exact"/>
              <w:rPr>
                <w:sz w:val="20"/>
                <w:szCs w:val="20"/>
                <w:color w:val="auto"/>
              </w:rPr>
            </w:pPr>
            <w:r>
              <w:rPr>
                <w:rFonts w:ascii="Arial" w:cs="Arial" w:eastAsia="Arial" w:hAnsi="Arial"/>
                <w:sz w:val="16"/>
                <w:szCs w:val="16"/>
                <w:color w:val="auto"/>
                <w:w w:val="89"/>
              </w:rPr>
              <w:t>4</w:t>
            </w:r>
          </w:p>
        </w:tc>
        <w:tc>
          <w:tcPr>
            <w:tcW w:w="0" w:type="dxa"/>
            <w:vAlign w:val="bottom"/>
          </w:tcPr>
          <w:p>
            <w:pPr>
              <w:spacing w:after="0"/>
              <w:rPr>
                <w:sz w:val="1"/>
                <w:szCs w:val="1"/>
                <w:color w:val="auto"/>
              </w:rPr>
            </w:pPr>
          </w:p>
        </w:tc>
      </w:tr>
      <w:tr>
        <w:trPr>
          <w:trHeight w:val="20"/>
        </w:trPr>
        <w:tc>
          <w:tcPr>
            <w:tcW w:w="980" w:type="dxa"/>
            <w:vAlign w:val="bottom"/>
          </w:tcPr>
          <w:p>
            <w:pPr>
              <w:spacing w:after="0" w:line="20" w:lineRule="exact"/>
              <w:rPr>
                <w:sz w:val="1"/>
                <w:szCs w:val="1"/>
                <w:color w:val="auto"/>
              </w:rPr>
            </w:pPr>
          </w:p>
        </w:tc>
        <w:tc>
          <w:tcPr>
            <w:tcW w:w="540" w:type="dxa"/>
            <w:vAlign w:val="bottom"/>
            <w:shd w:val="clear" w:color="auto" w:fill="3051F2"/>
          </w:tcPr>
          <w:p>
            <w:pPr>
              <w:spacing w:after="0" w:line="20" w:lineRule="exact"/>
              <w:rPr>
                <w:sz w:val="1"/>
                <w:szCs w:val="1"/>
                <w:color w:val="auto"/>
              </w:rPr>
            </w:pPr>
          </w:p>
        </w:tc>
        <w:tc>
          <w:tcPr>
            <w:tcW w:w="280" w:type="dxa"/>
            <w:vAlign w:val="bottom"/>
            <w:shd w:val="clear" w:color="auto" w:fill="3051F2"/>
          </w:tcPr>
          <w:p>
            <w:pPr>
              <w:spacing w:after="0" w:line="20" w:lineRule="exact"/>
              <w:rPr>
                <w:sz w:val="1"/>
                <w:szCs w:val="1"/>
                <w:color w:val="auto"/>
              </w:rPr>
            </w:pPr>
          </w:p>
        </w:tc>
        <w:tc>
          <w:tcPr>
            <w:tcW w:w="360" w:type="dxa"/>
            <w:vAlign w:val="bottom"/>
            <w:shd w:val="clear" w:color="auto" w:fill="3051F2"/>
          </w:tcPr>
          <w:p>
            <w:pPr>
              <w:spacing w:after="0" w:line="20" w:lineRule="exact"/>
              <w:rPr>
                <w:sz w:val="1"/>
                <w:szCs w:val="1"/>
                <w:color w:val="auto"/>
              </w:rPr>
            </w:pPr>
          </w:p>
        </w:tc>
        <w:tc>
          <w:tcPr>
            <w:tcW w:w="20" w:type="dxa"/>
            <w:vAlign w:val="bottom"/>
            <w:shd w:val="clear" w:color="auto" w:fill="3051F2"/>
          </w:tcPr>
          <w:p>
            <w:pPr>
              <w:spacing w:after="0" w:line="20" w:lineRule="exact"/>
              <w:rPr>
                <w:sz w:val="1"/>
                <w:szCs w:val="1"/>
                <w:color w:val="auto"/>
              </w:rPr>
            </w:pPr>
          </w:p>
        </w:tc>
        <w:tc>
          <w:tcPr>
            <w:tcW w:w="400" w:type="dxa"/>
            <w:vAlign w:val="bottom"/>
            <w:gridSpan w:val="2"/>
            <w:shd w:val="clear" w:color="auto" w:fill="3051F2"/>
          </w:tcPr>
          <w:p>
            <w:pPr>
              <w:spacing w:after="0" w:line="20" w:lineRule="exact"/>
              <w:rPr>
                <w:sz w:val="1"/>
                <w:szCs w:val="1"/>
                <w:color w:val="auto"/>
              </w:rPr>
            </w:pPr>
          </w:p>
        </w:tc>
        <w:tc>
          <w:tcPr>
            <w:tcW w:w="500" w:type="dxa"/>
            <w:vAlign w:val="bottom"/>
            <w:shd w:val="clear" w:color="auto" w:fill="3051F2"/>
          </w:tcPr>
          <w:p>
            <w:pPr>
              <w:spacing w:after="0" w:line="20" w:lineRule="exact"/>
              <w:rPr>
                <w:sz w:val="1"/>
                <w:szCs w:val="1"/>
                <w:color w:val="auto"/>
              </w:rPr>
            </w:pPr>
          </w:p>
        </w:tc>
        <w:tc>
          <w:tcPr>
            <w:tcW w:w="260" w:type="dxa"/>
            <w:vAlign w:val="bottom"/>
            <w:shd w:val="clear" w:color="auto" w:fill="3051F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240" w:type="dxa"/>
            <w:vAlign w:val="bottom"/>
            <w:gridSpan w:val="2"/>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980" w:type="dxa"/>
            <w:vAlign w:val="bottom"/>
          </w:tcPr>
          <w:p>
            <w:pPr>
              <w:spacing w:after="0"/>
              <w:rPr>
                <w:sz w:val="20"/>
                <w:szCs w:val="20"/>
                <w:color w:val="auto"/>
              </w:rPr>
            </w:pPr>
          </w:p>
        </w:tc>
        <w:tc>
          <w:tcPr>
            <w:tcW w:w="7060" w:type="dxa"/>
            <w:vAlign w:val="bottom"/>
            <w:tcBorders>
              <w:bottom w:val="single" w:sz="8" w:color="3051F2"/>
            </w:tcBorders>
            <w:gridSpan w:val="13"/>
          </w:tcPr>
          <w:p>
            <w:pPr>
              <w:spacing w:after="0"/>
              <w:rPr>
                <w:sz w:val="20"/>
                <w:szCs w:val="20"/>
                <w:color w:val="auto"/>
              </w:rPr>
            </w:pPr>
            <w:r>
              <w:rPr>
                <w:rFonts w:ascii="Arial" w:cs="Arial" w:eastAsia="Arial" w:hAnsi="Arial"/>
                <w:sz w:val="16"/>
                <w:szCs w:val="16"/>
                <w:color w:val="3051F2"/>
                <w:w w:val="90"/>
              </w:rPr>
              <w:t>Condensed Consolidated Statements of Cash Flows for the nine months ended September 30, 2022 and 2021</w:t>
            </w:r>
          </w:p>
        </w:tc>
        <w:tc>
          <w:tcPr>
            <w:tcW w:w="2500" w:type="dxa"/>
            <w:vAlign w:val="bottom"/>
            <w:gridSpan w:val="4"/>
          </w:tcPr>
          <w:p>
            <w:pPr>
              <w:spacing w:after="0"/>
              <w:rPr>
                <w:sz w:val="20"/>
                <w:szCs w:val="20"/>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6</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19"/>
                <w:szCs w:val="19"/>
                <w:color w:val="auto"/>
              </w:rPr>
            </w:pPr>
          </w:p>
        </w:tc>
        <w:tc>
          <w:tcPr>
            <w:tcW w:w="3600" w:type="dxa"/>
            <w:vAlign w:val="bottom"/>
            <w:tcBorders>
              <w:bottom w:val="single" w:sz="8" w:color="3051F2"/>
            </w:tcBorders>
            <w:gridSpan w:val="9"/>
          </w:tcPr>
          <w:p>
            <w:pPr>
              <w:spacing w:after="0"/>
              <w:rPr>
                <w:sz w:val="20"/>
                <w:szCs w:val="20"/>
                <w:color w:val="auto"/>
              </w:rPr>
            </w:pPr>
            <w:r>
              <w:rPr>
                <w:rFonts w:ascii="Arial" w:cs="Arial" w:eastAsia="Arial" w:hAnsi="Arial"/>
                <w:sz w:val="16"/>
                <w:szCs w:val="16"/>
                <w:color w:val="3051F2"/>
                <w:w w:val="90"/>
              </w:rPr>
              <w:t>Notes to Condensed Consolidated Financial Statements</w:t>
            </w:r>
          </w:p>
        </w:tc>
        <w:tc>
          <w:tcPr>
            <w:tcW w:w="5960" w:type="dxa"/>
            <w:vAlign w:val="bottom"/>
            <w:gridSpan w:val="8"/>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7</w:t>
            </w:r>
          </w:p>
        </w:tc>
        <w:tc>
          <w:tcPr>
            <w:tcW w:w="0" w:type="dxa"/>
            <w:vAlign w:val="bottom"/>
          </w:tcPr>
          <w:p>
            <w:pPr>
              <w:spacing w:after="0"/>
              <w:rPr>
                <w:sz w:val="1"/>
                <w:szCs w:val="1"/>
                <w:color w:val="auto"/>
              </w:rPr>
            </w:pPr>
          </w:p>
        </w:tc>
      </w:tr>
      <w:tr>
        <w:trPr>
          <w:trHeight w:val="223"/>
        </w:trPr>
        <w:tc>
          <w:tcPr>
            <w:tcW w:w="980" w:type="dxa"/>
            <w:vAlign w:val="bottom"/>
          </w:tcPr>
          <w:p>
            <w:pPr>
              <w:spacing w:after="0"/>
              <w:rPr>
                <w:sz w:val="20"/>
                <w:szCs w:val="20"/>
                <w:color w:val="auto"/>
              </w:rPr>
            </w:pPr>
            <w:r>
              <w:rPr>
                <w:rFonts w:ascii="Arial" w:cs="Arial" w:eastAsia="Arial" w:hAnsi="Arial"/>
                <w:sz w:val="16"/>
                <w:szCs w:val="16"/>
                <w:color w:val="auto"/>
              </w:rPr>
              <w:t>Item 2.</w:t>
            </w:r>
          </w:p>
        </w:tc>
        <w:tc>
          <w:tcPr>
            <w:tcW w:w="5820" w:type="dxa"/>
            <w:vAlign w:val="bottom"/>
            <w:tcBorders>
              <w:bottom w:val="single" w:sz="8" w:color="3051F2"/>
            </w:tcBorders>
            <w:gridSpan w:val="11"/>
          </w:tcPr>
          <w:p>
            <w:pPr>
              <w:spacing w:after="0"/>
              <w:rPr>
                <w:sz w:val="20"/>
                <w:szCs w:val="20"/>
                <w:color w:val="auto"/>
              </w:rPr>
            </w:pPr>
            <w:r>
              <w:rPr>
                <w:rFonts w:ascii="Arial" w:cs="Arial" w:eastAsia="Arial" w:hAnsi="Arial"/>
                <w:sz w:val="16"/>
                <w:szCs w:val="16"/>
                <w:color w:val="3051F2"/>
                <w:w w:val="92"/>
              </w:rPr>
              <w:t>Management’s Discussion and Analysis of Financial Condition and Results of Operations</w:t>
            </w:r>
          </w:p>
        </w:tc>
        <w:tc>
          <w:tcPr>
            <w:tcW w:w="3740" w:type="dxa"/>
            <w:vAlign w:val="bottom"/>
            <w:gridSpan w:val="6"/>
          </w:tcPr>
          <w:p>
            <w:pPr>
              <w:spacing w:after="0"/>
              <w:rPr>
                <w:sz w:val="19"/>
                <w:szCs w:val="19"/>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20</w:t>
            </w: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3.</w:t>
            </w:r>
          </w:p>
        </w:tc>
        <w:tc>
          <w:tcPr>
            <w:tcW w:w="9560" w:type="dxa"/>
            <w:vAlign w:val="bottom"/>
            <w:gridSpan w:val="17"/>
            <w:vMerge w:val="restart"/>
          </w:tcPr>
          <w:p>
            <w:pPr>
              <w:spacing w:after="0"/>
              <w:rPr>
                <w:sz w:val="20"/>
                <w:szCs w:val="20"/>
                <w:color w:val="auto"/>
              </w:rPr>
            </w:pPr>
            <w:r>
              <w:rPr>
                <w:rFonts w:ascii="Arial" w:cs="Arial" w:eastAsia="Arial" w:hAnsi="Arial"/>
                <w:sz w:val="16"/>
                <w:szCs w:val="16"/>
                <w:color w:val="3051F2"/>
              </w:rPr>
              <w:t>Quantitative and Qualitative Disclosures About Market Risk</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0" w:type="dxa"/>
            <w:vAlign w:val="bottom"/>
          </w:tcPr>
          <w:p>
            <w:pPr>
              <w:spacing w:after="0"/>
              <w:rPr>
                <w:sz w:val="1"/>
                <w:szCs w:val="1"/>
                <w:color w:val="auto"/>
              </w:rPr>
            </w:pPr>
          </w:p>
        </w:tc>
      </w:tr>
      <w:tr>
        <w:trPr>
          <w:trHeight w:val="127"/>
        </w:trPr>
        <w:tc>
          <w:tcPr>
            <w:tcW w:w="980" w:type="dxa"/>
            <w:vAlign w:val="bottom"/>
            <w:vMerge w:val="continue"/>
          </w:tcPr>
          <w:p>
            <w:pPr>
              <w:spacing w:after="0"/>
              <w:rPr>
                <w:sz w:val="11"/>
                <w:szCs w:val="11"/>
                <w:color w:val="auto"/>
              </w:rPr>
            </w:pPr>
          </w:p>
        </w:tc>
        <w:tc>
          <w:tcPr>
            <w:tcW w:w="9560" w:type="dxa"/>
            <w:vAlign w:val="bottom"/>
            <w:gridSpan w:val="17"/>
            <w:vMerge w:val="continue"/>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4</w:t>
            </w:r>
          </w:p>
        </w:tc>
        <w:tc>
          <w:tcPr>
            <w:tcW w:w="1600" w:type="dxa"/>
            <w:vAlign w:val="bottom"/>
            <w:tcBorders>
              <w:top w:val="single" w:sz="8" w:color="3051F2"/>
            </w:tcBorders>
            <w:gridSpan w:val="6"/>
            <w:vMerge w:val="restart"/>
          </w:tcPr>
          <w:p>
            <w:pPr>
              <w:spacing w:after="0"/>
              <w:rPr>
                <w:sz w:val="20"/>
                <w:szCs w:val="20"/>
                <w:color w:val="auto"/>
              </w:rPr>
            </w:pPr>
            <w:r>
              <w:rPr>
                <w:rFonts w:ascii="Arial" w:cs="Arial" w:eastAsia="Arial" w:hAnsi="Arial"/>
                <w:sz w:val="16"/>
                <w:szCs w:val="16"/>
                <w:color w:val="3051F2"/>
                <w:w w:val="89"/>
              </w:rPr>
              <w:t>Controls and Procedures</w:t>
            </w:r>
          </w:p>
        </w:tc>
        <w:tc>
          <w:tcPr>
            <w:tcW w:w="2320" w:type="dxa"/>
            <w:vAlign w:val="bottom"/>
            <w:tcBorders>
              <w:top w:val="single" w:sz="8" w:color="3051F2"/>
            </w:tcBorders>
            <w:gridSpan w:val="4"/>
            <w:vMerge w:val="restart"/>
          </w:tcPr>
          <w:p>
            <w:pPr>
              <w:spacing w:after="0"/>
              <w:rPr>
                <w:sz w:val="22"/>
                <w:szCs w:val="22"/>
                <w:color w:val="auto"/>
              </w:rPr>
            </w:pPr>
          </w:p>
        </w:tc>
        <w:tc>
          <w:tcPr>
            <w:tcW w:w="5640" w:type="dxa"/>
            <w:vAlign w:val="bottom"/>
            <w:gridSpan w:val="7"/>
            <w:vMerge w:val="restart"/>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0" w:type="dxa"/>
            <w:vAlign w:val="bottom"/>
          </w:tcPr>
          <w:p>
            <w:pPr>
              <w:spacing w:after="0"/>
              <w:rPr>
                <w:sz w:val="1"/>
                <w:szCs w:val="1"/>
                <w:color w:val="auto"/>
              </w:rPr>
            </w:pPr>
          </w:p>
        </w:tc>
      </w:tr>
      <w:tr>
        <w:trPr>
          <w:trHeight w:val="132"/>
        </w:trPr>
        <w:tc>
          <w:tcPr>
            <w:tcW w:w="980" w:type="dxa"/>
            <w:vAlign w:val="bottom"/>
            <w:vMerge w:val="continue"/>
          </w:tcPr>
          <w:p>
            <w:pPr>
              <w:spacing w:after="0"/>
              <w:rPr>
                <w:sz w:val="11"/>
                <w:szCs w:val="11"/>
                <w:color w:val="auto"/>
              </w:rPr>
            </w:pPr>
          </w:p>
        </w:tc>
        <w:tc>
          <w:tcPr>
            <w:tcW w:w="1600" w:type="dxa"/>
            <w:vAlign w:val="bottom"/>
            <w:tcBorders>
              <w:bottom w:val="single" w:sz="8" w:color="3051F2"/>
            </w:tcBorders>
            <w:gridSpan w:val="6"/>
            <w:vMerge w:val="continue"/>
          </w:tcPr>
          <w:p>
            <w:pPr>
              <w:spacing w:after="0"/>
              <w:rPr>
                <w:sz w:val="11"/>
                <w:szCs w:val="11"/>
                <w:color w:val="auto"/>
              </w:rPr>
            </w:pPr>
          </w:p>
        </w:tc>
        <w:tc>
          <w:tcPr>
            <w:tcW w:w="2320" w:type="dxa"/>
            <w:vAlign w:val="bottom"/>
            <w:gridSpan w:val="4"/>
            <w:vMerge w:val="continue"/>
          </w:tcPr>
          <w:p>
            <w:pPr>
              <w:spacing w:after="0"/>
              <w:rPr>
                <w:sz w:val="11"/>
                <w:szCs w:val="11"/>
                <w:color w:val="auto"/>
              </w:rPr>
            </w:pPr>
          </w:p>
        </w:tc>
        <w:tc>
          <w:tcPr>
            <w:tcW w:w="5640" w:type="dxa"/>
            <w:vAlign w:val="bottom"/>
            <w:gridSpan w:val="7"/>
            <w:vMerge w:val="continue"/>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4"/>
        </w:trPr>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rPr>
              <w:t>Part II</w:t>
            </w:r>
          </w:p>
        </w:tc>
        <w:tc>
          <w:tcPr>
            <w:tcW w:w="9560" w:type="dxa"/>
            <w:vAlign w:val="bottom"/>
            <w:gridSpan w:val="17"/>
            <w:vMerge w:val="restart"/>
          </w:tcPr>
          <w:p>
            <w:pPr>
              <w:spacing w:after="0"/>
              <w:rPr>
                <w:sz w:val="20"/>
                <w:szCs w:val="20"/>
                <w:color w:val="auto"/>
              </w:rPr>
            </w:pPr>
            <w:r>
              <w:rPr>
                <w:rFonts w:ascii="Arial" w:cs="Arial" w:eastAsia="Arial" w:hAnsi="Arial"/>
                <w:sz w:val="16"/>
                <w:szCs w:val="16"/>
                <w:b w:val="1"/>
                <w:bCs w:val="1"/>
                <w:color w:val="auto"/>
              </w:rPr>
              <w:t>Other Information</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9560" w:type="dxa"/>
            <w:vAlign w:val="bottom"/>
            <w:gridSpan w:val="17"/>
            <w:vMerge w:val="continue"/>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980" w:type="dxa"/>
            <w:vAlign w:val="bottom"/>
            <w:vMerge w:val="restart"/>
          </w:tcPr>
          <w:p>
            <w:pPr>
              <w:spacing w:after="0"/>
              <w:rPr>
                <w:sz w:val="20"/>
                <w:szCs w:val="20"/>
                <w:color w:val="auto"/>
              </w:rPr>
            </w:pPr>
            <w:r>
              <w:rPr>
                <w:rFonts w:ascii="Arial" w:cs="Arial" w:eastAsia="Arial" w:hAnsi="Arial"/>
                <w:sz w:val="16"/>
                <w:szCs w:val="16"/>
                <w:color w:val="auto"/>
              </w:rPr>
              <w:t>Item 1.</w:t>
            </w:r>
          </w:p>
        </w:tc>
        <w:tc>
          <w:tcPr>
            <w:tcW w:w="1200" w:type="dxa"/>
            <w:vAlign w:val="bottom"/>
            <w:gridSpan w:val="4"/>
            <w:vMerge w:val="restart"/>
          </w:tcPr>
          <w:p>
            <w:pPr>
              <w:spacing w:after="0"/>
              <w:rPr>
                <w:sz w:val="20"/>
                <w:szCs w:val="20"/>
                <w:color w:val="auto"/>
              </w:rPr>
            </w:pPr>
            <w:r>
              <w:rPr>
                <w:rFonts w:ascii="Arial" w:cs="Arial" w:eastAsia="Arial" w:hAnsi="Arial"/>
                <w:sz w:val="16"/>
                <w:szCs w:val="16"/>
                <w:color w:val="3051F2"/>
                <w:w w:val="89"/>
              </w:rPr>
              <w:t>Legal Proceedings</w:t>
            </w:r>
          </w:p>
        </w:tc>
        <w:tc>
          <w:tcPr>
            <w:tcW w:w="8360" w:type="dxa"/>
            <w:vAlign w:val="bottom"/>
            <w:gridSpan w:val="13"/>
            <w:vMerge w:val="restart"/>
          </w:tcPr>
          <w:p>
            <w:pPr>
              <w:spacing w:after="0"/>
              <w:rPr>
                <w:sz w:val="21"/>
                <w:szCs w:val="21"/>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1200" w:type="dxa"/>
            <w:vAlign w:val="bottom"/>
            <w:tcBorders>
              <w:bottom w:val="single" w:sz="8" w:color="3051F2"/>
            </w:tcBorders>
            <w:gridSpan w:val="4"/>
            <w:vMerge w:val="continue"/>
          </w:tcPr>
          <w:p>
            <w:pPr>
              <w:spacing w:after="0"/>
              <w:rPr>
                <w:sz w:val="11"/>
                <w:szCs w:val="11"/>
                <w:color w:val="auto"/>
              </w:rPr>
            </w:pPr>
          </w:p>
        </w:tc>
        <w:tc>
          <w:tcPr>
            <w:tcW w:w="8360" w:type="dxa"/>
            <w:vAlign w:val="bottom"/>
            <w:gridSpan w:val="13"/>
            <w:vMerge w:val="continue"/>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1A.</w:t>
            </w:r>
          </w:p>
        </w:tc>
        <w:tc>
          <w:tcPr>
            <w:tcW w:w="820" w:type="dxa"/>
            <w:vAlign w:val="bottom"/>
            <w:gridSpan w:val="2"/>
            <w:vMerge w:val="restart"/>
          </w:tcPr>
          <w:p>
            <w:pPr>
              <w:spacing w:after="0"/>
              <w:rPr>
                <w:sz w:val="20"/>
                <w:szCs w:val="20"/>
                <w:color w:val="auto"/>
              </w:rPr>
            </w:pPr>
            <w:r>
              <w:rPr>
                <w:rFonts w:ascii="Arial" w:cs="Arial" w:eastAsia="Arial" w:hAnsi="Arial"/>
                <w:sz w:val="16"/>
                <w:szCs w:val="16"/>
                <w:color w:val="3051F2"/>
                <w:w w:val="89"/>
              </w:rPr>
              <w:t>Risk Factors</w:t>
            </w:r>
          </w:p>
        </w:tc>
        <w:tc>
          <w:tcPr>
            <w:tcW w:w="8740" w:type="dxa"/>
            <w:vAlign w:val="bottom"/>
            <w:gridSpan w:val="15"/>
            <w:vMerge w:val="restart"/>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820" w:type="dxa"/>
            <w:vAlign w:val="bottom"/>
            <w:tcBorders>
              <w:bottom w:val="single" w:sz="8" w:color="3051F2"/>
            </w:tcBorders>
            <w:gridSpan w:val="2"/>
            <w:vMerge w:val="continue"/>
          </w:tcPr>
          <w:p>
            <w:pPr>
              <w:spacing w:after="0"/>
              <w:rPr>
                <w:sz w:val="11"/>
                <w:szCs w:val="11"/>
                <w:color w:val="auto"/>
              </w:rPr>
            </w:pPr>
          </w:p>
        </w:tc>
        <w:tc>
          <w:tcPr>
            <w:tcW w:w="8740" w:type="dxa"/>
            <w:vAlign w:val="bottom"/>
            <w:gridSpan w:val="15"/>
            <w:vMerge w:val="continue"/>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2.</w:t>
            </w:r>
          </w:p>
        </w:tc>
        <w:tc>
          <w:tcPr>
            <w:tcW w:w="3920" w:type="dxa"/>
            <w:vAlign w:val="bottom"/>
            <w:gridSpan w:val="10"/>
            <w:vMerge w:val="restart"/>
          </w:tcPr>
          <w:p>
            <w:pPr>
              <w:spacing w:after="0"/>
              <w:rPr>
                <w:sz w:val="20"/>
                <w:szCs w:val="20"/>
                <w:color w:val="auto"/>
              </w:rPr>
            </w:pPr>
            <w:r>
              <w:rPr>
                <w:rFonts w:ascii="Arial" w:cs="Arial" w:eastAsia="Arial" w:hAnsi="Arial"/>
                <w:sz w:val="16"/>
                <w:szCs w:val="16"/>
                <w:color w:val="3051F2"/>
                <w:w w:val="90"/>
              </w:rPr>
              <w:t>Unregistered Sales of Equity Securities and Use of Proceeds</w:t>
            </w:r>
          </w:p>
        </w:tc>
        <w:tc>
          <w:tcPr>
            <w:tcW w:w="5640" w:type="dxa"/>
            <w:vAlign w:val="bottom"/>
            <w:gridSpan w:val="7"/>
            <w:vMerge w:val="restart"/>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3920" w:type="dxa"/>
            <w:vAlign w:val="bottom"/>
            <w:tcBorders>
              <w:bottom w:val="single" w:sz="8" w:color="3051F2"/>
            </w:tcBorders>
            <w:gridSpan w:val="10"/>
            <w:vMerge w:val="continue"/>
          </w:tcPr>
          <w:p>
            <w:pPr>
              <w:spacing w:after="0"/>
              <w:rPr>
                <w:sz w:val="11"/>
                <w:szCs w:val="11"/>
                <w:color w:val="auto"/>
              </w:rPr>
            </w:pPr>
          </w:p>
        </w:tc>
        <w:tc>
          <w:tcPr>
            <w:tcW w:w="5640" w:type="dxa"/>
            <w:vAlign w:val="bottom"/>
            <w:gridSpan w:val="7"/>
            <w:vMerge w:val="continue"/>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3.</w:t>
            </w:r>
          </w:p>
        </w:tc>
        <w:tc>
          <w:tcPr>
            <w:tcW w:w="2100" w:type="dxa"/>
            <w:vAlign w:val="bottom"/>
            <w:gridSpan w:val="7"/>
            <w:vMerge w:val="restart"/>
          </w:tcPr>
          <w:p>
            <w:pPr>
              <w:spacing w:after="0"/>
              <w:rPr>
                <w:sz w:val="20"/>
                <w:szCs w:val="20"/>
                <w:color w:val="auto"/>
              </w:rPr>
            </w:pPr>
            <w:r>
              <w:rPr>
                <w:rFonts w:ascii="Arial" w:cs="Arial" w:eastAsia="Arial" w:hAnsi="Arial"/>
                <w:sz w:val="16"/>
                <w:szCs w:val="16"/>
                <w:color w:val="3051F2"/>
                <w:w w:val="91"/>
              </w:rPr>
              <w:t>Defaults Upon Senior Securities</w:t>
            </w:r>
          </w:p>
        </w:tc>
        <w:tc>
          <w:tcPr>
            <w:tcW w:w="7460" w:type="dxa"/>
            <w:vAlign w:val="bottom"/>
            <w:gridSpan w:val="10"/>
            <w:vMerge w:val="restart"/>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2100" w:type="dxa"/>
            <w:vAlign w:val="bottom"/>
            <w:tcBorders>
              <w:bottom w:val="single" w:sz="8" w:color="3051F2"/>
            </w:tcBorders>
            <w:gridSpan w:val="7"/>
            <w:vMerge w:val="continue"/>
          </w:tcPr>
          <w:p>
            <w:pPr>
              <w:spacing w:after="0"/>
              <w:rPr>
                <w:sz w:val="11"/>
                <w:szCs w:val="11"/>
                <w:color w:val="auto"/>
              </w:rPr>
            </w:pPr>
          </w:p>
        </w:tc>
        <w:tc>
          <w:tcPr>
            <w:tcW w:w="7460" w:type="dxa"/>
            <w:vAlign w:val="bottom"/>
            <w:gridSpan w:val="10"/>
            <w:vMerge w:val="continue"/>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4.</w:t>
            </w:r>
          </w:p>
        </w:tc>
        <w:tc>
          <w:tcPr>
            <w:tcW w:w="1600" w:type="dxa"/>
            <w:vAlign w:val="bottom"/>
            <w:gridSpan w:val="6"/>
            <w:vMerge w:val="restart"/>
          </w:tcPr>
          <w:p>
            <w:pPr>
              <w:spacing w:after="0"/>
              <w:rPr>
                <w:sz w:val="20"/>
                <w:szCs w:val="20"/>
                <w:color w:val="auto"/>
              </w:rPr>
            </w:pPr>
            <w:r>
              <w:rPr>
                <w:rFonts w:ascii="Arial" w:cs="Arial" w:eastAsia="Arial" w:hAnsi="Arial"/>
                <w:sz w:val="16"/>
                <w:szCs w:val="16"/>
                <w:color w:val="3051F2"/>
                <w:w w:val="92"/>
              </w:rPr>
              <w:t>Mine Safety Disclosures</w:t>
            </w:r>
          </w:p>
        </w:tc>
        <w:tc>
          <w:tcPr>
            <w:tcW w:w="7960" w:type="dxa"/>
            <w:vAlign w:val="bottom"/>
            <w:gridSpan w:val="11"/>
            <w:vMerge w:val="restart"/>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133"/>
        </w:trPr>
        <w:tc>
          <w:tcPr>
            <w:tcW w:w="980" w:type="dxa"/>
            <w:vAlign w:val="bottom"/>
            <w:vMerge w:val="continue"/>
          </w:tcPr>
          <w:p>
            <w:pPr>
              <w:spacing w:after="0"/>
              <w:rPr>
                <w:sz w:val="11"/>
                <w:szCs w:val="11"/>
                <w:color w:val="auto"/>
              </w:rPr>
            </w:pPr>
          </w:p>
        </w:tc>
        <w:tc>
          <w:tcPr>
            <w:tcW w:w="1600" w:type="dxa"/>
            <w:vAlign w:val="bottom"/>
            <w:tcBorders>
              <w:bottom w:val="single" w:sz="8" w:color="3051F2"/>
            </w:tcBorders>
            <w:gridSpan w:val="6"/>
            <w:vMerge w:val="continue"/>
          </w:tcPr>
          <w:p>
            <w:pPr>
              <w:spacing w:after="0"/>
              <w:rPr>
                <w:sz w:val="11"/>
                <w:szCs w:val="11"/>
                <w:color w:val="auto"/>
              </w:rPr>
            </w:pPr>
          </w:p>
        </w:tc>
        <w:tc>
          <w:tcPr>
            <w:tcW w:w="7960" w:type="dxa"/>
            <w:vAlign w:val="bottom"/>
            <w:gridSpan w:val="11"/>
            <w:vMerge w:val="continue"/>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8"/>
        </w:trPr>
        <w:tc>
          <w:tcPr>
            <w:tcW w:w="980" w:type="dxa"/>
            <w:vAlign w:val="bottom"/>
            <w:vMerge w:val="restart"/>
          </w:tcPr>
          <w:p>
            <w:pPr>
              <w:spacing w:after="0"/>
              <w:rPr>
                <w:sz w:val="20"/>
                <w:szCs w:val="20"/>
                <w:color w:val="auto"/>
              </w:rPr>
            </w:pPr>
            <w:r>
              <w:rPr>
                <w:rFonts w:ascii="Arial" w:cs="Arial" w:eastAsia="Arial" w:hAnsi="Arial"/>
                <w:sz w:val="16"/>
                <w:szCs w:val="16"/>
                <w:color w:val="auto"/>
              </w:rPr>
              <w:t>Item 5.</w:t>
            </w:r>
          </w:p>
        </w:tc>
        <w:tc>
          <w:tcPr>
            <w:tcW w:w="9560" w:type="dxa"/>
            <w:vAlign w:val="bottom"/>
            <w:gridSpan w:val="17"/>
            <w:vMerge w:val="restart"/>
          </w:tcPr>
          <w:p>
            <w:pPr>
              <w:spacing w:after="0"/>
              <w:rPr>
                <w:sz w:val="20"/>
                <w:szCs w:val="20"/>
                <w:color w:val="auto"/>
              </w:rPr>
            </w:pPr>
            <w:r>
              <w:rPr>
                <w:rFonts w:ascii="Arial" w:cs="Arial" w:eastAsia="Arial" w:hAnsi="Arial"/>
                <w:sz w:val="16"/>
                <w:szCs w:val="16"/>
                <w:color w:val="3051F2"/>
              </w:rPr>
              <w:t>Other Information</w:t>
            </w: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36</w:t>
            </w: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9560" w:type="dxa"/>
            <w:vAlign w:val="bottom"/>
            <w:gridSpan w:val="17"/>
            <w:vMerge w:val="continue"/>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7"/>
        </w:trPr>
        <w:tc>
          <w:tcPr>
            <w:tcW w:w="980" w:type="dxa"/>
            <w:vAlign w:val="bottom"/>
            <w:vMerge w:val="restart"/>
          </w:tcPr>
          <w:p>
            <w:pPr>
              <w:spacing w:after="0"/>
              <w:rPr>
                <w:sz w:val="20"/>
                <w:szCs w:val="20"/>
                <w:color w:val="auto"/>
              </w:rPr>
            </w:pPr>
            <w:r>
              <w:rPr>
                <w:rFonts w:ascii="Arial" w:cs="Arial" w:eastAsia="Arial" w:hAnsi="Arial"/>
                <w:sz w:val="16"/>
                <w:szCs w:val="16"/>
                <w:color w:val="auto"/>
              </w:rPr>
              <w:t>Item 6.</w:t>
            </w:r>
          </w:p>
        </w:tc>
        <w:tc>
          <w:tcPr>
            <w:tcW w:w="1180" w:type="dxa"/>
            <w:vAlign w:val="bottom"/>
            <w:tcBorders>
              <w:top w:val="single" w:sz="8" w:color="3051F2"/>
            </w:tcBorders>
            <w:gridSpan w:val="3"/>
            <w:vMerge w:val="restart"/>
          </w:tcPr>
          <w:p>
            <w:pPr>
              <w:spacing w:after="0"/>
              <w:rPr>
                <w:sz w:val="20"/>
                <w:szCs w:val="20"/>
                <w:color w:val="auto"/>
              </w:rPr>
            </w:pPr>
            <w:r>
              <w:rPr>
                <w:rFonts w:ascii="Arial" w:cs="Arial" w:eastAsia="Arial" w:hAnsi="Arial"/>
                <w:sz w:val="16"/>
                <w:szCs w:val="16"/>
                <w:color w:val="3051F2"/>
              </w:rPr>
              <w:t>Exhibits</w:t>
            </w:r>
          </w:p>
        </w:tc>
        <w:tc>
          <w:tcPr>
            <w:tcW w:w="8380" w:type="dxa"/>
            <w:vAlign w:val="bottom"/>
            <w:gridSpan w:val="14"/>
            <w:vMerge w:val="restart"/>
          </w:tcPr>
          <w:p>
            <w:pPr>
              <w:spacing w:after="0"/>
              <w:rPr>
                <w:sz w:val="22"/>
                <w:szCs w:val="22"/>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37</w:t>
            </w:r>
          </w:p>
        </w:tc>
        <w:tc>
          <w:tcPr>
            <w:tcW w:w="0" w:type="dxa"/>
            <w:vAlign w:val="bottom"/>
          </w:tcPr>
          <w:p>
            <w:pPr>
              <w:spacing w:after="0"/>
              <w:rPr>
                <w:sz w:val="1"/>
                <w:szCs w:val="1"/>
                <w:color w:val="auto"/>
              </w:rPr>
            </w:pPr>
          </w:p>
        </w:tc>
      </w:tr>
      <w:tr>
        <w:trPr>
          <w:trHeight w:val="128"/>
        </w:trPr>
        <w:tc>
          <w:tcPr>
            <w:tcW w:w="980" w:type="dxa"/>
            <w:vAlign w:val="bottom"/>
            <w:vMerge w:val="continue"/>
          </w:tcPr>
          <w:p>
            <w:pPr>
              <w:spacing w:after="0"/>
              <w:rPr>
                <w:sz w:val="11"/>
                <w:szCs w:val="11"/>
                <w:color w:val="auto"/>
              </w:rPr>
            </w:pPr>
          </w:p>
        </w:tc>
        <w:tc>
          <w:tcPr>
            <w:tcW w:w="1180" w:type="dxa"/>
            <w:vAlign w:val="bottom"/>
            <w:gridSpan w:val="3"/>
            <w:vMerge w:val="continue"/>
          </w:tcPr>
          <w:p>
            <w:pPr>
              <w:spacing w:after="0"/>
              <w:rPr>
                <w:sz w:val="11"/>
                <w:szCs w:val="11"/>
                <w:color w:val="auto"/>
              </w:rPr>
            </w:pPr>
          </w:p>
        </w:tc>
        <w:tc>
          <w:tcPr>
            <w:tcW w:w="8380" w:type="dxa"/>
            <w:vAlign w:val="bottom"/>
            <w:gridSpan w:val="14"/>
            <w:vMerge w:val="continue"/>
          </w:tcPr>
          <w:p>
            <w:pPr>
              <w:spacing w:after="0"/>
              <w:rPr>
                <w:sz w:val="11"/>
                <w:szCs w:val="11"/>
                <w:color w:val="auto"/>
              </w:rPr>
            </w:pPr>
          </w:p>
        </w:tc>
        <w:tc>
          <w:tcPr>
            <w:tcW w:w="5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14"/>
        </w:trPr>
        <w:tc>
          <w:tcPr>
            <w:tcW w:w="980" w:type="dxa"/>
            <w:vAlign w:val="bottom"/>
            <w:vMerge w:val="restart"/>
          </w:tcPr>
          <w:p>
            <w:pPr>
              <w:spacing w:after="0"/>
              <w:rPr>
                <w:sz w:val="20"/>
                <w:szCs w:val="20"/>
                <w:color w:val="auto"/>
              </w:rPr>
            </w:pPr>
            <w:r>
              <w:rPr>
                <w:rFonts w:ascii="Arial" w:cs="Arial" w:eastAsia="Arial" w:hAnsi="Arial"/>
                <w:sz w:val="16"/>
                <w:szCs w:val="16"/>
                <w:b w:val="1"/>
                <w:bCs w:val="1"/>
                <w:color w:val="auto"/>
              </w:rPr>
              <w:t>Signatures</w:t>
            </w:r>
          </w:p>
        </w:tc>
        <w:tc>
          <w:tcPr>
            <w:tcW w:w="540" w:type="dxa"/>
            <w:vAlign w:val="bottom"/>
            <w:tcBorders>
              <w:top w:val="single" w:sz="8" w:color="3051F2"/>
            </w:tcBorders>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6"/>
                <w:szCs w:val="16"/>
                <w:color w:val="auto"/>
                <w:w w:val="89"/>
              </w:rPr>
              <w:t>38</w:t>
            </w:r>
          </w:p>
        </w:tc>
        <w:tc>
          <w:tcPr>
            <w:tcW w:w="0" w:type="dxa"/>
            <w:vAlign w:val="bottom"/>
          </w:tcPr>
          <w:p>
            <w:pPr>
              <w:spacing w:after="0"/>
              <w:rPr>
                <w:sz w:val="1"/>
                <w:szCs w:val="1"/>
                <w:color w:val="auto"/>
              </w:rPr>
            </w:pPr>
          </w:p>
        </w:tc>
      </w:tr>
      <w:tr>
        <w:trPr>
          <w:trHeight w:val="162"/>
        </w:trPr>
        <w:tc>
          <w:tcPr>
            <w:tcW w:w="980" w:type="dxa"/>
            <w:vAlign w:val="bottom"/>
            <w:vMerge w:val="continue"/>
          </w:tcPr>
          <w:p>
            <w:pPr>
              <w:spacing w:after="0"/>
              <w:rPr>
                <w:sz w:val="14"/>
                <w:szCs w:val="14"/>
                <w:color w:val="auto"/>
              </w:rPr>
            </w:pPr>
          </w:p>
        </w:tc>
        <w:tc>
          <w:tcPr>
            <w:tcW w:w="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479"/>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30" w:right="479" w:bottom="1440" w:gutter="0" w:footer="0" w:header="0"/>
        </w:sectPr>
      </w:pPr>
    </w:p>
    <w:bookmarkStart w:id="2" w:name="page3"/>
    <w:bookmarkEnd w:id="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SPECIAL NOTE REGARDING FORWARD-LOOKING STATEMENTS</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color w:val="auto"/>
        </w:rPr>
        <w:t>This Quarterly Report on Form 10-Q contains forward-looking statements that involve substantial risks and uncertainties. All statements other than statements of historical facts contained in this Quarterly Report on Form 10-Q, including statements regarding future events or our future results of operations, financial condition, business, strategies, financial needs, and the plans and objectives of management, are forward-looking statements. In some cases, you can identify forward-looking statements because they contain words such as “anticipate,” “believe,” “continue,” “could,” “estimate,” “expect,” “intend,” “may,” “might,” “likely,” “plan,” “potential,” “predict,” “project,” “seek,” “should,” “target,” “will,” “would,” or similar expressions and the negatives of those terms. These forward-looking statements include, but are not limited to, statements concerning the following:</w:t>
      </w:r>
    </w:p>
    <w:p>
      <w:pPr>
        <w:spacing w:after="0" w:line="145" w:lineRule="exact"/>
        <w:rPr>
          <w:sz w:val="20"/>
          <w:szCs w:val="20"/>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expectations regarding our revenue, expenses, and other operating results;</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acquire new customers and successfully retain existing customers;</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develop new products and services and bring them to market in a timely manner;</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achieve or sustain our profitability;</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expand our strategic relationships with third parties;</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business plan and our ability to effectively manage our growth;</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market opportunity, including our total addressable market;</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anticipated trends, growth rates, and challenges in our business and in the markets in which we operate;</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attract and retain qualified employees;</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COVID-19 pandemic, and its impact on our employees, customers, strategic partners, vendors, results of operations, liquidity, and financial condition;</w:t>
      </w:r>
    </w:p>
    <w:p>
      <w:pPr>
        <w:spacing w:after="0" w:line="84" w:lineRule="exact"/>
        <w:rPr>
          <w:rFonts w:ascii="Arial" w:cs="Arial" w:eastAsia="Arial" w:hAnsi="Arial"/>
          <w:sz w:val="15"/>
          <w:szCs w:val="15"/>
          <w:color w:val="auto"/>
        </w:rPr>
      </w:pPr>
    </w:p>
    <w:p>
      <w:pPr>
        <w:ind w:left="660" w:right="520" w:hanging="328"/>
        <w:spacing w:after="0" w:line="275" w:lineRule="auto"/>
        <w:tabs>
          <w:tab w:leader="none" w:pos="555" w:val="left"/>
        </w:tabs>
        <w:numPr>
          <w:ilvl w:val="0"/>
          <w:numId w:val="3"/>
        </w:numPr>
        <w:rPr>
          <w:rFonts w:ascii="Arial" w:cs="Arial" w:eastAsia="Arial" w:hAnsi="Arial"/>
          <w:sz w:val="16"/>
          <w:szCs w:val="16"/>
          <w:color w:val="auto"/>
        </w:rPr>
      </w:pPr>
      <w:r>
        <w:rPr>
          <w:rFonts w:ascii="Arial" w:cs="Arial" w:eastAsia="Arial" w:hAnsi="Arial"/>
          <w:sz w:val="16"/>
          <w:szCs w:val="16"/>
          <w:color w:val="auto"/>
        </w:rPr>
        <w:t>uncertainties regarding the impact of general economic and market conditions, including as a result of currency fluctuations, inflation, or regional and global conflicts or related government sanctions;</w:t>
      </w:r>
    </w:p>
    <w:p>
      <w:pPr>
        <w:spacing w:after="0" w:line="10"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the security and availability of our solutions;</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our money transmission licenses and other regulatory approvals;</w:t>
      </w:r>
    </w:p>
    <w:p>
      <w:pPr>
        <w:spacing w:after="0" w:line="59"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our ability to maintain and expand internationally; and</w:t>
      </w:r>
    </w:p>
    <w:p>
      <w:pPr>
        <w:spacing w:after="0" w:line="72" w:lineRule="exact"/>
        <w:rPr>
          <w:rFonts w:ascii="Arial" w:cs="Arial" w:eastAsia="Arial" w:hAnsi="Arial"/>
          <w:sz w:val="16"/>
          <w:szCs w:val="16"/>
          <w:color w:val="auto"/>
        </w:rPr>
      </w:pPr>
    </w:p>
    <w:p>
      <w:pPr>
        <w:ind w:left="560" w:hanging="228"/>
        <w:spacing w:after="0"/>
        <w:tabs>
          <w:tab w:leader="none" w:pos="560"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expectations regarding anticipated technology needs and developments and our ability to address those needs and developments with our solutions.</w:t>
      </w:r>
    </w:p>
    <w:p>
      <w:pPr>
        <w:spacing w:after="0" w:line="179" w:lineRule="exact"/>
        <w:rPr>
          <w:sz w:val="20"/>
          <w:szCs w:val="20"/>
          <w:color w:val="auto"/>
        </w:rPr>
      </w:pPr>
    </w:p>
    <w:p>
      <w:pPr>
        <w:ind w:firstLine="324"/>
        <w:spacing w:after="0" w:line="275" w:lineRule="auto"/>
        <w:rPr>
          <w:sz w:val="20"/>
          <w:szCs w:val="20"/>
          <w:color w:val="auto"/>
        </w:rPr>
      </w:pPr>
      <w:r>
        <w:rPr>
          <w:rFonts w:ascii="Arial" w:cs="Arial" w:eastAsia="Arial" w:hAnsi="Arial"/>
          <w:sz w:val="15"/>
          <w:szCs w:val="15"/>
          <w:color w:val="auto"/>
        </w:rPr>
        <w:t>You should not place undue reliance on our forward-looking statements and you should not rely on forward-looking statements as predictions of future events. The results, events, and circumstances reflected in the forward-looking statements may not be achieved or occur, and actual results, events, or circumstances could differ materially from those described in the forward-looking statements. The forward-looking statements made in this Quarterly Report on Form 10-Q speak only as of the date of this report. We undertake no obligation to update any forward-looking statements made in this report to reflect events or circumstances after the date of this report or to reflect new information or the occurrence of unanticipated events, except as required by law. If we update one or more forward-looking statements, no inference should be drawn that we will make additional updates with respect to those or other forward-looking statements. These forward-looking statements are subject to a number of risks, uncertainties and assumptions, including those described in “Risk Factors” in this Quarterly Report on Form 10-Q.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w:t>
      </w:r>
    </w:p>
    <w:p>
      <w:pPr>
        <w:spacing w:after="0" w:line="138" w:lineRule="exact"/>
        <w:rPr>
          <w:sz w:val="20"/>
          <w:szCs w:val="20"/>
          <w:color w:val="auto"/>
        </w:rPr>
      </w:pPr>
    </w:p>
    <w:p>
      <w:pPr>
        <w:ind w:right="220" w:firstLine="324"/>
        <w:spacing w:after="0" w:line="275" w:lineRule="auto"/>
        <w:rPr>
          <w:sz w:val="20"/>
          <w:szCs w:val="20"/>
          <w:color w:val="auto"/>
        </w:rPr>
      </w:pPr>
      <w:r>
        <w:rPr>
          <w:rFonts w:ascii="Arial" w:cs="Arial" w:eastAsia="Arial" w:hAnsi="Arial"/>
          <w:sz w:val="16"/>
          <w:szCs w:val="16"/>
          <w:color w:val="auto"/>
        </w:rPr>
        <w:t>Unless the context otherwise requires, the terms “Remitly Global,” “Remitly,” “the Company,” “we,” “us,” and “our” in this Quarterly Report on Form 10-Q refer to Remitly Global, Inc. and our consolidated subsidiaries, taken as a whole.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359"/>
        <w:spacing w:after="0"/>
        <w:rPr>
          <w:sz w:val="20"/>
          <w:szCs w:val="20"/>
          <w:color w:val="auto"/>
        </w:rPr>
      </w:pPr>
      <w:r>
        <w:rPr>
          <w:rFonts w:ascii="Arial" w:cs="Arial" w:eastAsia="Arial" w:hAnsi="Arial"/>
          <w:sz w:val="16"/>
          <w:szCs w:val="16"/>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4"/>
        </w:trPr>
        <w:tc>
          <w:tcPr>
            <w:tcW w:w="1160" w:type="dxa"/>
            <w:vAlign w:val="bottom"/>
            <w:tcBorders>
              <w:bottom w:val="single" w:sz="8" w:color="0000FF"/>
            </w:tcBorders>
          </w:tcPr>
          <w:p>
            <w:pPr>
              <w:spacing w:after="0"/>
              <w:rPr>
                <w:sz w:val="20"/>
                <w:szCs w:val="20"/>
                <w:color w:val="auto"/>
              </w:rPr>
            </w:pPr>
            <w:r>
              <w:rPr>
                <w:rFonts w:ascii="Arial" w:cs="Arial" w:eastAsia="Arial" w:hAnsi="Arial"/>
                <w:sz w:val="16"/>
                <w:szCs w:val="16"/>
                <w:color w:val="0000FF"/>
                <w:w w:val="90"/>
              </w:rPr>
              <w:t>Table of Contents</w:t>
            </w:r>
          </w:p>
        </w:tc>
        <w:tc>
          <w:tcPr>
            <w:tcW w:w="6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27"/>
        </w:trPr>
        <w:tc>
          <w:tcPr>
            <w:tcW w:w="8020" w:type="dxa"/>
            <w:vAlign w:val="bottom"/>
            <w:gridSpan w:val="2"/>
          </w:tcPr>
          <w:p>
            <w:pPr>
              <w:spacing w:after="0"/>
              <w:rPr>
                <w:sz w:val="20"/>
                <w:szCs w:val="20"/>
                <w:color w:val="auto"/>
              </w:rPr>
            </w:pPr>
            <w:r>
              <w:rPr>
                <w:rFonts w:ascii="Arial" w:cs="Arial" w:eastAsia="Arial" w:hAnsi="Arial"/>
                <w:sz w:val="16"/>
                <w:szCs w:val="16"/>
                <w:b w:val="1"/>
                <w:bCs w:val="1"/>
                <w:color w:val="auto"/>
              </w:rPr>
              <w:t>Part 1. Financial Information</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8020" w:type="dxa"/>
            <w:vAlign w:val="bottom"/>
            <w:gridSpan w:val="2"/>
          </w:tcPr>
          <w:p>
            <w:pPr>
              <w:spacing w:after="0"/>
              <w:rPr>
                <w:sz w:val="20"/>
                <w:szCs w:val="20"/>
                <w:color w:val="auto"/>
              </w:rPr>
            </w:pPr>
            <w:r>
              <w:rPr>
                <w:rFonts w:ascii="Arial" w:cs="Arial" w:eastAsia="Arial" w:hAnsi="Arial"/>
                <w:sz w:val="16"/>
                <w:szCs w:val="16"/>
                <w:b w:val="1"/>
                <w:bCs w:val="1"/>
                <w:color w:val="auto"/>
              </w:rPr>
              <w:t>Item 1. Financial Statements (Unaudited)</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860" w:type="dxa"/>
            <w:vAlign w:val="bottom"/>
          </w:tcPr>
          <w:p>
            <w:pPr>
              <w:jc w:val="center"/>
              <w:ind w:left="1979"/>
              <w:spacing w:after="0"/>
              <w:rPr>
                <w:sz w:val="20"/>
                <w:szCs w:val="20"/>
                <w:color w:val="auto"/>
              </w:rPr>
            </w:pPr>
            <w:r>
              <w:rPr>
                <w:rFonts w:ascii="Arial" w:cs="Arial" w:eastAsia="Arial" w:hAnsi="Arial"/>
                <w:sz w:val="16"/>
                <w:szCs w:val="16"/>
                <w:b w:val="1"/>
                <w:bCs w:val="1"/>
                <w:color w:val="auto"/>
              </w:rPr>
              <w:t>REMITLY GLOBAL, INC.</w:t>
            </w: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3"/>
        </w:trPr>
        <w:tc>
          <w:tcPr>
            <w:tcW w:w="1160" w:type="dxa"/>
            <w:vAlign w:val="bottom"/>
          </w:tcPr>
          <w:p>
            <w:pPr>
              <w:spacing w:after="0"/>
              <w:rPr>
                <w:sz w:val="16"/>
                <w:szCs w:val="16"/>
                <w:color w:val="auto"/>
              </w:rPr>
            </w:pPr>
          </w:p>
        </w:tc>
        <w:tc>
          <w:tcPr>
            <w:tcW w:w="6860" w:type="dxa"/>
            <w:vAlign w:val="bottom"/>
          </w:tcPr>
          <w:p>
            <w:pPr>
              <w:jc w:val="center"/>
              <w:ind w:left="1999"/>
              <w:spacing w:after="0"/>
              <w:rPr>
                <w:sz w:val="20"/>
                <w:szCs w:val="20"/>
                <w:color w:val="auto"/>
              </w:rPr>
            </w:pPr>
            <w:r>
              <w:rPr>
                <w:rFonts w:ascii="Arial" w:cs="Arial" w:eastAsia="Arial" w:hAnsi="Arial"/>
                <w:sz w:val="16"/>
                <w:szCs w:val="16"/>
                <w:b w:val="1"/>
                <w:bCs w:val="1"/>
                <w:color w:val="auto"/>
                <w:w w:val="88"/>
              </w:rPr>
              <w:t>Condensed Consolidated Balance Sheets</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160" w:type="dxa"/>
            <w:vAlign w:val="bottom"/>
          </w:tcPr>
          <w:p>
            <w:pPr>
              <w:spacing w:after="0"/>
              <w:rPr>
                <w:sz w:val="17"/>
                <w:szCs w:val="17"/>
                <w:color w:val="auto"/>
              </w:rPr>
            </w:pPr>
          </w:p>
        </w:tc>
        <w:tc>
          <w:tcPr>
            <w:tcW w:w="6860" w:type="dxa"/>
            <w:vAlign w:val="bottom"/>
          </w:tcPr>
          <w:p>
            <w:pPr>
              <w:jc w:val="center"/>
              <w:ind w:left="1979"/>
              <w:spacing w:after="0"/>
              <w:rPr>
                <w:sz w:val="20"/>
                <w:szCs w:val="20"/>
                <w:color w:val="auto"/>
              </w:rPr>
            </w:pPr>
            <w:r>
              <w:rPr>
                <w:rFonts w:ascii="Arial" w:cs="Arial" w:eastAsia="Arial" w:hAnsi="Arial"/>
                <w:sz w:val="16"/>
                <w:szCs w:val="16"/>
                <w:color w:val="auto"/>
                <w:w w:val="90"/>
              </w:rPr>
              <w:t>(</w:t>
            </w:r>
            <w:r>
              <w:rPr>
                <w:rFonts w:ascii="Arial" w:cs="Arial" w:eastAsia="Arial" w:hAnsi="Arial"/>
                <w:sz w:val="16"/>
                <w:szCs w:val="16"/>
                <w:i w:val="1"/>
                <w:iCs w:val="1"/>
                <w:color w:val="auto"/>
                <w:w w:val="90"/>
              </w:rPr>
              <w:t>in thousands, except share and per share data</w:t>
            </w:r>
            <w:r>
              <w:rPr>
                <w:rFonts w:ascii="Arial" w:cs="Arial" w:eastAsia="Arial" w:hAnsi="Arial"/>
                <w:sz w:val="16"/>
                <w:szCs w:val="16"/>
                <w:color w:val="auto"/>
                <w:w w:val="90"/>
              </w:rPr>
              <w:t>)</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1160" w:type="dxa"/>
            <w:vAlign w:val="bottom"/>
          </w:tcPr>
          <w:p>
            <w:pPr>
              <w:spacing w:after="0"/>
              <w:rPr>
                <w:sz w:val="17"/>
                <w:szCs w:val="17"/>
                <w:color w:val="auto"/>
              </w:rPr>
            </w:pPr>
          </w:p>
        </w:tc>
        <w:tc>
          <w:tcPr>
            <w:tcW w:w="6860" w:type="dxa"/>
            <w:vAlign w:val="bottom"/>
          </w:tcPr>
          <w:p>
            <w:pPr>
              <w:jc w:val="center"/>
              <w:ind w:left="1999"/>
              <w:spacing w:after="0"/>
              <w:rPr>
                <w:sz w:val="20"/>
                <w:szCs w:val="20"/>
                <w:color w:val="auto"/>
              </w:rPr>
            </w:pPr>
            <w:r>
              <w:rPr>
                <w:rFonts w:ascii="Arial" w:cs="Arial" w:eastAsia="Arial" w:hAnsi="Arial"/>
                <w:sz w:val="16"/>
                <w:szCs w:val="16"/>
                <w:color w:val="auto"/>
                <w:w w:val="91"/>
              </w:rPr>
              <w:t>(unaudited)</w:t>
            </w: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1160" w:type="dxa"/>
            <w:vAlign w:val="bottom"/>
          </w:tcPr>
          <w:p>
            <w:pPr>
              <w:spacing w:after="0"/>
              <w:rPr>
                <w:sz w:val="21"/>
                <w:szCs w:val="21"/>
                <w:color w:val="auto"/>
              </w:rPr>
            </w:pPr>
          </w:p>
        </w:tc>
        <w:tc>
          <w:tcPr>
            <w:tcW w:w="68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1"/>
                <w:szCs w:val="21"/>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56"/>
        </w:trPr>
        <w:tc>
          <w:tcPr>
            <w:tcW w:w="1160" w:type="dxa"/>
            <w:vAlign w:val="bottom"/>
            <w:tcBorders>
              <w:bottom w:val="single" w:sz="8" w:color="CCEEFF"/>
            </w:tcBorders>
          </w:tcPr>
          <w:p>
            <w:pPr>
              <w:spacing w:after="0"/>
              <w:rPr>
                <w:sz w:val="22"/>
                <w:szCs w:val="22"/>
                <w:color w:val="auto"/>
              </w:rPr>
            </w:pPr>
          </w:p>
        </w:tc>
        <w:tc>
          <w:tcPr>
            <w:tcW w:w="686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29"/>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Assets</w:t>
            </w: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Current assets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Cash and cash equivalents</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376,451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403,262</w:t>
            </w:r>
          </w:p>
        </w:tc>
        <w:tc>
          <w:tcPr>
            <w:tcW w:w="0" w:type="dxa"/>
            <w:vAlign w:val="bottom"/>
          </w:tcPr>
          <w:p>
            <w:pPr>
              <w:spacing w:after="0"/>
              <w:rPr>
                <w:sz w:val="1"/>
                <w:szCs w:val="1"/>
                <w:color w:val="auto"/>
              </w:rPr>
            </w:pPr>
          </w:p>
        </w:tc>
      </w:tr>
      <w:tr>
        <w:trPr>
          <w:trHeight w:val="23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Disbursement prefunding</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155,536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119,627</w:t>
            </w:r>
          </w:p>
        </w:tc>
        <w:tc>
          <w:tcPr>
            <w:tcW w:w="0" w:type="dxa"/>
            <w:vAlign w:val="bottom"/>
          </w:tcPr>
          <w:p>
            <w:pPr>
              <w:spacing w:after="0"/>
              <w:rPr>
                <w:sz w:val="1"/>
                <w:szCs w:val="1"/>
                <w:color w:val="auto"/>
              </w:rPr>
            </w:pPr>
          </w:p>
        </w:tc>
      </w:tr>
      <w:tr>
        <w:trPr>
          <w:trHeight w:val="25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Customer funds receivable, net</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114,029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67,215</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20,119</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17,448</w:t>
            </w:r>
          </w:p>
        </w:tc>
        <w:tc>
          <w:tcPr>
            <w:tcW w:w="0" w:type="dxa"/>
            <w:vAlign w:val="bottom"/>
          </w:tcPr>
          <w:p>
            <w:pPr>
              <w:spacing w:after="0"/>
              <w:rPr>
                <w:sz w:val="1"/>
                <w:szCs w:val="1"/>
                <w:color w:val="auto"/>
              </w:rPr>
            </w:pPr>
          </w:p>
        </w:tc>
      </w:tr>
      <w:tr>
        <w:trPr>
          <w:trHeight w:val="243"/>
        </w:trPr>
        <w:tc>
          <w:tcPr>
            <w:tcW w:w="80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current assets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666,135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607,552</w:t>
            </w:r>
          </w:p>
        </w:tc>
        <w:tc>
          <w:tcPr>
            <w:tcW w:w="0" w:type="dxa"/>
            <w:vAlign w:val="bottom"/>
          </w:tcPr>
          <w:p>
            <w:pPr>
              <w:spacing w:after="0"/>
              <w:rPr>
                <w:sz w:val="1"/>
                <w:szCs w:val="1"/>
                <w:color w:val="auto"/>
              </w:rPr>
            </w:pP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Restricted cash</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51</w:t>
            </w:r>
          </w:p>
        </w:tc>
        <w:tc>
          <w:tcPr>
            <w:tcW w:w="0" w:type="dxa"/>
            <w:vAlign w:val="bottom"/>
          </w:tcPr>
          <w:p>
            <w:pPr>
              <w:spacing w:after="0"/>
              <w:rPr>
                <w:sz w:val="1"/>
                <w:szCs w:val="1"/>
                <w:color w:val="auto"/>
              </w:rPr>
            </w:pPr>
          </w:p>
        </w:tc>
      </w:tr>
      <w:tr>
        <w:trPr>
          <w:trHeight w:val="253"/>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Property and equipment, net</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10,270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9,249</w:t>
            </w:r>
          </w:p>
        </w:tc>
        <w:tc>
          <w:tcPr>
            <w:tcW w:w="0" w:type="dxa"/>
            <w:vAlign w:val="bottom"/>
          </w:tcPr>
          <w:p>
            <w:pPr>
              <w:spacing w:after="0"/>
              <w:rPr>
                <w:sz w:val="1"/>
                <w:szCs w:val="1"/>
                <w:color w:val="auto"/>
              </w:rPr>
            </w:pP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Operating lease right-of-use assets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9,420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5,302</w:t>
            </w:r>
          </w:p>
        </w:tc>
        <w:tc>
          <w:tcPr>
            <w:tcW w:w="0" w:type="dxa"/>
            <w:vAlign w:val="bottom"/>
          </w:tcPr>
          <w:p>
            <w:pPr>
              <w:spacing w:after="0"/>
              <w:rPr>
                <w:sz w:val="1"/>
                <w:szCs w:val="1"/>
                <w:color w:val="auto"/>
              </w:rPr>
            </w:pPr>
          </w:p>
        </w:tc>
      </w:tr>
      <w:tr>
        <w:trPr>
          <w:trHeight w:val="24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assets, net</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4,431</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3,510</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60"/>
              <w:spacing w:after="0"/>
              <w:rPr>
                <w:sz w:val="20"/>
                <w:szCs w:val="20"/>
                <w:color w:val="auto"/>
              </w:rPr>
            </w:pPr>
            <w:r>
              <w:rPr>
                <w:rFonts w:ascii="Arial" w:cs="Arial" w:eastAsia="Arial" w:hAnsi="Arial"/>
                <w:sz w:val="16"/>
                <w:szCs w:val="16"/>
                <w:color w:val="auto"/>
              </w:rPr>
              <w:t>Total assets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690,337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625,664</w:t>
            </w:r>
          </w:p>
        </w:tc>
        <w:tc>
          <w:tcPr>
            <w:tcW w:w="0" w:type="dxa"/>
            <w:vAlign w:val="bottom"/>
          </w:tcPr>
          <w:p>
            <w:pPr>
              <w:spacing w:after="0"/>
              <w:rPr>
                <w:sz w:val="1"/>
                <w:szCs w:val="1"/>
                <w:color w:val="auto"/>
              </w:rPr>
            </w:pPr>
          </w:p>
        </w:tc>
      </w:tr>
      <w:tr>
        <w:trPr>
          <w:trHeight w:val="20"/>
        </w:trPr>
        <w:tc>
          <w:tcPr>
            <w:tcW w:w="1160" w:type="dxa"/>
            <w:vAlign w:val="bottom"/>
            <w:tcBorders>
              <w:bottom w:val="single" w:sz="8" w:color="CCEEFF"/>
            </w:tcBorders>
          </w:tcPr>
          <w:p>
            <w:pPr>
              <w:spacing w:after="0" w:line="20" w:lineRule="exact"/>
              <w:rPr>
                <w:sz w:val="1"/>
                <w:szCs w:val="1"/>
                <w:color w:val="auto"/>
              </w:rPr>
            </w:pPr>
          </w:p>
        </w:tc>
        <w:tc>
          <w:tcPr>
            <w:tcW w:w="686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Liabilities and Stockholders’ Equity</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8,180</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1,210</w:t>
            </w:r>
          </w:p>
        </w:tc>
        <w:tc>
          <w:tcPr>
            <w:tcW w:w="0" w:type="dxa"/>
            <w:vAlign w:val="bottom"/>
          </w:tcPr>
          <w:p>
            <w:pPr>
              <w:spacing w:after="0"/>
              <w:rPr>
                <w:sz w:val="1"/>
                <w:szCs w:val="1"/>
                <w:color w:val="auto"/>
              </w:rPr>
            </w:pPr>
          </w:p>
        </w:tc>
      </w:tr>
      <w:tr>
        <w:trPr>
          <w:trHeight w:val="23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Customer liabilities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104,861</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70,483</w:t>
            </w:r>
          </w:p>
        </w:tc>
        <w:tc>
          <w:tcPr>
            <w:tcW w:w="0" w:type="dxa"/>
            <w:vAlign w:val="bottom"/>
          </w:tcPr>
          <w:p>
            <w:pPr>
              <w:spacing w:after="0"/>
              <w:rPr>
                <w:sz w:val="1"/>
                <w:szCs w:val="1"/>
                <w:color w:val="auto"/>
              </w:rPr>
            </w:pPr>
          </w:p>
        </w:tc>
      </w:tr>
      <w:tr>
        <w:trPr>
          <w:trHeight w:val="25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99,573</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66,683</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Operating lease liabilities</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3,168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3,240</w:t>
            </w:r>
          </w:p>
        </w:tc>
        <w:tc>
          <w:tcPr>
            <w:tcW w:w="0" w:type="dxa"/>
            <w:vAlign w:val="bottom"/>
          </w:tcPr>
          <w:p>
            <w:pPr>
              <w:spacing w:after="0"/>
              <w:rPr>
                <w:sz w:val="1"/>
                <w:szCs w:val="1"/>
                <w:color w:val="auto"/>
              </w:rPr>
            </w:pPr>
          </w:p>
        </w:tc>
      </w:tr>
      <w:tr>
        <w:trPr>
          <w:trHeight w:val="243"/>
        </w:trPr>
        <w:tc>
          <w:tcPr>
            <w:tcW w:w="80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current liabilities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215,782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141,616</w:t>
            </w:r>
          </w:p>
        </w:tc>
        <w:tc>
          <w:tcPr>
            <w:tcW w:w="0" w:type="dxa"/>
            <w:vAlign w:val="bottom"/>
          </w:tcPr>
          <w:p>
            <w:pPr>
              <w:spacing w:after="0"/>
              <w:rPr>
                <w:sz w:val="1"/>
                <w:szCs w:val="1"/>
                <w:color w:val="auto"/>
              </w:rPr>
            </w:pP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Operating lease liabilities, noncurrent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6,667</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2,907</w:t>
            </w:r>
          </w:p>
        </w:tc>
        <w:tc>
          <w:tcPr>
            <w:tcW w:w="0" w:type="dxa"/>
            <w:vAlign w:val="bottom"/>
          </w:tcPr>
          <w:p>
            <w:pPr>
              <w:spacing w:after="0"/>
              <w:rPr>
                <w:sz w:val="1"/>
                <w:szCs w:val="1"/>
                <w:color w:val="auto"/>
              </w:rPr>
            </w:pPr>
          </w:p>
        </w:tc>
      </w:tr>
      <w:tr>
        <w:trPr>
          <w:trHeight w:val="246"/>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 noncurrent liabilities</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1,399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gridSpan w:val="2"/>
          </w:tcPr>
          <w:p>
            <w:pPr>
              <w:ind w:left="460"/>
              <w:spacing w:after="0"/>
              <w:rPr>
                <w:sz w:val="20"/>
                <w:szCs w:val="20"/>
                <w:color w:val="auto"/>
              </w:rPr>
            </w:pPr>
            <w:r>
              <w:rPr>
                <w:rFonts w:ascii="Arial" w:cs="Arial" w:eastAsia="Arial" w:hAnsi="Arial"/>
                <w:sz w:val="16"/>
                <w:szCs w:val="16"/>
                <w:color w:val="auto"/>
              </w:rPr>
              <w:t>Total liabilities</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223,848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145,336</w:t>
            </w:r>
          </w:p>
        </w:tc>
        <w:tc>
          <w:tcPr>
            <w:tcW w:w="0" w:type="dxa"/>
            <w:vAlign w:val="bottom"/>
          </w:tcPr>
          <w:p>
            <w:pPr>
              <w:spacing w:after="0"/>
              <w:rPr>
                <w:sz w:val="1"/>
                <w:szCs w:val="1"/>
                <w:color w:val="auto"/>
              </w:rPr>
            </w:pPr>
          </w:p>
        </w:tc>
      </w:tr>
      <w:tr>
        <w:trPr>
          <w:trHeight w:val="21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14)</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8020" w:type="dxa"/>
            <w:vAlign w:val="bottom"/>
            <w:gridSpan w:val="2"/>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020" w:type="dxa"/>
            <w:vAlign w:val="bottom"/>
            <w:gridSpan w:val="2"/>
          </w:tcPr>
          <w:p>
            <w:pPr>
              <w:ind w:left="20"/>
              <w:spacing w:after="0"/>
              <w:rPr>
                <w:sz w:val="20"/>
                <w:szCs w:val="20"/>
                <w:color w:val="auto"/>
              </w:rPr>
            </w:pPr>
            <w:r>
              <w:rPr>
                <w:rFonts w:ascii="Arial" w:cs="Arial" w:eastAsia="Arial" w:hAnsi="Arial"/>
                <w:sz w:val="16"/>
                <w:szCs w:val="16"/>
                <w:color w:val="auto"/>
              </w:rPr>
              <w:t>Stockholders’ equity</w:t>
            </w: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w w:val="92"/>
              </w:rPr>
              <w:t>Common stock, $0.0001 par value; 725,000,000 shares authorized as of September 30, 2022 and December 31, 2021</w:t>
            </w: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w w:val="94"/>
              </w:rPr>
              <w:t>both; 170,467,139 and 164,239,555 shares issued and outstanding, as of September 30, 2022 and December 31,</w:t>
            </w:r>
          </w:p>
        </w:tc>
        <w:tc>
          <w:tcPr>
            <w:tcW w:w="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20" w:type="dxa"/>
            <w:vAlign w:val="bottom"/>
            <w:gridSpan w:val="2"/>
            <w:shd w:val="clear" w:color="auto" w:fill="CCEEFF"/>
          </w:tcPr>
          <w:p>
            <w:pPr>
              <w:ind w:left="400"/>
              <w:spacing w:after="0"/>
              <w:rPr>
                <w:sz w:val="20"/>
                <w:szCs w:val="20"/>
                <w:color w:val="auto"/>
              </w:rPr>
            </w:pPr>
            <w:r>
              <w:rPr>
                <w:rFonts w:ascii="Arial" w:cs="Arial" w:eastAsia="Arial" w:hAnsi="Arial"/>
                <w:sz w:val="16"/>
                <w:szCs w:val="16"/>
                <w:color w:val="auto"/>
              </w:rPr>
              <w:t>2021, respectively</w:t>
            </w:r>
          </w:p>
        </w:tc>
        <w:tc>
          <w:tcPr>
            <w:tcW w:w="200" w:type="dxa"/>
            <w:vAlign w:val="bottom"/>
            <w:shd w:val="clear" w:color="auto" w:fill="CCEEFF"/>
          </w:tcPr>
          <w:p>
            <w:pPr>
              <w:spacing w:after="0"/>
              <w:rPr>
                <w:sz w:val="17"/>
                <w:szCs w:val="17"/>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182"/>
        </w:trPr>
        <w:tc>
          <w:tcPr>
            <w:tcW w:w="1160" w:type="dxa"/>
            <w:vAlign w:val="bottom"/>
            <w:shd w:val="clear" w:color="auto" w:fill="CCEEFF"/>
          </w:tcPr>
          <w:p>
            <w:pPr>
              <w:spacing w:after="0"/>
              <w:rPr>
                <w:sz w:val="15"/>
                <w:szCs w:val="15"/>
                <w:color w:val="auto"/>
              </w:rPr>
            </w:pPr>
          </w:p>
        </w:tc>
        <w:tc>
          <w:tcPr>
            <w:tcW w:w="68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3"/>
        </w:trPr>
        <w:tc>
          <w:tcPr>
            <w:tcW w:w="8020" w:type="dxa"/>
            <w:vAlign w:val="bottom"/>
            <w:gridSpan w:val="2"/>
          </w:tcPr>
          <w:p>
            <w:pPr>
              <w:ind w:left="240"/>
              <w:spacing w:after="0"/>
              <w:rPr>
                <w:sz w:val="20"/>
                <w:szCs w:val="20"/>
                <w:color w:val="auto"/>
              </w:rPr>
            </w:pPr>
            <w:r>
              <w:rPr>
                <w:rFonts w:ascii="Arial" w:cs="Arial" w:eastAsia="Arial" w:hAnsi="Arial"/>
                <w:sz w:val="16"/>
                <w:szCs w:val="16"/>
                <w:color w:val="auto"/>
              </w:rPr>
              <w:t>Additional paid-in capital</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822,929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739,503</w:t>
            </w:r>
          </w:p>
        </w:tc>
        <w:tc>
          <w:tcPr>
            <w:tcW w:w="0" w:type="dxa"/>
            <w:vAlign w:val="bottom"/>
          </w:tcPr>
          <w:p>
            <w:pPr>
              <w:spacing w:after="0"/>
              <w:rPr>
                <w:sz w:val="1"/>
                <w:szCs w:val="1"/>
                <w:color w:val="auto"/>
              </w:rPr>
            </w:pPr>
          </w:p>
        </w:tc>
      </w:tr>
      <w:tr>
        <w:trPr>
          <w:trHeight w:val="253"/>
        </w:trPr>
        <w:tc>
          <w:tcPr>
            <w:tcW w:w="802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Accumulated other comprehensive (loss) income</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gridSpan w:val="2"/>
          </w:tcPr>
          <w:p>
            <w:pPr>
              <w:ind w:left="240"/>
              <w:spacing w:after="0"/>
              <w:rPr>
                <w:sz w:val="20"/>
                <w:szCs w:val="20"/>
                <w:color w:val="auto"/>
              </w:rPr>
            </w:pPr>
            <w:r>
              <w:rPr>
                <w:rFonts w:ascii="Arial" w:cs="Arial" w:eastAsia="Arial" w:hAnsi="Arial"/>
                <w:sz w:val="16"/>
                <w:szCs w:val="16"/>
                <w:color w:val="auto"/>
              </w:rPr>
              <w:t>Accumulated deficit</w:t>
            </w: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(354,068)</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(259,444)</w:t>
            </w:r>
          </w:p>
        </w:tc>
        <w:tc>
          <w:tcPr>
            <w:tcW w:w="0" w:type="dxa"/>
            <w:vAlign w:val="bottom"/>
          </w:tcPr>
          <w:p>
            <w:pPr>
              <w:spacing w:after="0"/>
              <w:rPr>
                <w:sz w:val="1"/>
                <w:szCs w:val="1"/>
                <w:color w:val="auto"/>
              </w:rPr>
            </w:pPr>
          </w:p>
        </w:tc>
      </w:tr>
      <w:tr>
        <w:trPr>
          <w:trHeight w:val="236"/>
        </w:trPr>
        <w:tc>
          <w:tcPr>
            <w:tcW w:w="8020" w:type="dxa"/>
            <w:vAlign w:val="bottom"/>
            <w:gridSpan w:val="2"/>
            <w:shd w:val="clear" w:color="auto" w:fill="CCEEFF"/>
          </w:tcPr>
          <w:p>
            <w:pPr>
              <w:ind w:left="46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auto"/>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466,489</w:t>
            </w:r>
          </w:p>
        </w:tc>
        <w:tc>
          <w:tcPr>
            <w:tcW w:w="8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480,328</w:t>
            </w:r>
          </w:p>
        </w:tc>
        <w:tc>
          <w:tcPr>
            <w:tcW w:w="0" w:type="dxa"/>
            <w:vAlign w:val="bottom"/>
          </w:tcPr>
          <w:p>
            <w:pPr>
              <w:spacing w:after="0"/>
              <w:rPr>
                <w:sz w:val="1"/>
                <w:szCs w:val="1"/>
                <w:color w:val="auto"/>
              </w:rPr>
            </w:pPr>
          </w:p>
        </w:tc>
      </w:tr>
      <w:tr>
        <w:trPr>
          <w:trHeight w:val="243"/>
        </w:trPr>
        <w:tc>
          <w:tcPr>
            <w:tcW w:w="8020" w:type="dxa"/>
            <w:vAlign w:val="bottom"/>
            <w:gridSpan w:val="2"/>
          </w:tcPr>
          <w:p>
            <w:pPr>
              <w:ind w:left="460"/>
              <w:spacing w:after="0"/>
              <w:rPr>
                <w:sz w:val="20"/>
                <w:szCs w:val="20"/>
                <w:color w:val="auto"/>
              </w:rPr>
            </w:pPr>
            <w:r>
              <w:rPr>
                <w:rFonts w:ascii="Arial" w:cs="Arial" w:eastAsia="Arial" w:hAnsi="Arial"/>
                <w:sz w:val="16"/>
                <w:szCs w:val="16"/>
                <w:color w:val="auto"/>
              </w:rPr>
              <w:t>Total liabilities and stockholders’ equity</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690,337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625,664</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8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33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Operations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 thousands, except share and per share data</w:t>
      </w:r>
      <w:r>
        <w:rPr>
          <w:rFonts w:ascii="Arial" w:cs="Arial" w:eastAsia="Arial" w:hAnsi="Arial"/>
          <w:sz w:val="16"/>
          <w:szCs w:val="16"/>
          <w:color w:val="auto"/>
        </w:rPr>
        <w:t>)</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8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37"/>
        </w:trPr>
        <w:tc>
          <w:tcPr>
            <w:tcW w:w="4720" w:type="dxa"/>
            <w:vAlign w:val="bottom"/>
            <w:tcBorders>
              <w:bottom w:val="single" w:sz="8" w:color="CCEEFF"/>
            </w:tcBorders>
          </w:tcPr>
          <w:p>
            <w:pPr>
              <w:spacing w:after="0"/>
              <w:rPr>
                <w:sz w:val="20"/>
                <w:szCs w:val="20"/>
                <w:color w:val="auto"/>
              </w:rPr>
            </w:pPr>
          </w:p>
        </w:tc>
        <w:tc>
          <w:tcPr>
            <w:tcW w:w="2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200" w:type="dxa"/>
            <w:vAlign w:val="bottom"/>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169,259</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121,244</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462,528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323,350</w:t>
            </w:r>
          </w:p>
        </w:tc>
      </w:tr>
      <w:tr>
        <w:trPr>
          <w:trHeight w:val="213"/>
        </w:trPr>
        <w:tc>
          <w:tcPr>
            <w:tcW w:w="4720" w:type="dxa"/>
            <w:vAlign w:val="bottom"/>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r>
      <w:tr>
        <w:trPr>
          <w:trHeight w:val="25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Transaction expenses</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47,560</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186,961</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135,175</w:t>
            </w:r>
          </w:p>
        </w:tc>
      </w:tr>
      <w:tr>
        <w:trPr>
          <w:trHeight w:val="24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Customer support and operations</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18,142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12,005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48,867</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32,435</w:t>
            </w:r>
          </w:p>
        </w:tc>
      </w:tr>
      <w:tr>
        <w:trPr>
          <w:trHeight w:val="24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Marketing</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43,337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30,365</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127,807</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82,639</w:t>
            </w:r>
          </w:p>
        </w:tc>
      </w:tr>
      <w:tr>
        <w:trPr>
          <w:trHeight w:val="24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Technology and development</w:t>
            </w:r>
            <w:r>
              <w:rPr>
                <w:rFonts w:ascii="Arial" w:cs="Arial" w:eastAsia="Arial" w:hAnsi="Arial"/>
                <w:sz w:val="21"/>
                <w:szCs w:val="21"/>
                <w:color w:val="auto"/>
                <w:vertAlign w:val="superscript"/>
              </w:rPr>
              <w:t>(1)</w:t>
            </w:r>
          </w:p>
        </w:tc>
        <w:tc>
          <w:tcPr>
            <w:tcW w:w="2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36,178</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18,123</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95,836</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44,965</w:t>
            </w:r>
          </w:p>
        </w:tc>
      </w:tr>
      <w:tr>
        <w:trPr>
          <w:trHeight w:val="24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r>
              <w:rPr>
                <w:rFonts w:ascii="Arial" w:cs="Arial" w:eastAsia="Arial" w:hAnsi="Arial"/>
                <w:sz w:val="21"/>
                <w:szCs w:val="21"/>
                <w:color w:val="auto"/>
                <w:vertAlign w:val="superscript"/>
              </w:rPr>
              <w:t>(1)</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35,504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24,539</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96,355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47,429</w:t>
            </w:r>
          </w:p>
        </w:tc>
      </w:tr>
      <w:tr>
        <w:trPr>
          <w:trHeight w:val="237"/>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1,843</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1,319</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4,870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3,890</w:t>
            </w:r>
          </w:p>
        </w:tc>
      </w:tr>
      <w:tr>
        <w:trPr>
          <w:trHeight w:val="237"/>
        </w:trPr>
        <w:tc>
          <w:tcPr>
            <w:tcW w:w="47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Total costs and expenses</w:t>
            </w:r>
          </w:p>
        </w:tc>
        <w:tc>
          <w:tcPr>
            <w:tcW w:w="20" w:type="dxa"/>
            <w:vAlign w:val="bottom"/>
            <w:tcBorders>
              <w:bottom w:val="single" w:sz="8" w:color="auto"/>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204,876</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133,911</w:t>
            </w:r>
          </w:p>
        </w:tc>
        <w:tc>
          <w:tcPr>
            <w:tcW w:w="10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560,696</w:t>
            </w:r>
          </w:p>
        </w:tc>
        <w:tc>
          <w:tcPr>
            <w:tcW w:w="80" w:type="dxa"/>
            <w:vAlign w:val="bottom"/>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346,533</w:t>
            </w:r>
          </w:p>
        </w:tc>
      </w:tr>
      <w:tr>
        <w:trPr>
          <w:trHeight w:val="233"/>
        </w:trPr>
        <w:tc>
          <w:tcPr>
            <w:tcW w:w="4740" w:type="dxa"/>
            <w:vAlign w:val="bottom"/>
            <w:gridSpan w:val="2"/>
          </w:tcPr>
          <w:p>
            <w:pPr>
              <w:ind w:left="680"/>
              <w:spacing w:after="0"/>
              <w:rPr>
                <w:sz w:val="20"/>
                <w:szCs w:val="20"/>
                <w:color w:val="auto"/>
              </w:rPr>
            </w:pPr>
            <w:r>
              <w:rPr>
                <w:rFonts w:ascii="Arial" w:cs="Arial" w:eastAsia="Arial" w:hAnsi="Arial"/>
                <w:sz w:val="16"/>
                <w:szCs w:val="16"/>
                <w:color w:val="auto"/>
              </w:rPr>
              <w:t>Loss from operations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(35,617)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(12,667)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(98,168)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(23,183)</w:t>
            </w:r>
          </w:p>
        </w:tc>
      </w:tr>
      <w:tr>
        <w:trPr>
          <w:trHeight w:val="25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0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r>
      <w:tr>
        <w:trPr>
          <w:trHeight w:val="233"/>
        </w:trPr>
        <w:tc>
          <w:tcPr>
            <w:tcW w:w="4740" w:type="dxa"/>
            <w:vAlign w:val="bottom"/>
            <w:gridSpan w:val="2"/>
          </w:tcPr>
          <w:p>
            <w:pPr>
              <w:ind w:left="20"/>
              <w:spacing w:after="0"/>
              <w:rPr>
                <w:sz w:val="20"/>
                <w:szCs w:val="20"/>
                <w:color w:val="auto"/>
              </w:rPr>
            </w:pPr>
            <w:r>
              <w:rPr>
                <w:rFonts w:ascii="Arial" w:cs="Arial" w:eastAsia="Arial" w:hAnsi="Arial"/>
                <w:sz w:val="16"/>
                <w:szCs w:val="16"/>
                <w:color w:val="auto"/>
              </w:rPr>
              <w:t>Interest expense</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(512)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(975)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(1,048)</w:t>
            </w:r>
          </w:p>
        </w:tc>
      </w:tr>
      <w:tr>
        <w:trPr>
          <w:trHeight w:val="24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4,121</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3,044</w:t>
            </w:r>
          </w:p>
        </w:tc>
      </w:tr>
      <w:tr>
        <w:trPr>
          <w:trHeight w:val="233"/>
        </w:trPr>
        <w:tc>
          <w:tcPr>
            <w:tcW w:w="4740" w:type="dxa"/>
            <w:vAlign w:val="bottom"/>
            <w:gridSpan w:val="2"/>
          </w:tcPr>
          <w:p>
            <w:pPr>
              <w:ind w:left="680"/>
              <w:spacing w:after="0"/>
              <w:rPr>
                <w:sz w:val="20"/>
                <w:szCs w:val="20"/>
                <w:color w:val="auto"/>
              </w:rPr>
            </w:pPr>
            <w:r>
              <w:rPr>
                <w:rFonts w:ascii="Arial" w:cs="Arial" w:eastAsia="Arial" w:hAnsi="Arial"/>
                <w:sz w:val="16"/>
                <w:szCs w:val="16"/>
                <w:color w:val="auto"/>
              </w:rPr>
              <w:t>Loss before provision for income taxes</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(32,782)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(12,701)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(93,147)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(21,095)</w:t>
            </w:r>
          </w:p>
        </w:tc>
      </w:tr>
      <w:tr>
        <w:trPr>
          <w:trHeight w:val="246"/>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0" w:type="dxa"/>
            <w:vAlign w:val="bottom"/>
            <w:tcBorders>
              <w:bottom w:val="single" w:sz="8" w:color="auto"/>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10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1,085</w:t>
            </w:r>
          </w:p>
        </w:tc>
      </w:tr>
      <w:tr>
        <w:trPr>
          <w:trHeight w:val="243"/>
        </w:trPr>
        <w:tc>
          <w:tcPr>
            <w:tcW w:w="4740" w:type="dxa"/>
            <w:vAlign w:val="bottom"/>
            <w:gridSpan w:val="2"/>
          </w:tcPr>
          <w:p>
            <w:pPr>
              <w:ind w:left="680"/>
              <w:spacing w:after="0"/>
              <w:rPr>
                <w:sz w:val="20"/>
                <w:szCs w:val="20"/>
                <w:color w:val="auto"/>
              </w:rPr>
            </w:pPr>
            <w:r>
              <w:rPr>
                <w:rFonts w:ascii="Arial" w:cs="Arial" w:eastAsia="Arial" w:hAnsi="Arial"/>
                <w:sz w:val="16"/>
                <w:szCs w:val="16"/>
                <w:color w:val="auto"/>
              </w:rPr>
              <w:t>Net loss attributable to common stockholders</w:t>
            </w:r>
          </w:p>
        </w:tc>
        <w:tc>
          <w:tcPr>
            <w:tcW w:w="200" w:type="dxa"/>
            <w:vAlign w:val="bottom"/>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(33,069)</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(12,962)</w:t>
            </w:r>
          </w:p>
        </w:tc>
        <w:tc>
          <w:tcPr>
            <w:tcW w:w="100" w:type="dxa"/>
            <w:vAlign w:val="bottom"/>
          </w:tcPr>
          <w:p>
            <w:pPr>
              <w:spacing w:after="0"/>
              <w:rPr>
                <w:sz w:val="21"/>
                <w:szCs w:val="21"/>
                <w:color w:val="auto"/>
              </w:rPr>
            </w:pP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(94,624)</w:t>
            </w:r>
          </w:p>
        </w:tc>
        <w:tc>
          <w:tcPr>
            <w:tcW w:w="80" w:type="dxa"/>
            <w:vAlign w:val="bottom"/>
          </w:tcPr>
          <w:p>
            <w:pPr>
              <w:spacing w:after="0"/>
              <w:rPr>
                <w:sz w:val="21"/>
                <w:szCs w:val="21"/>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(22,180)</w:t>
            </w: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10"/>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 per share attributable to common stockholders:</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37"/>
        </w:trPr>
        <w:tc>
          <w:tcPr>
            <w:tcW w:w="4720" w:type="dxa"/>
            <w:vAlign w:val="bottom"/>
            <w:tcBorders>
              <w:bottom w:val="single" w:sz="8" w:color="CCEEFF"/>
            </w:tcBorders>
          </w:tcPr>
          <w:p>
            <w:pPr>
              <w:ind w:left="680"/>
              <w:spacing w:after="0"/>
              <w:rPr>
                <w:sz w:val="20"/>
                <w:szCs w:val="20"/>
                <w:color w:val="auto"/>
              </w:rPr>
            </w:pPr>
            <w:r>
              <w:rPr>
                <w:rFonts w:ascii="Arial" w:cs="Arial" w:eastAsia="Arial" w:hAnsi="Arial"/>
                <w:sz w:val="16"/>
                <w:szCs w:val="16"/>
                <w:color w:val="auto"/>
              </w:rPr>
              <w:t>Basic and diluted</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jc w:val="right"/>
              <w:ind w:right="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(0.20)</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(0.41)</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(0.57)</w:t>
            </w:r>
          </w:p>
        </w:tc>
        <w:tc>
          <w:tcPr>
            <w:tcW w:w="8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(0.85)</w:t>
            </w:r>
          </w:p>
        </w:tc>
      </w:tr>
      <w:tr>
        <w:trPr>
          <w:trHeight w:val="193"/>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Weighted-average shares used in computing net loss per share</w:t>
            </w:r>
          </w:p>
        </w:tc>
        <w:tc>
          <w:tcPr>
            <w:tcW w:w="2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219"/>
        </w:trPr>
        <w:tc>
          <w:tcPr>
            <w:tcW w:w="4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attributable to common stockholders:</w:t>
            </w:r>
          </w:p>
        </w:tc>
        <w:tc>
          <w:tcPr>
            <w:tcW w:w="2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CCEEFF"/>
            </w:tcBorders>
            <w:shd w:val="clear" w:color="auto" w:fill="CCEEFF"/>
          </w:tcPr>
          <w:p>
            <w:pPr>
              <w:spacing w:after="0"/>
              <w:rPr>
                <w:sz w:val="19"/>
                <w:szCs w:val="19"/>
                <w:color w:val="auto"/>
              </w:rPr>
            </w:pPr>
          </w:p>
        </w:tc>
        <w:tc>
          <w:tcPr>
            <w:tcW w:w="13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1200" w:type="dxa"/>
            <w:vAlign w:val="bottom"/>
            <w:tcBorders>
              <w:bottom w:val="single" w:sz="8" w:color="CCEEFF"/>
            </w:tcBorders>
            <w:shd w:val="clear" w:color="auto" w:fill="CCEEFF"/>
          </w:tcPr>
          <w:p>
            <w:pPr>
              <w:spacing w:after="0"/>
              <w:rPr>
                <w:sz w:val="19"/>
                <w:szCs w:val="19"/>
                <w:color w:val="auto"/>
              </w:rPr>
            </w:pPr>
          </w:p>
        </w:tc>
      </w:tr>
      <w:tr>
        <w:trPr>
          <w:trHeight w:val="237"/>
        </w:trPr>
        <w:tc>
          <w:tcPr>
            <w:tcW w:w="4740" w:type="dxa"/>
            <w:vAlign w:val="bottom"/>
            <w:gridSpan w:val="2"/>
          </w:tcPr>
          <w:p>
            <w:pPr>
              <w:ind w:left="680"/>
              <w:spacing w:after="0"/>
              <w:rPr>
                <w:sz w:val="20"/>
                <w:szCs w:val="20"/>
                <w:color w:val="auto"/>
              </w:rPr>
            </w:pPr>
            <w:r>
              <w:rPr>
                <w:rFonts w:ascii="Arial" w:cs="Arial" w:eastAsia="Arial" w:hAnsi="Arial"/>
                <w:sz w:val="16"/>
                <w:szCs w:val="16"/>
                <w:color w:val="auto"/>
              </w:rPr>
              <w:t>Basic and diluted</w:t>
            </w:r>
          </w:p>
        </w:tc>
        <w:tc>
          <w:tcPr>
            <w:tcW w:w="20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168,604,378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31,641,400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166,517,398</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26,055,903</w:t>
            </w:r>
          </w:p>
        </w:tc>
      </w:tr>
      <w:tr>
        <w:trPr>
          <w:trHeight w:val="274"/>
        </w:trPr>
        <w:tc>
          <w:tcPr>
            <w:tcW w:w="4720" w:type="dxa"/>
            <w:vAlign w:val="bottom"/>
          </w:tcPr>
          <w:p>
            <w:pPr>
              <w:spacing w:after="0"/>
              <w:rPr>
                <w:sz w:val="20"/>
                <w:szCs w:val="20"/>
                <w:color w:val="auto"/>
              </w:rPr>
            </w:pPr>
            <w:r>
              <w:rPr>
                <w:rFonts w:ascii="Arial" w:cs="Arial" w:eastAsia="Arial" w:hAnsi="Arial"/>
                <w:sz w:val="16"/>
                <w:szCs w:val="16"/>
                <w:color w:val="auto"/>
              </w:rPr>
              <w:t>__________________</w:t>
            </w:r>
          </w:p>
        </w:tc>
        <w:tc>
          <w:tcPr>
            <w:tcW w:w="20" w:type="dxa"/>
            <w:vAlign w:val="bottom"/>
            <w:tcBorders>
              <w:top w:val="single" w:sz="8" w:color="auto"/>
            </w:tcBorders>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3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Borders>
              <w:top w:val="single" w:sz="8" w:color="auto"/>
            </w:tcBorders>
          </w:tcPr>
          <w:p>
            <w:pPr>
              <w:spacing w:after="0"/>
              <w:rPr>
                <w:sz w:val="23"/>
                <w:szCs w:val="23"/>
                <w:color w:val="auto"/>
              </w:rPr>
            </w:pPr>
          </w:p>
        </w:tc>
        <w:tc>
          <w:tcPr>
            <w:tcW w:w="13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36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r>
      <w:tr>
        <w:trPr>
          <w:trHeight w:val="206"/>
        </w:trPr>
        <w:tc>
          <w:tcPr>
            <w:tcW w:w="4740" w:type="dxa"/>
            <w:vAlign w:val="bottom"/>
            <w:gridSpan w:val="2"/>
          </w:tcPr>
          <w:p>
            <w:pPr>
              <w:spacing w:after="0"/>
              <w:rPr>
                <w:sz w:val="20"/>
                <w:szCs w:val="20"/>
                <w:color w:val="auto"/>
              </w:rPr>
            </w:pPr>
            <w:r>
              <w:rPr>
                <w:rFonts w:ascii="Arial" w:cs="Arial" w:eastAsia="Arial" w:hAnsi="Arial"/>
                <w:sz w:val="16"/>
                <w:szCs w:val="16"/>
                <w:color w:val="auto"/>
                <w:w w:val="91"/>
              </w:rPr>
              <w:t>(1) Exclusive of depreciation and amortization, shown separately, above.</w:t>
            </w:r>
          </w:p>
        </w:tc>
        <w:tc>
          <w:tcPr>
            <w:tcW w:w="20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bl>
    <w:p>
      <w:pPr>
        <w:spacing w:after="0" w:line="38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65405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5" w:name="page6"/>
    <w:bookmarkEnd w:id="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Comprehensive Loss</w:t>
      </w:r>
    </w:p>
    <w:p>
      <w:pPr>
        <w:spacing w:after="0" w:line="8" w:lineRule="exact"/>
        <w:rPr>
          <w:sz w:val="20"/>
          <w:szCs w:val="20"/>
          <w:color w:val="auto"/>
        </w:rPr>
      </w:pPr>
    </w:p>
    <w:p>
      <w:pPr>
        <w:ind w:left="548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0" w:type="dxa"/>
            <w:vAlign w:val="bottom"/>
            <w:gridSpan w:val="2"/>
          </w:tcPr>
          <w:p>
            <w:pPr>
              <w:ind w:left="440"/>
              <w:spacing w:after="0"/>
              <w:rPr>
                <w:sz w:val="20"/>
                <w:szCs w:val="20"/>
                <w:color w:val="auto"/>
              </w:rPr>
            </w:pPr>
            <w:r>
              <w:rPr>
                <w:rFonts w:ascii="Arial" w:cs="Arial" w:eastAsia="Arial" w:hAnsi="Arial"/>
                <w:sz w:val="16"/>
                <w:szCs w:val="16"/>
                <w:color w:val="auto"/>
              </w:rPr>
              <w:t>(unaudited)</w:t>
            </w: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417"/>
        </w:trPr>
        <w:tc>
          <w:tcPr>
            <w:tcW w:w="4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24"/>
                <w:szCs w:val="24"/>
                <w:color w:val="auto"/>
              </w:rPr>
            </w:pPr>
          </w:p>
        </w:tc>
        <w:tc>
          <w:tcPr>
            <w:tcW w:w="29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37"/>
        </w:trPr>
        <w:tc>
          <w:tcPr>
            <w:tcW w:w="474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loss</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(33,069)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(12,962)</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(94,624)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(22,180)</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Other comprehensive loss:</w:t>
            </w:r>
          </w:p>
        </w:tc>
        <w:tc>
          <w:tcPr>
            <w:tcW w:w="2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Foreign currency translation adjustments</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(1,375)</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(2,642)</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(309)</w:t>
            </w: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Comprehensive loss</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(34,444)</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(13,255)</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(97,266)</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(22,489)</w:t>
            </w: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Condensed Consolidated Statements of Redeemable Convertible Preferred Stock and Stockholders’ Equity (Deficit)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 the Three Months Ended September 30, 2022 and 2021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 thousands, except share data</w:t>
      </w:r>
      <w:r>
        <w:rPr>
          <w:rFonts w:ascii="Arial" w:cs="Arial" w:eastAsia="Arial" w:hAnsi="Arial"/>
          <w:sz w:val="16"/>
          <w:szCs w:val="16"/>
          <w:color w:val="auto"/>
        </w:rPr>
        <w: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8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2"/>
              </w:rPr>
              <w:t>Three Months Ended September 30, 2022</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240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4"/>
                <w:szCs w:val="14"/>
                <w:b w:val="1"/>
                <w:bCs w:val="1"/>
                <w:color w:val="auto"/>
                <w:w w:val="91"/>
              </w:rPr>
              <w:t>Redeemable Convertible</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2380" w:type="dxa"/>
            <w:vAlign w:val="bottom"/>
          </w:tcPr>
          <w:p>
            <w:pPr>
              <w:spacing w:after="0"/>
              <w:rPr>
                <w:sz w:val="8"/>
                <w:szCs w:val="8"/>
                <w:color w:val="auto"/>
              </w:rPr>
            </w:pPr>
          </w:p>
        </w:tc>
        <w:tc>
          <w:tcPr>
            <w:tcW w:w="2400" w:type="dxa"/>
            <w:vAlign w:val="bottom"/>
            <w:tcBorders>
              <w:right w:val="single" w:sz="8" w:color="auto"/>
            </w:tcBorders>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8"/>
                <w:szCs w:val="8"/>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80" w:type="dxa"/>
            <w:vAlign w:val="bottom"/>
            <w:vMerge w:val="restart"/>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380" w:type="dxa"/>
            <w:vAlign w:val="bottom"/>
          </w:tcPr>
          <w:p>
            <w:pPr>
              <w:spacing w:after="0"/>
              <w:rPr>
                <w:sz w:val="7"/>
                <w:szCs w:val="7"/>
                <w:color w:val="auto"/>
              </w:rPr>
            </w:pPr>
          </w:p>
        </w:tc>
        <w:tc>
          <w:tcPr>
            <w:tcW w:w="240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4"/>
                <w:szCs w:val="14"/>
                <w:b w:val="1"/>
                <w:bCs w:val="1"/>
                <w:color w:val="auto"/>
                <w:w w:val="93"/>
              </w:rPr>
              <w:t>Preferred Stock</w:t>
            </w:r>
          </w:p>
        </w:tc>
        <w:tc>
          <w:tcPr>
            <w:tcW w:w="660" w:type="dxa"/>
            <w:vAlign w:val="bottom"/>
          </w:tcPr>
          <w:p>
            <w:pPr>
              <w:spacing w:after="0"/>
              <w:rPr>
                <w:sz w:val="7"/>
                <w:szCs w:val="7"/>
                <w:color w:val="auto"/>
              </w:rPr>
            </w:pPr>
          </w:p>
        </w:tc>
        <w:tc>
          <w:tcPr>
            <w:tcW w:w="184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380" w:type="dxa"/>
            <w:vAlign w:val="bottom"/>
          </w:tcPr>
          <w:p>
            <w:pPr>
              <w:spacing w:after="0"/>
              <w:rPr>
                <w:sz w:val="9"/>
                <w:szCs w:val="9"/>
                <w:color w:val="auto"/>
              </w:rPr>
            </w:pPr>
          </w:p>
        </w:tc>
        <w:tc>
          <w:tcPr>
            <w:tcW w:w="2400" w:type="dxa"/>
            <w:vAlign w:val="bottom"/>
            <w:tcBorders>
              <w:right w:val="single" w:sz="8" w:color="auto"/>
            </w:tcBorders>
            <w:gridSpan w:val="5"/>
            <w:vMerge w:val="continue"/>
          </w:tcPr>
          <w:p>
            <w:pPr>
              <w:spacing w:after="0"/>
              <w:rPr>
                <w:sz w:val="9"/>
                <w:szCs w:val="9"/>
                <w:color w:val="auto"/>
              </w:rPr>
            </w:pPr>
          </w:p>
        </w:tc>
        <w:tc>
          <w:tcPr>
            <w:tcW w:w="6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60"/>
              <w:spacing w:after="0" w:line="125"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vMerge w:val="restart"/>
          </w:tcPr>
          <w:p>
            <w:pPr>
              <w:ind w:left="40"/>
              <w:spacing w:after="0" w:line="125" w:lineRule="exact"/>
              <w:rPr>
                <w:sz w:val="20"/>
                <w:szCs w:val="20"/>
                <w:color w:val="auto"/>
              </w:rPr>
            </w:pPr>
            <w:r>
              <w:rPr>
                <w:rFonts w:ascii="Arial" w:cs="Arial" w:eastAsia="Arial" w:hAnsi="Arial"/>
                <w:sz w:val="14"/>
                <w:szCs w:val="14"/>
                <w:b w:val="1"/>
                <w:bCs w:val="1"/>
                <w:color w:val="auto"/>
                <w:w w:val="97"/>
              </w:rPr>
              <w:t>Comprehensive</w:t>
            </w:r>
          </w:p>
        </w:tc>
        <w:tc>
          <w:tcPr>
            <w:tcW w:w="1000" w:type="dxa"/>
            <w:vAlign w:val="bottom"/>
            <w:gridSpan w:val="3"/>
            <w:vMerge w:val="continue"/>
          </w:tcPr>
          <w:p>
            <w:pPr>
              <w:spacing w:after="0"/>
              <w:rPr>
                <w:sz w:val="9"/>
                <w:szCs w:val="9"/>
                <w:color w:val="auto"/>
              </w:rPr>
            </w:pPr>
          </w:p>
        </w:tc>
        <w:tc>
          <w:tcPr>
            <w:tcW w:w="940" w:type="dxa"/>
            <w:vAlign w:val="bottom"/>
            <w:gridSpan w:val="2"/>
            <w:vMerge w:val="restart"/>
          </w:tcPr>
          <w:p>
            <w:pPr>
              <w:jc w:val="center"/>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7"/>
        </w:trPr>
        <w:tc>
          <w:tcPr>
            <w:tcW w:w="238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7"/>
                <w:szCs w:val="17"/>
                <w:color w:val="auto"/>
              </w:rPr>
            </w:pP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7"/>
                <w:szCs w:val="17"/>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23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July 1, 2022</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167,789,651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789,221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(1,014)</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(320,999)</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467,225</w:t>
            </w:r>
          </w:p>
        </w:tc>
        <w:tc>
          <w:tcPr>
            <w:tcW w:w="0" w:type="dxa"/>
            <w:vAlign w:val="bottom"/>
          </w:tcPr>
          <w:p>
            <w:pPr>
              <w:spacing w:after="0"/>
              <w:rPr>
                <w:sz w:val="1"/>
                <w:szCs w:val="1"/>
                <w:color w:val="auto"/>
              </w:rPr>
            </w:pPr>
          </w:p>
        </w:tc>
      </w:tr>
      <w:tr>
        <w:trPr>
          <w:trHeight w:val="184"/>
        </w:trPr>
        <w:tc>
          <w:tcPr>
            <w:tcW w:w="2380" w:type="dxa"/>
            <w:vAlign w:val="bottom"/>
          </w:tcPr>
          <w:p>
            <w:pPr>
              <w:ind w:left="20"/>
              <w:spacing w:after="0"/>
              <w:rPr>
                <w:sz w:val="20"/>
                <w:szCs w:val="20"/>
                <w:color w:val="auto"/>
              </w:rPr>
            </w:pPr>
            <w:r>
              <w:rPr>
                <w:rFonts w:ascii="Arial" w:cs="Arial" w:eastAsia="Arial" w:hAnsi="Arial"/>
                <w:sz w:val="14"/>
                <w:szCs w:val="14"/>
                <w:color w:val="auto"/>
              </w:rPr>
              <w:t>Issuance of common stock in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connection with ESPP</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177,461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1,634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1,634</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 including</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early exercised options, and vesting</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of restricted stock units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2,320,448</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3,914</w:t>
            </w:r>
          </w:p>
        </w:tc>
        <w:tc>
          <w:tcPr>
            <w:tcW w:w="0" w:type="dxa"/>
            <w:vAlign w:val="bottom"/>
          </w:tcPr>
          <w:p>
            <w:pPr>
              <w:spacing w:after="0"/>
              <w:rPr>
                <w:sz w:val="1"/>
                <w:szCs w:val="1"/>
                <w:color w:val="auto"/>
              </w:rPr>
            </w:pPr>
          </w:p>
        </w:tc>
      </w:tr>
      <w:tr>
        <w:trPr>
          <w:trHeight w:val="190"/>
        </w:trPr>
        <w:tc>
          <w:tcPr>
            <w:tcW w:w="2380" w:type="dxa"/>
            <w:vAlign w:val="bottom"/>
          </w:tcPr>
          <w:p>
            <w:pPr>
              <w:ind w:left="20"/>
              <w:spacing w:after="0"/>
              <w:rPr>
                <w:sz w:val="20"/>
                <w:szCs w:val="20"/>
                <w:color w:val="auto"/>
              </w:rPr>
            </w:pPr>
            <w:r>
              <w:rPr>
                <w:rFonts w:ascii="Arial" w:cs="Arial" w:eastAsia="Arial" w:hAnsi="Arial"/>
                <w:sz w:val="14"/>
                <w:szCs w:val="14"/>
                <w:color w:val="auto"/>
              </w:rPr>
              <w:t>Donation of common stock</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181,961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1,972</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1,972</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Taxes paid related to net share</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settlement of equity awards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(2,382)</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w:t>
            </w:r>
          </w:p>
        </w:tc>
        <w:tc>
          <w:tcPr>
            <w:tcW w:w="0" w:type="dxa"/>
            <w:vAlign w:val="bottom"/>
          </w:tcPr>
          <w:p>
            <w:pPr>
              <w:spacing w:after="0"/>
              <w:rPr>
                <w:sz w:val="1"/>
                <w:szCs w:val="1"/>
                <w:color w:val="auto"/>
              </w:rPr>
            </w:pPr>
          </w:p>
        </w:tc>
      </w:tr>
      <w:tr>
        <w:trPr>
          <w:trHeight w:val="190"/>
        </w:trPr>
        <w:tc>
          <w:tcPr>
            <w:tcW w:w="23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26,213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26,213</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(1,375)</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(1,375)</w:t>
            </w:r>
          </w:p>
        </w:tc>
        <w:tc>
          <w:tcPr>
            <w:tcW w:w="0" w:type="dxa"/>
            <w:vAlign w:val="bottom"/>
          </w:tcPr>
          <w:p>
            <w:pPr>
              <w:spacing w:after="0"/>
              <w:rPr>
                <w:sz w:val="1"/>
                <w:szCs w:val="1"/>
                <w:color w:val="auto"/>
              </w:rPr>
            </w:pPr>
          </w:p>
        </w:tc>
      </w:tr>
      <w:tr>
        <w:trPr>
          <w:trHeight w:val="190"/>
        </w:trPr>
        <w:tc>
          <w:tcPr>
            <w:tcW w:w="2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(33,069)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(33,069)</w:t>
            </w:r>
          </w:p>
        </w:tc>
        <w:tc>
          <w:tcPr>
            <w:tcW w:w="0" w:type="dxa"/>
            <w:vAlign w:val="bottom"/>
          </w:tcPr>
          <w:p>
            <w:pPr>
              <w:spacing w:after="0"/>
              <w:rPr>
                <w:sz w:val="1"/>
                <w:szCs w:val="1"/>
                <w:color w:val="auto"/>
              </w:rPr>
            </w:pPr>
          </w:p>
        </w:tc>
      </w:tr>
      <w:tr>
        <w:trPr>
          <w:trHeight w:val="39"/>
        </w:trPr>
        <w:tc>
          <w:tcPr>
            <w:tcW w:w="23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CCEEFF"/>
              <w:right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September 30, 2022</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CCEEFF"/>
              <w:right w:val="single" w:sz="8" w:color="auto"/>
            </w:tcBorders>
            <w:shd w:val="clear" w:color="auto" w:fill="CCEEFF"/>
          </w:tcPr>
          <w:p>
            <w:pPr>
              <w:spacing w:after="0"/>
              <w:rPr>
                <w:sz w:val="18"/>
                <w:szCs w:val="18"/>
                <w:color w:val="auto"/>
              </w:rPr>
            </w:pPr>
          </w:p>
        </w:tc>
        <w:tc>
          <w:tcPr>
            <w:tcW w:w="6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170,467,139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822,929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(354,068)</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466,489</w:t>
            </w:r>
          </w:p>
        </w:tc>
        <w:tc>
          <w:tcPr>
            <w:tcW w:w="0" w:type="dxa"/>
            <w:vAlign w:val="bottom"/>
          </w:tcPr>
          <w:p>
            <w:pPr>
              <w:spacing w:after="0"/>
              <w:rPr>
                <w:sz w:val="1"/>
                <w:szCs w:val="1"/>
                <w:color w:val="auto"/>
              </w:rPr>
            </w:pPr>
          </w:p>
        </w:tc>
      </w:tr>
      <w:tr>
        <w:trPr>
          <w:trHeight w:val="20"/>
        </w:trPr>
        <w:tc>
          <w:tcPr>
            <w:tcW w:w="23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3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78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2"/>
              </w:rPr>
              <w:t>Three Months Ended September 30, 2021</w:t>
            </w: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240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4"/>
                <w:szCs w:val="14"/>
                <w:b w:val="1"/>
                <w:bCs w:val="1"/>
                <w:color w:val="auto"/>
                <w:w w:val="91"/>
              </w:rPr>
              <w:t>Redeemable Convertible</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380" w:type="dxa"/>
            <w:vAlign w:val="bottom"/>
          </w:tcPr>
          <w:p>
            <w:pPr>
              <w:spacing w:after="0"/>
              <w:rPr>
                <w:sz w:val="8"/>
                <w:szCs w:val="8"/>
                <w:color w:val="auto"/>
              </w:rPr>
            </w:pPr>
          </w:p>
        </w:tc>
        <w:tc>
          <w:tcPr>
            <w:tcW w:w="2400" w:type="dxa"/>
            <w:vAlign w:val="bottom"/>
            <w:tcBorders>
              <w:right w:val="single" w:sz="8" w:color="auto"/>
            </w:tcBorders>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8"/>
                <w:szCs w:val="8"/>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81"/>
        </w:trPr>
        <w:tc>
          <w:tcPr>
            <w:tcW w:w="2380" w:type="dxa"/>
            <w:vAlign w:val="bottom"/>
          </w:tcPr>
          <w:p>
            <w:pPr>
              <w:spacing w:after="0"/>
              <w:rPr>
                <w:sz w:val="7"/>
                <w:szCs w:val="7"/>
                <w:color w:val="auto"/>
              </w:rPr>
            </w:pPr>
          </w:p>
        </w:tc>
        <w:tc>
          <w:tcPr>
            <w:tcW w:w="240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4"/>
                <w:szCs w:val="14"/>
                <w:b w:val="1"/>
                <w:bCs w:val="1"/>
                <w:color w:val="auto"/>
                <w:w w:val="93"/>
              </w:rPr>
              <w:t>Preferred Stock</w:t>
            </w:r>
          </w:p>
        </w:tc>
        <w:tc>
          <w:tcPr>
            <w:tcW w:w="660" w:type="dxa"/>
            <w:vAlign w:val="bottom"/>
          </w:tcPr>
          <w:p>
            <w:pPr>
              <w:spacing w:after="0"/>
              <w:rPr>
                <w:sz w:val="7"/>
                <w:szCs w:val="7"/>
                <w:color w:val="auto"/>
              </w:rPr>
            </w:pPr>
          </w:p>
        </w:tc>
        <w:tc>
          <w:tcPr>
            <w:tcW w:w="184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00" w:type="dxa"/>
            <w:vAlign w:val="bottom"/>
            <w:gridSpan w:val="3"/>
            <w:vMerge w:val="restart"/>
          </w:tcPr>
          <w:p>
            <w:pPr>
              <w:jc w:val="center"/>
              <w:ind w:right="60"/>
              <w:spacing w:after="0"/>
              <w:rPr>
                <w:sz w:val="20"/>
                <w:szCs w:val="20"/>
                <w:color w:val="auto"/>
              </w:rPr>
            </w:pPr>
            <w:r>
              <w:rPr>
                <w:rFonts w:ascii="Arial" w:cs="Arial" w:eastAsia="Arial" w:hAnsi="Arial"/>
                <w:sz w:val="14"/>
                <w:szCs w:val="14"/>
                <w:b w:val="1"/>
                <w:bCs w:val="1"/>
                <w:color w:val="auto"/>
                <w:w w:val="93"/>
              </w:rPr>
              <w:t>Accumulated</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380" w:type="dxa"/>
            <w:vAlign w:val="bottom"/>
          </w:tcPr>
          <w:p>
            <w:pPr>
              <w:spacing w:after="0"/>
              <w:rPr>
                <w:sz w:val="9"/>
                <w:szCs w:val="9"/>
                <w:color w:val="auto"/>
              </w:rPr>
            </w:pPr>
          </w:p>
        </w:tc>
        <w:tc>
          <w:tcPr>
            <w:tcW w:w="2400" w:type="dxa"/>
            <w:vAlign w:val="bottom"/>
            <w:tcBorders>
              <w:right w:val="single" w:sz="8" w:color="auto"/>
            </w:tcBorders>
            <w:gridSpan w:val="5"/>
            <w:vMerge w:val="continue"/>
          </w:tcPr>
          <w:p>
            <w:pPr>
              <w:spacing w:after="0"/>
              <w:rPr>
                <w:sz w:val="9"/>
                <w:szCs w:val="9"/>
                <w:color w:val="auto"/>
              </w:rPr>
            </w:pPr>
          </w:p>
        </w:tc>
        <w:tc>
          <w:tcPr>
            <w:tcW w:w="6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60"/>
              <w:spacing w:after="0" w:line="125"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vMerge w:val="restart"/>
          </w:tcPr>
          <w:p>
            <w:pPr>
              <w:jc w:val="center"/>
              <w:ind w:right="6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10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vMerge w:val="restart"/>
          </w:tcPr>
          <w:p>
            <w:pPr>
              <w:jc w:val="center"/>
              <w:ind w:right="88"/>
              <w:spacing w:after="0" w:line="125"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9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00" w:type="dxa"/>
            <w:vAlign w:val="bottom"/>
          </w:tcPr>
          <w:p>
            <w:pPr>
              <w:spacing w:after="0"/>
              <w:rPr>
                <w:sz w:val="17"/>
                <w:szCs w:val="17"/>
                <w:color w:val="auto"/>
              </w:rPr>
            </w:pP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8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Income (Loss)</w:t>
            </w:r>
          </w:p>
        </w:tc>
        <w:tc>
          <w:tcPr>
            <w:tcW w:w="180" w:type="dxa"/>
            <w:vAlign w:val="bottom"/>
          </w:tcPr>
          <w:p>
            <w:pPr>
              <w:spacing w:after="0"/>
              <w:rPr>
                <w:sz w:val="17"/>
                <w:szCs w:val="17"/>
                <w:color w:val="auto"/>
              </w:rPr>
            </w:pPr>
          </w:p>
        </w:tc>
        <w:tc>
          <w:tcPr>
            <w:tcW w:w="8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8"/>
              </w:rPr>
              <w:t>Deficit</w:t>
            </w:r>
          </w:p>
        </w:tc>
        <w:tc>
          <w:tcPr>
            <w:tcW w:w="160" w:type="dxa"/>
            <w:vAlign w:val="bottom"/>
          </w:tcPr>
          <w:p>
            <w:pPr>
              <w:spacing w:after="0"/>
              <w:rPr>
                <w:sz w:val="17"/>
                <w:szCs w:val="17"/>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23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Balances as of July 1, 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127,410,631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390,687</w:t>
            </w:r>
          </w:p>
        </w:tc>
        <w:tc>
          <w:tcPr>
            <w:tcW w:w="700" w:type="dxa"/>
            <w:vAlign w:val="bottom"/>
            <w:tcBorders>
              <w:bottom w:val="single" w:sz="8" w:color="CCEEFF"/>
              <w:right w:val="single" w:sz="8" w:color="auto"/>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26,385,643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17,193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575</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(229,906)</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(212,135)</w:t>
            </w:r>
          </w:p>
        </w:tc>
        <w:tc>
          <w:tcPr>
            <w:tcW w:w="0" w:type="dxa"/>
            <w:vAlign w:val="bottom"/>
          </w:tcPr>
          <w:p>
            <w:pPr>
              <w:spacing w:after="0"/>
              <w:rPr>
                <w:sz w:val="1"/>
                <w:szCs w:val="1"/>
                <w:color w:val="auto"/>
              </w:rPr>
            </w:pPr>
          </w:p>
        </w:tc>
      </w:tr>
      <w:tr>
        <w:trPr>
          <w:trHeight w:val="184"/>
        </w:trPr>
        <w:tc>
          <w:tcPr>
            <w:tcW w:w="2380" w:type="dxa"/>
            <w:vAlign w:val="bottom"/>
          </w:tcPr>
          <w:p>
            <w:pPr>
              <w:ind w:left="20"/>
              <w:spacing w:after="0"/>
              <w:rPr>
                <w:sz w:val="20"/>
                <w:szCs w:val="20"/>
                <w:color w:val="auto"/>
              </w:rPr>
            </w:pPr>
            <w:r>
              <w:rPr>
                <w:rFonts w:ascii="Arial" w:cs="Arial" w:eastAsia="Arial" w:hAnsi="Arial"/>
                <w:sz w:val="14"/>
                <w:szCs w:val="14"/>
                <w:color w:val="auto"/>
                <w:w w:val="95"/>
              </w:rPr>
              <w:t>Repayment of non-recourse promissory</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note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3,060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3,060</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9"/>
              </w:rPr>
              <w:t>Conversion of redeemable convertible</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preferred stock to common stock in</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connection with initial public</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offering</w:t>
            </w:r>
          </w:p>
        </w:tc>
        <w:tc>
          <w:tcPr>
            <w:tcW w:w="8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4"/>
                <w:szCs w:val="14"/>
                <w:color w:val="auto"/>
                <w:w w:val="91"/>
              </w:rPr>
              <w:t>(127,410,631)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(390,687)</w:t>
            </w:r>
          </w:p>
        </w:tc>
        <w:tc>
          <w:tcPr>
            <w:tcW w:w="700" w:type="dxa"/>
            <w:vAlign w:val="bottom"/>
            <w:tcBorders>
              <w:bottom w:val="single" w:sz="8" w:color="CCEEFF"/>
              <w:right w:val="single" w:sz="8" w:color="auto"/>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127,410,631</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390,674</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390,687</w:t>
            </w:r>
          </w:p>
        </w:tc>
        <w:tc>
          <w:tcPr>
            <w:tcW w:w="0" w:type="dxa"/>
            <w:vAlign w:val="bottom"/>
          </w:tcPr>
          <w:p>
            <w:pPr>
              <w:spacing w:after="0"/>
              <w:rPr>
                <w:sz w:val="1"/>
                <w:szCs w:val="1"/>
                <w:color w:val="auto"/>
              </w:rPr>
            </w:pPr>
          </w:p>
        </w:tc>
      </w:tr>
      <w:tr>
        <w:trPr>
          <w:trHeight w:val="184"/>
        </w:trPr>
        <w:tc>
          <w:tcPr>
            <w:tcW w:w="2380" w:type="dxa"/>
            <w:vAlign w:val="bottom"/>
          </w:tcPr>
          <w:p>
            <w:pPr>
              <w:ind w:left="20"/>
              <w:spacing w:after="0"/>
              <w:rPr>
                <w:sz w:val="20"/>
                <w:szCs w:val="20"/>
                <w:color w:val="auto"/>
              </w:rPr>
            </w:pPr>
            <w:r>
              <w:rPr>
                <w:rFonts w:ascii="Arial" w:cs="Arial" w:eastAsia="Arial" w:hAnsi="Arial"/>
                <w:sz w:val="14"/>
                <w:szCs w:val="14"/>
                <w:color w:val="auto"/>
                <w:w w:val="98"/>
              </w:rPr>
              <w:t>Issuance of common stock upon initial</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180"/>
              <w:spacing w:after="0"/>
              <w:rPr>
                <w:sz w:val="20"/>
                <w:szCs w:val="20"/>
                <w:color w:val="auto"/>
              </w:rPr>
            </w:pPr>
            <w:r>
              <w:rPr>
                <w:rFonts w:ascii="Arial" w:cs="Arial" w:eastAsia="Arial" w:hAnsi="Arial"/>
                <w:sz w:val="14"/>
                <w:szCs w:val="14"/>
                <w:color w:val="auto"/>
              </w:rPr>
              <w:t>public offering and private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180"/>
              <w:spacing w:after="0"/>
              <w:rPr>
                <w:sz w:val="20"/>
                <w:szCs w:val="20"/>
                <w:color w:val="auto"/>
              </w:rPr>
            </w:pPr>
            <w:r>
              <w:rPr>
                <w:rFonts w:ascii="Arial" w:cs="Arial" w:eastAsia="Arial" w:hAnsi="Arial"/>
                <w:sz w:val="14"/>
                <w:szCs w:val="14"/>
                <w:color w:val="auto"/>
              </w:rPr>
              <w:t>placements, net of offering costs,</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180"/>
              <w:spacing w:after="0"/>
              <w:rPr>
                <w:sz w:val="20"/>
                <w:szCs w:val="20"/>
                <w:color w:val="auto"/>
              </w:rPr>
            </w:pPr>
            <w:r>
              <w:rPr>
                <w:rFonts w:ascii="Arial" w:cs="Arial" w:eastAsia="Arial" w:hAnsi="Arial"/>
                <w:sz w:val="14"/>
                <w:szCs w:val="14"/>
                <w:color w:val="auto"/>
              </w:rPr>
              <w:t>underwriting discounts, and</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commissions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7,581,395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305,191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305,191</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Donation of common stock</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181,961</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6,933</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184"/>
        </w:trPr>
        <w:tc>
          <w:tcPr>
            <w:tcW w:w="2380" w:type="dxa"/>
            <w:vAlign w:val="bottom"/>
          </w:tcPr>
          <w:p>
            <w:pPr>
              <w:ind w:left="20"/>
              <w:spacing w:after="0"/>
              <w:rPr>
                <w:sz w:val="20"/>
                <w:szCs w:val="20"/>
                <w:color w:val="auto"/>
              </w:rPr>
            </w:pPr>
            <w:r>
              <w:rPr>
                <w:rFonts w:ascii="Arial" w:cs="Arial" w:eastAsia="Arial" w:hAnsi="Arial"/>
                <w:sz w:val="14"/>
                <w:szCs w:val="14"/>
                <w:color w:val="auto"/>
              </w:rPr>
              <w:t>Issuance of common stock upon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exercise of warrants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254,014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exercise of stock options, including</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w w:val="97"/>
              </w:rPr>
              <w:t>early exercised options, and vesting</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01"/>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of restricted stock units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1,951,856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2,341</w:t>
            </w:r>
          </w:p>
        </w:tc>
        <w:tc>
          <w:tcPr>
            <w:tcW w:w="0" w:type="dxa"/>
            <w:vAlign w:val="bottom"/>
          </w:tcPr>
          <w:p>
            <w:pPr>
              <w:spacing w:after="0"/>
              <w:rPr>
                <w:sz w:val="1"/>
                <w:szCs w:val="1"/>
                <w:color w:val="auto"/>
              </w:rPr>
            </w:pPr>
          </w:p>
        </w:tc>
      </w:tr>
      <w:tr>
        <w:trPr>
          <w:trHeight w:val="190"/>
        </w:trPr>
        <w:tc>
          <w:tcPr>
            <w:tcW w:w="23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4,861</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4,861</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(293)</w:t>
            </w:r>
          </w:p>
        </w:tc>
        <w:tc>
          <w:tcPr>
            <w:tcW w:w="0" w:type="dxa"/>
            <w:vAlign w:val="bottom"/>
          </w:tcPr>
          <w:p>
            <w:pPr>
              <w:spacing w:after="0"/>
              <w:rPr>
                <w:sz w:val="1"/>
                <w:szCs w:val="1"/>
                <w:color w:val="auto"/>
              </w:rPr>
            </w:pPr>
          </w:p>
        </w:tc>
      </w:tr>
      <w:tr>
        <w:trPr>
          <w:trHeight w:val="191"/>
        </w:trPr>
        <w:tc>
          <w:tcPr>
            <w:tcW w:w="2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(12,962)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(12,962)</w:t>
            </w:r>
          </w:p>
        </w:tc>
        <w:tc>
          <w:tcPr>
            <w:tcW w:w="0" w:type="dxa"/>
            <w:vAlign w:val="bottom"/>
          </w:tcPr>
          <w:p>
            <w:pPr>
              <w:spacing w:after="0"/>
              <w:rPr>
                <w:sz w:val="1"/>
                <w:szCs w:val="1"/>
                <w:color w:val="auto"/>
              </w:rPr>
            </w:pPr>
          </w:p>
        </w:tc>
      </w:tr>
      <w:tr>
        <w:trPr>
          <w:trHeight w:val="39"/>
        </w:trPr>
        <w:tc>
          <w:tcPr>
            <w:tcW w:w="23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CCEEFF"/>
              <w:right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September 30, 2021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163,765,500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730,253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ind w:left="20"/>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487,683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REMITLY GLOBAL, INC.</w:t>
      </w:r>
    </w:p>
    <w:p>
      <w:pPr>
        <w:spacing w:after="0" w:line="25" w:lineRule="exact"/>
        <w:rPr>
          <w:sz w:val="20"/>
          <w:szCs w:val="20"/>
          <w:color w:val="auto"/>
        </w:rPr>
      </w:pPr>
    </w:p>
    <w:p>
      <w:pPr>
        <w:jc w:val="right"/>
        <w:ind w:right="2060"/>
        <w:spacing w:after="0"/>
        <w:rPr>
          <w:sz w:val="20"/>
          <w:szCs w:val="20"/>
          <w:color w:val="auto"/>
        </w:rPr>
      </w:pPr>
      <w:r>
        <w:rPr>
          <w:rFonts w:ascii="Arial" w:cs="Arial" w:eastAsia="Arial" w:hAnsi="Arial"/>
          <w:sz w:val="14"/>
          <w:szCs w:val="14"/>
          <w:b w:val="1"/>
          <w:bCs w:val="1"/>
          <w:color w:val="auto"/>
        </w:rPr>
        <w:t>Condensed Consolidated Statements of Redeemable Convertible Preferred Stock and Stockholders’ Equity (Deficit)</w:t>
      </w:r>
    </w:p>
    <w:p>
      <w:pPr>
        <w:spacing w:after="0" w:line="15" w:lineRule="exact"/>
        <w:rPr>
          <w:sz w:val="20"/>
          <w:szCs w:val="20"/>
          <w:color w:val="auto"/>
        </w:rPr>
      </w:pPr>
    </w:p>
    <w:p>
      <w:pPr>
        <w:ind w:left="3840"/>
        <w:spacing w:after="0"/>
        <w:rPr>
          <w:sz w:val="20"/>
          <w:szCs w:val="20"/>
          <w:color w:val="auto"/>
        </w:rPr>
      </w:pPr>
      <w:r>
        <w:rPr>
          <w:rFonts w:ascii="Arial" w:cs="Arial" w:eastAsia="Arial" w:hAnsi="Arial"/>
          <w:sz w:val="14"/>
          <w:szCs w:val="14"/>
          <w:b w:val="1"/>
          <w:bCs w:val="1"/>
          <w:color w:val="auto"/>
        </w:rPr>
        <w:t>For the Nine Months Ended September 30, 2022 and 2021</w:t>
      </w:r>
    </w:p>
    <w:p>
      <w:pPr>
        <w:spacing w:after="0" w:line="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(i</w:t>
      </w:r>
      <w:r>
        <w:rPr>
          <w:rFonts w:ascii="Arial" w:cs="Arial" w:eastAsia="Arial" w:hAnsi="Arial"/>
          <w:sz w:val="14"/>
          <w:szCs w:val="14"/>
          <w:i w:val="1"/>
          <w:iCs w:val="1"/>
          <w:color w:val="auto"/>
        </w:rPr>
        <w:t>n thousands, except share data</w:t>
      </w:r>
      <w:r>
        <w:rPr>
          <w:rFonts w:ascii="Arial" w:cs="Arial" w:eastAsia="Arial" w:hAnsi="Arial"/>
          <w:sz w:val="14"/>
          <w:szCs w:val="14"/>
          <w:color w:val="auto"/>
        </w:rPr>
        <w: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(unaudited)</w:t>
      </w:r>
    </w:p>
    <w:p>
      <w:pPr>
        <w:spacing w:after="0" w:line="58" w:lineRule="exact"/>
        <w:rPr>
          <w:sz w:val="20"/>
          <w:szCs w:val="20"/>
          <w:color w:val="auto"/>
        </w:rPr>
      </w:pPr>
    </w:p>
    <w:p>
      <w:pPr>
        <w:ind w:left="5580"/>
        <w:spacing w:after="0"/>
        <w:rPr>
          <w:sz w:val="20"/>
          <w:szCs w:val="20"/>
          <w:color w:val="auto"/>
        </w:rPr>
      </w:pPr>
      <w:r>
        <w:rPr>
          <w:rFonts w:ascii="Arial" w:cs="Arial" w:eastAsia="Arial" w:hAnsi="Arial"/>
          <w:sz w:val="14"/>
          <w:szCs w:val="14"/>
          <w:b w:val="1"/>
          <w:bCs w:val="1"/>
          <w:color w:val="auto"/>
        </w:rPr>
        <w:t>Nine Months Ended September 30, 2022</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January 1, 2022</w:t>
      </w:r>
    </w:p>
    <w:p>
      <w:pPr>
        <w:spacing w:after="0" w:line="69" w:lineRule="exact"/>
        <w:rPr>
          <w:sz w:val="20"/>
          <w:szCs w:val="20"/>
          <w:color w:val="auto"/>
        </w:rPr>
      </w:pPr>
    </w:p>
    <w:p>
      <w:pPr>
        <w:ind w:left="20" w:right="540"/>
        <w:spacing w:after="0" w:line="293" w:lineRule="auto"/>
        <w:rPr>
          <w:sz w:val="20"/>
          <w:szCs w:val="20"/>
          <w:color w:val="auto"/>
        </w:rPr>
      </w:pPr>
      <w:r>
        <w:rPr>
          <w:rFonts w:ascii="Arial" w:cs="Arial" w:eastAsia="Arial" w:hAnsi="Arial"/>
          <w:sz w:val="14"/>
          <w:szCs w:val="14"/>
          <w:color w:val="auto"/>
        </w:rPr>
        <w:t>Issuance of common stock in connection with ESPP</w:t>
      </w:r>
    </w:p>
    <w:p>
      <w:pPr>
        <w:spacing w:after="0" w:line="12" w:lineRule="exact"/>
        <w:rPr>
          <w:sz w:val="20"/>
          <w:szCs w:val="20"/>
          <w:color w:val="auto"/>
        </w:rPr>
      </w:pPr>
    </w:p>
    <w:p>
      <w:pPr>
        <w:ind w:left="180" w:hanging="161"/>
        <w:spacing w:after="0" w:line="292" w:lineRule="auto"/>
        <w:rPr>
          <w:sz w:val="20"/>
          <w:szCs w:val="20"/>
          <w:color w:val="auto"/>
        </w:rPr>
      </w:pPr>
      <w:r>
        <w:rPr>
          <w:rFonts w:ascii="Arial" w:cs="Arial" w:eastAsia="Arial" w:hAnsi="Arial"/>
          <w:sz w:val="13"/>
          <w:szCs w:val="13"/>
          <w:color w:val="auto"/>
        </w:rPr>
        <w:t>Issuance of common stock upon exercise of stock options, including early exercised options, and vesting restricted stock units</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4"/>
          <w:szCs w:val="14"/>
          <w:color w:val="auto"/>
        </w:rPr>
        <w:t>Donation of common stock</w:t>
      </w:r>
    </w:p>
    <w:p>
      <w:pPr>
        <w:spacing w:after="0" w:line="69" w:lineRule="exact"/>
        <w:rPr>
          <w:sz w:val="20"/>
          <w:szCs w:val="20"/>
          <w:color w:val="auto"/>
        </w:rPr>
      </w:pPr>
    </w:p>
    <w:p>
      <w:pPr>
        <w:ind w:left="180" w:right="420" w:hanging="161"/>
        <w:spacing w:after="0" w:line="352" w:lineRule="auto"/>
        <w:rPr>
          <w:sz w:val="20"/>
          <w:szCs w:val="20"/>
          <w:color w:val="auto"/>
        </w:rPr>
      </w:pPr>
      <w:r>
        <w:rPr>
          <w:rFonts w:ascii="Arial" w:cs="Arial" w:eastAsia="Arial" w:hAnsi="Arial"/>
          <w:sz w:val="12"/>
          <w:szCs w:val="12"/>
          <w:color w:val="auto"/>
        </w:rPr>
        <w:t>Taxes paid related to net shares settlement of equity awards</w:t>
      </w:r>
    </w:p>
    <w:p>
      <w:pPr>
        <w:ind w:left="20"/>
        <w:spacing w:after="0"/>
        <w:rPr>
          <w:sz w:val="20"/>
          <w:szCs w:val="20"/>
          <w:color w:val="auto"/>
        </w:rPr>
      </w:pPr>
      <w:r>
        <w:rPr>
          <w:rFonts w:ascii="Arial" w:cs="Arial" w:eastAsia="Arial" w:hAnsi="Arial"/>
          <w:sz w:val="13"/>
          <w:szCs w:val="13"/>
          <w:color w:val="auto"/>
        </w:rPr>
        <w:t>Stock-based compensation expense</w:t>
      </w:r>
    </w:p>
    <w:p>
      <w:pPr>
        <w:spacing w:after="0" w:line="80" w:lineRule="exact"/>
        <w:rPr>
          <w:sz w:val="20"/>
          <w:szCs w:val="20"/>
          <w:color w:val="auto"/>
        </w:rPr>
      </w:pPr>
    </w:p>
    <w:p>
      <w:pPr>
        <w:ind w:left="20"/>
        <w:spacing w:after="0"/>
        <w:rPr>
          <w:sz w:val="20"/>
          <w:szCs w:val="20"/>
          <w:color w:val="auto"/>
        </w:rPr>
      </w:pPr>
      <w:r>
        <w:rPr>
          <w:rFonts w:ascii="Arial" w:cs="Arial" w:eastAsia="Arial" w:hAnsi="Arial"/>
          <w:sz w:val="14"/>
          <w:szCs w:val="14"/>
          <w:color w:val="auto"/>
        </w:rPr>
        <w:t>Other comprehensive loss</w:t>
      </w:r>
    </w:p>
    <w:p>
      <w:pPr>
        <w:spacing w:after="0" w:line="69" w:lineRule="exact"/>
        <w:rPr>
          <w:sz w:val="20"/>
          <w:szCs w:val="20"/>
          <w:color w:val="auto"/>
        </w:rPr>
      </w:pPr>
    </w:p>
    <w:p>
      <w:pPr>
        <w:ind w:left="20"/>
        <w:spacing w:after="0"/>
        <w:rPr>
          <w:sz w:val="20"/>
          <w:szCs w:val="20"/>
          <w:color w:val="auto"/>
        </w:rPr>
      </w:pPr>
      <w:r>
        <w:rPr>
          <w:rFonts w:ascii="Arial" w:cs="Arial" w:eastAsia="Arial" w:hAnsi="Arial"/>
          <w:sz w:val="14"/>
          <w:szCs w:val="14"/>
          <w:color w:val="auto"/>
        </w:rPr>
        <w:t>Net loss</w:t>
      </w:r>
    </w:p>
    <w:p>
      <w:pPr>
        <w:spacing w:after="0" w:line="82"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September 30, 2022</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400" w:type="dxa"/>
            <w:vAlign w:val="bottom"/>
            <w:tcBorders>
              <w:top w:val="single" w:sz="8" w:color="auto"/>
              <w:right w:val="single" w:sz="8" w:color="auto"/>
            </w:tcBorders>
            <w:gridSpan w:val="5"/>
            <w:vMerge w:val="restart"/>
          </w:tcPr>
          <w:p>
            <w:pPr>
              <w:ind w:left="100"/>
              <w:spacing w:after="0"/>
              <w:rPr>
                <w:sz w:val="20"/>
                <w:szCs w:val="20"/>
                <w:color w:val="auto"/>
              </w:rPr>
            </w:pPr>
            <w:r>
              <w:rPr>
                <w:rFonts w:ascii="Arial" w:cs="Arial" w:eastAsia="Arial" w:hAnsi="Arial"/>
                <w:sz w:val="14"/>
                <w:szCs w:val="14"/>
                <w:b w:val="1"/>
                <w:bCs w:val="1"/>
                <w:color w:val="auto"/>
              </w:rPr>
              <w:t>Redeemable Convertible</w:t>
            </w:r>
          </w:p>
        </w:tc>
        <w:tc>
          <w:tcPr>
            <w:tcW w:w="66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2400" w:type="dxa"/>
            <w:vAlign w:val="bottom"/>
            <w:tcBorders>
              <w:right w:val="single" w:sz="8" w:color="auto"/>
            </w:tcBorders>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8"/>
                <w:szCs w:val="8"/>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760" w:type="dxa"/>
            <w:vAlign w:val="bottom"/>
            <w:vMerge w:val="restart"/>
          </w:tcPr>
          <w:p>
            <w:pPr>
              <w:jc w:val="center"/>
              <w:ind w:right="8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81"/>
        </w:trPr>
        <w:tc>
          <w:tcPr>
            <w:tcW w:w="2400" w:type="dxa"/>
            <w:vAlign w:val="bottom"/>
            <w:tcBorders>
              <w:right w:val="single" w:sz="8" w:color="auto"/>
            </w:tcBorders>
            <w:gridSpan w:val="5"/>
            <w:vMerge w:val="restart"/>
          </w:tcPr>
          <w:p>
            <w:pPr>
              <w:ind w:left="360"/>
              <w:spacing w:after="0"/>
              <w:rPr>
                <w:sz w:val="20"/>
                <w:szCs w:val="20"/>
                <w:color w:val="auto"/>
              </w:rPr>
            </w:pPr>
            <w:r>
              <w:rPr>
                <w:rFonts w:ascii="Arial" w:cs="Arial" w:eastAsia="Arial" w:hAnsi="Arial"/>
                <w:sz w:val="14"/>
                <w:szCs w:val="14"/>
                <w:b w:val="1"/>
                <w:bCs w:val="1"/>
                <w:color w:val="auto"/>
              </w:rPr>
              <w:t>Preferred Stock</w:t>
            </w:r>
          </w:p>
        </w:tc>
        <w:tc>
          <w:tcPr>
            <w:tcW w:w="660" w:type="dxa"/>
            <w:vAlign w:val="bottom"/>
          </w:tcPr>
          <w:p>
            <w:pPr>
              <w:spacing w:after="0"/>
              <w:rPr>
                <w:sz w:val="7"/>
                <w:szCs w:val="7"/>
                <w:color w:val="auto"/>
              </w:rPr>
            </w:pPr>
          </w:p>
        </w:tc>
        <w:tc>
          <w:tcPr>
            <w:tcW w:w="184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18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400" w:type="dxa"/>
            <w:vAlign w:val="bottom"/>
            <w:tcBorders>
              <w:right w:val="single" w:sz="8" w:color="auto"/>
            </w:tcBorders>
            <w:gridSpan w:val="5"/>
            <w:vMerge w:val="continue"/>
          </w:tcPr>
          <w:p>
            <w:pPr>
              <w:spacing w:after="0"/>
              <w:rPr>
                <w:sz w:val="9"/>
                <w:szCs w:val="9"/>
                <w:color w:val="auto"/>
              </w:rPr>
            </w:pPr>
          </w:p>
        </w:tc>
        <w:tc>
          <w:tcPr>
            <w:tcW w:w="6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60"/>
              <w:spacing w:after="0" w:line="125"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vMerge w:val="restart"/>
          </w:tcPr>
          <w:p>
            <w:pPr>
              <w:jc w:val="center"/>
              <w:ind w:right="6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1000" w:type="dxa"/>
            <w:vAlign w:val="bottom"/>
            <w:gridSpan w:val="3"/>
            <w:vMerge w:val="continue"/>
          </w:tcPr>
          <w:p>
            <w:pPr>
              <w:spacing w:after="0"/>
              <w:rPr>
                <w:sz w:val="9"/>
                <w:szCs w:val="9"/>
                <w:color w:val="auto"/>
              </w:rPr>
            </w:pPr>
          </w:p>
        </w:tc>
        <w:tc>
          <w:tcPr>
            <w:tcW w:w="940" w:type="dxa"/>
            <w:vAlign w:val="bottom"/>
            <w:gridSpan w:val="2"/>
            <w:vMerge w:val="restart"/>
          </w:tcPr>
          <w:p>
            <w:pPr>
              <w:jc w:val="center"/>
              <w:spacing w:after="0" w:line="125"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39"/>
        </w:trPr>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40" w:type="dxa"/>
            <w:vAlign w:val="bottom"/>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9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Loss</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80" w:type="dxa"/>
            <w:vAlign w:val="bottom"/>
          </w:tcPr>
          <w:p>
            <w:pPr>
              <w:spacing w:after="0"/>
              <w:rPr>
                <w:sz w:val="17"/>
                <w:szCs w:val="17"/>
                <w:color w:val="auto"/>
              </w:rPr>
            </w:pPr>
          </w:p>
        </w:tc>
        <w:tc>
          <w:tcPr>
            <w:tcW w:w="760" w:type="dxa"/>
            <w:vAlign w:val="bottom"/>
          </w:tcPr>
          <w:p>
            <w:pPr>
              <w:jc w:val="center"/>
              <w:ind w:right="10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6"/>
        </w:trPr>
        <w:tc>
          <w:tcPr>
            <w:tcW w:w="8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right w:val="single" w:sz="8" w:color="auto"/>
            </w:tcBorders>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164,239,555</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16</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739,503</w:t>
            </w:r>
          </w:p>
        </w:tc>
        <w:tc>
          <w:tcPr>
            <w:tcW w:w="80" w:type="dxa"/>
            <w:vAlign w:val="bottom"/>
          </w:tcPr>
          <w:p>
            <w:pPr>
              <w:spacing w:after="0"/>
              <w:rPr>
                <w:sz w:val="16"/>
                <w:szCs w:val="16"/>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253</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Pr>
          <w:p>
            <w:pPr>
              <w:jc w:val="right"/>
              <w:spacing w:after="0"/>
              <w:rPr>
                <w:sz w:val="20"/>
                <w:szCs w:val="20"/>
                <w:color w:val="auto"/>
              </w:rPr>
            </w:pPr>
            <w:r>
              <w:rPr>
                <w:rFonts w:ascii="Arial" w:cs="Arial" w:eastAsia="Arial" w:hAnsi="Arial"/>
                <w:sz w:val="14"/>
                <w:szCs w:val="14"/>
                <w:color w:val="auto"/>
              </w:rPr>
              <w:t>(259,444)</w:t>
            </w:r>
          </w:p>
        </w:tc>
        <w:tc>
          <w:tcPr>
            <w:tcW w:w="80" w:type="dxa"/>
            <w:vAlign w:val="bottom"/>
          </w:tcPr>
          <w:p>
            <w:pPr>
              <w:spacing w:after="0"/>
              <w:rPr>
                <w:sz w:val="16"/>
                <w:szCs w:val="16"/>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480,328</w:t>
            </w:r>
          </w:p>
        </w:tc>
        <w:tc>
          <w:tcPr>
            <w:tcW w:w="0" w:type="dxa"/>
            <w:vAlign w:val="bottom"/>
          </w:tcPr>
          <w:p>
            <w:pPr>
              <w:spacing w:after="0"/>
              <w:rPr>
                <w:sz w:val="1"/>
                <w:szCs w:val="1"/>
                <w:color w:val="auto"/>
              </w:rPr>
            </w:pPr>
          </w:p>
        </w:tc>
      </w:tr>
      <w:tr>
        <w:trPr>
          <w:trHeight w:val="405"/>
        </w:trPr>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60" w:type="dxa"/>
            <w:vAlign w:val="bottom"/>
            <w:tcBorders>
              <w:right w:val="single" w:sz="8" w:color="auto"/>
            </w:tcBorders>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379,674</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3,516</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3,516</w:t>
            </w:r>
          </w:p>
        </w:tc>
        <w:tc>
          <w:tcPr>
            <w:tcW w:w="0" w:type="dxa"/>
            <w:vAlign w:val="bottom"/>
          </w:tcPr>
          <w:p>
            <w:pPr>
              <w:spacing w:after="0"/>
              <w:rPr>
                <w:sz w:val="1"/>
                <w:szCs w:val="1"/>
                <w:color w:val="auto"/>
              </w:rPr>
            </w:pPr>
          </w:p>
        </w:tc>
      </w:tr>
      <w:tr>
        <w:trPr>
          <w:trHeight w:val="743"/>
        </w:trPr>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60" w:type="dxa"/>
            <w:vAlign w:val="bottom"/>
            <w:tcBorders>
              <w:right w:val="single" w:sz="8" w:color="auto"/>
            </w:tcBorders>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5,670,958</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8,745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8,746</w:t>
            </w:r>
          </w:p>
        </w:tc>
        <w:tc>
          <w:tcPr>
            <w:tcW w:w="0" w:type="dxa"/>
            <w:vAlign w:val="bottom"/>
          </w:tcPr>
          <w:p>
            <w:pPr>
              <w:spacing w:after="0"/>
              <w:rPr>
                <w:sz w:val="1"/>
                <w:szCs w:val="1"/>
                <w:color w:val="auto"/>
              </w:rPr>
            </w:pPr>
          </w:p>
        </w:tc>
      </w:tr>
      <w:tr>
        <w:trPr>
          <w:trHeight w:val="229"/>
        </w:trPr>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360" w:type="dxa"/>
            <w:vAlign w:val="bottom"/>
            <w:tcBorders>
              <w:right w:val="single" w:sz="8" w:color="auto"/>
            </w:tcBorders>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181,961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1,972</w:t>
            </w:r>
          </w:p>
        </w:tc>
        <w:tc>
          <w:tcPr>
            <w:tcW w:w="0" w:type="dxa"/>
            <w:vAlign w:val="bottom"/>
          </w:tcPr>
          <w:p>
            <w:pPr>
              <w:spacing w:after="0"/>
              <w:rPr>
                <w:sz w:val="1"/>
                <w:szCs w:val="1"/>
                <w:color w:val="auto"/>
              </w:rPr>
            </w:pPr>
          </w:p>
        </w:tc>
      </w:tr>
      <w:tr>
        <w:trPr>
          <w:trHeight w:val="405"/>
        </w:trPr>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360" w:type="dxa"/>
            <w:vAlign w:val="bottom"/>
            <w:tcBorders>
              <w:right w:val="single" w:sz="8" w:color="auto"/>
            </w:tcBorders>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(5,009)</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(55)</w:t>
            </w:r>
          </w:p>
        </w:tc>
        <w:tc>
          <w:tcPr>
            <w:tcW w:w="0" w:type="dxa"/>
            <w:vAlign w:val="bottom"/>
          </w:tcPr>
          <w:p>
            <w:pPr>
              <w:spacing w:after="0"/>
              <w:rPr>
                <w:sz w:val="1"/>
                <w:szCs w:val="1"/>
                <w:color w:val="auto"/>
              </w:rPr>
            </w:pPr>
          </w:p>
        </w:tc>
      </w:tr>
      <w:tr>
        <w:trPr>
          <w:trHeight w:val="230"/>
        </w:trPr>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360" w:type="dxa"/>
            <w:vAlign w:val="bottom"/>
            <w:tcBorders>
              <w:right w:val="single" w:sz="8" w:color="auto"/>
            </w:tcBorders>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69,248</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69,248</w:t>
            </w:r>
          </w:p>
        </w:tc>
        <w:tc>
          <w:tcPr>
            <w:tcW w:w="0" w:type="dxa"/>
            <w:vAlign w:val="bottom"/>
          </w:tcPr>
          <w:p>
            <w:pPr>
              <w:spacing w:after="0"/>
              <w:rPr>
                <w:sz w:val="1"/>
                <w:szCs w:val="1"/>
                <w:color w:val="auto"/>
              </w:rPr>
            </w:pPr>
          </w:p>
        </w:tc>
      </w:tr>
      <w:tr>
        <w:trPr>
          <w:trHeight w:val="229"/>
        </w:trPr>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360" w:type="dxa"/>
            <w:vAlign w:val="bottom"/>
            <w:tcBorders>
              <w:right w:val="single" w:sz="8" w:color="auto"/>
            </w:tcBorders>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(2,642)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(2,642)</w:t>
            </w:r>
          </w:p>
        </w:tc>
        <w:tc>
          <w:tcPr>
            <w:tcW w:w="0" w:type="dxa"/>
            <w:vAlign w:val="bottom"/>
          </w:tcPr>
          <w:p>
            <w:pPr>
              <w:spacing w:after="0"/>
              <w:rPr>
                <w:sz w:val="1"/>
                <w:szCs w:val="1"/>
                <w:color w:val="auto"/>
              </w:rPr>
            </w:pPr>
          </w:p>
        </w:tc>
      </w:tr>
      <w:tr>
        <w:trPr>
          <w:trHeight w:val="229"/>
        </w:trPr>
        <w:tc>
          <w:tcPr>
            <w:tcW w:w="940" w:type="dxa"/>
            <w:vAlign w:val="bottom"/>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1360" w:type="dxa"/>
            <w:vAlign w:val="bottom"/>
            <w:tcBorders>
              <w:right w:val="single" w:sz="8" w:color="auto"/>
            </w:tcBorders>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9"/>
                <w:szCs w:val="19"/>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(94,624)</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(94,624)</w:t>
            </w:r>
          </w:p>
        </w:tc>
        <w:tc>
          <w:tcPr>
            <w:tcW w:w="0" w:type="dxa"/>
            <w:vAlign w:val="bottom"/>
          </w:tcPr>
          <w:p>
            <w:pPr>
              <w:spacing w:after="0"/>
              <w:rPr>
                <w:sz w:val="1"/>
                <w:szCs w:val="1"/>
                <w:color w:val="auto"/>
              </w:rPr>
            </w:pPr>
          </w:p>
        </w:tc>
      </w:tr>
      <w:tr>
        <w:trPr>
          <w:trHeight w:val="39"/>
        </w:trPr>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940" w:type="dxa"/>
            <w:vAlign w:val="bottom"/>
            <w:tcBorders>
              <w:bottom w:val="single" w:sz="8" w:color="auto"/>
            </w:tcBorders>
            <w:gridSpan w:val="2"/>
          </w:tcPr>
          <w:p>
            <w:pPr>
              <w:ind w:left="6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bottom w:val="single" w:sz="8" w:color="auto"/>
              <w:right w:val="single" w:sz="8" w:color="auto"/>
            </w:tcBorders>
            <w:gridSpan w:val="2"/>
          </w:tcPr>
          <w:p>
            <w:pPr>
              <w:ind w:left="4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170,467,139</w:t>
            </w: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822,929</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(2,389)</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(354,068)</w:t>
            </w: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466,489</w:t>
            </w:r>
          </w:p>
        </w:tc>
        <w:tc>
          <w:tcPr>
            <w:tcW w:w="0" w:type="dxa"/>
            <w:vAlign w:val="bottom"/>
          </w:tcPr>
          <w:p>
            <w:pPr>
              <w:spacing w:after="0"/>
              <w:rPr>
                <w:sz w:val="1"/>
                <w:szCs w:val="1"/>
                <w:color w:val="auto"/>
              </w:rPr>
            </w:pPr>
          </w:p>
        </w:tc>
      </w:tr>
      <w:tr>
        <w:trPr>
          <w:trHeight w:val="20"/>
        </w:trPr>
        <w:tc>
          <w:tcPr>
            <w:tcW w:w="8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-1893570</wp:posOffset>
            </wp:positionV>
            <wp:extent cx="7132320" cy="1543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-1482725</wp:posOffset>
            </wp:positionV>
            <wp:extent cx="7132320" cy="4718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47180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-864870</wp:posOffset>
            </wp:positionV>
            <wp:extent cx="7132320" cy="25717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-462280</wp:posOffset>
            </wp:positionV>
            <wp:extent cx="7132320" cy="1454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-1505585</wp:posOffset>
            </wp:positionH>
            <wp:positionV relativeFrom="paragraph">
              <wp:posOffset>-170815</wp:posOffset>
            </wp:positionV>
            <wp:extent cx="7132320" cy="1543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2240" w:space="140"/>
            <w:col w:w="8860"/>
          </w:cols>
          <w:pgMar w:left="320" w:top="130" w:right="33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23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780" w:type="dxa"/>
            <w:vAlign w:val="bottom"/>
            <w:gridSpan w:val="8"/>
          </w:tcPr>
          <w:p>
            <w:pPr>
              <w:jc w:val="center"/>
              <w:ind w:right="40"/>
              <w:spacing w:after="0"/>
              <w:rPr>
                <w:sz w:val="20"/>
                <w:szCs w:val="20"/>
                <w:color w:val="auto"/>
              </w:rPr>
            </w:pPr>
            <w:r>
              <w:rPr>
                <w:rFonts w:ascii="Arial" w:cs="Arial" w:eastAsia="Arial" w:hAnsi="Arial"/>
                <w:sz w:val="14"/>
                <w:szCs w:val="14"/>
                <w:b w:val="1"/>
                <w:bCs w:val="1"/>
                <w:color w:val="auto"/>
                <w:w w:val="92"/>
              </w:rPr>
              <w:t>Nine Months Ended September 30, 2021</w:t>
            </w: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240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4"/>
                <w:szCs w:val="14"/>
                <w:b w:val="1"/>
                <w:bCs w:val="1"/>
                <w:color w:val="auto"/>
                <w:w w:val="91"/>
              </w:rPr>
              <w:t>Redeemable Convertible</w:t>
            </w:r>
          </w:p>
        </w:tc>
        <w:tc>
          <w:tcPr>
            <w:tcW w:w="6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Accumulated</w:t>
            </w:r>
          </w:p>
        </w:tc>
        <w:tc>
          <w:tcPr>
            <w:tcW w:w="1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center"/>
              <w:ind w:right="6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95"/>
        </w:trPr>
        <w:tc>
          <w:tcPr>
            <w:tcW w:w="2380" w:type="dxa"/>
            <w:vAlign w:val="bottom"/>
          </w:tcPr>
          <w:p>
            <w:pPr>
              <w:spacing w:after="0"/>
              <w:rPr>
                <w:sz w:val="8"/>
                <w:szCs w:val="8"/>
                <w:color w:val="auto"/>
              </w:rPr>
            </w:pPr>
          </w:p>
        </w:tc>
        <w:tc>
          <w:tcPr>
            <w:tcW w:w="2400" w:type="dxa"/>
            <w:vAlign w:val="bottom"/>
            <w:tcBorders>
              <w:right w:val="single" w:sz="8" w:color="auto"/>
            </w:tcBorders>
            <w:gridSpan w:val="5"/>
            <w:vMerge w:val="continue"/>
          </w:tcPr>
          <w:p>
            <w:pPr>
              <w:spacing w:after="0"/>
              <w:rPr>
                <w:sz w:val="8"/>
                <w:szCs w:val="8"/>
                <w:color w:val="auto"/>
              </w:rPr>
            </w:pPr>
          </w:p>
        </w:tc>
        <w:tc>
          <w:tcPr>
            <w:tcW w:w="660" w:type="dxa"/>
            <w:vAlign w:val="bottom"/>
          </w:tcPr>
          <w:p>
            <w:pPr>
              <w:spacing w:after="0"/>
              <w:rPr>
                <w:sz w:val="8"/>
                <w:szCs w:val="8"/>
                <w:color w:val="auto"/>
              </w:rPr>
            </w:pPr>
          </w:p>
        </w:tc>
        <w:tc>
          <w:tcPr>
            <w:tcW w:w="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8"/>
                <w:szCs w:val="8"/>
                <w:color w:val="auto"/>
              </w:rPr>
            </w:pPr>
          </w:p>
        </w:tc>
        <w:tc>
          <w:tcPr>
            <w:tcW w:w="98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c>
          <w:tcPr>
            <w:tcW w:w="94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81"/>
        </w:trPr>
        <w:tc>
          <w:tcPr>
            <w:tcW w:w="2380" w:type="dxa"/>
            <w:vAlign w:val="bottom"/>
          </w:tcPr>
          <w:p>
            <w:pPr>
              <w:spacing w:after="0"/>
              <w:rPr>
                <w:sz w:val="7"/>
                <w:szCs w:val="7"/>
                <w:color w:val="auto"/>
              </w:rPr>
            </w:pPr>
          </w:p>
        </w:tc>
        <w:tc>
          <w:tcPr>
            <w:tcW w:w="2400" w:type="dxa"/>
            <w:vAlign w:val="bottom"/>
            <w:tcBorders>
              <w:right w:val="single" w:sz="8" w:color="auto"/>
            </w:tcBorders>
            <w:gridSpan w:val="5"/>
            <w:vMerge w:val="restart"/>
          </w:tcPr>
          <w:p>
            <w:pPr>
              <w:jc w:val="center"/>
              <w:ind w:right="700"/>
              <w:spacing w:after="0"/>
              <w:rPr>
                <w:sz w:val="20"/>
                <w:szCs w:val="20"/>
                <w:color w:val="auto"/>
              </w:rPr>
            </w:pPr>
            <w:r>
              <w:rPr>
                <w:rFonts w:ascii="Arial" w:cs="Arial" w:eastAsia="Arial" w:hAnsi="Arial"/>
                <w:sz w:val="14"/>
                <w:szCs w:val="14"/>
                <w:b w:val="1"/>
                <w:bCs w:val="1"/>
                <w:color w:val="auto"/>
                <w:w w:val="93"/>
              </w:rPr>
              <w:t>Preferred Stock</w:t>
            </w:r>
          </w:p>
        </w:tc>
        <w:tc>
          <w:tcPr>
            <w:tcW w:w="660" w:type="dxa"/>
            <w:vAlign w:val="bottom"/>
          </w:tcPr>
          <w:p>
            <w:pPr>
              <w:spacing w:after="0"/>
              <w:rPr>
                <w:sz w:val="7"/>
                <w:szCs w:val="7"/>
                <w:color w:val="auto"/>
              </w:rPr>
            </w:pPr>
          </w:p>
        </w:tc>
        <w:tc>
          <w:tcPr>
            <w:tcW w:w="1840" w:type="dxa"/>
            <w:vAlign w:val="bottom"/>
            <w:gridSpan w:val="5"/>
            <w:vMerge w:val="restart"/>
          </w:tcPr>
          <w:p>
            <w:pPr>
              <w:ind w:left="420"/>
              <w:spacing w:after="0"/>
              <w:rPr>
                <w:sz w:val="20"/>
                <w:szCs w:val="20"/>
                <w:color w:val="auto"/>
              </w:rPr>
            </w:pPr>
            <w:r>
              <w:rPr>
                <w:rFonts w:ascii="Arial" w:cs="Arial" w:eastAsia="Arial" w:hAnsi="Arial"/>
                <w:sz w:val="14"/>
                <w:szCs w:val="14"/>
                <w:b w:val="1"/>
                <w:bCs w:val="1"/>
                <w:color w:val="auto"/>
              </w:rPr>
              <w:t>Common Stock</w:t>
            </w:r>
          </w:p>
        </w:tc>
        <w:tc>
          <w:tcPr>
            <w:tcW w:w="100" w:type="dxa"/>
            <w:vAlign w:val="bottom"/>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gridSpan w:val="2"/>
            <w:vMerge w:val="continue"/>
          </w:tcPr>
          <w:p>
            <w:pPr>
              <w:spacing w:after="0"/>
              <w:rPr>
                <w:sz w:val="7"/>
                <w:szCs w:val="7"/>
                <w:color w:val="auto"/>
              </w:rPr>
            </w:pPr>
          </w:p>
        </w:tc>
        <w:tc>
          <w:tcPr>
            <w:tcW w:w="100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Accumulated</w:t>
            </w:r>
          </w:p>
        </w:tc>
        <w:tc>
          <w:tcPr>
            <w:tcW w:w="9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2380" w:type="dxa"/>
            <w:vAlign w:val="bottom"/>
          </w:tcPr>
          <w:p>
            <w:pPr>
              <w:spacing w:after="0"/>
              <w:rPr>
                <w:sz w:val="9"/>
                <w:szCs w:val="9"/>
                <w:color w:val="auto"/>
              </w:rPr>
            </w:pPr>
          </w:p>
        </w:tc>
        <w:tc>
          <w:tcPr>
            <w:tcW w:w="2400" w:type="dxa"/>
            <w:vAlign w:val="bottom"/>
            <w:tcBorders>
              <w:right w:val="single" w:sz="8" w:color="auto"/>
            </w:tcBorders>
            <w:gridSpan w:val="5"/>
            <w:vMerge w:val="continue"/>
          </w:tcPr>
          <w:p>
            <w:pPr>
              <w:spacing w:after="0"/>
              <w:rPr>
                <w:sz w:val="9"/>
                <w:szCs w:val="9"/>
                <w:color w:val="auto"/>
              </w:rPr>
            </w:pPr>
          </w:p>
        </w:tc>
        <w:tc>
          <w:tcPr>
            <w:tcW w:w="660" w:type="dxa"/>
            <w:vAlign w:val="bottom"/>
          </w:tcPr>
          <w:p>
            <w:pPr>
              <w:spacing w:after="0"/>
              <w:rPr>
                <w:sz w:val="9"/>
                <w:szCs w:val="9"/>
                <w:color w:val="auto"/>
              </w:rPr>
            </w:pPr>
          </w:p>
        </w:tc>
        <w:tc>
          <w:tcPr>
            <w:tcW w:w="1840" w:type="dxa"/>
            <w:vAlign w:val="bottom"/>
            <w:gridSpan w:val="5"/>
            <w:vMerge w:val="continue"/>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gridSpan w:val="2"/>
            <w:vMerge w:val="restart"/>
          </w:tcPr>
          <w:p>
            <w:pPr>
              <w:jc w:val="center"/>
              <w:ind w:right="160"/>
              <w:spacing w:after="0" w:line="125" w:lineRule="exact"/>
              <w:rPr>
                <w:sz w:val="20"/>
                <w:szCs w:val="20"/>
                <w:color w:val="auto"/>
              </w:rPr>
            </w:pPr>
            <w:r>
              <w:rPr>
                <w:rFonts w:ascii="Arial" w:cs="Arial" w:eastAsia="Arial" w:hAnsi="Arial"/>
                <w:sz w:val="14"/>
                <w:szCs w:val="14"/>
                <w:b w:val="1"/>
                <w:bCs w:val="1"/>
                <w:color w:val="auto"/>
                <w:w w:val="94"/>
              </w:rPr>
              <w:t>Paid-in</w:t>
            </w:r>
          </w:p>
        </w:tc>
        <w:tc>
          <w:tcPr>
            <w:tcW w:w="1080" w:type="dxa"/>
            <w:vAlign w:val="bottom"/>
            <w:gridSpan w:val="3"/>
            <w:vMerge w:val="restart"/>
          </w:tcPr>
          <w:p>
            <w:pPr>
              <w:jc w:val="center"/>
              <w:ind w:right="60"/>
              <w:spacing w:after="0" w:line="125" w:lineRule="exact"/>
              <w:rPr>
                <w:sz w:val="20"/>
                <w:szCs w:val="20"/>
                <w:color w:val="auto"/>
              </w:rPr>
            </w:pPr>
            <w:r>
              <w:rPr>
                <w:rFonts w:ascii="Arial" w:cs="Arial" w:eastAsia="Arial" w:hAnsi="Arial"/>
                <w:sz w:val="14"/>
                <w:szCs w:val="14"/>
                <w:b w:val="1"/>
                <w:bCs w:val="1"/>
                <w:color w:val="auto"/>
                <w:w w:val="89"/>
              </w:rPr>
              <w:t>Comprehensive</w:t>
            </w:r>
          </w:p>
        </w:tc>
        <w:tc>
          <w:tcPr>
            <w:tcW w:w="100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vMerge w:val="restart"/>
          </w:tcPr>
          <w:p>
            <w:pPr>
              <w:jc w:val="center"/>
              <w:ind w:right="88"/>
              <w:spacing w:after="0" w:line="125" w:lineRule="exact"/>
              <w:rPr>
                <w:sz w:val="20"/>
                <w:szCs w:val="20"/>
                <w:color w:val="auto"/>
              </w:rPr>
            </w:pPr>
            <w:r>
              <w:rPr>
                <w:rFonts w:ascii="Arial" w:cs="Arial" w:eastAsia="Arial" w:hAnsi="Arial"/>
                <w:sz w:val="14"/>
                <w:szCs w:val="14"/>
                <w:b w:val="1"/>
                <w:bCs w:val="1"/>
                <w:color w:val="auto"/>
                <w:w w:val="95"/>
              </w:rPr>
              <w:t>(Deficit)</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1080" w:type="dxa"/>
            <w:vAlign w:val="bottom"/>
            <w:gridSpan w:val="3"/>
            <w:vMerge w:val="continue"/>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2380" w:type="dxa"/>
            <w:vAlign w:val="bottom"/>
          </w:tcPr>
          <w:p>
            <w:pPr>
              <w:spacing w:after="0"/>
              <w:rPr>
                <w:sz w:val="17"/>
                <w:szCs w:val="17"/>
                <w:color w:val="auto"/>
              </w:rPr>
            </w:pPr>
          </w:p>
        </w:tc>
        <w:tc>
          <w:tcPr>
            <w:tcW w:w="940" w:type="dxa"/>
            <w:vAlign w:val="bottom"/>
            <w:gridSpan w:val="2"/>
          </w:tcPr>
          <w:p>
            <w:pPr>
              <w:ind w:left="22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7"/>
                <w:szCs w:val="17"/>
                <w:color w:val="auto"/>
              </w:rPr>
            </w:pPr>
          </w:p>
        </w:tc>
        <w:tc>
          <w:tcPr>
            <w:tcW w:w="1360" w:type="dxa"/>
            <w:vAlign w:val="bottom"/>
            <w:tcBorders>
              <w:right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Amount</w:t>
            </w:r>
          </w:p>
        </w:tc>
        <w:tc>
          <w:tcPr>
            <w:tcW w:w="660" w:type="dxa"/>
            <w:vAlign w:val="bottom"/>
          </w:tcPr>
          <w:p>
            <w:pPr>
              <w:spacing w:after="0"/>
              <w:rPr>
                <w:sz w:val="17"/>
                <w:szCs w:val="17"/>
                <w:color w:val="auto"/>
              </w:rPr>
            </w:pPr>
          </w:p>
        </w:tc>
        <w:tc>
          <w:tcPr>
            <w:tcW w:w="98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7"/>
                <w:szCs w:val="17"/>
                <w:color w:val="auto"/>
              </w:rPr>
            </w:pPr>
          </w:p>
        </w:tc>
        <w:tc>
          <w:tcPr>
            <w:tcW w:w="7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Amount</w:t>
            </w:r>
          </w:p>
        </w:tc>
        <w:tc>
          <w:tcPr>
            <w:tcW w:w="10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Capital</w:t>
            </w:r>
          </w:p>
        </w:tc>
        <w:tc>
          <w:tcPr>
            <w:tcW w:w="100" w:type="dxa"/>
            <w:vAlign w:val="bottom"/>
          </w:tcPr>
          <w:p>
            <w:pPr>
              <w:spacing w:after="0"/>
              <w:rPr>
                <w:sz w:val="17"/>
                <w:szCs w:val="17"/>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3"/>
              </w:rPr>
              <w:t>Income</w:t>
            </w:r>
          </w:p>
        </w:tc>
        <w:tc>
          <w:tcPr>
            <w:tcW w:w="180" w:type="dxa"/>
            <w:vAlign w:val="bottom"/>
          </w:tcPr>
          <w:p>
            <w:pPr>
              <w:spacing w:after="0"/>
              <w:rPr>
                <w:sz w:val="17"/>
                <w:szCs w:val="17"/>
                <w:color w:val="auto"/>
              </w:rPr>
            </w:pPr>
          </w:p>
        </w:tc>
        <w:tc>
          <w:tcPr>
            <w:tcW w:w="82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Deficit</w:t>
            </w:r>
          </w:p>
        </w:tc>
        <w:tc>
          <w:tcPr>
            <w:tcW w:w="160" w:type="dxa"/>
            <w:vAlign w:val="bottom"/>
          </w:tcPr>
          <w:p>
            <w:pPr>
              <w:spacing w:after="0"/>
              <w:rPr>
                <w:sz w:val="17"/>
                <w:szCs w:val="17"/>
                <w:color w:val="auto"/>
              </w:rPr>
            </w:pPr>
          </w:p>
        </w:tc>
        <w:tc>
          <w:tcPr>
            <w:tcW w:w="780" w:type="dxa"/>
            <w:vAlign w:val="bottom"/>
          </w:tcPr>
          <w:p>
            <w:pPr>
              <w:jc w:val="center"/>
              <w:ind w:right="88"/>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5"/>
        </w:trPr>
        <w:tc>
          <w:tcPr>
            <w:tcW w:w="23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700" w:type="dxa"/>
            <w:vAlign w:val="bottom"/>
            <w:tcBorders>
              <w:bottom w:val="single" w:sz="8" w:color="CCEEFF"/>
              <w:right w:val="single" w:sz="8" w:color="auto"/>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Balance as of January 1, 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127,082,605</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387,707</w:t>
            </w:r>
          </w:p>
        </w:tc>
        <w:tc>
          <w:tcPr>
            <w:tcW w:w="700" w:type="dxa"/>
            <w:vAlign w:val="bottom"/>
            <w:tcBorders>
              <w:bottom w:val="single" w:sz="8" w:color="CCEEFF"/>
              <w:right w:val="single" w:sz="8" w:color="auto"/>
            </w:tcBorders>
            <w:shd w:val="clear" w:color="auto" w:fill="CCEEFF"/>
          </w:tcPr>
          <w:p>
            <w:pPr>
              <w:spacing w:after="0"/>
              <w:rPr>
                <w:sz w:val="17"/>
                <w:szCs w:val="17"/>
                <w:color w:val="auto"/>
              </w:rPr>
            </w:pP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24,289,906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8,766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591</w:t>
            </w: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(220,688)</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(211,329)</w:t>
            </w:r>
          </w:p>
        </w:tc>
        <w:tc>
          <w:tcPr>
            <w:tcW w:w="0" w:type="dxa"/>
            <w:vAlign w:val="bottom"/>
          </w:tcPr>
          <w:p>
            <w:pPr>
              <w:spacing w:after="0"/>
              <w:rPr>
                <w:sz w:val="1"/>
                <w:szCs w:val="1"/>
                <w:color w:val="auto"/>
              </w:rPr>
            </w:pPr>
          </w:p>
        </w:tc>
      </w:tr>
      <w:tr>
        <w:trPr>
          <w:trHeight w:val="184"/>
        </w:trPr>
        <w:tc>
          <w:tcPr>
            <w:tcW w:w="2380" w:type="dxa"/>
            <w:vAlign w:val="bottom"/>
          </w:tcPr>
          <w:p>
            <w:pPr>
              <w:ind w:left="20"/>
              <w:spacing w:after="0"/>
              <w:rPr>
                <w:sz w:val="20"/>
                <w:szCs w:val="20"/>
                <w:color w:val="auto"/>
              </w:rPr>
            </w:pPr>
            <w:r>
              <w:rPr>
                <w:rFonts w:ascii="Arial" w:cs="Arial" w:eastAsia="Arial" w:hAnsi="Arial"/>
                <w:sz w:val="14"/>
                <w:szCs w:val="14"/>
                <w:color w:val="auto"/>
              </w:rPr>
              <w:t>Issuance of Series F redeemable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rPr>
                <w:sz w:val="20"/>
                <w:szCs w:val="20"/>
                <w:color w:val="auto"/>
              </w:rPr>
            </w:pPr>
            <w:r>
              <w:rPr>
                <w:rFonts w:ascii="Arial" w:cs="Arial" w:eastAsia="Arial" w:hAnsi="Arial"/>
                <w:sz w:val="14"/>
                <w:szCs w:val="14"/>
                <w:color w:val="auto"/>
              </w:rPr>
              <w:t>convertible preferred stock, net of</w:t>
            </w:r>
          </w:p>
        </w:tc>
        <w:tc>
          <w:tcPr>
            <w:tcW w:w="860" w:type="dxa"/>
            <w:vAlign w:val="bottom"/>
            <w:vMerge w:val="restart"/>
          </w:tcPr>
          <w:p>
            <w:pPr>
              <w:jc w:val="right"/>
              <w:spacing w:after="0"/>
              <w:rPr>
                <w:sz w:val="20"/>
                <w:szCs w:val="20"/>
                <w:color w:val="auto"/>
              </w:rPr>
            </w:pPr>
            <w:r>
              <w:rPr>
                <w:rFonts w:ascii="Arial" w:cs="Arial" w:eastAsia="Arial" w:hAnsi="Arial"/>
                <w:sz w:val="14"/>
                <w:szCs w:val="14"/>
                <w:color w:val="auto"/>
              </w:rPr>
              <w:t>328,026</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2,980</w:t>
            </w: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7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84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9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vMerge w:val="restart"/>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2380" w:type="dxa"/>
            <w:vAlign w:val="bottom"/>
          </w:tcPr>
          <w:p>
            <w:pPr>
              <w:ind w:left="20"/>
              <w:spacing w:after="0"/>
              <w:rPr>
                <w:sz w:val="20"/>
                <w:szCs w:val="20"/>
                <w:color w:val="auto"/>
              </w:rPr>
            </w:pPr>
            <w:r>
              <w:rPr>
                <w:rFonts w:ascii="Arial" w:cs="Arial" w:eastAsia="Arial" w:hAnsi="Arial"/>
                <w:sz w:val="14"/>
                <w:szCs w:val="14"/>
                <w:color w:val="auto"/>
              </w:rPr>
              <w:t>issuance costs</w:t>
            </w:r>
          </w:p>
        </w:tc>
        <w:tc>
          <w:tcPr>
            <w:tcW w:w="8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vMerge w:val="continue"/>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380" w:type="dxa"/>
            <w:vAlign w:val="bottom"/>
          </w:tcPr>
          <w:p>
            <w:pPr>
              <w:spacing w:after="0"/>
              <w:rPr>
                <w:sz w:val="2"/>
                <w:szCs w:val="2"/>
                <w:color w:val="auto"/>
              </w:rPr>
            </w:pPr>
          </w:p>
        </w:tc>
        <w:tc>
          <w:tcPr>
            <w:tcW w:w="8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Borders>
              <w:right w:val="single" w:sz="8" w:color="auto"/>
            </w:tcBorders>
          </w:tcPr>
          <w:p>
            <w:pPr>
              <w:spacing w:after="0"/>
              <w:rPr>
                <w:sz w:val="2"/>
                <w:szCs w:val="2"/>
                <w:color w:val="auto"/>
              </w:rPr>
            </w:pPr>
          </w:p>
        </w:tc>
        <w:tc>
          <w:tcPr>
            <w:tcW w:w="66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Repayment of non-recourse promissory</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note</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3,060</w:t>
            </w:r>
          </w:p>
        </w:tc>
        <w:tc>
          <w:tcPr>
            <w:tcW w:w="0" w:type="dxa"/>
            <w:vAlign w:val="bottom"/>
          </w:tcPr>
          <w:p>
            <w:pPr>
              <w:spacing w:after="0"/>
              <w:rPr>
                <w:sz w:val="1"/>
                <w:szCs w:val="1"/>
                <w:color w:val="auto"/>
              </w:rPr>
            </w:pPr>
          </w:p>
        </w:tc>
      </w:tr>
      <w:tr>
        <w:trPr>
          <w:trHeight w:val="184"/>
        </w:trPr>
        <w:tc>
          <w:tcPr>
            <w:tcW w:w="2380" w:type="dxa"/>
            <w:vAlign w:val="bottom"/>
          </w:tcPr>
          <w:p>
            <w:pPr>
              <w:ind w:left="20"/>
              <w:spacing w:after="0"/>
              <w:rPr>
                <w:sz w:val="20"/>
                <w:szCs w:val="20"/>
                <w:color w:val="auto"/>
              </w:rPr>
            </w:pPr>
            <w:r>
              <w:rPr>
                <w:rFonts w:ascii="Arial" w:cs="Arial" w:eastAsia="Arial" w:hAnsi="Arial"/>
                <w:sz w:val="14"/>
                <w:szCs w:val="14"/>
                <w:color w:val="auto"/>
                <w:w w:val="99"/>
              </w:rPr>
              <w:t>Conversion of redeemable convertible</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180"/>
              <w:spacing w:after="0"/>
              <w:rPr>
                <w:sz w:val="20"/>
                <w:szCs w:val="20"/>
                <w:color w:val="auto"/>
              </w:rPr>
            </w:pPr>
            <w:r>
              <w:rPr>
                <w:rFonts w:ascii="Arial" w:cs="Arial" w:eastAsia="Arial" w:hAnsi="Arial"/>
                <w:sz w:val="14"/>
                <w:szCs w:val="14"/>
                <w:color w:val="auto"/>
              </w:rPr>
              <w:t>preferred stock to common stock in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180"/>
              <w:spacing w:after="0"/>
              <w:rPr>
                <w:sz w:val="20"/>
                <w:szCs w:val="20"/>
                <w:color w:val="auto"/>
              </w:rPr>
            </w:pPr>
            <w:r>
              <w:rPr>
                <w:rFonts w:ascii="Arial" w:cs="Arial" w:eastAsia="Arial" w:hAnsi="Arial"/>
                <w:sz w:val="14"/>
                <w:szCs w:val="14"/>
                <w:color w:val="auto"/>
              </w:rPr>
              <w:t>connection with initial public</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offering</w:t>
            </w:r>
          </w:p>
        </w:tc>
        <w:tc>
          <w:tcPr>
            <w:tcW w:w="860" w:type="dxa"/>
            <w:vAlign w:val="bottom"/>
          </w:tcPr>
          <w:p>
            <w:pPr>
              <w:jc w:val="right"/>
              <w:spacing w:after="0"/>
              <w:rPr>
                <w:sz w:val="20"/>
                <w:szCs w:val="20"/>
                <w:color w:val="auto"/>
              </w:rPr>
            </w:pPr>
            <w:r>
              <w:rPr>
                <w:rFonts w:ascii="Arial" w:cs="Arial" w:eastAsia="Arial" w:hAnsi="Arial"/>
                <w:sz w:val="14"/>
                <w:szCs w:val="14"/>
                <w:color w:val="auto"/>
                <w:w w:val="91"/>
              </w:rPr>
              <w:t>(127,410,631)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(390,687)</w:t>
            </w: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127,410,631</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13</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390,674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390,687</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w w:val="98"/>
              </w:rPr>
              <w:t>Issuance of common stock upon initial</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public offering and private</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placements, net of offering costs,</w:t>
            </w:r>
          </w:p>
        </w:tc>
        <w:tc>
          <w:tcPr>
            <w:tcW w:w="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700" w:type="dxa"/>
            <w:vAlign w:val="bottom"/>
            <w:tcBorders>
              <w:right w:val="single" w:sz="8" w:color="auto"/>
            </w:tcBorders>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CEEFF"/>
          </w:tcPr>
          <w:p>
            <w:pPr>
              <w:ind w:left="180"/>
              <w:spacing w:after="0"/>
              <w:rPr>
                <w:sz w:val="20"/>
                <w:szCs w:val="20"/>
                <w:color w:val="auto"/>
              </w:rPr>
            </w:pPr>
            <w:r>
              <w:rPr>
                <w:rFonts w:ascii="Arial" w:cs="Arial" w:eastAsia="Arial" w:hAnsi="Arial"/>
                <w:sz w:val="14"/>
                <w:szCs w:val="14"/>
                <w:color w:val="auto"/>
              </w:rPr>
              <w:t>underwriting discounts, and</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commissions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7,581,395</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305,191</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305,191</w:t>
            </w:r>
          </w:p>
        </w:tc>
        <w:tc>
          <w:tcPr>
            <w:tcW w:w="0" w:type="dxa"/>
            <w:vAlign w:val="bottom"/>
          </w:tcPr>
          <w:p>
            <w:pPr>
              <w:spacing w:after="0"/>
              <w:rPr>
                <w:sz w:val="1"/>
                <w:szCs w:val="1"/>
                <w:color w:val="auto"/>
              </w:rPr>
            </w:pPr>
          </w:p>
        </w:tc>
      </w:tr>
      <w:tr>
        <w:trPr>
          <w:trHeight w:val="191"/>
        </w:trPr>
        <w:tc>
          <w:tcPr>
            <w:tcW w:w="2380" w:type="dxa"/>
            <w:vAlign w:val="bottom"/>
          </w:tcPr>
          <w:p>
            <w:pPr>
              <w:ind w:left="20"/>
              <w:spacing w:after="0"/>
              <w:rPr>
                <w:sz w:val="20"/>
                <w:szCs w:val="20"/>
                <w:color w:val="auto"/>
              </w:rPr>
            </w:pPr>
            <w:r>
              <w:rPr>
                <w:rFonts w:ascii="Arial" w:cs="Arial" w:eastAsia="Arial" w:hAnsi="Arial"/>
                <w:sz w:val="14"/>
                <w:szCs w:val="14"/>
                <w:color w:val="auto"/>
              </w:rPr>
              <w:t>Donation of common stock</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181,961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6,933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4"/>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Issuance of common stock upon</w:t>
            </w:r>
          </w:p>
        </w:tc>
        <w:tc>
          <w:tcPr>
            <w:tcW w:w="8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700" w:type="dxa"/>
            <w:vAlign w:val="bottom"/>
            <w:tcBorders>
              <w:right w:val="single" w:sz="8" w:color="auto"/>
            </w:tcBorders>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6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1"/>
        </w:trPr>
        <w:tc>
          <w:tcPr>
            <w:tcW w:w="23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4"/>
                <w:szCs w:val="14"/>
                <w:color w:val="auto"/>
              </w:rPr>
              <w:t>exercise of warrants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254,014</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2380" w:type="dxa"/>
            <w:vAlign w:val="bottom"/>
          </w:tcPr>
          <w:p>
            <w:pPr>
              <w:ind w:left="20"/>
              <w:spacing w:after="0"/>
              <w:rPr>
                <w:sz w:val="20"/>
                <w:szCs w:val="20"/>
                <w:color w:val="auto"/>
              </w:rPr>
            </w:pPr>
            <w:r>
              <w:rPr>
                <w:rFonts w:ascii="Arial" w:cs="Arial" w:eastAsia="Arial" w:hAnsi="Arial"/>
                <w:sz w:val="14"/>
                <w:szCs w:val="14"/>
                <w:color w:val="auto"/>
              </w:rPr>
              <w:t>Issuance of common stock upon</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180"/>
              <w:spacing w:after="0"/>
              <w:rPr>
                <w:sz w:val="20"/>
                <w:szCs w:val="20"/>
                <w:color w:val="auto"/>
              </w:rPr>
            </w:pPr>
            <w:r>
              <w:rPr>
                <w:rFonts w:ascii="Arial" w:cs="Arial" w:eastAsia="Arial" w:hAnsi="Arial"/>
                <w:sz w:val="14"/>
                <w:szCs w:val="14"/>
                <w:color w:val="auto"/>
              </w:rPr>
              <w:t>exercise of stock options, including</w:t>
            </w: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6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380" w:type="dxa"/>
            <w:vAlign w:val="bottom"/>
          </w:tcPr>
          <w:p>
            <w:pPr>
              <w:ind w:left="180"/>
              <w:spacing w:after="0"/>
              <w:rPr>
                <w:sz w:val="20"/>
                <w:szCs w:val="20"/>
                <w:color w:val="auto"/>
              </w:rPr>
            </w:pPr>
            <w:r>
              <w:rPr>
                <w:rFonts w:ascii="Arial" w:cs="Arial" w:eastAsia="Arial" w:hAnsi="Arial"/>
                <w:sz w:val="14"/>
                <w:szCs w:val="14"/>
                <w:color w:val="auto"/>
                <w:w w:val="97"/>
              </w:rPr>
              <w:t>early exercised options, and vesting</w:t>
            </w: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Borders>
              <w:right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2380" w:type="dxa"/>
            <w:vAlign w:val="bottom"/>
          </w:tcPr>
          <w:p>
            <w:pPr>
              <w:ind w:left="180"/>
              <w:spacing w:after="0"/>
              <w:rPr>
                <w:sz w:val="20"/>
                <w:szCs w:val="20"/>
                <w:color w:val="auto"/>
              </w:rPr>
            </w:pPr>
            <w:r>
              <w:rPr>
                <w:rFonts w:ascii="Arial" w:cs="Arial" w:eastAsia="Arial" w:hAnsi="Arial"/>
                <w:sz w:val="14"/>
                <w:szCs w:val="14"/>
                <w:color w:val="auto"/>
              </w:rPr>
              <w:t>of restricted stock units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4,021,834</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6,374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5"/>
                <w:szCs w:val="15"/>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6,375</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Issuance of common stock</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25,759</w:t>
            </w:r>
          </w:p>
        </w:tc>
        <w:tc>
          <w:tcPr>
            <w:tcW w:w="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169</w:t>
            </w:r>
          </w:p>
        </w:tc>
        <w:tc>
          <w:tcPr>
            <w:tcW w:w="0" w:type="dxa"/>
            <w:vAlign w:val="bottom"/>
          </w:tcPr>
          <w:p>
            <w:pPr>
              <w:spacing w:after="0"/>
              <w:rPr>
                <w:sz w:val="1"/>
                <w:szCs w:val="1"/>
                <w:color w:val="auto"/>
              </w:rPr>
            </w:pPr>
          </w:p>
        </w:tc>
      </w:tr>
      <w:tr>
        <w:trPr>
          <w:trHeight w:val="190"/>
        </w:trPr>
        <w:tc>
          <w:tcPr>
            <w:tcW w:w="2380" w:type="dxa"/>
            <w:vAlign w:val="bottom"/>
          </w:tcPr>
          <w:p>
            <w:pPr>
              <w:ind w:left="20"/>
              <w:spacing w:after="0"/>
              <w:rPr>
                <w:sz w:val="20"/>
                <w:szCs w:val="20"/>
                <w:color w:val="auto"/>
              </w:rPr>
            </w:pPr>
            <w:r>
              <w:rPr>
                <w:rFonts w:ascii="Arial" w:cs="Arial" w:eastAsia="Arial" w:hAnsi="Arial"/>
                <w:sz w:val="14"/>
                <w:szCs w:val="14"/>
                <w:color w:val="auto"/>
              </w:rPr>
              <w:t>Stock-based compensation expense</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9,086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820" w:type="dxa"/>
            <w:vAlign w:val="bottom"/>
            <w:gridSpan w:val="2"/>
          </w:tcPr>
          <w:p>
            <w:pPr>
              <w:ind w:left="5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9,086</w:t>
            </w:r>
          </w:p>
        </w:tc>
        <w:tc>
          <w:tcPr>
            <w:tcW w:w="0" w:type="dxa"/>
            <w:vAlign w:val="bottom"/>
          </w:tcPr>
          <w:p>
            <w:pPr>
              <w:spacing w:after="0"/>
              <w:rPr>
                <w:sz w:val="1"/>
                <w:szCs w:val="1"/>
                <w:color w:val="auto"/>
              </w:rPr>
            </w:pPr>
          </w:p>
        </w:tc>
      </w:tr>
      <w:tr>
        <w:trPr>
          <w:trHeight w:val="39"/>
        </w:trPr>
        <w:tc>
          <w:tcPr>
            <w:tcW w:w="238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Borders>
              <w:right w:val="single" w:sz="8" w:color="auto"/>
            </w:tcBorders>
          </w:tcPr>
          <w:p>
            <w:pPr>
              <w:spacing w:after="0"/>
              <w:rPr>
                <w:sz w:val="3"/>
                <w:szCs w:val="3"/>
                <w:color w:val="auto"/>
              </w:rPr>
            </w:pPr>
          </w:p>
        </w:tc>
        <w:tc>
          <w:tcPr>
            <w:tcW w:w="66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2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Other comprehensive loss</w:t>
            </w:r>
          </w:p>
        </w:tc>
        <w:tc>
          <w:tcPr>
            <w:tcW w:w="9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CCEEFF"/>
            </w:tcBorders>
            <w:gridSpan w:val="2"/>
            <w:shd w:val="clear" w:color="auto" w:fill="CCEEFF"/>
          </w:tcPr>
          <w:p>
            <w:pPr>
              <w:ind w:left="54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0" w:type="dxa"/>
            <w:vAlign w:val="bottom"/>
          </w:tcPr>
          <w:p>
            <w:pPr>
              <w:spacing w:after="0"/>
              <w:rPr>
                <w:sz w:val="1"/>
                <w:szCs w:val="1"/>
                <w:color w:val="auto"/>
              </w:rPr>
            </w:pPr>
          </w:p>
        </w:tc>
      </w:tr>
      <w:tr>
        <w:trPr>
          <w:trHeight w:val="191"/>
        </w:trPr>
        <w:tc>
          <w:tcPr>
            <w:tcW w:w="2380" w:type="dxa"/>
            <w:vAlign w:val="bottom"/>
          </w:tcPr>
          <w:p>
            <w:pPr>
              <w:ind w:left="20"/>
              <w:spacing w:after="0"/>
              <w:rPr>
                <w:sz w:val="20"/>
                <w:szCs w:val="20"/>
                <w:color w:val="auto"/>
              </w:rPr>
            </w:pPr>
            <w:r>
              <w:rPr>
                <w:rFonts w:ascii="Arial" w:cs="Arial" w:eastAsia="Arial" w:hAnsi="Arial"/>
                <w:sz w:val="14"/>
                <w:szCs w:val="14"/>
                <w:color w:val="auto"/>
              </w:rPr>
              <w:t>Net loss</w:t>
            </w:r>
          </w:p>
        </w:tc>
        <w:tc>
          <w:tcPr>
            <w:tcW w:w="9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36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8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(22,180)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(22,180)</w:t>
            </w:r>
          </w:p>
        </w:tc>
        <w:tc>
          <w:tcPr>
            <w:tcW w:w="0" w:type="dxa"/>
            <w:vAlign w:val="bottom"/>
          </w:tcPr>
          <w:p>
            <w:pPr>
              <w:spacing w:after="0"/>
              <w:rPr>
                <w:sz w:val="1"/>
                <w:szCs w:val="1"/>
                <w:color w:val="auto"/>
              </w:rPr>
            </w:pPr>
          </w:p>
        </w:tc>
      </w:tr>
      <w:tr>
        <w:trPr>
          <w:trHeight w:val="39"/>
        </w:trPr>
        <w:tc>
          <w:tcPr>
            <w:tcW w:w="238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700" w:type="dxa"/>
            <w:vAlign w:val="bottom"/>
            <w:tcBorders>
              <w:bottom w:val="single" w:sz="8" w:color="CCEEFF"/>
              <w:right w:val="single" w:sz="8" w:color="auto"/>
            </w:tcBorders>
          </w:tcPr>
          <w:p>
            <w:pPr>
              <w:spacing w:after="0"/>
              <w:rPr>
                <w:sz w:val="3"/>
                <w:szCs w:val="3"/>
                <w:color w:val="auto"/>
              </w:rPr>
            </w:pPr>
          </w:p>
        </w:tc>
        <w:tc>
          <w:tcPr>
            <w:tcW w:w="660" w:type="dxa"/>
            <w:vAlign w:val="bottom"/>
            <w:tcBorders>
              <w:bottom w:val="single" w:sz="8" w:color="CCEEFF"/>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2380" w:type="dxa"/>
            <w:vAlign w:val="bottom"/>
            <w:shd w:val="clear" w:color="auto" w:fill="CCEEFF"/>
          </w:tcPr>
          <w:p>
            <w:pPr>
              <w:ind w:left="20"/>
              <w:spacing w:after="0"/>
              <w:rPr>
                <w:sz w:val="20"/>
                <w:szCs w:val="20"/>
                <w:color w:val="auto"/>
              </w:rPr>
            </w:pPr>
            <w:r>
              <w:rPr>
                <w:rFonts w:ascii="Arial" w:cs="Arial" w:eastAsia="Arial" w:hAnsi="Arial"/>
                <w:sz w:val="14"/>
                <w:szCs w:val="14"/>
                <w:color w:val="auto"/>
              </w:rPr>
              <w:t>Balance as of September 30, 2021</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360" w:type="dxa"/>
            <w:vAlign w:val="bottom"/>
            <w:tcBorders>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spacing w:after="0"/>
              <w:rPr>
                <w:sz w:val="20"/>
                <w:szCs w:val="20"/>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163,765,500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730,253</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(242,868)</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487,683</w:t>
            </w:r>
          </w:p>
        </w:tc>
        <w:tc>
          <w:tcPr>
            <w:tcW w:w="0" w:type="dxa"/>
            <w:vAlign w:val="bottom"/>
          </w:tcPr>
          <w:p>
            <w:pPr>
              <w:spacing w:after="0"/>
              <w:rPr>
                <w:sz w:val="1"/>
                <w:szCs w:val="1"/>
                <w:color w:val="auto"/>
              </w:rPr>
            </w:pPr>
          </w:p>
        </w:tc>
      </w:tr>
      <w:tr>
        <w:trPr>
          <w:trHeight w:val="20"/>
        </w:trPr>
        <w:tc>
          <w:tcPr>
            <w:tcW w:w="238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24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4780"/>
        <w:spacing w:after="0"/>
        <w:rPr>
          <w:sz w:val="20"/>
          <w:szCs w:val="20"/>
          <w:color w:val="auto"/>
        </w:rPr>
      </w:pPr>
      <w:r>
        <w:rPr>
          <w:rFonts w:ascii="Arial" w:cs="Arial" w:eastAsia="Arial" w:hAnsi="Arial"/>
          <w:sz w:val="14"/>
          <w:szCs w:val="14"/>
          <w:b w:val="1"/>
          <w:bCs w:val="1"/>
          <w:color w:val="auto"/>
        </w:rPr>
        <w:t>REMITLY GLOBAL, INC.</w:t>
      </w:r>
    </w:p>
    <w:p>
      <w:pPr>
        <w:spacing w:after="0" w:line="25" w:lineRule="exact"/>
        <w:rPr>
          <w:sz w:val="20"/>
          <w:szCs w:val="20"/>
          <w:color w:val="auto"/>
        </w:rPr>
      </w:pPr>
    </w:p>
    <w:p>
      <w:pPr>
        <w:ind w:left="4060"/>
        <w:spacing w:after="0"/>
        <w:rPr>
          <w:sz w:val="20"/>
          <w:szCs w:val="20"/>
          <w:color w:val="auto"/>
        </w:rPr>
      </w:pPr>
      <w:r>
        <w:rPr>
          <w:rFonts w:ascii="Arial" w:cs="Arial" w:eastAsia="Arial" w:hAnsi="Arial"/>
          <w:sz w:val="14"/>
          <w:szCs w:val="14"/>
          <w:b w:val="1"/>
          <w:bCs w:val="1"/>
          <w:color w:val="auto"/>
        </w:rPr>
        <w:t>Condensed Consolidated Statements of Cash Flows</w:t>
      </w:r>
    </w:p>
    <w:p>
      <w:pPr>
        <w:spacing w:after="0" w:line="15" w:lineRule="exact"/>
        <w:rPr>
          <w:sz w:val="20"/>
          <w:szCs w:val="20"/>
          <w:color w:val="auto"/>
        </w:rPr>
      </w:pPr>
    </w:p>
    <w:p>
      <w:pPr>
        <w:ind w:left="5220"/>
        <w:spacing w:after="0"/>
        <w:rPr>
          <w:sz w:val="20"/>
          <w:szCs w:val="20"/>
          <w:color w:val="auto"/>
        </w:rPr>
      </w:pPr>
      <w:r>
        <w:rPr>
          <w:rFonts w:ascii="Arial" w:cs="Arial" w:eastAsia="Arial" w:hAnsi="Arial"/>
          <w:sz w:val="14"/>
          <w:szCs w:val="14"/>
          <w:i w:val="1"/>
          <w:iCs w:val="1"/>
          <w:color w:val="auto"/>
        </w:rPr>
        <w:t>(in thousands)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(unaudited)</w:t>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2680" w:type="dxa"/>
            <w:vAlign w:val="bottom"/>
            <w:gridSpan w:val="4"/>
          </w:tcPr>
          <w:p>
            <w:pPr>
              <w:jc w:val="right"/>
              <w:spacing w:after="0"/>
              <w:rPr>
                <w:sz w:val="20"/>
                <w:szCs w:val="20"/>
                <w:color w:val="auto"/>
              </w:rPr>
            </w:pPr>
            <w:r>
              <w:rPr>
                <w:rFonts w:ascii="Arial" w:cs="Arial" w:eastAsia="Arial" w:hAnsi="Arial"/>
                <w:sz w:val="14"/>
                <w:szCs w:val="14"/>
                <w:b w:val="1"/>
                <w:bCs w:val="1"/>
                <w:color w:val="auto"/>
              </w:rPr>
              <w:t>Nine Months Ended September 30,</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0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28"/>
              <w:spacing w:after="0"/>
              <w:rPr>
                <w:sz w:val="20"/>
                <w:szCs w:val="20"/>
                <w:color w:val="auto"/>
              </w:rPr>
            </w:pPr>
            <w:r>
              <w:rPr>
                <w:rFonts w:ascii="Arial" w:cs="Arial" w:eastAsia="Arial" w:hAnsi="Arial"/>
                <w:sz w:val="14"/>
                <w:szCs w:val="14"/>
                <w:b w:val="1"/>
                <w:bCs w:val="1"/>
                <w:color w:val="auto"/>
              </w:rPr>
              <w:t>2021</w:t>
            </w: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(94,624)</w:t>
            </w:r>
          </w:p>
        </w:tc>
        <w:tc>
          <w:tcPr>
            <w:tcW w:w="8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w w:val="95"/>
              </w:rPr>
              <w:t>(22,180)</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Adjustments to reconcile net loss to net cash provided by (used in) operating activities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8020" w:type="dxa"/>
            <w:vAlign w:val="bottom"/>
          </w:tcPr>
          <w:p>
            <w:pPr>
              <w:ind w:left="240"/>
              <w:spacing w:after="0"/>
              <w:rPr>
                <w:sz w:val="20"/>
                <w:szCs w:val="20"/>
                <w:color w:val="auto"/>
              </w:rPr>
            </w:pPr>
            <w:r>
              <w:rPr>
                <w:rFonts w:ascii="Arial" w:cs="Arial" w:eastAsia="Arial" w:hAnsi="Arial"/>
                <w:sz w:val="14"/>
                <w:szCs w:val="14"/>
                <w:color w:val="auto"/>
              </w:rPr>
              <w:t>Depreciation and amortization</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4,870</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3,890</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Stock-based compensation expense, net</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67,880</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8,965</w:t>
            </w:r>
          </w:p>
        </w:tc>
        <w:tc>
          <w:tcPr>
            <w:tcW w:w="0" w:type="dxa"/>
            <w:vAlign w:val="bottom"/>
          </w:tcPr>
          <w:p>
            <w:pPr>
              <w:spacing w:after="0"/>
              <w:rPr>
                <w:sz w:val="1"/>
                <w:szCs w:val="1"/>
                <w:color w:val="auto"/>
              </w:rPr>
            </w:pPr>
          </w:p>
        </w:tc>
      </w:tr>
      <w:tr>
        <w:trPr>
          <w:trHeight w:val="190"/>
        </w:trPr>
        <w:tc>
          <w:tcPr>
            <w:tcW w:w="8020" w:type="dxa"/>
            <w:vAlign w:val="bottom"/>
          </w:tcPr>
          <w:p>
            <w:pPr>
              <w:ind w:left="240"/>
              <w:spacing w:after="0"/>
              <w:rPr>
                <w:sz w:val="20"/>
                <w:szCs w:val="20"/>
                <w:color w:val="auto"/>
              </w:rPr>
            </w:pPr>
            <w:r>
              <w:rPr>
                <w:rFonts w:ascii="Arial" w:cs="Arial" w:eastAsia="Arial" w:hAnsi="Arial"/>
                <w:sz w:val="14"/>
                <w:szCs w:val="14"/>
                <w:color w:val="auto"/>
              </w:rPr>
              <w:t>Donation of common stock</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1,972</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6,933</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4"/>
                <w:szCs w:val="14"/>
                <w:color w:val="auto"/>
              </w:rPr>
              <w:t>Other</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268</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360</w:t>
            </w:r>
          </w:p>
        </w:tc>
        <w:tc>
          <w:tcPr>
            <w:tcW w:w="0" w:type="dxa"/>
            <w:vAlign w:val="bottom"/>
          </w:tcPr>
          <w:p>
            <w:pPr>
              <w:spacing w:after="0"/>
              <w:rPr>
                <w:sz w:val="1"/>
                <w:szCs w:val="1"/>
                <w:color w:val="auto"/>
              </w:rPr>
            </w:pPr>
          </w:p>
        </w:tc>
      </w:tr>
      <w:tr>
        <w:trPr>
          <w:trHeight w:val="190"/>
        </w:trPr>
        <w:tc>
          <w:tcPr>
            <w:tcW w:w="8020" w:type="dxa"/>
            <w:vAlign w:val="bottom"/>
          </w:tcPr>
          <w:p>
            <w:pPr>
              <w:ind w:left="240"/>
              <w:spacing w:after="0"/>
              <w:rPr>
                <w:sz w:val="20"/>
                <w:szCs w:val="20"/>
                <w:color w:val="auto"/>
              </w:rPr>
            </w:pPr>
            <w:r>
              <w:rPr>
                <w:rFonts w:ascii="Arial" w:cs="Arial" w:eastAsia="Arial" w:hAnsi="Arial"/>
                <w:sz w:val="14"/>
                <w:szCs w:val="14"/>
                <w:color w:val="auto"/>
              </w:rPr>
              <w:t>Changes in operating assets and liabilities:</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Disbursement prefunding</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(35,909)</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(7,212)</w:t>
            </w:r>
          </w:p>
        </w:tc>
        <w:tc>
          <w:tcPr>
            <w:tcW w:w="0" w:type="dxa"/>
            <w:vAlign w:val="bottom"/>
          </w:tcPr>
          <w:p>
            <w:pPr>
              <w:spacing w:after="0"/>
              <w:rPr>
                <w:sz w:val="1"/>
                <w:szCs w:val="1"/>
                <w:color w:val="auto"/>
              </w:rPr>
            </w:pPr>
          </w:p>
        </w:tc>
      </w:tr>
      <w:tr>
        <w:trPr>
          <w:trHeight w:val="190"/>
        </w:trPr>
        <w:tc>
          <w:tcPr>
            <w:tcW w:w="8020" w:type="dxa"/>
            <w:vAlign w:val="bottom"/>
          </w:tcPr>
          <w:p>
            <w:pPr>
              <w:ind w:left="460"/>
              <w:spacing w:after="0"/>
              <w:rPr>
                <w:sz w:val="20"/>
                <w:szCs w:val="20"/>
                <w:color w:val="auto"/>
              </w:rPr>
            </w:pPr>
            <w:r>
              <w:rPr>
                <w:rFonts w:ascii="Arial" w:cs="Arial" w:eastAsia="Arial" w:hAnsi="Arial"/>
                <w:sz w:val="14"/>
                <w:szCs w:val="14"/>
                <w:color w:val="auto"/>
              </w:rPr>
              <w:t>Customer funds receivable</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(52,547)</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5"/>
              </w:rPr>
              <w:t>(29,072)</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Prepaid expenses and other assets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(3,355)</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(9,491)</w:t>
            </w:r>
          </w:p>
        </w:tc>
        <w:tc>
          <w:tcPr>
            <w:tcW w:w="0" w:type="dxa"/>
            <w:vAlign w:val="bottom"/>
          </w:tcPr>
          <w:p>
            <w:pPr>
              <w:spacing w:after="0"/>
              <w:rPr>
                <w:sz w:val="1"/>
                <w:szCs w:val="1"/>
                <w:color w:val="auto"/>
              </w:rPr>
            </w:pPr>
          </w:p>
        </w:tc>
      </w:tr>
      <w:tr>
        <w:trPr>
          <w:trHeight w:val="190"/>
        </w:trPr>
        <w:tc>
          <w:tcPr>
            <w:tcW w:w="8020" w:type="dxa"/>
            <w:vAlign w:val="bottom"/>
          </w:tcPr>
          <w:p>
            <w:pPr>
              <w:ind w:left="460"/>
              <w:spacing w:after="0"/>
              <w:rPr>
                <w:sz w:val="20"/>
                <w:szCs w:val="20"/>
                <w:color w:val="auto"/>
              </w:rPr>
            </w:pPr>
            <w:r>
              <w:rPr>
                <w:rFonts w:ascii="Arial" w:cs="Arial" w:eastAsia="Arial" w:hAnsi="Arial"/>
                <w:sz w:val="14"/>
                <w:szCs w:val="14"/>
                <w:color w:val="auto"/>
              </w:rPr>
              <w:t>Operating lease right-of-use assets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2,743</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2,023</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Accounts payable</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6,863</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1,229</w:t>
            </w:r>
          </w:p>
        </w:tc>
        <w:tc>
          <w:tcPr>
            <w:tcW w:w="0" w:type="dxa"/>
            <w:vAlign w:val="bottom"/>
          </w:tcPr>
          <w:p>
            <w:pPr>
              <w:spacing w:after="0"/>
              <w:rPr>
                <w:sz w:val="1"/>
                <w:szCs w:val="1"/>
                <w:color w:val="auto"/>
              </w:rPr>
            </w:pPr>
          </w:p>
        </w:tc>
      </w:tr>
      <w:tr>
        <w:trPr>
          <w:trHeight w:val="190"/>
        </w:trPr>
        <w:tc>
          <w:tcPr>
            <w:tcW w:w="8020" w:type="dxa"/>
            <w:vAlign w:val="bottom"/>
          </w:tcPr>
          <w:p>
            <w:pPr>
              <w:ind w:left="460"/>
              <w:spacing w:after="0"/>
              <w:rPr>
                <w:sz w:val="20"/>
                <w:szCs w:val="20"/>
                <w:color w:val="auto"/>
              </w:rPr>
            </w:pPr>
            <w:r>
              <w:rPr>
                <w:rFonts w:ascii="Arial" w:cs="Arial" w:eastAsia="Arial" w:hAnsi="Arial"/>
                <w:sz w:val="14"/>
                <w:szCs w:val="14"/>
                <w:color w:val="auto"/>
              </w:rPr>
              <w:t>Customer liabilities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36,803</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50,284</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Accrued expenses and other liabilities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40,399</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16,013</w:t>
            </w:r>
          </w:p>
        </w:tc>
        <w:tc>
          <w:tcPr>
            <w:tcW w:w="0" w:type="dxa"/>
            <w:vAlign w:val="bottom"/>
          </w:tcPr>
          <w:p>
            <w:pPr>
              <w:spacing w:after="0"/>
              <w:rPr>
                <w:sz w:val="1"/>
                <w:szCs w:val="1"/>
                <w:color w:val="auto"/>
              </w:rPr>
            </w:pPr>
          </w:p>
        </w:tc>
      </w:tr>
      <w:tr>
        <w:trPr>
          <w:trHeight w:val="190"/>
        </w:trPr>
        <w:tc>
          <w:tcPr>
            <w:tcW w:w="8020" w:type="dxa"/>
            <w:vAlign w:val="bottom"/>
          </w:tcPr>
          <w:p>
            <w:pPr>
              <w:ind w:left="460"/>
              <w:spacing w:after="0"/>
              <w:rPr>
                <w:sz w:val="20"/>
                <w:szCs w:val="20"/>
                <w:color w:val="auto"/>
              </w:rPr>
            </w:pPr>
            <w:r>
              <w:rPr>
                <w:rFonts w:ascii="Arial" w:cs="Arial" w:eastAsia="Arial" w:hAnsi="Arial"/>
                <w:sz w:val="14"/>
                <w:szCs w:val="14"/>
                <w:color w:val="auto"/>
              </w:rPr>
              <w:t>Operating lease liabilities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(3,152)</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(2,317)</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(used in) provided by operating activities</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(27,789)</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19,425</w:t>
            </w:r>
          </w:p>
        </w:tc>
        <w:tc>
          <w:tcPr>
            <w:tcW w:w="0" w:type="dxa"/>
            <w:vAlign w:val="bottom"/>
          </w:tcPr>
          <w:p>
            <w:pPr>
              <w:spacing w:after="0"/>
              <w:rPr>
                <w:sz w:val="1"/>
                <w:szCs w:val="1"/>
                <w:color w:val="auto"/>
              </w:rPr>
            </w:pPr>
          </w:p>
        </w:tc>
      </w:tr>
      <w:tr>
        <w:trPr>
          <w:trHeight w:val="170"/>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980" w:type="dxa"/>
            <w:vAlign w:val="bottom"/>
            <w:tcBorders>
              <w:top w:val="single" w:sz="8" w:color="auto"/>
            </w:tcBorders>
          </w:tcPr>
          <w:p>
            <w:pPr>
              <w:spacing w:after="0"/>
              <w:rPr>
                <w:sz w:val="14"/>
                <w:szCs w:val="14"/>
                <w:color w:val="auto"/>
              </w:rPr>
            </w:pPr>
          </w:p>
        </w:tc>
        <w:tc>
          <w:tcPr>
            <w:tcW w:w="6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Borders>
              <w:top w:val="single" w:sz="8" w:color="auto"/>
            </w:tcBorders>
          </w:tcPr>
          <w:p>
            <w:pPr>
              <w:spacing w:after="0"/>
              <w:rPr>
                <w:sz w:val="14"/>
                <w:szCs w:val="14"/>
                <w:color w:val="auto"/>
              </w:rPr>
            </w:pPr>
          </w:p>
        </w:tc>
        <w:tc>
          <w:tcPr>
            <w:tcW w:w="5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Purchases of property and equipment</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(2,197)</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(1,347)</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Capitalized internal-use software costs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(2,444)</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(1,941)</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acquisition, net of acquired cash and cash equivalents</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(375)</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4"/>
        </w:trPr>
        <w:tc>
          <w:tcPr>
            <w:tcW w:w="8020" w:type="dxa"/>
            <w:vAlign w:val="bottom"/>
          </w:tcPr>
          <w:p>
            <w:pPr>
              <w:ind w:left="680"/>
              <w:spacing w:after="0"/>
              <w:rPr>
                <w:sz w:val="20"/>
                <w:szCs w:val="20"/>
                <w:color w:val="auto"/>
              </w:rPr>
            </w:pPr>
            <w:r>
              <w:rPr>
                <w:rFonts w:ascii="Arial" w:cs="Arial" w:eastAsia="Arial" w:hAnsi="Arial"/>
                <w:sz w:val="14"/>
                <w:szCs w:val="14"/>
                <w:color w:val="auto"/>
              </w:rPr>
              <w:t>Net cash used in investing activities</w:t>
            </w:r>
          </w:p>
        </w:tc>
        <w:tc>
          <w:tcPr>
            <w:tcW w:w="9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(5,016)</w:t>
            </w: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(3,288)</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98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color w:val="auto"/>
              </w:rPr>
              <w:t>Proceeds from issuance of common stock upon initial public offering and private placements, net of underwriting discounts and</w:t>
            </w:r>
          </w:p>
        </w:tc>
        <w:tc>
          <w:tcPr>
            <w:tcW w:w="9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8020" w:type="dxa"/>
            <w:vAlign w:val="bottom"/>
          </w:tcPr>
          <w:p>
            <w:pPr>
              <w:ind w:left="180"/>
              <w:spacing w:after="0"/>
              <w:rPr>
                <w:sz w:val="20"/>
                <w:szCs w:val="20"/>
                <w:color w:val="auto"/>
              </w:rPr>
            </w:pPr>
            <w:r>
              <w:rPr>
                <w:rFonts w:ascii="Arial" w:cs="Arial" w:eastAsia="Arial" w:hAnsi="Arial"/>
                <w:sz w:val="14"/>
                <w:szCs w:val="14"/>
                <w:color w:val="auto"/>
              </w:rPr>
              <w:t>commissions and other offering costs</w:t>
            </w:r>
          </w:p>
        </w:tc>
        <w:tc>
          <w:tcPr>
            <w:tcW w:w="980" w:type="dxa"/>
            <w:vAlign w:val="bottom"/>
          </w:tcPr>
          <w:p>
            <w:pPr>
              <w:spacing w:after="0"/>
              <w:rPr>
                <w:sz w:val="15"/>
                <w:szCs w:val="15"/>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307,094</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Repayment of non-recourse promissory note</w:t>
            </w:r>
          </w:p>
        </w:tc>
        <w:tc>
          <w:tcPr>
            <w:tcW w:w="9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3,060</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Proceeds from issuance of Series F convertible preferred stock, net of issuance costs</w:t>
            </w:r>
          </w:p>
        </w:tc>
        <w:tc>
          <w:tcPr>
            <w:tcW w:w="9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2,980</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Proceeds from exercise of stock options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8,245</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7,519</w:t>
            </w: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Payment of debt issuance costs</w:t>
            </w:r>
          </w:p>
        </w:tc>
        <w:tc>
          <w:tcPr>
            <w:tcW w:w="9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(988)</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Repayments of revolving credit facility borrowings, net</w:t>
            </w:r>
          </w:p>
        </w:tc>
        <w:tc>
          <w:tcPr>
            <w:tcW w:w="9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5"/>
              </w:rPr>
              <w:t>(80,000)</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Taxes paid related to net share settlement of equity awards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(55)</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Net cash provided by financing activities</w:t>
            </w:r>
          </w:p>
        </w:tc>
        <w:tc>
          <w:tcPr>
            <w:tcW w:w="980" w:type="dxa"/>
            <w:vAlign w:val="bottom"/>
            <w:tcBorders>
              <w:bottom w:val="single" w:sz="8" w:color="CCEEFF"/>
            </w:tcBorders>
            <w:shd w:val="clear" w:color="auto" w:fill="CCEEFF"/>
          </w:tcPr>
          <w:p>
            <w:pPr>
              <w:spacing w:after="0"/>
              <w:rPr>
                <w:sz w:val="19"/>
                <w:szCs w:val="19"/>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8,190</w:t>
            </w:r>
          </w:p>
        </w:tc>
        <w:tc>
          <w:tcPr>
            <w:tcW w:w="8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239,665</w:t>
            </w:r>
          </w:p>
        </w:tc>
        <w:tc>
          <w:tcPr>
            <w:tcW w:w="0" w:type="dxa"/>
            <w:vAlign w:val="bottom"/>
          </w:tcPr>
          <w:p>
            <w:pPr>
              <w:spacing w:after="0"/>
              <w:rPr>
                <w:sz w:val="1"/>
                <w:szCs w:val="1"/>
                <w:color w:val="auto"/>
              </w:rPr>
            </w:pP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color w:val="auto"/>
              </w:rPr>
              <w:t>Effect of foreign exchange rate changes on cash, cash equivalents, and restricted cash</w:t>
            </w:r>
          </w:p>
        </w:tc>
        <w:tc>
          <w:tcPr>
            <w:tcW w:w="98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(2,166)</w:t>
            </w:r>
          </w:p>
        </w:tc>
        <w:tc>
          <w:tcPr>
            <w:tcW w:w="8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(262)</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3"/>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(decrease) increase in cash, cash equivalents, and restricted cash</w:t>
            </w:r>
          </w:p>
        </w:tc>
        <w:tc>
          <w:tcPr>
            <w:tcW w:w="98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(26,781)</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255,540</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Cash, cash equivalents, and restricted cash at beginning of period</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403,313</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w w:val="90"/>
              </w:rPr>
              <w:t>188,075</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cash equivalents, and restricted cash at end of period</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376,532</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443,615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Supplemental disclosure of cash flow information</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8020" w:type="dxa"/>
            <w:vAlign w:val="bottom"/>
            <w:vMerge w:val="continue"/>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paid for interest</w:t>
            </w: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690</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936</w:t>
            </w: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Cash paid for income taxes</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1,397</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303</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0"/>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Supplemental disclosure of noncash investing and financing activities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8020" w:type="dxa"/>
            <w:vAlign w:val="bottom"/>
          </w:tcPr>
          <w:p>
            <w:pPr>
              <w:ind w:left="20"/>
              <w:spacing w:after="0"/>
              <w:rPr>
                <w:sz w:val="20"/>
                <w:szCs w:val="20"/>
                <w:color w:val="auto"/>
              </w:rPr>
            </w:pPr>
            <w:r>
              <w:rPr>
                <w:rFonts w:ascii="Arial" w:cs="Arial" w:eastAsia="Arial" w:hAnsi="Arial"/>
                <w:sz w:val="14"/>
                <w:szCs w:val="14"/>
                <w:color w:val="auto"/>
              </w:rPr>
              <w:t>Operating lease right-of-use assets obtained in exchange for operating lease liabilities</w:t>
            </w:r>
          </w:p>
        </w:tc>
        <w:tc>
          <w:tcPr>
            <w:tcW w:w="980" w:type="dxa"/>
            <w:vAlign w:val="bottom"/>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7,441</w:t>
            </w:r>
          </w:p>
        </w:tc>
        <w:tc>
          <w:tcPr>
            <w:tcW w:w="80" w:type="dxa"/>
            <w:vAlign w:val="bottom"/>
          </w:tcPr>
          <w:p>
            <w:pPr>
              <w:spacing w:after="0"/>
              <w:rPr>
                <w:sz w:val="16"/>
                <w:szCs w:val="16"/>
                <w:color w:val="auto"/>
              </w:rPr>
            </w:pPr>
          </w:p>
        </w:tc>
        <w:tc>
          <w:tcPr>
            <w:tcW w:w="1020" w:type="dxa"/>
            <w:vAlign w:val="bottom"/>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2,532</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Vesting of early exercised options</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554</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263</w:t>
            </w: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Noncash issuance of common stock in connection with ESPP</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3,516</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Stock-based compensation expense capitalized to internal-use software</w:t>
            </w:r>
          </w:p>
        </w:tc>
        <w:tc>
          <w:tcPr>
            <w:tcW w:w="98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1,368</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IPO and debt issuance costs incurred but not yet paid</w:t>
            </w:r>
          </w:p>
        </w:tc>
        <w:tc>
          <w:tcPr>
            <w:tcW w:w="98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2,287</w:t>
            </w: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Conversion of redeemable convertible preferred stock to common stock in connection with initial public offering</w:t>
            </w:r>
          </w:p>
        </w:tc>
        <w:tc>
          <w:tcPr>
            <w:tcW w:w="980" w:type="dxa"/>
            <w:vAlign w:val="bottom"/>
            <w:tcBorders>
              <w:bottom w:val="single" w:sz="8" w:color="CCEEFF"/>
            </w:tcBorders>
            <w:shd w:val="clear" w:color="auto" w:fill="CCEEFF"/>
          </w:tcPr>
          <w:p>
            <w:pPr>
              <w:spacing w:after="0"/>
              <w:rPr>
                <w:sz w:val="18"/>
                <w:szCs w:val="18"/>
                <w:color w:val="auto"/>
              </w:rPr>
            </w:pPr>
          </w:p>
        </w:tc>
        <w:tc>
          <w:tcPr>
            <w:tcW w:w="6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390,687</w:t>
            </w: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b w:val="1"/>
                <w:bCs w:val="1"/>
                <w:color w:val="auto"/>
              </w:rPr>
              <w:t>Reconciliation of cash, cash equivalents, and restricted cash</w:t>
            </w:r>
          </w:p>
        </w:tc>
        <w:tc>
          <w:tcPr>
            <w:tcW w:w="9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
        </w:trPr>
        <w:tc>
          <w:tcPr>
            <w:tcW w:w="8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9"/>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Cash and cash equivalents</w:t>
            </w:r>
          </w:p>
        </w:tc>
        <w:tc>
          <w:tcPr>
            <w:tcW w:w="980" w:type="dxa"/>
            <w:vAlign w:val="bottom"/>
            <w:tcBorders>
              <w:bottom w:val="single" w:sz="8" w:color="CCEEFF"/>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376,451</w:t>
            </w:r>
          </w:p>
        </w:tc>
        <w:tc>
          <w:tcPr>
            <w:tcW w:w="80" w:type="dxa"/>
            <w:vAlign w:val="bottom"/>
            <w:tcBorders>
              <w:bottom w:val="single" w:sz="8" w:color="CCEEFF"/>
            </w:tcBorders>
            <w:shd w:val="clear" w:color="auto" w:fill="CCEEFF"/>
          </w:tcPr>
          <w:p>
            <w:pPr>
              <w:spacing w:after="0"/>
              <w:rPr>
                <w:sz w:val="18"/>
                <w:szCs w:val="18"/>
                <w:color w:val="auto"/>
              </w:rPr>
            </w:pPr>
          </w:p>
        </w:tc>
        <w:tc>
          <w:tcPr>
            <w:tcW w:w="1020" w:type="dxa"/>
            <w:vAlign w:val="bottom"/>
            <w:tcBorders>
              <w:bottom w:val="single" w:sz="8" w:color="CCEEFF"/>
            </w:tcBorders>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w w:val="90"/>
              </w:rPr>
              <w:t>443,313</w:t>
            </w:r>
          </w:p>
        </w:tc>
        <w:tc>
          <w:tcPr>
            <w:tcW w:w="0" w:type="dxa"/>
            <w:vAlign w:val="bottom"/>
          </w:tcPr>
          <w:p>
            <w:pPr>
              <w:spacing w:after="0"/>
              <w:rPr>
                <w:sz w:val="1"/>
                <w:szCs w:val="1"/>
                <w:color w:val="auto"/>
              </w:rPr>
            </w:pPr>
          </w:p>
        </w:tc>
      </w:tr>
      <w:tr>
        <w:trPr>
          <w:trHeight w:val="191"/>
        </w:trPr>
        <w:tc>
          <w:tcPr>
            <w:tcW w:w="8020" w:type="dxa"/>
            <w:vAlign w:val="bottom"/>
          </w:tcPr>
          <w:p>
            <w:pPr>
              <w:ind w:left="20"/>
              <w:spacing w:after="0"/>
              <w:rPr>
                <w:sz w:val="20"/>
                <w:szCs w:val="20"/>
                <w:color w:val="auto"/>
              </w:rPr>
            </w:pPr>
            <w:r>
              <w:rPr>
                <w:rFonts w:ascii="Arial" w:cs="Arial" w:eastAsia="Arial" w:hAnsi="Arial"/>
                <w:sz w:val="14"/>
                <w:szCs w:val="14"/>
                <w:color w:val="auto"/>
              </w:rPr>
              <w:t>Restricted cash</w:t>
            </w:r>
          </w:p>
        </w:tc>
        <w:tc>
          <w:tcPr>
            <w:tcW w:w="9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302</w:t>
            </w:r>
          </w:p>
        </w:tc>
        <w:tc>
          <w:tcPr>
            <w:tcW w:w="0" w:type="dxa"/>
            <w:vAlign w:val="bottom"/>
          </w:tcPr>
          <w:p>
            <w:pPr>
              <w:spacing w:after="0"/>
              <w:rPr>
                <w:sz w:val="1"/>
                <w:szCs w:val="1"/>
                <w:color w:val="auto"/>
              </w:rPr>
            </w:pPr>
          </w:p>
        </w:tc>
      </w:tr>
      <w:tr>
        <w:trPr>
          <w:trHeight w:val="39"/>
        </w:trPr>
        <w:tc>
          <w:tcPr>
            <w:tcW w:w="8020" w:type="dxa"/>
            <w:vAlign w:val="bottom"/>
            <w:tcBorders>
              <w:bottom w:val="single" w:sz="8" w:color="CCEEFF"/>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2"/>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cash, cash equivalents and restricted cash</w:t>
            </w:r>
          </w:p>
        </w:tc>
        <w:tc>
          <w:tcPr>
            <w:tcW w:w="980" w:type="dxa"/>
            <w:vAlign w:val="bottom"/>
            <w:tcBorders>
              <w:bottom w:val="single" w:sz="8" w:color="auto"/>
            </w:tcBorders>
            <w:shd w:val="clear" w:color="auto" w:fill="CCEEFF"/>
          </w:tcPr>
          <w:p>
            <w:pPr>
              <w:jc w:val="right"/>
              <w:ind w:right="808"/>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376,532</w:t>
            </w:r>
          </w:p>
        </w:tc>
        <w:tc>
          <w:tcPr>
            <w:tcW w:w="8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868"/>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443,615</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condensed consolidated financial statements.</w:t>
      </w:r>
    </w:p>
    <w:p>
      <w:pPr>
        <w:sectPr>
          <w:pgSz w:w="11900" w:h="16838" w:orient="portrait"/>
          <w:cols w:equalWidth="0" w:num="1">
            <w:col w:w="11240"/>
          </w:cols>
          <w:pgMar w:left="320" w:top="130" w:right="339" w:bottom="1025"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025" w:gutter="0" w:footer="0" w:header="0"/>
          <w:type w:val="continuous"/>
        </w:sectPr>
      </w:pPr>
    </w:p>
    <w:bookmarkStart w:id="9" w:name="page10"/>
    <w:bookmarkEnd w:id="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REMITLY GLOBAL,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(Unaudited)</w:t>
      </w:r>
    </w:p>
    <w:p>
      <w:pPr>
        <w:spacing w:after="0" w:line="240" w:lineRule="exact"/>
        <w:rPr>
          <w:sz w:val="20"/>
          <w:szCs w:val="20"/>
          <w:color w:val="auto"/>
        </w:rPr>
      </w:pPr>
    </w:p>
    <w:p>
      <w:pPr>
        <w:ind w:right="8080" w:firstLine="8"/>
        <w:spacing w:after="0" w:line="469" w:lineRule="auto"/>
        <w:tabs>
          <w:tab w:leader="none" w:pos="283" w:val="left"/>
        </w:tabs>
        <w:numPr>
          <w:ilvl w:val="0"/>
          <w:numId w:val="4"/>
        </w:numPr>
        <w:rPr>
          <w:rFonts w:ascii="Arial" w:cs="Arial" w:eastAsia="Arial" w:hAnsi="Arial"/>
          <w:sz w:val="16"/>
          <w:szCs w:val="16"/>
          <w:b w:val="1"/>
          <w:bCs w:val="1"/>
          <w:color w:val="auto"/>
        </w:rPr>
      </w:pPr>
      <w:r>
        <w:rPr>
          <w:rFonts w:ascii="Arial" w:cs="Arial" w:eastAsia="Arial" w:hAnsi="Arial"/>
          <w:sz w:val="16"/>
          <w:szCs w:val="16"/>
          <w:b w:val="1"/>
          <w:bCs w:val="1"/>
          <w:color w:val="auto"/>
        </w:rPr>
        <w:t>Organization and Description of Business Description of Business</w:t>
      </w:r>
    </w:p>
    <w:p>
      <w:pPr>
        <w:ind w:right="440" w:firstLine="324"/>
        <w:spacing w:after="0" w:line="275" w:lineRule="auto"/>
        <w:rPr>
          <w:sz w:val="20"/>
          <w:szCs w:val="20"/>
          <w:color w:val="auto"/>
        </w:rPr>
      </w:pPr>
      <w:r>
        <w:rPr>
          <w:rFonts w:ascii="Arial" w:cs="Arial" w:eastAsia="Arial" w:hAnsi="Arial"/>
          <w:sz w:val="16"/>
          <w:szCs w:val="16"/>
          <w:color w:val="auto"/>
        </w:rPr>
        <w:t>Remitly Global, Inc. (the “Company” or “Remitly”) was incorporated in the State of Delaware in October 2018 and is headquartered in Seattle, Washington, with various other global office locations.</w:t>
      </w:r>
    </w:p>
    <w:p>
      <w:pPr>
        <w:spacing w:after="0" w:line="132"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Remitly is a leading digital financial services provider for immigrants and their families in over 170 countries, helping customers send money internationally in a quick, reliable, and more cost-effective manner, by leveraging digital channels and supporting cross-border transmissions across the globe.</w:t>
      </w:r>
    </w:p>
    <w:p>
      <w:pPr>
        <w:spacing w:after="0" w:line="132" w:lineRule="exact"/>
        <w:rPr>
          <w:sz w:val="20"/>
          <w:szCs w:val="20"/>
          <w:color w:val="auto"/>
        </w:rPr>
      </w:pPr>
    </w:p>
    <w:p>
      <w:pPr>
        <w:ind w:right="220" w:firstLine="324"/>
        <w:spacing w:after="0" w:line="275" w:lineRule="auto"/>
        <w:rPr>
          <w:sz w:val="20"/>
          <w:szCs w:val="20"/>
          <w:color w:val="auto"/>
        </w:rPr>
      </w:pPr>
      <w:r>
        <w:rPr>
          <w:rFonts w:ascii="Arial" w:cs="Arial" w:eastAsia="Arial" w:hAnsi="Arial"/>
          <w:sz w:val="16"/>
          <w:szCs w:val="16"/>
          <w:color w:val="auto"/>
        </w:rPr>
        <w:t>Unless otherwise expressly stated or the context otherwise requires, the terms “Remitly” and the “Company” in these notes to the Condensed Consolidated Financial Statements refer to Remitly Global, Inc. and its wholly owned subsidiaries.</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 and Private Placement</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5"/>
          <w:szCs w:val="15"/>
          <w:color w:val="auto"/>
        </w:rPr>
        <w:t>In September 2021, the Company completed its initial public offering (the “IPO”), in which the Company issued and sold 7,000,000 shares of its common stock at</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$43.00 per share. Concurrently, 5,162,777 shares were sold by certain of the Company’s existing stockholders. In addition, the Company issued 581,395 shares of common</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stock to an existing stockholder in a private placement at the same offering price as the IPO. The Company received net proceeds of $305.2 million for the IPO and private</w:t>
      </w:r>
    </w:p>
    <w:p>
      <w:pPr>
        <w:spacing w:after="0" w:line="31" w:lineRule="exact"/>
        <w:rPr>
          <w:sz w:val="20"/>
          <w:szCs w:val="20"/>
          <w:color w:val="auto"/>
        </w:rPr>
      </w:pPr>
    </w:p>
    <w:p>
      <w:pPr>
        <w:spacing w:after="0"/>
        <w:rPr>
          <w:sz w:val="20"/>
          <w:szCs w:val="20"/>
          <w:color w:val="auto"/>
        </w:rPr>
      </w:pPr>
      <w:r>
        <w:rPr>
          <w:rFonts w:ascii="Arial" w:cs="Arial" w:eastAsia="Arial" w:hAnsi="Arial"/>
          <w:sz w:val="15"/>
          <w:szCs w:val="15"/>
          <w:color w:val="auto"/>
        </w:rPr>
        <w:t>placement, after deducting underwriting discounts and other fees of $20.8 million. In connection with the IPO, 127,410,631 shares of outstanding redeemable convertible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preferred stock automatically converted into an equivalent number of shares of common stock on a one-to-one basis.</w:t>
      </w:r>
    </w:p>
    <w:p>
      <w:pPr>
        <w:spacing w:after="0" w:line="163" w:lineRule="exact"/>
        <w:rPr>
          <w:sz w:val="20"/>
          <w:szCs w:val="20"/>
          <w:color w:val="auto"/>
        </w:rPr>
      </w:pPr>
    </w:p>
    <w:p>
      <w:pPr>
        <w:ind w:right="6120" w:firstLine="8"/>
        <w:spacing w:after="0" w:line="460" w:lineRule="auto"/>
        <w:tabs>
          <w:tab w:leader="none" w:pos="283" w:val="left"/>
        </w:tabs>
        <w:numPr>
          <w:ilvl w:val="0"/>
          <w:numId w:val="5"/>
        </w:numPr>
        <w:rPr>
          <w:rFonts w:ascii="Arial" w:cs="Arial" w:eastAsia="Arial" w:hAnsi="Arial"/>
          <w:sz w:val="16"/>
          <w:szCs w:val="16"/>
          <w:b w:val="1"/>
          <w:bCs w:val="1"/>
          <w:color w:val="auto"/>
        </w:rPr>
      </w:pPr>
      <w:r>
        <w:rPr>
          <w:rFonts w:ascii="Arial" w:cs="Arial" w:eastAsia="Arial" w:hAnsi="Arial"/>
          <w:sz w:val="16"/>
          <w:szCs w:val="16"/>
          <w:b w:val="1"/>
          <w:bCs w:val="1"/>
          <w:color w:val="auto"/>
        </w:rPr>
        <w:t>Basis of Presentation and Summary of Significant Accounting Policies Basis of Presentation</w:t>
      </w:r>
    </w:p>
    <w:p>
      <w:pPr>
        <w:spacing w:after="0" w:line="1" w:lineRule="exact"/>
        <w:rPr>
          <w:sz w:val="20"/>
          <w:szCs w:val="20"/>
          <w:color w:val="auto"/>
        </w:rPr>
      </w:pPr>
    </w:p>
    <w:p>
      <w:pPr>
        <w:ind w:right="220" w:firstLine="324"/>
        <w:spacing w:after="0" w:line="284" w:lineRule="auto"/>
        <w:rPr>
          <w:sz w:val="20"/>
          <w:szCs w:val="20"/>
          <w:color w:val="auto"/>
        </w:rPr>
      </w:pPr>
      <w:r>
        <w:rPr>
          <w:rFonts w:ascii="Arial" w:cs="Arial" w:eastAsia="Arial" w:hAnsi="Arial"/>
          <w:sz w:val="15"/>
          <w:szCs w:val="15"/>
          <w:color w:val="auto"/>
        </w:rPr>
        <w:t>The accompanying unaudited Condensed Consolidated Financial Statements have been prepared in accordance with accounting principles generally accepted in the United States of America (“GAAP”) and applicable rules and regulations of the U.S. Securities and Exchange Commission (the “SEC”) regarding interim financial reporting. The year-end condensed balance sheet data was derived from audited financial statements, but does not include all disclosures required by GAAP and therefore the information included in this Quarterly Report on Form 10-Q should be read in conjunction with the historical audited annual consolidated financial statements and related notes included in the Company’s Annual Report on Form 10-K, for the year ended December 31, 2021.</w:t>
      </w:r>
    </w:p>
    <w:p>
      <w:pPr>
        <w:spacing w:after="0" w:line="113" w:lineRule="exact"/>
        <w:rPr>
          <w:sz w:val="20"/>
          <w:szCs w:val="20"/>
          <w:color w:val="auto"/>
        </w:rPr>
      </w:pPr>
    </w:p>
    <w:p>
      <w:pPr>
        <w:ind w:right="80" w:firstLine="324"/>
        <w:spacing w:after="0" w:line="291" w:lineRule="auto"/>
        <w:rPr>
          <w:sz w:val="20"/>
          <w:szCs w:val="20"/>
          <w:color w:val="auto"/>
        </w:rPr>
      </w:pPr>
      <w:r>
        <w:rPr>
          <w:rFonts w:ascii="Arial" w:cs="Arial" w:eastAsia="Arial" w:hAnsi="Arial"/>
          <w:sz w:val="15"/>
          <w:szCs w:val="15"/>
          <w:color w:val="auto"/>
        </w:rPr>
        <w:t>The accompanying unaudited interim Condensed Consolidated Financial Statements have been prepared on the same basis as the audited consolidated financial statements and, in the opinion of management, reflect all adjustments of a normal recurring nature considered necessary to state fairly the Company’s consolidated financial position, results of operations, comprehensive loss, and cash flows for the interim periods. The interim results for the three and nine months ended September 30, 2022 are not necessarily indicative of the results that may be expected for the year ending December 31, 2022, or for any other future annual or interim period.</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Principles of Consolidation</w:t>
      </w:r>
    </w:p>
    <w:p>
      <w:pPr>
        <w:spacing w:after="0" w:line="171"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color w:val="auto"/>
        </w:rPr>
        <w:t>The Condensed Consolidated Financial Statements include the accounts of Remitly Global, Inc. and its wholly owned subsidiaries. All intercompany transactions and balances have been eliminated in consolidation.</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Use of Estimates</w:t>
      </w:r>
    </w:p>
    <w:p>
      <w:pPr>
        <w:spacing w:after="0" w:line="185" w:lineRule="exact"/>
        <w:rPr>
          <w:sz w:val="20"/>
          <w:szCs w:val="20"/>
          <w:color w:val="auto"/>
        </w:rPr>
      </w:pPr>
    </w:p>
    <w:p>
      <w:pPr>
        <w:ind w:right="80" w:firstLine="324"/>
        <w:spacing w:after="0" w:line="299" w:lineRule="auto"/>
        <w:rPr>
          <w:sz w:val="20"/>
          <w:szCs w:val="20"/>
          <w:color w:val="auto"/>
        </w:rPr>
      </w:pPr>
      <w:r>
        <w:rPr>
          <w:rFonts w:ascii="Arial" w:cs="Arial" w:eastAsia="Arial" w:hAnsi="Arial"/>
          <w:sz w:val="14"/>
          <w:szCs w:val="14"/>
          <w:color w:val="auto"/>
        </w:rPr>
        <w:t>The preparation of the accompanying Condensed Consolidated Financial Statements in conformity with GAAP requires management to make estimates and assumptions that affect the amounts reported and disclosed in the Condensed Consolidated Financial Statements and accompanying notes. These estimates and assumptions include, but are not limited to, revenue recognition including the treatment of sales incentive programs, reserves for transaction losses, stock-based compensation expense including the estimated fair value per share of common stock, the carrying value of operating lease right-of-use assets, the recoverability of deferred tax assets, and capitalization of software development costs. The Company bases its estimates on historical experience and on assumptions that management considers reasonable. Actual results could differ from these estimates and assumptions, and these differences could be material to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Concentration of Credit Risk</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6"/>
          <w:szCs w:val="16"/>
          <w:color w:val="auto"/>
        </w:rPr>
        <w:t>Financial instruments that potentially expose the Company to concentrations of credit risk consist primarily of cash and cash equivalents, disbursement prefunding, restricted cash, and customer funds receivable. The Company maintains cash and cash equivalents and restricted cash balances that may exceed the insured limits by the Federal Deposit Insurance Corporation. In addition, the Company funds its international operations using accounts with institutions in the major countries where its subsidiaries operate. The Company also prefunds amounts which are held by its disbursement partners, which are typically located in India, Philippines and Mexico. The Company has not experienced any significant losses on its deposits of cash and cash equivalents, disbursement prefunding, restricted cash or customer funds receivable in the three and nine months ended September 30, 2022 and 2021.</w:t>
      </w:r>
    </w:p>
    <w:p>
      <w:pPr>
        <w:spacing w:after="0" w:line="145"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For the three and nine months ended September 30, 2022 and 2021, no individual customer represented 10% or more of the Company’s total revenue or customer funds receivable.</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Trade Settlement Liabilities</w:t>
      </w:r>
    </w:p>
    <w:p>
      <w:pPr>
        <w:spacing w:after="0" w:line="17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6"/>
          <w:szCs w:val="16"/>
          <w:color w:val="auto"/>
        </w:rPr>
        <w:t xml:space="preserve">Our trade settlement liability represents the total of book overdrafts and disbursement postfunding liabilities owed to our disbursement partners. Book overdrafts are created when the sum of outstanding checks related to a specific bank account are in excess of funds on deposit for the respective bank account. Disbursement postfunding liabilities are created when the sum of customer transactions related to a specific account held with a disbursement partner are in excess of funds on deposit for the respective account. Book overdrafts and disbursement postfunding liabilities totaled $48.1 million and $18.9 million as of September 30, 2022 and December 31, 2021, respectively, and were classified as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xml:space="preserve"> in the Condensed Consolidated Balance Sheets. The Company’s policy is to report the change in book overdrafts and prefunding liabilities as an operating activity in the Consolidated Statements of Cash Flows based on the underlying nature of the transactions.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Offering Costs</w:t>
      </w:r>
    </w:p>
    <w:p>
      <w:pPr>
        <w:spacing w:after="0" w:line="171" w:lineRule="exact"/>
        <w:rPr>
          <w:sz w:val="20"/>
          <w:szCs w:val="20"/>
          <w:color w:val="auto"/>
        </w:rPr>
      </w:pPr>
    </w:p>
    <w:p>
      <w:pPr>
        <w:ind w:right="60" w:firstLine="324"/>
        <w:spacing w:after="0" w:line="269" w:lineRule="auto"/>
        <w:rPr>
          <w:sz w:val="20"/>
          <w:szCs w:val="20"/>
          <w:color w:val="auto"/>
        </w:rPr>
      </w:pPr>
      <w:r>
        <w:rPr>
          <w:rFonts w:ascii="Arial" w:cs="Arial" w:eastAsia="Arial" w:hAnsi="Arial"/>
          <w:sz w:val="16"/>
          <w:szCs w:val="16"/>
          <w:color w:val="auto"/>
        </w:rPr>
        <w:t>Prior to the IPO, deferred offering costs, which consist of direct incremental legal, accounting, and consulting fees relating to the IPO, were capitalized and included in ‘</w:t>
      </w:r>
      <w:r>
        <w:rPr>
          <w:rFonts w:ascii="Arial" w:cs="Arial" w:eastAsia="Arial" w:hAnsi="Arial"/>
          <w:sz w:val="16"/>
          <w:szCs w:val="16"/>
          <w:i w:val="1"/>
          <w:iCs w:val="1"/>
          <w:color w:val="auto"/>
        </w:rPr>
        <w:t>Other noncurrent assets</w:t>
      </w:r>
      <w:r>
        <w:rPr>
          <w:rFonts w:ascii="Arial" w:cs="Arial" w:eastAsia="Arial" w:hAnsi="Arial"/>
          <w:sz w:val="16"/>
          <w:szCs w:val="16"/>
          <w:color w:val="auto"/>
        </w:rPr>
        <w:t>’ on the Condensed Consolidated Balance Sheets. Upon completion of the IPO in September 2021, the Company reclassified $4.3 million of deferred offering costs to additional-paid-in capital offsetting the IPO proceeds.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Advertising</w:t>
      </w:r>
    </w:p>
    <w:p>
      <w:pPr>
        <w:spacing w:after="0" w:line="185"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Advertising expenses are charged to operations as incurred and are included as a component of ‘</w:t>
      </w:r>
      <w:r>
        <w:rPr>
          <w:rFonts w:ascii="Arial" w:cs="Arial" w:eastAsia="Arial" w:hAnsi="Arial"/>
          <w:sz w:val="16"/>
          <w:szCs w:val="16"/>
          <w:i w:val="1"/>
          <w:iCs w:val="1"/>
          <w:color w:val="auto"/>
        </w:rPr>
        <w:t>Marketing Expenses’</w:t>
      </w:r>
      <w:r>
        <w:rPr>
          <w:rFonts w:ascii="Arial" w:cs="Arial" w:eastAsia="Arial" w:hAnsi="Arial"/>
          <w:sz w:val="16"/>
          <w:szCs w:val="16"/>
          <w:color w:val="auto"/>
        </w:rPr>
        <w:t xml:space="preserve"> within the Condensed Consolidated Statements of Operations. Advertising expenses are used primarily to attract new customers. Advertising expenses totaled $34.6 million and $25.6 million during the three months ended September 30, 2022 and 2021, respectively. Advertising expenses totaled $105.2 million and $70.1 million during the nine months ended September 30, 2022 and 2021,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Business Combinations and Asset Acquisitions</w:t>
      </w:r>
    </w:p>
    <w:p>
      <w:pPr>
        <w:spacing w:after="0" w:line="185" w:lineRule="exact"/>
        <w:rPr>
          <w:sz w:val="20"/>
          <w:szCs w:val="20"/>
          <w:color w:val="auto"/>
        </w:rPr>
      </w:pPr>
    </w:p>
    <w:p>
      <w:pPr>
        <w:ind w:firstLine="324"/>
        <w:spacing w:after="0" w:line="315" w:lineRule="auto"/>
        <w:rPr>
          <w:sz w:val="20"/>
          <w:szCs w:val="20"/>
          <w:color w:val="auto"/>
        </w:rPr>
      </w:pPr>
      <w:r>
        <w:rPr>
          <w:rFonts w:ascii="Arial" w:cs="Arial" w:eastAsia="Arial" w:hAnsi="Arial"/>
          <w:sz w:val="14"/>
          <w:szCs w:val="14"/>
          <w:color w:val="auto"/>
        </w:rPr>
        <w:t>The Company evaluates acquisitions to determine if they meet the definition of a business. If the acquisition does meet the definition of a business, it is accounted for as a business combination. For a business combination, assets acquired and liabilities assumed are generally recorded at their fair value at the date of acquisition. Any excess of the fair value of consideration transferred for the business, over the fair values of the identifiable assets acquired and liabilities assumed is recognized as goodwill.</w:t>
      </w:r>
    </w:p>
    <w:p>
      <w:pPr>
        <w:spacing w:after="0" w:line="109" w:lineRule="exact"/>
        <w:rPr>
          <w:sz w:val="20"/>
          <w:szCs w:val="20"/>
          <w:color w:val="auto"/>
        </w:rPr>
      </w:pPr>
    </w:p>
    <w:p>
      <w:pPr>
        <w:ind w:right="80" w:firstLine="324"/>
        <w:spacing w:after="0" w:line="269" w:lineRule="auto"/>
        <w:rPr>
          <w:sz w:val="20"/>
          <w:szCs w:val="20"/>
          <w:color w:val="auto"/>
        </w:rPr>
      </w:pPr>
      <w:r>
        <w:rPr>
          <w:rFonts w:ascii="Arial" w:cs="Arial" w:eastAsia="Arial" w:hAnsi="Arial"/>
          <w:sz w:val="16"/>
          <w:szCs w:val="16"/>
          <w:color w:val="auto"/>
        </w:rPr>
        <w:t>Acquisitions that do not meet the criteria to be accounted for as a business combination are accounted for as an asset acquisition. In an asset acquisition, the cost of the acquisition, including transaction costs, is allocated to the acquired assets and assumed liabilities based upon their relative fair values as of the acquisition date, and no goodwill is recognized.</w:t>
      </w:r>
    </w:p>
    <w:p>
      <w:pPr>
        <w:spacing w:after="0" w:line="124" w:lineRule="exact"/>
        <w:rPr>
          <w:sz w:val="20"/>
          <w:szCs w:val="20"/>
          <w:color w:val="auto"/>
        </w:rPr>
      </w:pPr>
    </w:p>
    <w:p>
      <w:pPr>
        <w:ind w:right="40" w:firstLine="324"/>
        <w:spacing w:after="0" w:line="279" w:lineRule="auto"/>
        <w:rPr>
          <w:sz w:val="20"/>
          <w:szCs w:val="20"/>
          <w:color w:val="auto"/>
        </w:rPr>
      </w:pPr>
      <w:r>
        <w:rPr>
          <w:rFonts w:ascii="Arial" w:cs="Arial" w:eastAsia="Arial" w:hAnsi="Arial"/>
          <w:sz w:val="15"/>
          <w:szCs w:val="15"/>
          <w:color w:val="auto"/>
        </w:rPr>
        <w:t>Transaction costs related to business combinations are expensed as incurred and are included in ‘</w:t>
      </w:r>
      <w:r>
        <w:rPr>
          <w:rFonts w:ascii="Arial" w:cs="Arial" w:eastAsia="Arial" w:hAnsi="Arial"/>
          <w:sz w:val="15"/>
          <w:szCs w:val="15"/>
          <w:i w:val="1"/>
          <w:iCs w:val="1"/>
          <w:color w:val="auto"/>
        </w:rPr>
        <w:t>General and Administrative Expenses</w:t>
      </w:r>
      <w:r>
        <w:rPr>
          <w:rFonts w:ascii="Arial" w:cs="Arial" w:eastAsia="Arial" w:hAnsi="Arial"/>
          <w:sz w:val="15"/>
          <w:szCs w:val="15"/>
          <w:color w:val="auto"/>
        </w:rPr>
        <w:t>’ in the Condensed Consolidated Statements of Operations. Acquisition expenses primarily include external legal, accounting, valuation, and due diligence costs, as well as advisory and other professional services fees necessary to integrate acquired businesses. Transaction costs totaled $1.8 million and $2.6 million for the three and nine months ended September 30, 2022. There were no transaction costs incurred for the three and nine months ended September 30, 2021. Such costs are primarily related to our pending acquisition of Rewire, as further discussed in “Management’s Discussion and Analysis” included in Part I, Item 2 within this Quarterly Report on Form 10-Q.</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Intangible Assets</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5"/>
          <w:szCs w:val="15"/>
          <w:color w:val="auto"/>
        </w:rPr>
        <w:t>Intangible assets with finite lives primarily consist of licenses acquired through business combinations or asset acquisitions. Intangible assets acquired through business combination are recorded at their respective estimated fair values upon acquisition close. Other intangible assets acquired through asset acquisition are recorded at their respective cost. The Company determines the estimated useful lives for acquired intangible assets based on the expected future cash flows associated with the respective asset. The Company's intangible assets with finite lives are amortized using an economic benefit method, over their estimated useful lives, unless amortizing on a straight-line basis would not be significantly different. The Company evaluates the recoverability of intangible assets periodically by taking into account events or circumstances that may warrant revised estimates of useful lives or that indicate the asset may be impaired.</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1" w:name="page12"/>
    <w:bookmarkEnd w:id="1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Out-of-Period Adjustment</w:t>
      </w:r>
    </w:p>
    <w:p>
      <w:pPr>
        <w:spacing w:after="0" w:line="171" w:lineRule="exact"/>
        <w:rPr>
          <w:sz w:val="20"/>
          <w:szCs w:val="20"/>
          <w:color w:val="auto"/>
        </w:rPr>
      </w:pPr>
    </w:p>
    <w:p>
      <w:pPr>
        <w:ind w:firstLine="324"/>
        <w:spacing w:after="0" w:line="300" w:lineRule="auto"/>
        <w:rPr>
          <w:sz w:val="20"/>
          <w:szCs w:val="20"/>
          <w:color w:val="auto"/>
        </w:rPr>
      </w:pPr>
      <w:r>
        <w:rPr>
          <w:rFonts w:ascii="Arial" w:cs="Arial" w:eastAsia="Arial" w:hAnsi="Arial"/>
          <w:sz w:val="14"/>
          <w:szCs w:val="14"/>
          <w:color w:val="auto"/>
        </w:rPr>
        <w:t xml:space="preserve">The Condensed Consolidated Financial Statements include an adjustment of $4.4 million to stock-based compensation expense and additional paid-in capital, to correct for an error identified by management during the preparation of the prior quarter’s financial statements for the three months ended June 30, 2022. This adjustment is to reflect the straight-lining of expense over the full service period for graded-vested stock-based compensation awards under ASC 718, and relates to prior annual fiscal periods. Management has determined that this error was not material to the historical financial statements in any individual period or in the aggregate and did not result in the previously issued financial statements being materially misstated. Additionally, although the impact to the three months ended June 30, 2022 was considered material, the impact to full year 2022 expected results is not material. As such, management recorded the correction as an out-of-period adjustment in the three months ended June 30, 2022, as disclosed in our Quarterly Report on Form 10-Q for the three months ended June 30, 2022. Substantially all of the cumulative adjustment was related to stock-based compensation for personnel who support our general and administrative functions and was recorded to </w:t>
      </w:r>
      <w:r>
        <w:rPr>
          <w:rFonts w:ascii="Arial" w:cs="Arial" w:eastAsia="Arial" w:hAnsi="Arial"/>
          <w:sz w:val="14"/>
          <w:szCs w:val="14"/>
          <w:i w:val="1"/>
          <w:iCs w:val="1"/>
          <w:color w:val="auto"/>
        </w:rPr>
        <w:t>general and administrative expenses</w:t>
      </w:r>
      <w:r>
        <w:rPr>
          <w:rFonts w:ascii="Arial" w:cs="Arial" w:eastAsia="Arial" w:hAnsi="Arial"/>
          <w:sz w:val="14"/>
          <w:szCs w:val="14"/>
          <w:color w:val="auto"/>
        </w:rPr>
        <w:t>.</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Significant Accounting Policies</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6"/>
          <w:szCs w:val="16"/>
          <w:color w:val="auto"/>
        </w:rPr>
        <w:t>The Company’s significant accounting policies are discussed in Note 2, “Basis of Presentation and Summary of Significant Accounting Policies” in the Notes to Consolidated Financial Statements included in the Company’s Annual Report on Form 10-K for the year ended December 31, 2021. There have been no significant changes to these policies during the three months ended September 30, 2022, except as noted below.</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 Accounting Pronouncements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 xml:space="preserve">Recently Adopted Accounting Pronouncements </w:t>
      </w:r>
      <w:r>
        <w:rPr>
          <w:rFonts w:ascii="Arial" w:cs="Arial" w:eastAsia="Arial" w:hAnsi="Arial"/>
          <w:sz w:val="16"/>
          <w:szCs w:val="16"/>
          <w:i w:val="1"/>
          <w:iCs w:val="1"/>
          <w:color w:val="auto"/>
        </w:rPr>
        <w:t>(“ASU”)</w:t>
      </w:r>
    </w:p>
    <w:p>
      <w:pPr>
        <w:spacing w:after="0" w:line="181" w:lineRule="exact"/>
        <w:rPr>
          <w:sz w:val="20"/>
          <w:szCs w:val="20"/>
          <w:color w:val="auto"/>
        </w:rPr>
      </w:pPr>
    </w:p>
    <w:p>
      <w:pPr>
        <w:ind w:right="220" w:firstLine="324"/>
        <w:spacing w:after="0" w:line="294" w:lineRule="auto"/>
        <w:rPr>
          <w:sz w:val="20"/>
          <w:szCs w:val="20"/>
          <w:color w:val="auto"/>
        </w:rPr>
      </w:pPr>
      <w:r>
        <w:rPr>
          <w:rFonts w:ascii="Arial" w:cs="Arial" w:eastAsia="Arial" w:hAnsi="Arial"/>
          <w:sz w:val="14"/>
          <w:szCs w:val="14"/>
          <w:color w:val="auto"/>
        </w:rPr>
        <w:t xml:space="preserve">In August 2018, the FASB issued ASU No. 2018-15, </w:t>
      </w:r>
      <w:r>
        <w:rPr>
          <w:rFonts w:ascii="Arial" w:cs="Arial" w:eastAsia="Arial" w:hAnsi="Arial"/>
          <w:sz w:val="14"/>
          <w:szCs w:val="14"/>
          <w:i w:val="1"/>
          <w:iCs w:val="1"/>
          <w:color w:val="auto"/>
        </w:rPr>
        <w:t>Intangibles - Goodwill and Other Internal-Use Software (Subtopic 350-40),Customer’s Accounting for</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Implementation Costs Incurred in a Cloud Computing Arrangement That is a Service Contract. </w:t>
      </w:r>
      <w:r>
        <w:rPr>
          <w:rFonts w:ascii="Arial" w:cs="Arial" w:eastAsia="Arial" w:hAnsi="Arial"/>
          <w:sz w:val="14"/>
          <w:szCs w:val="14"/>
          <w:color w:val="auto"/>
        </w:rPr>
        <w:t>Under existing U.S. GAAP, there is diversity in practice in accounting for</w:t>
      </w:r>
    </w:p>
    <w:p>
      <w:pPr>
        <w:spacing w:after="0" w:line="1" w:lineRule="exact"/>
        <w:rPr>
          <w:sz w:val="20"/>
          <w:szCs w:val="20"/>
          <w:color w:val="auto"/>
        </w:rPr>
      </w:pPr>
    </w:p>
    <w:p>
      <w:pPr>
        <w:ind w:right="20"/>
        <w:spacing w:after="0" w:line="274" w:lineRule="auto"/>
        <w:rPr>
          <w:sz w:val="20"/>
          <w:szCs w:val="20"/>
          <w:color w:val="auto"/>
        </w:rPr>
      </w:pPr>
      <w:r>
        <w:rPr>
          <w:rFonts w:ascii="Arial" w:cs="Arial" w:eastAsia="Arial" w:hAnsi="Arial"/>
          <w:sz w:val="15"/>
          <w:szCs w:val="15"/>
          <w:color w:val="auto"/>
        </w:rPr>
        <w:t>the costs of implementing cloud computing arrangements (“CCA”) that are service contracts. The standard aligns the requirements for capitalizing implementation costs incurred in a hosting arrangement that is a service contract with the requirements for capitalizing implementation costs incurred to develop or obtain internal-use software. The standard also requires the presentation of the amortization of the capitalized implementation costs in the same line item in the Condensed Consolidated Statements of Operations as the fees associated with the hosting arrangement. The new standard is effective for fiscal years beginning after December 15, 2020, and interim periods within fiscal years beginning after December 15, 2021 with early adoption permitted. This ASU was adopted on a prospective basis for the fiscal year ended December 31, 2021. The Company assessed the impact of the guidance to its consolidated financial statements for the three and nine months ended September 30, 2021 and concluded that the standard did not have a material impact on its financial statements. See Note 4. for further disclosure of the ongoing impact of ASU 2018-15 to the Company’s Condensed Consolidated Financial Statements for the three and nine months ended September 30, 2022.</w:t>
      </w:r>
    </w:p>
    <w:p>
      <w:pPr>
        <w:spacing w:after="0" w:line="13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Accounting Pronouncements Not Yet Adopted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 xml:space="preserve">In June 2016, the FASB issued ASU No. 2016-13, </w:t>
      </w:r>
      <w:r>
        <w:rPr>
          <w:rFonts w:ascii="Arial" w:cs="Arial" w:eastAsia="Arial" w:hAnsi="Arial"/>
          <w:sz w:val="15"/>
          <w:szCs w:val="15"/>
          <w:i w:val="1"/>
          <w:iCs w:val="1"/>
          <w:color w:val="auto"/>
        </w:rPr>
        <w:t>Financial Instruments- Credit Losses (Topic 326): Measurement of Credit Losses on Financial Instruments</w:t>
      </w:r>
      <w:r>
        <w:rPr>
          <w:rFonts w:ascii="Arial" w:cs="Arial" w:eastAsia="Arial" w:hAnsi="Arial"/>
          <w:sz w:val="15"/>
          <w:szCs w:val="15"/>
          <w:color w:val="auto"/>
        </w:rPr>
        <w:t>. This</w:t>
      </w:r>
    </w:p>
    <w:p>
      <w:pPr>
        <w:spacing w:after="0" w:line="34" w:lineRule="exact"/>
        <w:rPr>
          <w:sz w:val="20"/>
          <w:szCs w:val="20"/>
          <w:color w:val="auto"/>
        </w:rPr>
      </w:pPr>
    </w:p>
    <w:p>
      <w:pPr>
        <w:ind w:right="20"/>
        <w:spacing w:after="0" w:line="276" w:lineRule="auto"/>
        <w:rPr>
          <w:sz w:val="20"/>
          <w:szCs w:val="20"/>
          <w:color w:val="auto"/>
        </w:rPr>
      </w:pPr>
      <w:r>
        <w:rPr>
          <w:rFonts w:ascii="Arial" w:cs="Arial" w:eastAsia="Arial" w:hAnsi="Arial"/>
          <w:sz w:val="15"/>
          <w:szCs w:val="15"/>
          <w:color w:val="auto"/>
        </w:rPr>
        <w:t>ASU replaces the existing incurred loss impairment methodology that recognizes credit losses when a probable loss has been incurred with new methodology pursuant to which loss estimates are based upon lifetime expected credit losses. The amendments in this ASU require a financial asset that is measured at amortized cost to be presented at the net amount expected to be collected. The Condensed Consolidated Statements of Operations would then reflect the measurement of credit losses for newly recognized financial assets as well as changes to the expected credit losses that have taken place during the reporting period. The change in allowance recognized as a result of adoption will occur through a cumulative-effect adjustment to retained earnings as of the beginning of the first reporting period in which the ASU is adopted. The new standard is effective for fiscal years beginning after December 15, 2022, and interim periods within that fiscal year with early adoption permitted. The Company is currently assessing the impact of the guidance on its consolidated financial statements.</w:t>
      </w:r>
    </w:p>
    <w:p>
      <w:pPr>
        <w:spacing w:after="0" w:line="120" w:lineRule="exact"/>
        <w:rPr>
          <w:sz w:val="20"/>
          <w:szCs w:val="20"/>
          <w:color w:val="auto"/>
        </w:rPr>
      </w:pPr>
    </w:p>
    <w:p>
      <w:pPr>
        <w:ind w:right="760" w:firstLine="324"/>
        <w:spacing w:after="0" w:line="293" w:lineRule="auto"/>
        <w:rPr>
          <w:sz w:val="20"/>
          <w:szCs w:val="20"/>
          <w:color w:val="auto"/>
        </w:rPr>
      </w:pPr>
      <w:r>
        <w:rPr>
          <w:rFonts w:ascii="Arial" w:cs="Arial" w:eastAsia="Arial" w:hAnsi="Arial"/>
          <w:sz w:val="16"/>
          <w:szCs w:val="16"/>
          <w:color w:val="auto"/>
        </w:rPr>
        <w:t>There are new accounting pronouncements issued by the FASB that we have adopted or will adopt, as applicable. We do not believe any of these accounting pronouncements have had, or will have, a material impact on our consolidated financial statements or disclosures.</w:t>
      </w:r>
    </w:p>
    <w:p>
      <w:pPr>
        <w:spacing w:after="0" w:line="100" w:lineRule="exact"/>
        <w:rPr>
          <w:sz w:val="20"/>
          <w:szCs w:val="20"/>
          <w:color w:val="auto"/>
        </w:rPr>
      </w:pPr>
    </w:p>
    <w:p>
      <w:pPr>
        <w:ind w:left="300" w:hanging="292"/>
        <w:spacing w:after="0"/>
        <w:tabs>
          <w:tab w:leader="none" w:pos="300"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Revenue</w:t>
      </w:r>
    </w:p>
    <w:p>
      <w:pPr>
        <w:spacing w:after="0" w:line="171" w:lineRule="exact"/>
        <w:rPr>
          <w:sz w:val="20"/>
          <w:szCs w:val="20"/>
          <w:color w:val="auto"/>
        </w:rPr>
      </w:pPr>
    </w:p>
    <w:p>
      <w:pPr>
        <w:ind w:right="80" w:firstLine="324"/>
        <w:spacing w:after="0" w:line="308" w:lineRule="auto"/>
        <w:rPr>
          <w:sz w:val="20"/>
          <w:szCs w:val="20"/>
          <w:color w:val="auto"/>
        </w:rPr>
      </w:pPr>
      <w:r>
        <w:rPr>
          <w:rFonts w:ascii="Arial" w:cs="Arial" w:eastAsia="Arial" w:hAnsi="Arial"/>
          <w:sz w:val="14"/>
          <w:szCs w:val="14"/>
          <w:color w:val="auto"/>
        </w:rPr>
        <w:t xml:space="preserve">The Company’s primary source of revenue is generated from its remittance business. Revenue is earned from transaction fees charged to customers who are sending remittances and the foreign exchange spreads earned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 The Company accounts for revenue in accordance with Accounting Standards Codification (“ASC”) </w:t>
      </w:r>
      <w:r>
        <w:rPr>
          <w:rFonts w:ascii="Arial" w:cs="Arial" w:eastAsia="Arial" w:hAnsi="Arial"/>
          <w:sz w:val="14"/>
          <w:szCs w:val="14"/>
          <w:i w:val="1"/>
          <w:iCs w:val="1"/>
          <w:color w:val="auto"/>
        </w:rPr>
        <w:t>Revenue from Contracts with Customers</w:t>
      </w:r>
      <w:r>
        <w:rPr>
          <w:rFonts w:ascii="Arial" w:cs="Arial" w:eastAsia="Arial" w:hAnsi="Arial"/>
          <w:sz w:val="14"/>
          <w:szCs w:val="14"/>
          <w:color w:val="auto"/>
        </w:rPr>
        <w:t xml:space="preserve"> (Topic 606), which includes the following steps:</w:t>
      </w:r>
    </w:p>
    <w:p>
      <w:pPr>
        <w:spacing w:after="0" w:line="10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identification of the contract with a customer;</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identification of the performance obligations in the contract;</w:t>
      </w:r>
    </w:p>
    <w:p>
      <w:pPr>
        <w:spacing w:after="0" w:line="167"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determination of the transaction price;</w:t>
      </w:r>
    </w:p>
    <w:p>
      <w:pPr>
        <w:spacing w:after="0" w:line="180" w:lineRule="exact"/>
        <w:rPr>
          <w:rFonts w:ascii="Arial" w:cs="Arial" w:eastAsia="Arial" w:hAnsi="Arial"/>
          <w:sz w:val="16"/>
          <w:szCs w:val="16"/>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allocation of the transaction price to the performance obligations in the contract; and</w:t>
      </w:r>
    </w:p>
    <w:p>
      <w:pPr>
        <w:sectPr>
          <w:pgSz w:w="11900" w:h="16838" w:orient="portrait"/>
          <w:cols w:equalWidth="0" w:num="1">
            <w:col w:w="11220"/>
          </w:cols>
          <w:pgMar w:left="320" w:top="13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type w:val="continuous"/>
        </w:sectPr>
      </w:pPr>
    </w:p>
    <w:bookmarkStart w:id="12" w:name="page13"/>
    <w:bookmarkEnd w:id="1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6"/>
          <w:szCs w:val="16"/>
          <w:color w:val="auto"/>
        </w:rPr>
        <w:t>(5)</w:t>
      </w:r>
      <w:r>
        <w:rPr>
          <w:sz w:val="20"/>
          <w:szCs w:val="20"/>
          <w:color w:val="auto"/>
        </w:rPr>
        <w:tab/>
      </w:r>
      <w:r>
        <w:rPr>
          <w:rFonts w:ascii="Arial" w:cs="Arial" w:eastAsia="Arial" w:hAnsi="Arial"/>
          <w:sz w:val="14"/>
          <w:szCs w:val="14"/>
          <w:color w:val="auto"/>
        </w:rPr>
        <w:t>recognition of revenue when, or as, the Company satisfies a performance obligation.</w:t>
      </w:r>
    </w:p>
    <w:p>
      <w:pPr>
        <w:spacing w:after="0" w:line="167" w:lineRule="exact"/>
        <w:rPr>
          <w:sz w:val="20"/>
          <w:szCs w:val="20"/>
          <w:color w:val="auto"/>
        </w:rPr>
      </w:pPr>
    </w:p>
    <w:p>
      <w:pPr>
        <w:ind w:right="480" w:firstLine="324"/>
        <w:spacing w:after="0" w:line="269" w:lineRule="auto"/>
        <w:rPr>
          <w:sz w:val="20"/>
          <w:szCs w:val="20"/>
          <w:color w:val="auto"/>
        </w:rPr>
      </w:pPr>
      <w:r>
        <w:rPr>
          <w:rFonts w:ascii="Arial" w:cs="Arial" w:eastAsia="Arial" w:hAnsi="Arial"/>
          <w:sz w:val="16"/>
          <w:szCs w:val="16"/>
          <w:color w:val="auto"/>
        </w:rPr>
        <w:t>Customers engage the Company to perform one integrated service — collect the customer’s money and deliver funds to the intended recipient in the currency requested. Payment is generally due from the customer upfront upon initiation of a transaction, when the customer simultaneously agrees to the Company’s terms and conditions.</w:t>
      </w:r>
    </w:p>
    <w:p>
      <w:pPr>
        <w:spacing w:after="0" w:line="137" w:lineRule="exact"/>
        <w:rPr>
          <w:sz w:val="20"/>
          <w:szCs w:val="20"/>
          <w:color w:val="auto"/>
        </w:rPr>
      </w:pPr>
    </w:p>
    <w:p>
      <w:pPr>
        <w:ind w:right="120" w:firstLine="324"/>
        <w:spacing w:after="0" w:line="262" w:lineRule="auto"/>
        <w:rPr>
          <w:sz w:val="20"/>
          <w:szCs w:val="20"/>
          <w:color w:val="auto"/>
        </w:rPr>
      </w:pPr>
      <w:r>
        <w:rPr>
          <w:rFonts w:ascii="Arial" w:cs="Arial" w:eastAsia="Arial" w:hAnsi="Arial"/>
          <w:sz w:val="16"/>
          <w:szCs w:val="16"/>
          <w:color w:val="auto"/>
        </w:rPr>
        <w:t>Revenue is derived from each transaction and varies based on the funding method chosen by the customer, the size of the transaction, the currency to be ultimately disbursed, the rate at which the currency was purchased, and the countries to which the funds are transferred. The Company’s contract with customers can be terminated by the customer without a termination penalty up until the time the funds have been delivered to the intended recipient. Therefore, the Company’s contracts are defined at the transaction level and do not extend beyond the service already provided.</w:t>
      </w:r>
    </w:p>
    <w:p>
      <w:pPr>
        <w:spacing w:after="0" w:line="128" w:lineRule="exact"/>
        <w:rPr>
          <w:sz w:val="20"/>
          <w:szCs w:val="20"/>
          <w:color w:val="auto"/>
        </w:rPr>
      </w:pPr>
    </w:p>
    <w:p>
      <w:pPr>
        <w:ind w:right="60" w:firstLine="324"/>
        <w:spacing w:after="0" w:line="310" w:lineRule="auto"/>
        <w:rPr>
          <w:sz w:val="20"/>
          <w:szCs w:val="20"/>
          <w:color w:val="auto"/>
        </w:rPr>
      </w:pPr>
      <w:r>
        <w:rPr>
          <w:rFonts w:ascii="Arial" w:cs="Arial" w:eastAsia="Arial" w:hAnsi="Arial"/>
          <w:sz w:val="14"/>
          <w:szCs w:val="14"/>
          <w:color w:val="auto"/>
        </w:rPr>
        <w:t>The Company’s service comprises a single performance obligation to complete transactions for the Company’s customers. Using compliance and risk assessment tools, the Company performs a transaction risk assessment on individual transactions to determine whether a transaction should be accepted. When the Company accepts a transaction and processes the designated payment method of the customer, the Company becomes obligated to its customer to complete the payment transaction, at which time a receivable is recorded, along with a corresponding customer liability. None of the Company’s contracts contain a significant financing component.</w:t>
      </w:r>
    </w:p>
    <w:p>
      <w:pPr>
        <w:spacing w:after="0" w:line="113" w:lineRule="exact"/>
        <w:rPr>
          <w:sz w:val="20"/>
          <w:szCs w:val="20"/>
          <w:color w:val="auto"/>
        </w:rPr>
      </w:pPr>
    </w:p>
    <w:p>
      <w:pPr>
        <w:ind w:right="100" w:firstLine="324"/>
        <w:spacing w:after="0" w:line="257" w:lineRule="auto"/>
        <w:rPr>
          <w:sz w:val="20"/>
          <w:szCs w:val="20"/>
          <w:color w:val="auto"/>
        </w:rPr>
      </w:pPr>
      <w:r>
        <w:rPr>
          <w:rFonts w:ascii="Arial" w:cs="Arial" w:eastAsia="Arial" w:hAnsi="Arial"/>
          <w:sz w:val="16"/>
          <w:szCs w:val="16"/>
          <w:color w:val="auto"/>
        </w:rPr>
        <w:t>The Company recognizes transaction revenue on a gross basis as it is the principal for fulfilling payment transactions. As the principal to the transaction, the Company controls the service of completing payments on its payment platform. The Company bears primary responsibility for the fulfillment of the payment service, is the merchant of record, contracts directly with its customers, controls the product specifications, and defines the value proposition of its services. The Company is also responsible for providing customer support. Further, the Company has full discretion over determining the fee charged to its customers, which is independent of the cost it incurs in instances where it may utilize payment processors or other financial institutions to perform services on its behalf. These fees paid to payment processors and other financial institutions are recognized as transaction expenses in the Condensed Consolidated Statements of Operations. The Company does not have any capitalized contract acquisition costs.</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Deferred Revenue</w:t>
      </w:r>
    </w:p>
    <w:p>
      <w:pPr>
        <w:spacing w:after="0" w:line="18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deferred revenue balances from contracts with customers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37"/>
        </w:trPr>
        <w:tc>
          <w:tcPr>
            <w:tcW w:w="476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Deferred revenue, beginning of the period</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1,126</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1,105</w:t>
            </w:r>
          </w:p>
        </w:tc>
      </w:tr>
      <w:tr>
        <w:trPr>
          <w:trHeight w:val="233"/>
        </w:trPr>
        <w:tc>
          <w:tcPr>
            <w:tcW w:w="4760" w:type="dxa"/>
            <w:vAlign w:val="bottom"/>
          </w:tcPr>
          <w:p>
            <w:pPr>
              <w:ind w:left="20"/>
              <w:spacing w:after="0"/>
              <w:rPr>
                <w:sz w:val="20"/>
                <w:szCs w:val="20"/>
                <w:color w:val="auto"/>
              </w:rPr>
            </w:pPr>
            <w:r>
              <w:rPr>
                <w:rFonts w:ascii="Arial" w:cs="Arial" w:eastAsia="Arial" w:hAnsi="Arial"/>
                <w:sz w:val="16"/>
                <w:szCs w:val="16"/>
                <w:color w:val="auto"/>
              </w:rPr>
              <w:t>Deferred revenue, end of the period</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1,122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1,269</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1,122</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1,269</w:t>
            </w:r>
          </w:p>
        </w:tc>
      </w:tr>
      <w:tr>
        <w:trPr>
          <w:trHeight w:val="253"/>
        </w:trPr>
        <w:tc>
          <w:tcPr>
            <w:tcW w:w="4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Change in deferred revenue during the period</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w:t>
            </w:r>
          </w:p>
        </w:tc>
      </w:tr>
    </w:tbl>
    <w:p>
      <w:pPr>
        <w:spacing w:after="0" w:line="247" w:lineRule="exact"/>
        <w:rPr>
          <w:sz w:val="20"/>
          <w:szCs w:val="20"/>
          <w:color w:val="auto"/>
        </w:rPr>
      </w:pPr>
    </w:p>
    <w:p>
      <w:pPr>
        <w:ind w:right="340" w:firstLine="324"/>
        <w:spacing w:after="0" w:line="275" w:lineRule="auto"/>
        <w:rPr>
          <w:sz w:val="20"/>
          <w:szCs w:val="20"/>
          <w:color w:val="auto"/>
        </w:rPr>
      </w:pPr>
      <w:r>
        <w:rPr>
          <w:rFonts w:ascii="Arial" w:cs="Arial" w:eastAsia="Arial" w:hAnsi="Arial"/>
          <w:sz w:val="16"/>
          <w:szCs w:val="16"/>
          <w:color w:val="auto"/>
        </w:rPr>
        <w:t>Revenue recognized during the three month periods ended September 30, 2022 and 2021 from amounts included in deferred revenue at the beginning of the period were $0.4 million and $0.3 million, respectively.</w:t>
      </w:r>
    </w:p>
    <w:p>
      <w:pPr>
        <w:spacing w:after="0" w:line="132"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Revenue recognized during the nine month periods ended September 30, 2022 and 2021 from amounts included in deferred revenue at the beginning of the period were $0.6 million and $0.3 million, respectively.</w:t>
      </w:r>
    </w:p>
    <w:p>
      <w:pPr>
        <w:spacing w:after="0" w:line="118" w:lineRule="exact"/>
        <w:rPr>
          <w:sz w:val="20"/>
          <w:szCs w:val="20"/>
          <w:color w:val="auto"/>
        </w:rPr>
      </w:pPr>
    </w:p>
    <w:p>
      <w:pPr>
        <w:ind w:right="20" w:firstLine="324"/>
        <w:spacing w:after="0" w:line="269" w:lineRule="auto"/>
        <w:rPr>
          <w:sz w:val="20"/>
          <w:szCs w:val="20"/>
          <w:color w:val="auto"/>
        </w:rPr>
      </w:pPr>
      <w:r>
        <w:rPr>
          <w:rFonts w:ascii="Arial" w:cs="Arial" w:eastAsia="Arial" w:hAnsi="Arial"/>
          <w:sz w:val="16"/>
          <w:szCs w:val="16"/>
          <w:color w:val="auto"/>
        </w:rPr>
        <w:t>Deferred revenue represents amounts received from customers for which the performance obligations are not yet fulfilled. Deferred revenue is primarily included within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xml:space="preserve"> on the Condensed Consolidated Balance Sheets, as the performance obligations are expected to be fulfilled within the next year.</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Sales Incentives</w:t>
      </w:r>
    </w:p>
    <w:p>
      <w:pPr>
        <w:spacing w:after="0" w:line="171" w:lineRule="exact"/>
        <w:rPr>
          <w:sz w:val="20"/>
          <w:szCs w:val="20"/>
          <w:color w:val="auto"/>
        </w:rPr>
      </w:pPr>
    </w:p>
    <w:p>
      <w:pPr>
        <w:ind w:right="40" w:firstLine="324"/>
        <w:spacing w:after="0" w:line="262" w:lineRule="auto"/>
        <w:rPr>
          <w:sz w:val="20"/>
          <w:szCs w:val="20"/>
          <w:color w:val="auto"/>
        </w:rPr>
      </w:pPr>
      <w:r>
        <w:rPr>
          <w:rFonts w:ascii="Arial" w:cs="Arial" w:eastAsia="Arial" w:hAnsi="Arial"/>
          <w:sz w:val="16"/>
          <w:szCs w:val="16"/>
          <w:color w:val="auto"/>
        </w:rPr>
        <w:t>The Company provides sales incentives to customers in a variety of forms. Cash incentives given to customers are accounted for as reductions to revenue, up to the point where net historical cumulative revenue, at the customer level, is reduced to zero. Those additional incentive costs that would have caused the customer level revenue to be negative are classified as advertising expenses and are included as a component of ‘</w:t>
      </w:r>
      <w:r>
        <w:rPr>
          <w:rFonts w:ascii="Arial" w:cs="Arial" w:eastAsia="Arial" w:hAnsi="Arial"/>
          <w:sz w:val="16"/>
          <w:szCs w:val="16"/>
          <w:i w:val="1"/>
          <w:iCs w:val="1"/>
          <w:color w:val="auto"/>
        </w:rPr>
        <w:t>Marketing expenses</w:t>
      </w:r>
      <w:r>
        <w:rPr>
          <w:rFonts w:ascii="Arial" w:cs="Arial" w:eastAsia="Arial" w:hAnsi="Arial"/>
          <w:sz w:val="16"/>
          <w:szCs w:val="16"/>
          <w:color w:val="auto"/>
        </w:rPr>
        <w:t>’ within the Condensed Consolidated Statements of Operations. In addition, referral credits given to a referrer are classified as marketing expenses.</w:t>
      </w:r>
    </w:p>
    <w:p>
      <w:pPr>
        <w:spacing w:after="0" w:line="142" w:lineRule="exact"/>
        <w:rPr>
          <w:sz w:val="20"/>
          <w:szCs w:val="20"/>
          <w:color w:val="auto"/>
        </w:rPr>
      </w:pPr>
    </w:p>
    <w:p>
      <w:pPr>
        <w:ind w:right="660" w:firstLine="324"/>
        <w:spacing w:after="0" w:line="275" w:lineRule="auto"/>
        <w:rPr>
          <w:sz w:val="20"/>
          <w:szCs w:val="20"/>
          <w:color w:val="auto"/>
        </w:rPr>
      </w:pPr>
      <w:r>
        <w:rPr>
          <w:rFonts w:ascii="Arial" w:cs="Arial" w:eastAsia="Arial" w:hAnsi="Arial"/>
          <w:sz w:val="16"/>
          <w:szCs w:val="16"/>
          <w:color w:val="auto"/>
        </w:rPr>
        <w:t>During the three months ended September 30, 2022 and 2021, payments made to customers resulted in reductions to revenue of $6.7 million and $4.3 million, respectively, and charges to sales and marketing expense of $5.2 million and $2.6 million, respectively.</w:t>
      </w:r>
    </w:p>
    <w:p>
      <w:pPr>
        <w:spacing w:after="0" w:line="118" w:lineRule="exact"/>
        <w:rPr>
          <w:sz w:val="20"/>
          <w:szCs w:val="20"/>
          <w:color w:val="auto"/>
        </w:rPr>
      </w:pPr>
    </w:p>
    <w:p>
      <w:pPr>
        <w:ind w:right="540" w:firstLine="324"/>
        <w:spacing w:after="0" w:line="293" w:lineRule="auto"/>
        <w:rPr>
          <w:sz w:val="20"/>
          <w:szCs w:val="20"/>
          <w:color w:val="auto"/>
        </w:rPr>
      </w:pPr>
      <w:r>
        <w:rPr>
          <w:rFonts w:ascii="Arial" w:cs="Arial" w:eastAsia="Arial" w:hAnsi="Arial"/>
          <w:sz w:val="16"/>
          <w:szCs w:val="16"/>
          <w:color w:val="auto"/>
        </w:rPr>
        <w:t>During the nine months ended September 30, 2022 and 2021, payments made to customers resulted in reductions to revenue of $17.5 million and $13.4 million, respectively, and charges to sales and marketing expense of $13.8 million and $8.4 million, respectively.</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3" w:name="page14"/>
    <w:bookmarkEnd w:id="13"/>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20" w:type="dxa"/>
            <w:vAlign w:val="bottom"/>
          </w:tcPr>
          <w:p>
            <w:pPr>
              <w:spacing w:after="0"/>
              <w:rPr>
                <w:sz w:val="20"/>
                <w:szCs w:val="20"/>
                <w:color w:val="auto"/>
              </w:rPr>
            </w:pPr>
            <w:r>
              <w:rPr>
                <w:rFonts w:ascii="Arial" w:cs="Arial" w:eastAsia="Arial" w:hAnsi="Arial"/>
                <w:sz w:val="16"/>
                <w:szCs w:val="16"/>
                <w:b w:val="1"/>
                <w:bCs w:val="1"/>
                <w:color w:val="auto"/>
              </w:rPr>
              <w:t>4.  Property and Equipment</w:t>
            </w: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51"/>
        </w:trPr>
        <w:tc>
          <w:tcPr>
            <w:tcW w:w="8020" w:type="dxa"/>
            <w:vAlign w:val="bottom"/>
          </w:tcPr>
          <w:p>
            <w:pPr>
              <w:ind w:left="340"/>
              <w:spacing w:after="0"/>
              <w:rPr>
                <w:sz w:val="20"/>
                <w:szCs w:val="20"/>
                <w:color w:val="auto"/>
              </w:rPr>
            </w:pPr>
            <w:r>
              <w:rPr>
                <w:rFonts w:ascii="Arial" w:cs="Arial" w:eastAsia="Arial" w:hAnsi="Arial"/>
                <w:sz w:val="16"/>
                <w:szCs w:val="16"/>
                <w:color w:val="auto"/>
              </w:rPr>
              <w:t>Property and equipment, net consisted of the following:</w:t>
            </w: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18"/>
        </w:trPr>
        <w:tc>
          <w:tcPr>
            <w:tcW w:w="8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r>
      <w:tr>
        <w:trPr>
          <w:trHeight w:val="25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Capitalized internal-use software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12,682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9,022</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Computer and office equipment</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5,825</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4,700</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Furniture and fixtures</w:t>
            </w: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1,982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1,445</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Leasehold improvements</w:t>
            </w: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6,656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6,655</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Projects in Process</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533</w:t>
            </w:r>
          </w:p>
        </w:tc>
      </w:tr>
      <w:tr>
        <w:trPr>
          <w:trHeight w:val="233"/>
        </w:trPr>
        <w:tc>
          <w:tcPr>
            <w:tcW w:w="8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27,162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22,355</w:t>
            </w:r>
          </w:p>
        </w:tc>
      </w:tr>
      <w:tr>
        <w:trPr>
          <w:trHeight w:val="246"/>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Less: Accumulated depreciation and amortization</w:t>
            </w: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(16,892)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(13,106)</w:t>
            </w:r>
          </w:p>
        </w:tc>
      </w:tr>
      <w:tr>
        <w:trPr>
          <w:trHeight w:val="243"/>
        </w:trPr>
        <w:tc>
          <w:tcPr>
            <w:tcW w:w="8020" w:type="dxa"/>
            <w:vAlign w:val="bottom"/>
          </w:tcPr>
          <w:p>
            <w:pPr>
              <w:ind w:left="240"/>
              <w:spacing w:after="0"/>
              <w:rPr>
                <w:sz w:val="20"/>
                <w:szCs w:val="20"/>
                <w:color w:val="auto"/>
              </w:rPr>
            </w:pPr>
            <w:r>
              <w:rPr>
                <w:rFonts w:ascii="Arial" w:cs="Arial" w:eastAsia="Arial" w:hAnsi="Arial"/>
                <w:sz w:val="16"/>
                <w:szCs w:val="16"/>
                <w:color w:val="auto"/>
              </w:rPr>
              <w:t>Property and equipment, net</w:t>
            </w: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10,270</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9,249</w:t>
            </w:r>
          </w:p>
        </w:tc>
      </w:tr>
      <w:tr>
        <w:trPr>
          <w:trHeight w:val="21"/>
        </w:trPr>
        <w:tc>
          <w:tcPr>
            <w:tcW w:w="8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Depreciation and amortization expense related to property and equipment was $1.9 million and $1.3 million for the three months ended September 30, 2022 and 2021, respectively</w:t>
      </w:r>
    </w:p>
    <w:p>
      <w:pPr>
        <w:spacing w:after="0" w:line="104"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Depreciation and amortization expense related to property and equipment was $4.9 million and $3.9 million for the nine months ended September 30, 2022 and 2021,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Internal-Use Software Costs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There has been no impairment of previously capitalized costs during the three and nine months ended September 30, 2022 and 2021.</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Three months ended September 30, 2022 and 2021</w:t>
      </w:r>
    </w:p>
    <w:p>
      <w:pPr>
        <w:spacing w:after="0" w:line="167" w:lineRule="exact"/>
        <w:rPr>
          <w:sz w:val="20"/>
          <w:szCs w:val="20"/>
          <w:color w:val="auto"/>
        </w:rPr>
      </w:pPr>
    </w:p>
    <w:p>
      <w:pPr>
        <w:ind w:right="60" w:firstLine="324"/>
        <w:spacing w:after="0" w:line="284" w:lineRule="auto"/>
        <w:rPr>
          <w:sz w:val="20"/>
          <w:szCs w:val="20"/>
          <w:color w:val="auto"/>
        </w:rPr>
      </w:pPr>
      <w:r>
        <w:rPr>
          <w:rFonts w:ascii="Arial" w:cs="Arial" w:eastAsia="Arial" w:hAnsi="Arial"/>
          <w:sz w:val="15"/>
          <w:szCs w:val="15"/>
          <w:color w:val="auto"/>
        </w:rPr>
        <w:t>The Company capitalized $1.2 million and $0.5 million for internal-use software costs for three month periods ended September 30, 2022 and 2021, respectively. The Company capitalized $0.5 million of stock-based compensation costs to internal-use software during the three month period ended September 30, 2022. The Company capitalized inconsequential amounts of stock-based compensation costs to internal-use software during the three months ended September 30, 2021. The Company recorded amortization expense of $1.1 million and $0.6 million for the three months ended September 30, 2022 and 2021, respectively.</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Nine months ended September 30, 2022 and 2021</w:t>
      </w:r>
    </w:p>
    <w:p>
      <w:pPr>
        <w:spacing w:after="0" w:line="167" w:lineRule="exact"/>
        <w:rPr>
          <w:sz w:val="20"/>
          <w:szCs w:val="20"/>
          <w:color w:val="auto"/>
        </w:rPr>
      </w:pPr>
    </w:p>
    <w:p>
      <w:pPr>
        <w:ind w:right="120" w:firstLine="324"/>
        <w:spacing w:after="0" w:line="284" w:lineRule="auto"/>
        <w:rPr>
          <w:sz w:val="20"/>
          <w:szCs w:val="20"/>
          <w:color w:val="auto"/>
        </w:rPr>
      </w:pPr>
      <w:r>
        <w:rPr>
          <w:rFonts w:ascii="Arial" w:cs="Arial" w:eastAsia="Arial" w:hAnsi="Arial"/>
          <w:sz w:val="15"/>
          <w:szCs w:val="15"/>
          <w:color w:val="auto"/>
        </w:rPr>
        <w:t>The Company capitalized $3.8 million and $2.0 million for internal-use software costs during the nine months ended September 30, 2022 and 2021, respectively. The Company capitalized $1.4 million of stock-based compensation costs to internal-use software during the nine months ended September 30, 2022. The Company capitalized inconsequential amounts of stock-based compensation costs to internal-use software during the nine months ended September 30, 2021. The Company recorded amortization expense of $2.5 million and $1.8 million for the nine months ended September 30, 2022 and 2021, respectively.</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Capitalized Cloud Computing Arrangements</w:t>
      </w:r>
    </w:p>
    <w:p>
      <w:pPr>
        <w:spacing w:after="0" w:line="252" w:lineRule="exact"/>
        <w:rPr>
          <w:sz w:val="20"/>
          <w:szCs w:val="20"/>
          <w:color w:val="auto"/>
        </w:rPr>
      </w:pPr>
    </w:p>
    <w:p>
      <w:pPr>
        <w:ind w:right="60" w:firstLine="324"/>
        <w:spacing w:after="0" w:line="308" w:lineRule="auto"/>
        <w:rPr>
          <w:sz w:val="20"/>
          <w:szCs w:val="20"/>
          <w:color w:val="auto"/>
        </w:rPr>
      </w:pPr>
      <w:r>
        <w:rPr>
          <w:rFonts w:ascii="Arial" w:cs="Arial" w:eastAsia="Arial" w:hAnsi="Arial"/>
          <w:sz w:val="14"/>
          <w:szCs w:val="14"/>
          <w:color w:val="auto"/>
        </w:rPr>
        <w:t>The Company capitalized $0.4 million and $1.1 million related to the implementation of cloud computing arrangements and recorded amortization expense of $0.2 million and $0.4 million during the three and nine months ended September 30, 2022. As of September 30, 2022, capitalized costs, net of accumulated amortization, were approximately $1.6 million, of which $0.7 million was recorded within ‘</w:t>
      </w:r>
      <w:r>
        <w:rPr>
          <w:rFonts w:ascii="Arial" w:cs="Arial" w:eastAsia="Arial" w:hAnsi="Arial"/>
          <w:sz w:val="14"/>
          <w:szCs w:val="14"/>
          <w:i w:val="1"/>
          <w:iCs w:val="1"/>
          <w:color w:val="auto"/>
        </w:rPr>
        <w:t>Prepaid expenses and other current assets’</w:t>
      </w:r>
      <w:r>
        <w:rPr>
          <w:rFonts w:ascii="Arial" w:cs="Arial" w:eastAsia="Arial" w:hAnsi="Arial"/>
          <w:sz w:val="14"/>
          <w:szCs w:val="14"/>
          <w:color w:val="auto"/>
        </w:rPr>
        <w:t xml:space="preserve"> and $0.9 million was recorded within ‘</w:t>
      </w:r>
      <w:r>
        <w:rPr>
          <w:rFonts w:ascii="Arial" w:cs="Arial" w:eastAsia="Arial" w:hAnsi="Arial"/>
          <w:sz w:val="14"/>
          <w:szCs w:val="14"/>
          <w:i w:val="1"/>
          <w:iCs w:val="1"/>
          <w:color w:val="auto"/>
        </w:rPr>
        <w:t>Other noncurrent</w:t>
      </w:r>
      <w:r>
        <w:rPr>
          <w:rFonts w:ascii="Arial" w:cs="Arial" w:eastAsia="Arial" w:hAnsi="Arial"/>
          <w:sz w:val="14"/>
          <w:szCs w:val="14"/>
          <w:color w:val="auto"/>
        </w:rPr>
        <w:t xml:space="preserve"> </w:t>
      </w:r>
      <w:r>
        <w:rPr>
          <w:rFonts w:ascii="Arial" w:cs="Arial" w:eastAsia="Arial" w:hAnsi="Arial"/>
          <w:sz w:val="14"/>
          <w:szCs w:val="14"/>
          <w:i w:val="1"/>
          <w:iCs w:val="1"/>
          <w:color w:val="auto"/>
        </w:rPr>
        <w:t>assets, net</w:t>
      </w:r>
      <w:r>
        <w:rPr>
          <w:rFonts w:ascii="Arial" w:cs="Arial" w:eastAsia="Arial" w:hAnsi="Arial"/>
          <w:sz w:val="14"/>
          <w:szCs w:val="14"/>
          <w:color w:val="auto"/>
        </w:rPr>
        <w:t>’ on the Company’s Condensed Consolidated Balance Sheets, which is inclusive of a $0.5 million reclassification from ‘</w:t>
      </w:r>
      <w:r>
        <w:rPr>
          <w:rFonts w:ascii="Arial" w:cs="Arial" w:eastAsia="Arial" w:hAnsi="Arial"/>
          <w:sz w:val="14"/>
          <w:szCs w:val="14"/>
          <w:i w:val="1"/>
          <w:iCs w:val="1"/>
          <w:color w:val="auto"/>
        </w:rPr>
        <w:t xml:space="preserve">Other noncurrent assets, net’ </w:t>
      </w:r>
      <w:r>
        <w:rPr>
          <w:rFonts w:ascii="Arial" w:cs="Arial" w:eastAsia="Arial" w:hAnsi="Arial"/>
          <w:sz w:val="14"/>
          <w:szCs w:val="14"/>
          <w:color w:val="auto"/>
        </w:rPr>
        <w:t>to ‘</w:t>
      </w:r>
      <w:r>
        <w:rPr>
          <w:rFonts w:ascii="Arial" w:cs="Arial" w:eastAsia="Arial" w:hAnsi="Arial"/>
          <w:sz w:val="14"/>
          <w:szCs w:val="14"/>
          <w:i w:val="1"/>
          <w:iCs w:val="1"/>
          <w:color w:val="auto"/>
        </w:rPr>
        <w:t xml:space="preserve">Prepaid expenses and other current assets’ </w:t>
      </w:r>
      <w:r>
        <w:rPr>
          <w:rFonts w:ascii="Arial" w:cs="Arial" w:eastAsia="Arial" w:hAnsi="Arial"/>
          <w:sz w:val="14"/>
          <w:szCs w:val="14"/>
          <w:color w:val="auto"/>
        </w:rPr>
        <w:t>for the nine months ended September 30, 2022, in-line with the respective underlying useful life of the capitalized costs.</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Amortization expense related to cloud computing arrangements for the three and nine months ended September 30, 2022 was as follows:</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w w:val="99"/>
              </w:rPr>
              <w:t>Three Months Ended</w:t>
            </w:r>
          </w:p>
        </w:tc>
        <w:tc>
          <w:tcPr>
            <w:tcW w:w="18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w w:val="95"/>
              </w:rPr>
              <w:t>Nine Months Ended</w:t>
            </w:r>
          </w:p>
        </w:tc>
      </w:tr>
      <w:tr>
        <w:trPr>
          <w:trHeight w:val="23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3"/>
          </w:tcPr>
          <w:p>
            <w:pPr>
              <w:jc w:val="right"/>
              <w:ind w:right="1239"/>
              <w:spacing w:after="0"/>
              <w:rPr>
                <w:sz w:val="20"/>
                <w:szCs w:val="20"/>
                <w:color w:val="auto"/>
              </w:rPr>
            </w:pPr>
            <w:r>
              <w:rPr>
                <w:rFonts w:ascii="Arial" w:cs="Arial" w:eastAsia="Arial" w:hAnsi="Arial"/>
                <w:sz w:val="16"/>
                <w:szCs w:val="16"/>
                <w:b w:val="1"/>
                <w:bCs w:val="1"/>
                <w:color w:val="auto"/>
              </w:rPr>
              <w:t>September 30, 2022</w:t>
            </w:r>
          </w:p>
        </w:tc>
      </w:tr>
      <w:tr>
        <w:trPr>
          <w:trHeight w:val="243"/>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413</w:t>
            </w:r>
          </w:p>
        </w:tc>
      </w:tr>
      <w:tr>
        <w:trPr>
          <w:trHeight w:val="236"/>
        </w:trPr>
        <w:tc>
          <w:tcPr>
            <w:tcW w:w="72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24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w:t>
            </w:r>
          </w:p>
        </w:tc>
        <w:tc>
          <w:tcPr>
            <w:tcW w:w="18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r>
      <w:tr>
        <w:trPr>
          <w:trHeight w:val="236"/>
        </w:trPr>
        <w:tc>
          <w:tcPr>
            <w:tcW w:w="7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Total amortization</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432</w:t>
            </w:r>
          </w:p>
        </w:tc>
      </w:tr>
    </w:tbl>
    <w:p>
      <w:pPr>
        <w:spacing w:after="0" w:line="247" w:lineRule="exact"/>
        <w:rPr>
          <w:sz w:val="20"/>
          <w:szCs w:val="20"/>
          <w:color w:val="auto"/>
        </w:rPr>
      </w:pPr>
    </w:p>
    <w:p>
      <w:pPr>
        <w:ind w:right="480" w:firstLine="324"/>
        <w:spacing w:after="0" w:line="275" w:lineRule="auto"/>
        <w:rPr>
          <w:sz w:val="20"/>
          <w:szCs w:val="20"/>
          <w:color w:val="auto"/>
        </w:rPr>
      </w:pPr>
      <w:r>
        <w:rPr>
          <w:rFonts w:ascii="Arial" w:cs="Arial" w:eastAsia="Arial" w:hAnsi="Arial"/>
          <w:sz w:val="16"/>
          <w:szCs w:val="16"/>
          <w:color w:val="auto"/>
        </w:rPr>
        <w:t>The Company assessed the impact of the guidance to its consolidated financial statements for the three and nine months ended and as of September 30, 2021 and concluded that the standard did not have a material impact on its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4" w:name="page15"/>
    <w:bookmarkEnd w:id="14"/>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hanging="292"/>
        <w:spacing w:after="0"/>
        <w:tabs>
          <w:tab w:leader="none" w:pos="300"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Fair Value Measurements</w:t>
      </w:r>
    </w:p>
    <w:p>
      <w:pPr>
        <w:spacing w:after="0" w:line="171" w:lineRule="exact"/>
        <w:rPr>
          <w:sz w:val="20"/>
          <w:szCs w:val="20"/>
          <w:color w:val="auto"/>
        </w:rPr>
      </w:pPr>
    </w:p>
    <w:p>
      <w:pPr>
        <w:ind w:right="20" w:firstLine="324"/>
        <w:spacing w:after="0" w:line="268" w:lineRule="auto"/>
        <w:rPr>
          <w:sz w:val="20"/>
          <w:szCs w:val="20"/>
          <w:color w:val="auto"/>
        </w:rPr>
      </w:pPr>
      <w:r>
        <w:rPr>
          <w:rFonts w:ascii="Arial" w:cs="Arial" w:eastAsia="Arial" w:hAnsi="Arial"/>
          <w:sz w:val="16"/>
          <w:szCs w:val="16"/>
          <w:color w:val="auto"/>
        </w:rPr>
        <w:t>There were no financial assets and liabilities that were measured at fair value as of September 30, 2022 and December 31, 2021. We previously invested approximately $80.0 million of our cash and cash equivalents into a Level 2 term deposit during the three months ended March 31, 2022, which had an original maturity of three months or less at the time of purchase. Upon maturity, in the three months ended June 30, 2022, we re-invested approximately $50.0 million, into a new term deposit, that was subsequently liquidated during the nine months ended September 30, 2022.</w:t>
      </w:r>
    </w:p>
    <w:p>
      <w:pPr>
        <w:spacing w:after="0" w:line="123" w:lineRule="exact"/>
        <w:rPr>
          <w:sz w:val="20"/>
          <w:szCs w:val="20"/>
          <w:color w:val="auto"/>
        </w:rPr>
      </w:pPr>
    </w:p>
    <w:p>
      <w:pPr>
        <w:jc w:val="both"/>
        <w:ind w:right="360" w:firstLine="324"/>
        <w:spacing w:after="0" w:line="269" w:lineRule="auto"/>
        <w:rPr>
          <w:sz w:val="20"/>
          <w:szCs w:val="20"/>
          <w:color w:val="auto"/>
        </w:rPr>
      </w:pPr>
      <w:r>
        <w:rPr>
          <w:rFonts w:ascii="Arial" w:cs="Arial" w:eastAsia="Arial" w:hAnsi="Arial"/>
          <w:sz w:val="16"/>
          <w:szCs w:val="16"/>
          <w:color w:val="auto"/>
        </w:rPr>
        <w:t>The carrying values of certain financial instruments, including disbursement prefunding, customer funds receivable, accounts payable, accrued expenses and other current liabilities, customer liabilities, and borrowings approximate their respective fair values due to their relative short maturities. If these financial instruments were measured at fair value in the financial statements, they would be classified as Level 2.</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than as described above, there were no transfers between Level 1 and Level 2 during the three and nine months ended September 30, 2021.</w:t>
      </w:r>
    </w:p>
    <w:p>
      <w:pPr>
        <w:spacing w:after="0" w:line="177"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Debt</w:t>
      </w:r>
    </w:p>
    <w:p>
      <w:pPr>
        <w:spacing w:after="0" w:line="167" w:lineRule="exact"/>
        <w:rPr>
          <w:sz w:val="20"/>
          <w:szCs w:val="20"/>
          <w:color w:val="auto"/>
        </w:rPr>
      </w:pPr>
    </w:p>
    <w:p>
      <w:pPr>
        <w:jc w:val="right"/>
        <w:ind w:right="8880"/>
        <w:spacing w:after="0"/>
        <w:rPr>
          <w:sz w:val="20"/>
          <w:szCs w:val="20"/>
          <w:color w:val="auto"/>
        </w:rPr>
      </w:pPr>
      <w:r>
        <w:rPr>
          <w:rFonts w:ascii="Arial" w:cs="Arial" w:eastAsia="Arial" w:hAnsi="Arial"/>
          <w:sz w:val="14"/>
          <w:szCs w:val="14"/>
          <w:b w:val="1"/>
          <w:bCs w:val="1"/>
          <w:color w:val="auto"/>
        </w:rPr>
        <w:t>Secured Revolving Credit Facility</w:t>
      </w:r>
    </w:p>
    <w:p>
      <w:pPr>
        <w:spacing w:after="0" w:line="194" w:lineRule="exact"/>
        <w:rPr>
          <w:sz w:val="20"/>
          <w:szCs w:val="20"/>
          <w:color w:val="auto"/>
        </w:rPr>
      </w:pPr>
    </w:p>
    <w:p>
      <w:pPr>
        <w:jc w:val="right"/>
        <w:ind w:right="8920"/>
        <w:spacing w:after="0"/>
        <w:rPr>
          <w:sz w:val="20"/>
          <w:szCs w:val="20"/>
          <w:color w:val="auto"/>
        </w:rPr>
      </w:pPr>
      <w:r>
        <w:rPr>
          <w:rFonts w:ascii="Arial" w:cs="Arial" w:eastAsia="Arial" w:hAnsi="Arial"/>
          <w:sz w:val="16"/>
          <w:szCs w:val="16"/>
          <w:i w:val="1"/>
          <w:iCs w:val="1"/>
          <w:color w:val="auto"/>
        </w:rPr>
        <w:t>New Revolving Credit Facility</w:t>
      </w:r>
    </w:p>
    <w:p>
      <w:pPr>
        <w:spacing w:after="0" w:line="181"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 xml:space="preserve">On September 13, 2021, Remitly Global, Inc. and Remitly, Inc., a wholly owned subsidiary of Remitly Global, Inc., as co-borrowers, entered into a credit agreement (the “New Revolving Credit Facility”) with certain lenders and JPMorgan Chase Bank, N.A. acting as administrative agent and collateral agent, that provides for revolving commitments of $250.0 million (including a $60.0 million letter of credit sub-facility) and terminated its then-existing 2020 Credit Agreement (as defined below). Proceeds under the New Revolving Credit Facility are available for working capital and general corporate purposes. As part of the refinancing, the Company performed a debt modification analysis, utilizing the borrowing capacity test within ASC 470-50, </w:t>
      </w:r>
      <w:r>
        <w:rPr>
          <w:rFonts w:ascii="Arial" w:cs="Arial" w:eastAsia="Arial" w:hAnsi="Arial"/>
          <w:sz w:val="16"/>
          <w:szCs w:val="16"/>
          <w:i w:val="1"/>
          <w:iCs w:val="1"/>
          <w:color w:val="auto"/>
        </w:rPr>
        <w:t>Debt — Modification and Extinguishment</w:t>
      </w:r>
      <w:r>
        <w:rPr>
          <w:rFonts w:ascii="Arial" w:cs="Arial" w:eastAsia="Arial" w:hAnsi="Arial"/>
          <w:sz w:val="16"/>
          <w:szCs w:val="16"/>
          <w:color w:val="auto"/>
        </w:rPr>
        <w:t>, on a lender-by-lender basis, resulting in the capitalization of $1.4 million of new debt issuance costs incurred in connection with the New Revolving Credit Facility during the third quarter of 2021. Such amounts were capitalized and recorded within ‘</w:t>
      </w:r>
      <w:r>
        <w:rPr>
          <w:rFonts w:ascii="Arial" w:cs="Arial" w:eastAsia="Arial" w:hAnsi="Arial"/>
          <w:sz w:val="16"/>
          <w:szCs w:val="16"/>
          <w:i w:val="1"/>
          <w:iCs w:val="1"/>
          <w:color w:val="auto"/>
        </w:rPr>
        <w:t>Other noncurrent assets, net’</w:t>
      </w:r>
      <w:r>
        <w:rPr>
          <w:rFonts w:ascii="Arial" w:cs="Arial" w:eastAsia="Arial" w:hAnsi="Arial"/>
          <w:sz w:val="16"/>
          <w:szCs w:val="16"/>
          <w:color w:val="auto"/>
        </w:rPr>
        <w:t xml:space="preserve"> on the Condensed Consolidated Balance Sheets, and will be amortized to interest expense over the term of the New Revolving Credit Facility. The Company previously had $0.5 million of unamortized debt issuance costs associated with its existing Revolving Credit Facility. As a result of the debt modification analysis, the Company continues to amortize $0.4 million of unamortized debt issuance costs over the term of the New Revolving Credit Facility. The remaining $0.1 million was expensed as a debt extinguishment cost within interest expense in the Condensed Consolidated Statements of Operations during the third quarter of 2021.</w:t>
      </w:r>
    </w:p>
    <w:p>
      <w:pPr>
        <w:spacing w:after="0" w:line="217" w:lineRule="exact"/>
        <w:rPr>
          <w:sz w:val="20"/>
          <w:szCs w:val="20"/>
          <w:color w:val="auto"/>
        </w:rPr>
      </w:pPr>
    </w:p>
    <w:p>
      <w:pPr>
        <w:ind w:right="40" w:firstLine="324"/>
        <w:spacing w:after="0" w:line="299" w:lineRule="auto"/>
        <w:rPr>
          <w:sz w:val="20"/>
          <w:szCs w:val="20"/>
          <w:color w:val="auto"/>
        </w:rPr>
      </w:pPr>
      <w:r>
        <w:rPr>
          <w:rFonts w:ascii="Arial" w:cs="Arial" w:eastAsia="Arial" w:hAnsi="Arial"/>
          <w:sz w:val="14"/>
          <w:szCs w:val="14"/>
          <w:color w:val="auto"/>
        </w:rPr>
        <w:t>The New Revolving Credit Facility was used to refinance its existing 2020 Credit Agreement. The New Revolving Credit Facility has a maturity date of September 13, 2026. Borrowings under the New Revolving Credit Facility accrue interest at a floating rate per annum equal to, at the Company’s option, (1) the Alternate Base Rate (defined in the New Revolving Credit Facility as the rate per annum equal to the highest of (a) the Prime Rate in effect on such day, (b) the NYFRB Rate in effect for such day plus 0.50% and (c) the Adjusted LIBO Rate plus 1.00%, subject to a floor of 1.00% plus 0.50% or (2) the Adjusted LIBO Rate (subject to a floor of 0.00%) plus 1.50%. Such interest is payable (a) with respect to Alternate Base Rate loans, the last day of each March, June, September and December and (b) with respect to Adjusted LIBO Rate loans, at the end of each applicable interest period, but in no event less frequently than every three months. In addition, an unused commitment fee, which accrues at a rate per annum equal to 0.25% of the unused portion of the revolving commitments, is payable on the last day of each March, June, September and December.</w:t>
      </w:r>
    </w:p>
    <w:p>
      <w:pPr>
        <w:spacing w:after="0" w:line="203"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color w:val="auto"/>
        </w:rPr>
        <w:t>The New Revolving Credit Facility contains customary conditions to borrowing, events of default and covenants, including covenants that restrict the ability to dispose of assets, merge with other entities, incur indebtedness, grant liens, pay dividends or make other distributions to holders of its capital stock, make investments, enter into restrictive agreements or engage in transactions with affiliates. As of September 30, 2022, financial covenants in the New Revolving Credit Facility include (1) a requirement to maintain a minimum Adjusted Quick Ratio of 1.50:1.00, which is tested quarterly and (2) a requirement to maintain a minimum Liquidity of $100.0 million, which is tested quarterly. The Company was in compliance with all financial covenants under the New Revolving Credit Facility as of September 30, 2022 and December 31, 2021.</w:t>
      </w:r>
    </w:p>
    <w:p>
      <w:pPr>
        <w:spacing w:after="0" w:line="213"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The obligations under the New Revolving Credit Facility are guaranteed by the material domestic subsidiaries of Remitly Global, Inc., subject to customary exceptions, and are secured by substantially all of the assets of the borrowers and guarantors thereunder, subject to customary exceptions. Amounts of borrowings under the New Revolving Credit Facility may fluctuate depending upon transaction volumes and seasonality.</w:t>
      </w:r>
    </w:p>
    <w:p>
      <w:pPr>
        <w:spacing w:after="0" w:line="205" w:lineRule="exact"/>
        <w:rPr>
          <w:sz w:val="20"/>
          <w:szCs w:val="20"/>
          <w:color w:val="auto"/>
        </w:rPr>
      </w:pPr>
    </w:p>
    <w:p>
      <w:pPr>
        <w:ind w:right="140" w:firstLine="324"/>
        <w:spacing w:after="0" w:line="325" w:lineRule="auto"/>
        <w:rPr>
          <w:sz w:val="20"/>
          <w:szCs w:val="20"/>
          <w:color w:val="auto"/>
        </w:rPr>
      </w:pPr>
      <w:r>
        <w:rPr>
          <w:rFonts w:ascii="Arial" w:cs="Arial" w:eastAsia="Arial" w:hAnsi="Arial"/>
          <w:sz w:val="14"/>
          <w:szCs w:val="14"/>
          <w:color w:val="auto"/>
        </w:rPr>
        <w:t>As of September 30, 2022 and December 31, 2021, the Company had no outstanding borrowings under the New Revolving Credit Facility. As of September 30, 2022 and December 31, 2021, the Company had $19.2 million and $18.9 million, respectively, in issued, but undrawn, standby letters of credit. As of September 30, 2022 and December 31, 2021, the Company had unused borrowing capacity of $230.8 million and $231.1 million, respectively, under the New Revolving Credit Facility.</w:t>
      </w:r>
    </w:p>
    <w:p>
      <w:pPr>
        <w:spacing w:after="0" w:line="200" w:lineRule="exact"/>
        <w:rPr>
          <w:sz w:val="20"/>
          <w:szCs w:val="20"/>
          <w:color w:val="auto"/>
        </w:rPr>
      </w:pPr>
    </w:p>
    <w:p>
      <w:pPr>
        <w:spacing w:after="0" w:line="34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5" w:name="page16"/>
    <w:bookmarkEnd w:id="15"/>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2020 Credit Agreement</w:t>
      </w:r>
    </w:p>
    <w:p>
      <w:pPr>
        <w:spacing w:after="0" w:line="167" w:lineRule="exact"/>
        <w:rPr>
          <w:sz w:val="20"/>
          <w:szCs w:val="20"/>
          <w:color w:val="auto"/>
        </w:rPr>
      </w:pPr>
    </w:p>
    <w:p>
      <w:pPr>
        <w:ind w:right="60" w:firstLine="324"/>
        <w:spacing w:after="0" w:line="284" w:lineRule="auto"/>
        <w:rPr>
          <w:sz w:val="20"/>
          <w:szCs w:val="20"/>
          <w:color w:val="auto"/>
        </w:rPr>
      </w:pPr>
      <w:r>
        <w:rPr>
          <w:rFonts w:ascii="Arial" w:cs="Arial" w:eastAsia="Arial" w:hAnsi="Arial"/>
          <w:sz w:val="15"/>
          <w:szCs w:val="15"/>
          <w:color w:val="auto"/>
        </w:rPr>
        <w:t>Since 2013, the Company had access to a variable rate credit facility. In November 2020, Remitly Global, Inc. and Remitly, Inc., a wholly owned subsidiary of Remitly Global, Inc., as borrower, further modified its then-existing credit agreement (the “2020 Credit Agreement”). Following such modification, the 2020 Credit Agreement provided Remitly, Inc. with access up to $150.0 million in revolving credit facility borrowings (including a $30.0 million letter of credit sub-facility) with a maturity date of November 16, 2023. As noted above, in September 2021, the New Revolving Credit Facility was used to refinance the 2020 Credit Agreement. As a result of the refinancing, the 2020 Credit Agreement was terminated and all amounts outstanding, including any accrued interest, were repaid in full.</w:t>
      </w:r>
    </w:p>
    <w:p>
      <w:pPr>
        <w:spacing w:after="0" w:line="113" w:lineRule="exact"/>
        <w:rPr>
          <w:sz w:val="20"/>
          <w:szCs w:val="20"/>
          <w:color w:val="auto"/>
        </w:rPr>
      </w:pPr>
    </w:p>
    <w:p>
      <w:pPr>
        <w:jc w:val="both"/>
        <w:ind w:right="140" w:firstLine="324"/>
        <w:spacing w:after="0" w:line="297" w:lineRule="auto"/>
        <w:rPr>
          <w:sz w:val="20"/>
          <w:szCs w:val="20"/>
          <w:color w:val="auto"/>
        </w:rPr>
      </w:pPr>
      <w:r>
        <w:rPr>
          <w:rFonts w:ascii="Arial" w:cs="Arial" w:eastAsia="Arial" w:hAnsi="Arial"/>
          <w:sz w:val="14"/>
          <w:szCs w:val="14"/>
          <w:color w:val="auto"/>
        </w:rPr>
        <w:t>Borrowings under the 2020 Credit Agreement were subject to mandatory repayment within 20 business days in an amount necessary to reduce the borrowings, in the aggregate, to an amount less than the Company’s customer funds account maintained with the lender. Interest on borrowings under the 2020 Credit Agreement accrued at a floating rate per annum equal to (i) ABR (defined in the 2020 Credit Agreement as the rate per annum equal to the highest of (a) the Prime Rate in effect on such day, (b)</w:t>
      </w:r>
    </w:p>
    <w:p>
      <w:pPr>
        <w:ind w:right="200"/>
        <w:spacing w:after="0" w:line="270" w:lineRule="auto"/>
        <w:rPr>
          <w:sz w:val="20"/>
          <w:szCs w:val="20"/>
          <w:color w:val="auto"/>
        </w:rPr>
      </w:pPr>
      <w:r>
        <w:rPr>
          <w:rFonts w:ascii="Arial" w:cs="Arial" w:eastAsia="Arial" w:hAnsi="Arial"/>
          <w:sz w:val="16"/>
          <w:szCs w:val="16"/>
          <w:color w:val="auto"/>
        </w:rPr>
        <w:t>3.25% and (c) the Federal Funds Effective Rate in effect for such day plus 0.50% plus (ii) 1.0%. In addition, an unused revolving line facility fee accrued at a floating rate per annum equal to 0.40% of the unused portion of the line, payable monthly.</w:t>
      </w:r>
    </w:p>
    <w:p>
      <w:pPr>
        <w:spacing w:after="0" w:line="203" w:lineRule="exact"/>
        <w:rPr>
          <w:sz w:val="20"/>
          <w:szCs w:val="20"/>
          <w:color w:val="auto"/>
        </w:rPr>
      </w:pPr>
    </w:p>
    <w:p>
      <w:pPr>
        <w:ind w:right="180" w:firstLine="324"/>
        <w:spacing w:after="0" w:line="293" w:lineRule="auto"/>
        <w:rPr>
          <w:sz w:val="20"/>
          <w:szCs w:val="20"/>
          <w:color w:val="auto"/>
        </w:rPr>
      </w:pPr>
      <w:r>
        <w:rPr>
          <w:rFonts w:ascii="Arial" w:cs="Arial" w:eastAsia="Arial" w:hAnsi="Arial"/>
          <w:sz w:val="14"/>
          <w:szCs w:val="14"/>
          <w:color w:val="auto"/>
        </w:rPr>
        <w:t>The 2020 Credit Agreement contained customary conditions to borrowing, events of default and covenants, including covenants that restrict the Company’s ability to dispose of assets, merge with or acquire other entities, incur indebtedness, pay dividends, incur encumbrances, make distributions to holders of its capital stock, make investments or engage in transactions with affiliates. Defined events of default included the occurrence of a Material Adverse Effect (as defined in the 2020 Credit Agreement) on the business or financial condition of the Company. Financial covenants included (1) a requirement to maintain a minimum Adjusted Quick Ratio of</w:t>
      </w:r>
    </w:p>
    <w:p>
      <w:pPr>
        <w:spacing w:after="0" w:line="1" w:lineRule="exact"/>
        <w:rPr>
          <w:sz w:val="20"/>
          <w:szCs w:val="20"/>
          <w:color w:val="auto"/>
        </w:rPr>
      </w:pPr>
    </w:p>
    <w:p>
      <w:pPr>
        <w:ind w:right="400"/>
        <w:spacing w:after="0" w:line="270" w:lineRule="auto"/>
        <w:rPr>
          <w:sz w:val="20"/>
          <w:szCs w:val="20"/>
          <w:color w:val="auto"/>
        </w:rPr>
      </w:pPr>
      <w:r>
        <w:rPr>
          <w:rFonts w:ascii="Arial" w:cs="Arial" w:eastAsia="Arial" w:hAnsi="Arial"/>
          <w:sz w:val="16"/>
          <w:szCs w:val="16"/>
          <w:color w:val="auto"/>
        </w:rPr>
        <w:t>1.50:1.00, which was tested monthly and (2) a requirement to maintain minimum trailing twelve month Consolidated Adjusted EBITDA (as defined in the 2020 Credit Agreement), which was tested quarterly.</w:t>
      </w:r>
    </w:p>
    <w:p>
      <w:pPr>
        <w:spacing w:after="0" w:line="217" w:lineRule="exact"/>
        <w:rPr>
          <w:sz w:val="20"/>
          <w:szCs w:val="20"/>
          <w:color w:val="auto"/>
        </w:rPr>
      </w:pPr>
    </w:p>
    <w:p>
      <w:pPr>
        <w:ind w:right="380" w:firstLine="324"/>
        <w:spacing w:after="0" w:line="275" w:lineRule="auto"/>
        <w:rPr>
          <w:sz w:val="20"/>
          <w:szCs w:val="20"/>
          <w:color w:val="auto"/>
        </w:rPr>
      </w:pPr>
      <w:r>
        <w:rPr>
          <w:rFonts w:ascii="Arial" w:cs="Arial" w:eastAsia="Arial" w:hAnsi="Arial"/>
          <w:sz w:val="16"/>
          <w:szCs w:val="16"/>
          <w:color w:val="auto"/>
        </w:rPr>
        <w:t>The obligations under the 2020 Credit Agreement were guaranteed by the material subsidiaries of Remitly Global, Inc., subject to customary exceptions, and were secured by substantially all of the assets of the borrowers and guarantors thereunder, other than intellectual property.</w:t>
      </w:r>
    </w:p>
    <w:p>
      <w:pPr>
        <w:spacing w:after="0" w:line="195" w:lineRule="exact"/>
        <w:rPr>
          <w:sz w:val="20"/>
          <w:szCs w:val="20"/>
          <w:color w:val="auto"/>
        </w:rPr>
      </w:pPr>
    </w:p>
    <w:p>
      <w:pPr>
        <w:ind w:left="300" w:hanging="292"/>
        <w:spacing w:after="0"/>
        <w:tabs>
          <w:tab w:leader="none" w:pos="300" w:val="left"/>
        </w:tabs>
        <w:numPr>
          <w:ilvl w:val="0"/>
          <w:numId w:val="10"/>
        </w:numPr>
        <w:rPr>
          <w:rFonts w:ascii="Arial" w:cs="Arial" w:eastAsia="Arial" w:hAnsi="Arial"/>
          <w:sz w:val="16"/>
          <w:szCs w:val="16"/>
          <w:b w:val="1"/>
          <w:bCs w:val="1"/>
          <w:color w:val="auto"/>
        </w:rPr>
      </w:pPr>
      <w:r>
        <w:rPr>
          <w:rFonts w:ascii="Arial" w:cs="Arial" w:eastAsia="Arial" w:hAnsi="Arial"/>
          <w:sz w:val="16"/>
          <w:szCs w:val="16"/>
          <w:b w:val="1"/>
          <w:bCs w:val="1"/>
          <w:color w:val="auto"/>
        </w:rPr>
        <w:t>Net Loss Per Common Share</w:t>
      </w:r>
    </w:p>
    <w:p>
      <w:pPr>
        <w:spacing w:after="0" w:line="185" w:lineRule="exact"/>
        <w:rPr>
          <w:sz w:val="20"/>
          <w:szCs w:val="20"/>
          <w:color w:val="auto"/>
        </w:rPr>
      </w:pPr>
    </w:p>
    <w:p>
      <w:pPr>
        <w:ind w:right="400" w:firstLine="324"/>
        <w:spacing w:after="0" w:line="269" w:lineRule="auto"/>
        <w:rPr>
          <w:sz w:val="20"/>
          <w:szCs w:val="20"/>
          <w:color w:val="auto"/>
        </w:rPr>
      </w:pPr>
      <w:r>
        <w:rPr>
          <w:rFonts w:ascii="Arial" w:cs="Arial" w:eastAsia="Arial" w:hAnsi="Arial"/>
          <w:sz w:val="16"/>
          <w:szCs w:val="16"/>
          <w:color w:val="auto"/>
        </w:rPr>
        <w:t>The following table presents the calculation of basic and diluted net loss per share attributable to common stockholders for the periods indicated. As the Company reported a net loss, diluted net loss per share was the same as basic net loss per share because the effects of potentially dilutive items were anti-dilutive for all periods presented.</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29"/>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Numerator:</w:t>
            </w:r>
          </w:p>
        </w:tc>
        <w:tc>
          <w:tcPr>
            <w:tcW w:w="2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16"/>
        </w:trPr>
        <w:tc>
          <w:tcPr>
            <w:tcW w:w="4740" w:type="dxa"/>
            <w:vAlign w:val="bottom"/>
          </w:tcPr>
          <w:p>
            <w:pPr>
              <w:ind w:left="140"/>
              <w:spacing w:after="0"/>
              <w:rPr>
                <w:sz w:val="20"/>
                <w:szCs w:val="20"/>
                <w:color w:val="auto"/>
              </w:rPr>
            </w:pPr>
            <w:r>
              <w:rPr>
                <w:rFonts w:ascii="Arial" w:cs="Arial" w:eastAsia="Arial" w:hAnsi="Arial"/>
                <w:sz w:val="16"/>
                <w:szCs w:val="16"/>
                <w:color w:val="auto"/>
              </w:rPr>
              <w:t>Net loss</w:t>
            </w:r>
          </w:p>
        </w:tc>
        <w:tc>
          <w:tcPr>
            <w:tcW w:w="2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(33,069)</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(12,962)</w:t>
            </w:r>
          </w:p>
        </w:tc>
        <w:tc>
          <w:tcPr>
            <w:tcW w:w="8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(94,624)</w:t>
            </w:r>
          </w:p>
        </w:tc>
        <w:tc>
          <w:tcPr>
            <w:tcW w:w="8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(22,180)</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10"/>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Denominator:</w:t>
            </w:r>
          </w:p>
        </w:tc>
        <w:tc>
          <w:tcPr>
            <w:tcW w:w="2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r>
      <w:tr>
        <w:trPr>
          <w:trHeight w:val="206"/>
        </w:trPr>
        <w:tc>
          <w:tcPr>
            <w:tcW w:w="4740" w:type="dxa"/>
            <w:vAlign w:val="bottom"/>
          </w:tcPr>
          <w:p>
            <w:pPr>
              <w:ind w:left="140"/>
              <w:spacing w:after="0"/>
              <w:rPr>
                <w:sz w:val="20"/>
                <w:szCs w:val="20"/>
                <w:color w:val="auto"/>
              </w:rPr>
            </w:pPr>
            <w:r>
              <w:rPr>
                <w:rFonts w:ascii="Arial" w:cs="Arial" w:eastAsia="Arial" w:hAnsi="Arial"/>
                <w:sz w:val="16"/>
                <w:szCs w:val="16"/>
                <w:color w:val="auto"/>
              </w:rPr>
              <w:t>Weighted-average shares used in computing net loss per share</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206"/>
        </w:trPr>
        <w:tc>
          <w:tcPr>
            <w:tcW w:w="4740" w:type="dxa"/>
            <w:vAlign w:val="bottom"/>
          </w:tcPr>
          <w:p>
            <w:pPr>
              <w:ind w:left="140"/>
              <w:spacing w:after="0"/>
              <w:rPr>
                <w:sz w:val="20"/>
                <w:szCs w:val="20"/>
                <w:color w:val="auto"/>
              </w:rPr>
            </w:pPr>
            <w:r>
              <w:rPr>
                <w:rFonts w:ascii="Arial" w:cs="Arial" w:eastAsia="Arial" w:hAnsi="Arial"/>
                <w:sz w:val="16"/>
                <w:szCs w:val="16"/>
                <w:color w:val="auto"/>
              </w:rPr>
              <w:t>attributable to common stockholders:</w:t>
            </w: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r>
      <w:tr>
        <w:trPr>
          <w:trHeight w:val="33"/>
        </w:trPr>
        <w:tc>
          <w:tcPr>
            <w:tcW w:w="4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43"/>
        </w:trPr>
        <w:tc>
          <w:tcPr>
            <w:tcW w:w="4740" w:type="dxa"/>
            <w:vAlign w:val="bottom"/>
            <w:shd w:val="clear" w:color="auto" w:fill="CCEEFF"/>
          </w:tcPr>
          <w:p>
            <w:pPr>
              <w:ind w:left="240"/>
              <w:spacing w:after="0"/>
              <w:rPr>
                <w:sz w:val="20"/>
                <w:szCs w:val="20"/>
                <w:color w:val="auto"/>
              </w:rPr>
            </w:pPr>
            <w:r>
              <w:rPr>
                <w:rFonts w:ascii="Arial" w:cs="Arial" w:eastAsia="Arial" w:hAnsi="Arial"/>
                <w:sz w:val="16"/>
                <w:szCs w:val="16"/>
                <w:color w:val="auto"/>
              </w:rPr>
              <w:t>Basic and diluted</w:t>
            </w:r>
          </w:p>
        </w:tc>
        <w:tc>
          <w:tcPr>
            <w:tcW w:w="220" w:type="dxa"/>
            <w:vAlign w:val="bottom"/>
            <w:tcBorders>
              <w:bottom w:val="single" w:sz="8" w:color="auto"/>
            </w:tcBorders>
            <w:shd w:val="clear" w:color="auto" w:fill="CCEEFF"/>
          </w:tcPr>
          <w:p>
            <w:pPr>
              <w:spacing w:after="0"/>
              <w:rPr>
                <w:sz w:val="21"/>
                <w:szCs w:val="21"/>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168,604,378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31,641,400</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166,517,398</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26,055,903</w:t>
            </w:r>
          </w:p>
        </w:tc>
      </w:tr>
      <w:tr>
        <w:trPr>
          <w:trHeight w:val="213"/>
        </w:trPr>
        <w:tc>
          <w:tcPr>
            <w:tcW w:w="4740" w:type="dxa"/>
            <w:vAlign w:val="bottom"/>
          </w:tcPr>
          <w:p>
            <w:pPr>
              <w:ind w:left="20"/>
              <w:spacing w:after="0"/>
              <w:rPr>
                <w:sz w:val="20"/>
                <w:szCs w:val="20"/>
                <w:color w:val="auto"/>
              </w:rPr>
            </w:pPr>
            <w:r>
              <w:rPr>
                <w:rFonts w:ascii="Arial" w:cs="Arial" w:eastAsia="Arial" w:hAnsi="Arial"/>
                <w:sz w:val="16"/>
                <w:szCs w:val="16"/>
                <w:color w:val="auto"/>
              </w:rPr>
              <w:t>Net loss per share attributable to common stockholders:</w:t>
            </w: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spacing w:after="0"/>
              <w:rPr>
                <w:sz w:val="18"/>
                <w:szCs w:val="18"/>
                <w:color w:val="auto"/>
              </w:rPr>
            </w:pPr>
          </w:p>
        </w:tc>
      </w:tr>
      <w:tr>
        <w:trPr>
          <w:trHeight w:val="246"/>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Basic and diluted</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(0.20)</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(0.41)</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(0.57)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(0.85)</w:t>
            </w:r>
          </w:p>
        </w:tc>
      </w:tr>
    </w:tbl>
    <w:p>
      <w:pPr>
        <w:spacing w:after="0" w:line="247"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The following potentially dilutive securities were excluded from the computation of diluted net loss per share calculations for the periods presented because the impact of including them would have been antidilutive:</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8020" w:type="dxa"/>
            <w:vAlign w:val="bottom"/>
          </w:tcPr>
          <w:p>
            <w:pPr>
              <w:spacing w:after="0"/>
              <w:rPr>
                <w:sz w:val="19"/>
                <w:szCs w:val="19"/>
                <w:color w:val="auto"/>
              </w:rPr>
            </w:pPr>
          </w:p>
        </w:tc>
        <w:tc>
          <w:tcPr>
            <w:tcW w:w="322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6"/>
                <w:szCs w:val="16"/>
                <w:b w:val="1"/>
                <w:bCs w:val="1"/>
                <w:color w:val="auto"/>
              </w:rPr>
              <w:t>As of September 30,</w:t>
            </w:r>
          </w:p>
        </w:tc>
        <w:tc>
          <w:tcPr>
            <w:tcW w:w="0" w:type="dxa"/>
            <w:vAlign w:val="bottom"/>
          </w:tcPr>
          <w:p>
            <w:pPr>
              <w:spacing w:after="0"/>
              <w:rPr>
                <w:sz w:val="1"/>
                <w:szCs w:val="1"/>
                <w:color w:val="auto"/>
              </w:rPr>
            </w:pPr>
          </w:p>
        </w:tc>
      </w:tr>
      <w:tr>
        <w:trPr>
          <w:trHeight w:val="237"/>
        </w:trPr>
        <w:tc>
          <w:tcPr>
            <w:tcW w:w="80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Stock options outstanding</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18,364,196</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24,061,073</w:t>
            </w:r>
          </w:p>
        </w:tc>
        <w:tc>
          <w:tcPr>
            <w:tcW w:w="0" w:type="dxa"/>
            <w:vAlign w:val="bottom"/>
          </w:tcPr>
          <w:p>
            <w:pPr>
              <w:spacing w:after="0"/>
              <w:rPr>
                <w:sz w:val="1"/>
                <w:szCs w:val="1"/>
                <w:color w:val="auto"/>
              </w:rPr>
            </w:pPr>
          </w:p>
        </w:tc>
      </w:tr>
      <w:tr>
        <w:trPr>
          <w:trHeight w:val="292"/>
        </w:trPr>
        <w:tc>
          <w:tcPr>
            <w:tcW w:w="8020" w:type="dxa"/>
            <w:vAlign w:val="bottom"/>
          </w:tcPr>
          <w:p>
            <w:pPr>
              <w:ind w:left="20"/>
              <w:spacing w:after="0"/>
              <w:rPr>
                <w:sz w:val="20"/>
                <w:szCs w:val="20"/>
                <w:color w:val="auto"/>
              </w:rPr>
            </w:pPr>
            <w:r>
              <w:rPr>
                <w:rFonts w:ascii="Arial" w:cs="Arial" w:eastAsia="Arial" w:hAnsi="Arial"/>
                <w:sz w:val="16"/>
                <w:szCs w:val="16"/>
                <w:color w:val="auto"/>
              </w:rPr>
              <w:t>RSUs outstanding</w:t>
            </w:r>
            <w:r>
              <w:rPr>
                <w:rFonts w:ascii="Arial" w:cs="Arial" w:eastAsia="Arial" w:hAnsi="Arial"/>
                <w:sz w:val="21"/>
                <w:szCs w:val="21"/>
                <w:color w:val="auto"/>
                <w:vertAlign w:val="superscript"/>
              </w:rPr>
              <w:t>(1)</w:t>
            </w:r>
          </w:p>
        </w:tc>
        <w:tc>
          <w:tcPr>
            <w:tcW w:w="1580" w:type="dxa"/>
            <w:vAlign w:val="bottom"/>
            <w:vMerge w:val="restart"/>
          </w:tcPr>
          <w:p>
            <w:pPr>
              <w:jc w:val="right"/>
              <w:spacing w:after="0"/>
              <w:rPr>
                <w:sz w:val="20"/>
                <w:szCs w:val="20"/>
                <w:color w:val="auto"/>
              </w:rPr>
            </w:pPr>
            <w:r>
              <w:rPr>
                <w:rFonts w:ascii="Arial" w:cs="Arial" w:eastAsia="Arial" w:hAnsi="Arial"/>
                <w:sz w:val="16"/>
                <w:szCs w:val="16"/>
                <w:color w:val="auto"/>
              </w:rPr>
              <w:t>19,930,996</w:t>
            </w:r>
          </w:p>
        </w:tc>
        <w:tc>
          <w:tcPr>
            <w:tcW w:w="80" w:type="dxa"/>
            <w:vAlign w:val="bottom"/>
          </w:tcPr>
          <w:p>
            <w:pPr>
              <w:spacing w:after="0"/>
              <w:rPr>
                <w:sz w:val="24"/>
                <w:szCs w:val="24"/>
                <w:color w:val="auto"/>
              </w:rPr>
            </w:pPr>
          </w:p>
        </w:tc>
        <w:tc>
          <w:tcPr>
            <w:tcW w:w="1560" w:type="dxa"/>
            <w:vAlign w:val="bottom"/>
            <w:vMerge w:val="restart"/>
          </w:tcPr>
          <w:p>
            <w:pPr>
              <w:jc w:val="right"/>
              <w:spacing w:after="0"/>
              <w:rPr>
                <w:sz w:val="20"/>
                <w:szCs w:val="20"/>
                <w:color w:val="auto"/>
              </w:rPr>
            </w:pPr>
            <w:r>
              <w:rPr>
                <w:rFonts w:ascii="Arial" w:cs="Arial" w:eastAsia="Arial" w:hAnsi="Arial"/>
                <w:sz w:val="16"/>
                <w:szCs w:val="16"/>
                <w:color w:val="auto"/>
              </w:rPr>
              <w:t>1,301,084</w:t>
            </w:r>
          </w:p>
        </w:tc>
        <w:tc>
          <w:tcPr>
            <w:tcW w:w="0" w:type="dxa"/>
            <w:vAlign w:val="bottom"/>
          </w:tcPr>
          <w:p>
            <w:pPr>
              <w:spacing w:after="0"/>
              <w:rPr>
                <w:sz w:val="1"/>
                <w:szCs w:val="1"/>
                <w:color w:val="auto"/>
              </w:rPr>
            </w:pPr>
          </w:p>
        </w:tc>
      </w:tr>
      <w:tr>
        <w:trPr>
          <w:trHeight w:val="103"/>
        </w:trPr>
        <w:tc>
          <w:tcPr>
            <w:tcW w:w="8020" w:type="dxa"/>
            <w:vAlign w:val="bottom"/>
          </w:tcPr>
          <w:p>
            <w:pPr>
              <w:spacing w:after="0"/>
              <w:rPr>
                <w:sz w:val="8"/>
                <w:szCs w:val="8"/>
                <w:color w:val="auto"/>
              </w:rPr>
            </w:pPr>
          </w:p>
        </w:tc>
        <w:tc>
          <w:tcPr>
            <w:tcW w:w="158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ESPP</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1,396,853</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6"/>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Shares subject to repurchase</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205,727</w:t>
            </w:r>
          </w:p>
        </w:tc>
        <w:tc>
          <w:tcPr>
            <w:tcW w:w="80" w:type="dxa"/>
            <w:vAlign w:val="bottom"/>
            <w:tcBorders>
              <w:bottom w:val="single" w:sz="8" w:color="CCEEFF"/>
            </w:tcBorders>
          </w:tcPr>
          <w:p>
            <w:pPr>
              <w:spacing w:after="0"/>
              <w:rPr>
                <w:sz w:val="20"/>
                <w:szCs w:val="20"/>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554,973</w:t>
            </w:r>
          </w:p>
        </w:tc>
        <w:tc>
          <w:tcPr>
            <w:tcW w:w="0" w:type="dxa"/>
            <w:vAlign w:val="bottom"/>
          </w:tcPr>
          <w:p>
            <w:pPr>
              <w:spacing w:after="0"/>
              <w:rPr>
                <w:sz w:val="1"/>
                <w:szCs w:val="1"/>
                <w:color w:val="auto"/>
              </w:rPr>
            </w:pP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39,897,772</w:t>
            </w:r>
          </w:p>
        </w:tc>
        <w:tc>
          <w:tcPr>
            <w:tcW w:w="8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25,917,130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ind w:left="480" w:hanging="148"/>
        <w:spacing w:after="0"/>
        <w:tabs>
          <w:tab w:leader="none" w:pos="48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A portion of these RSUs were subject to a performance-based vesting condition until September 22, 2021. See Note 10 for details on these awards.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6" w:name="page17"/>
    <w:bookmarkEnd w:id="16"/>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ind w:left="300" w:hanging="292"/>
        <w:spacing w:after="0"/>
        <w:tabs>
          <w:tab w:leader="none" w:pos="300" w:val="left"/>
        </w:tabs>
        <w:numPr>
          <w:ilvl w:val="0"/>
          <w:numId w:val="12"/>
        </w:numPr>
        <w:rPr>
          <w:rFonts w:ascii="Arial" w:cs="Arial" w:eastAsia="Arial" w:hAnsi="Arial"/>
          <w:sz w:val="16"/>
          <w:szCs w:val="16"/>
          <w:b w:val="1"/>
          <w:bCs w:val="1"/>
          <w:color w:val="auto"/>
        </w:rPr>
      </w:pPr>
      <w:r>
        <w:rPr>
          <w:rFonts w:ascii="Arial" w:cs="Arial" w:eastAsia="Arial" w:hAnsi="Arial"/>
          <w:sz w:val="16"/>
          <w:szCs w:val="16"/>
          <w:b w:val="1"/>
          <w:bCs w:val="1"/>
          <w:color w:val="auto"/>
        </w:rPr>
        <w:t>Common Stock</w:t>
      </w:r>
    </w:p>
    <w:p>
      <w:pPr>
        <w:spacing w:after="0" w:line="171" w:lineRule="exact"/>
        <w:rPr>
          <w:sz w:val="20"/>
          <w:szCs w:val="20"/>
          <w:color w:val="auto"/>
        </w:rPr>
      </w:pPr>
    </w:p>
    <w:p>
      <w:pPr>
        <w:ind w:right="40" w:firstLine="324"/>
        <w:spacing w:after="0" w:line="295" w:lineRule="auto"/>
        <w:rPr>
          <w:sz w:val="20"/>
          <w:szCs w:val="20"/>
          <w:color w:val="auto"/>
        </w:rPr>
      </w:pPr>
      <w:r>
        <w:rPr>
          <w:rFonts w:ascii="Arial" w:cs="Arial" w:eastAsia="Arial" w:hAnsi="Arial"/>
          <w:sz w:val="15"/>
          <w:szCs w:val="15"/>
          <w:color w:val="auto"/>
        </w:rPr>
        <w:t>As of September 30, 2022, the Company has authorized 725,000,000 shares of common stock with a par value of $0.0001 per share. Each holder of a share of common stock is entitled to one vote for each share held at all meetings of stockholders and is entitled to receive dividends whenever funds are legally available and when declared by the Company’s board of directors. Through September 30, 2022 and September 30, 2021, no dividends have been declared or paid by the Company.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Donation to Remitly Philanthropy Fund</w:t>
      </w:r>
    </w:p>
    <w:p>
      <w:pPr>
        <w:spacing w:after="0" w:line="171" w:lineRule="exact"/>
        <w:rPr>
          <w:sz w:val="20"/>
          <w:szCs w:val="20"/>
          <w:color w:val="auto"/>
        </w:rPr>
      </w:pPr>
    </w:p>
    <w:p>
      <w:pPr>
        <w:ind w:right="100" w:firstLine="324"/>
        <w:spacing w:after="0" w:line="262" w:lineRule="auto"/>
        <w:rPr>
          <w:sz w:val="20"/>
          <w:szCs w:val="20"/>
          <w:color w:val="auto"/>
        </w:rPr>
      </w:pPr>
      <w:r>
        <w:rPr>
          <w:rFonts w:ascii="Arial" w:cs="Arial" w:eastAsia="Arial" w:hAnsi="Arial"/>
          <w:sz w:val="16"/>
          <w:szCs w:val="16"/>
          <w:color w:val="auto"/>
        </w:rPr>
        <w:t>In July 2021, the Company’s board of directors approved the reservation of up to 1,819,609 shares of common stock (which was approximately 1.0% of the fully diluted capitalization as of June 30, 2021) that the Company may issue to or for the benefit of a 501(c)(3) nonprofit foundation or a similar charitable organization pursuant to the Company’s Pledge 1% commitment in equal installments over ten years. On September 10, 2021, the Company executed the stock donation agreement, pursuant to which it would issue the first installment of the Pledge 1% commitment to Remitly Philanthropy Fund, a donor advised fund that will be administered on its behalf by Rockefeller Philanthropy Advisors, Inc., on the day after consummation of the IPO.</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5"/>
          <w:szCs w:val="15"/>
          <w:color w:val="auto"/>
        </w:rPr>
        <w:t>The Company donated 181,961 shares of its common stock to Remitly Philanthropy Fund on September 28, 2022 and 2021, respectively, pursuant to the stock donation agreement, and in connection with the Pledge 1% campaign, which publicly acknowledges the Company’s intent to give back and increase social impact, in order to sustainably fund a portion of its corporate social responsibility goals and further its mission to expand financial inclusion for immigrants. The Company recorded a charge of $2.0 million and $6.9 million to ‘</w:t>
      </w:r>
      <w:r>
        <w:rPr>
          <w:rFonts w:ascii="Arial" w:cs="Arial" w:eastAsia="Arial" w:hAnsi="Arial"/>
          <w:sz w:val="15"/>
          <w:szCs w:val="15"/>
          <w:i w:val="1"/>
          <w:iCs w:val="1"/>
          <w:color w:val="auto"/>
        </w:rPr>
        <w:t>General and Administrative Expenses</w:t>
      </w:r>
      <w:r>
        <w:rPr>
          <w:rFonts w:ascii="Arial" w:cs="Arial" w:eastAsia="Arial" w:hAnsi="Arial"/>
          <w:sz w:val="15"/>
          <w:szCs w:val="15"/>
          <w:color w:val="auto"/>
        </w:rPr>
        <w:t>’ within the Condensed Consolidated Statements of Operations based on the closing price of its common stock as reported on the Nasdaq Global Select Market (the “NASDAQ”) on September 28, 2022 and 2021, respectively.</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6"/>
          <w:szCs w:val="16"/>
          <w:b w:val="1"/>
          <w:bCs w:val="1"/>
          <w:color w:val="auto"/>
        </w:rPr>
        <w:t>Warrants</w:t>
      </w:r>
    </w:p>
    <w:p>
      <w:pPr>
        <w:spacing w:after="0" w:line="171" w:lineRule="exact"/>
        <w:rPr>
          <w:sz w:val="20"/>
          <w:szCs w:val="20"/>
          <w:color w:val="auto"/>
        </w:rPr>
      </w:pPr>
    </w:p>
    <w:p>
      <w:pPr>
        <w:ind w:right="80" w:firstLine="324"/>
        <w:spacing w:after="0" w:line="284" w:lineRule="auto"/>
        <w:rPr>
          <w:sz w:val="20"/>
          <w:szCs w:val="20"/>
          <w:color w:val="auto"/>
        </w:rPr>
      </w:pPr>
      <w:r>
        <w:rPr>
          <w:rFonts w:ascii="Arial" w:cs="Arial" w:eastAsia="Arial" w:hAnsi="Arial"/>
          <w:sz w:val="15"/>
          <w:szCs w:val="15"/>
          <w:color w:val="auto"/>
        </w:rPr>
        <w:t>In connection with a previous Credit Agreement, the Company issued stock warrants to purchase shares of common stock with terms of ten years, exercisable at any time, and exercise prices ranging from $0.054 to $0.64 per share, subject to standard anti-dilution adjustments. The warrants were recorded as additional paid-in capital and capitalized as debt issuance costs on the Condensed Consolidated Balance Sheets. On September 24, 2021, the holders of these stock warrants provided a notice of exercise and on September 30, 2021, warrants to purchase 256,250 shares of common stock were exercised in a cashless exercise, pursuant to the terms of the original warrant agreement, resulting in the issuance of 254,014 shares. There were no warrants outstanding as of September 30, 2022 and December 31, 2021.</w:t>
      </w:r>
    </w:p>
    <w:p>
      <w:pPr>
        <w:spacing w:after="0" w:line="109" w:lineRule="exact"/>
        <w:rPr>
          <w:sz w:val="20"/>
          <w:szCs w:val="20"/>
          <w:color w:val="auto"/>
        </w:rPr>
      </w:pPr>
    </w:p>
    <w:p>
      <w:pPr>
        <w:ind w:left="300" w:hanging="292"/>
        <w:spacing w:after="0"/>
        <w:tabs>
          <w:tab w:leader="none" w:pos="30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Redeemable Convertible Preferred Stock</w:t>
      </w:r>
    </w:p>
    <w:p>
      <w:pPr>
        <w:spacing w:after="0" w:line="171" w:lineRule="exact"/>
        <w:rPr>
          <w:sz w:val="20"/>
          <w:szCs w:val="20"/>
          <w:color w:val="auto"/>
        </w:rPr>
      </w:pPr>
    </w:p>
    <w:p>
      <w:pPr>
        <w:ind w:right="20" w:firstLine="324"/>
        <w:spacing w:after="0" w:line="241" w:lineRule="auto"/>
        <w:rPr>
          <w:sz w:val="20"/>
          <w:szCs w:val="20"/>
          <w:color w:val="auto"/>
        </w:rPr>
      </w:pPr>
      <w:r>
        <w:rPr>
          <w:rFonts w:ascii="Arial" w:cs="Arial" w:eastAsia="Arial" w:hAnsi="Arial"/>
          <w:sz w:val="16"/>
          <w:szCs w:val="16"/>
          <w:color w:val="auto"/>
        </w:rPr>
        <w:t>Prior to the Company’s IPO, the Company had 127,410,631 shares of redeemable convertible preferred stock outstanding. Upon completion of the IPO, all shares of redeemable convertible preferred stock were automatically converted into an equivalent number of shares of common stock on a one-to-one basis and their carrying value of $390.7 million was reclassified into stockholders’ equity. In addition, in connection with the IPO, the Company’s amended and restated certificate of incorporation became effective, which authorized the issuance of 50,000,000 shares of undesignated preferred stock with a par value of $0.0001 per share with right and preferences, including voting rights, designated from time to time by the Company’s board of directors. As of September 30, 2022 and December 31, 2021, there were no shares of redeemable convertible preferred stock issued and outstanding.</w:t>
      </w:r>
    </w:p>
    <w:p>
      <w:pPr>
        <w:spacing w:after="0" w:line="143"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10.</w:t>
      </w:r>
      <w:r>
        <w:rPr>
          <w:sz w:val="20"/>
          <w:szCs w:val="20"/>
          <w:color w:val="auto"/>
        </w:rPr>
        <w:tab/>
      </w:r>
      <w:r>
        <w:rPr>
          <w:rFonts w:ascii="Arial" w:cs="Arial" w:eastAsia="Arial" w:hAnsi="Arial"/>
          <w:sz w:val="14"/>
          <w:szCs w:val="14"/>
          <w:b w:val="1"/>
          <w:bCs w:val="1"/>
          <w:color w:val="auto"/>
        </w:rPr>
        <w:t>Stock-Based Compensation</w:t>
      </w:r>
    </w:p>
    <w:p>
      <w:pPr>
        <w:spacing w:after="0" w:line="185" w:lineRule="exact"/>
        <w:rPr>
          <w:sz w:val="20"/>
          <w:szCs w:val="20"/>
          <w:color w:val="auto"/>
        </w:rPr>
      </w:pPr>
    </w:p>
    <w:p>
      <w:pPr>
        <w:ind w:right="160" w:firstLine="324"/>
        <w:spacing w:after="0" w:line="310" w:lineRule="auto"/>
        <w:rPr>
          <w:sz w:val="20"/>
          <w:szCs w:val="20"/>
          <w:color w:val="auto"/>
        </w:rPr>
      </w:pPr>
      <w:r>
        <w:rPr>
          <w:rFonts w:ascii="Arial" w:cs="Arial" w:eastAsia="Arial" w:hAnsi="Arial"/>
          <w:sz w:val="15"/>
          <w:szCs w:val="15"/>
          <w:color w:val="auto"/>
        </w:rPr>
        <w:t>In 2011, the Company adopted the Equity Incentive Plan (the “2011 Plan”), as amended, which provided for the issuance of up to 43,899,677 incentive stock options, nonqualified stock options, restricted common stock, RSUs and stock appreciation rights to employees, directors, officers, and consultants of the Company.</w:t>
      </w:r>
    </w:p>
    <w:p>
      <w:pPr>
        <w:spacing w:after="0" w:line="94" w:lineRule="exact"/>
        <w:rPr>
          <w:sz w:val="20"/>
          <w:szCs w:val="20"/>
          <w:color w:val="auto"/>
        </w:rPr>
      </w:pPr>
    </w:p>
    <w:p>
      <w:pPr>
        <w:jc w:val="center"/>
        <w:ind w:right="40"/>
        <w:spacing w:after="0"/>
        <w:rPr>
          <w:sz w:val="20"/>
          <w:szCs w:val="20"/>
          <w:color w:val="auto"/>
        </w:rPr>
      </w:pPr>
      <w:r>
        <w:rPr>
          <w:rFonts w:ascii="Arial" w:cs="Arial" w:eastAsia="Arial" w:hAnsi="Arial"/>
          <w:sz w:val="15"/>
          <w:szCs w:val="15"/>
          <w:color w:val="auto"/>
        </w:rPr>
        <w:t>In September 2021, the Company adopted the Remitly Global, Inc. 2021 Equity Incentive Plan (the “2021 Plan”, and together with the 2011 Plan, the “Plan”) as a</w:t>
      </w:r>
    </w:p>
    <w:p>
      <w:pPr>
        <w:spacing w:after="0" w:line="34" w:lineRule="exact"/>
        <w:rPr>
          <w:sz w:val="20"/>
          <w:szCs w:val="20"/>
          <w:color w:val="auto"/>
        </w:rPr>
      </w:pPr>
    </w:p>
    <w:p>
      <w:pPr>
        <w:spacing w:after="0" w:line="273" w:lineRule="auto"/>
        <w:rPr>
          <w:sz w:val="20"/>
          <w:szCs w:val="20"/>
          <w:color w:val="auto"/>
        </w:rPr>
      </w:pPr>
      <w:r>
        <w:rPr>
          <w:rFonts w:ascii="Arial" w:cs="Arial" w:eastAsia="Arial" w:hAnsi="Arial"/>
          <w:sz w:val="15"/>
          <w:szCs w:val="15"/>
          <w:color w:val="auto"/>
        </w:rPr>
        <w:t>successor to the 2011 Plan. The 2021 Plan authorizes the issuance of incentive stock options, nonqualified stock options, restricted common stock, stock appreciation rights, RSUs, and performance and stock bonus awards. Pursuant to the 2021 Plan, incentive stock options may be granted only to Company employees. The Company may grant all other types of awards to its employees, directors, and consultants. The 2021 Plan is administered by the Company’s board of directors, which determines the terms of the grants, including exercise price, number of equity awards granted, and vesting schedule. The 2021 Plan provided for the initial issuance of up to 25,000,000 shares of common stock, plus any reserved shares not issued or subject to outstanding grants under the 2011 Plan, which was 552,736 on the effective date of the 2021 Plan, for a total of 25,552,736 shares initially reserved for issuance under the 2021 Plan. Beginning in January 2022, the number of shares reserved for issuance under the 2021 Plan will increase automatically on January 1 of each year through 2031 by the number of shares equal to 5%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 In January 2022, there was an increase in the shares reserved for issuance under the 2021 Plan, in accordance with the automatic increase provision.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7" w:name="page18"/>
    <w:bookmarkEnd w:id="17"/>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firstLine="324"/>
        <w:spacing w:after="0" w:line="256" w:lineRule="auto"/>
        <w:rPr>
          <w:sz w:val="20"/>
          <w:szCs w:val="20"/>
          <w:color w:val="auto"/>
        </w:rPr>
      </w:pPr>
      <w:r>
        <w:rPr>
          <w:rFonts w:ascii="Arial" w:cs="Arial" w:eastAsia="Arial" w:hAnsi="Arial"/>
          <w:sz w:val="16"/>
          <w:szCs w:val="16"/>
          <w:color w:val="auto"/>
        </w:rPr>
        <w:t>In addition, in September 2021, the Company adopted the Remitly Global, Inc. 2021 ESPP (the “ESPP”) to enable eligible employees to purchase shares of common stock with accumulated payroll deductions at a discount. The ESPP provided for the initial issuance of up to 3,500,000 shares of common stock. Beginning in January 2022, the number of shares reserved for issuance and sale under the ESPP will increase automatically on January 1 of each year through 2031 by the number of shares equal to 1% of the aggregate number of outstanding shares of all classes of common stock as of the immediately preceding December 31, or a lesser number as may be determined by the Company’s talent and compensation committee, or by the Company’s board of directors acting in place of the talent and compensation committee. Subject to stock splits, recapitalizations, or similar events, no more than 35,000,000 shares of common stock may be issued over the term of the ESPP. The ESPP is intended to qualify under Section 423 of the Code, provided that the administrator may adopt sub-plans under the ESPP designed to be outside of the scope of Section 423 for participants who are non-U.S. residents. In January 2022, there was an increase in the shares reserved for issuance under the 2021 ESPP Plan, in accordance with the automatic increase provision.</w:t>
      </w:r>
    </w:p>
    <w:p>
      <w:pPr>
        <w:spacing w:after="0" w:line="232" w:lineRule="exact"/>
        <w:rPr>
          <w:sz w:val="20"/>
          <w:szCs w:val="20"/>
          <w:color w:val="auto"/>
        </w:rPr>
      </w:pPr>
    </w:p>
    <w:p>
      <w:pPr>
        <w:ind w:right="480" w:firstLine="324"/>
        <w:spacing w:after="0" w:line="275" w:lineRule="auto"/>
        <w:rPr>
          <w:sz w:val="20"/>
          <w:szCs w:val="20"/>
          <w:color w:val="auto"/>
        </w:rPr>
      </w:pPr>
      <w:r>
        <w:rPr>
          <w:rFonts w:ascii="Arial" w:cs="Arial" w:eastAsia="Arial" w:hAnsi="Arial"/>
          <w:sz w:val="16"/>
          <w:szCs w:val="16"/>
          <w:color w:val="auto"/>
        </w:rPr>
        <w:t>As of September 30, 2022, 14,733,269 equity incentive awards remain available for issuance under the 2021 Plan and 4,762,721 shares of common stock remain available for issuance under the ESPP.</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 Options</w:t>
      </w:r>
    </w:p>
    <w:p>
      <w:pPr>
        <w:spacing w:after="0" w:line="185" w:lineRule="exact"/>
        <w:rPr>
          <w:sz w:val="20"/>
          <w:szCs w:val="20"/>
          <w:color w:val="auto"/>
        </w:rPr>
      </w:pPr>
    </w:p>
    <w:p>
      <w:pPr>
        <w:jc w:val="both"/>
        <w:ind w:right="20" w:firstLine="324"/>
        <w:spacing w:after="0" w:line="284" w:lineRule="auto"/>
        <w:rPr>
          <w:sz w:val="20"/>
          <w:szCs w:val="20"/>
          <w:color w:val="auto"/>
        </w:rPr>
      </w:pPr>
      <w:r>
        <w:rPr>
          <w:rFonts w:ascii="Arial" w:cs="Arial" w:eastAsia="Arial" w:hAnsi="Arial"/>
          <w:sz w:val="15"/>
          <w:szCs w:val="15"/>
          <w:color w:val="auto"/>
        </w:rPr>
        <w:t>Stock options granted under the Plan generally vest over a period from two years to four years from the vesting commencement date on a monthly basis with or without a one-year cliff or, for nonemployees, ratably on a monthly basis over a shorter period, depending upon anticipated duration of services. Other vesting terms are determined by the Company’s board of directors. All options granted under the Plan are exercisable for up to ten years from the grant date, subject to vesting. In the event of termination of service, options will generally remain exercisable, to the extent vested, for three months following the termination of service.</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is a summary of the Company’s stock option activity during the nine months ended September 30, 2022:</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140" w:type="dxa"/>
            <w:vAlign w:val="bottom"/>
            <w:gridSpan w:val="4"/>
          </w:tcPr>
          <w:p>
            <w:pPr>
              <w:ind w:left="1020"/>
              <w:spacing w:after="0"/>
              <w:rPr>
                <w:sz w:val="20"/>
                <w:szCs w:val="20"/>
                <w:color w:val="auto"/>
              </w:rPr>
            </w:pPr>
            <w:r>
              <w:rPr>
                <w:rFonts w:ascii="Arial" w:cs="Arial" w:eastAsia="Arial" w:hAnsi="Arial"/>
                <w:sz w:val="14"/>
                <w:szCs w:val="14"/>
                <w:b w:val="1"/>
                <w:bCs w:val="1"/>
                <w:color w:val="auto"/>
              </w:rPr>
              <w:t>Stock Options</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39"/>
        </w:trPr>
        <w:tc>
          <w:tcPr>
            <w:tcW w:w="4740" w:type="dxa"/>
            <w:vAlign w:val="bottom"/>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60" w:type="dxa"/>
            <w:vAlign w:val="bottom"/>
            <w:tcBorders>
              <w:bottom w:val="single" w:sz="8" w:color="auto"/>
            </w:tcBorders>
            <w:gridSpan w:val="2"/>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160"/>
        </w:trPr>
        <w:tc>
          <w:tcPr>
            <w:tcW w:w="474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tcPr>
          <w:p>
            <w:pPr>
              <w:jc w:val="center"/>
              <w:ind w:right="80"/>
              <w:spacing w:after="0" w:line="160" w:lineRule="exact"/>
              <w:rPr>
                <w:sz w:val="20"/>
                <w:szCs w:val="20"/>
                <w:color w:val="auto"/>
              </w:rPr>
            </w:pPr>
            <w:r>
              <w:rPr>
                <w:rFonts w:ascii="Arial" w:cs="Arial" w:eastAsia="Arial" w:hAnsi="Arial"/>
                <w:sz w:val="14"/>
                <w:szCs w:val="14"/>
                <w:b w:val="1"/>
                <w:bCs w:val="1"/>
                <w:color w:val="auto"/>
                <w:w w:val="92"/>
              </w:rPr>
              <w:t>Weighted-Average</w:t>
            </w:r>
          </w:p>
        </w:tc>
        <w:tc>
          <w:tcPr>
            <w:tcW w:w="1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2"/>
        </w:trPr>
        <w:tc>
          <w:tcPr>
            <w:tcW w:w="4740" w:type="dxa"/>
            <w:vAlign w:val="bottom"/>
          </w:tcPr>
          <w:p>
            <w:pPr>
              <w:spacing w:after="0"/>
              <w:rPr>
                <w:sz w:val="14"/>
                <w:szCs w:val="14"/>
                <w:color w:val="auto"/>
              </w:rPr>
            </w:pPr>
          </w:p>
        </w:tc>
        <w:tc>
          <w:tcPr>
            <w:tcW w:w="1560" w:type="dxa"/>
            <w:vAlign w:val="bottom"/>
          </w:tcPr>
          <w:p>
            <w:pPr>
              <w:jc w:val="right"/>
              <w:ind w:right="101"/>
              <w:spacing w:after="0"/>
              <w:rPr>
                <w:sz w:val="20"/>
                <w:szCs w:val="20"/>
                <w:color w:val="auto"/>
              </w:rPr>
            </w:pPr>
            <w:r>
              <w:rPr>
                <w:rFonts w:ascii="Arial" w:cs="Arial" w:eastAsia="Arial" w:hAnsi="Arial"/>
                <w:sz w:val="14"/>
                <w:szCs w:val="14"/>
                <w:b w:val="1"/>
                <w:bCs w:val="1"/>
                <w:color w:val="auto"/>
              </w:rPr>
              <w:t>Number of Options</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Weighted-Average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5"/>
              </w:rPr>
              <w:t>Remaining Contractual</w:t>
            </w:r>
          </w:p>
        </w:tc>
        <w:tc>
          <w:tcPr>
            <w:tcW w:w="140" w:type="dxa"/>
            <w:vAlign w:val="bottom"/>
          </w:tcPr>
          <w:p>
            <w:pPr>
              <w:spacing w:after="0"/>
              <w:rPr>
                <w:sz w:val="14"/>
                <w:szCs w:val="14"/>
                <w:color w:val="auto"/>
              </w:rPr>
            </w:pPr>
          </w:p>
        </w:tc>
        <w:tc>
          <w:tcPr>
            <w:tcW w:w="1420" w:type="dxa"/>
            <w:vAlign w:val="bottom"/>
          </w:tcPr>
          <w:p>
            <w:pPr>
              <w:jc w:val="right"/>
              <w:ind w:right="102"/>
              <w:spacing w:after="0"/>
              <w:rPr>
                <w:sz w:val="20"/>
                <w:szCs w:val="20"/>
                <w:color w:val="auto"/>
              </w:rPr>
            </w:pPr>
            <w:r>
              <w:rPr>
                <w:rFonts w:ascii="Arial" w:cs="Arial" w:eastAsia="Arial" w:hAnsi="Arial"/>
                <w:sz w:val="14"/>
                <w:szCs w:val="14"/>
                <w:b w:val="1"/>
                <w:bCs w:val="1"/>
                <w:color w:val="auto"/>
                <w:w w:val="95"/>
              </w:rPr>
              <w:t>Aggregate Intrinsic</w:t>
            </w:r>
          </w:p>
        </w:tc>
      </w:tr>
      <w:tr>
        <w:trPr>
          <w:trHeight w:val="200"/>
        </w:trPr>
        <w:tc>
          <w:tcPr>
            <w:tcW w:w="474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560" w:type="dxa"/>
            <w:vAlign w:val="bottom"/>
          </w:tcPr>
          <w:p>
            <w:pPr>
              <w:jc w:val="right"/>
              <w:ind w:right="321"/>
              <w:spacing w:after="0"/>
              <w:rPr>
                <w:sz w:val="20"/>
                <w:szCs w:val="20"/>
                <w:color w:val="auto"/>
              </w:rPr>
            </w:pPr>
            <w:r>
              <w:rPr>
                <w:rFonts w:ascii="Arial" w:cs="Arial" w:eastAsia="Arial" w:hAnsi="Arial"/>
                <w:sz w:val="14"/>
                <w:szCs w:val="14"/>
                <w:b w:val="1"/>
                <w:bCs w:val="1"/>
                <w:color w:val="auto"/>
              </w:rPr>
              <w:t>Outstanding</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6"/>
              </w:rPr>
              <w:t>Life (Years)</w:t>
            </w:r>
          </w:p>
        </w:tc>
        <w:tc>
          <w:tcPr>
            <w:tcW w:w="140" w:type="dxa"/>
            <w:vAlign w:val="bottom"/>
          </w:tcPr>
          <w:p>
            <w:pPr>
              <w:spacing w:after="0"/>
              <w:rPr>
                <w:sz w:val="17"/>
                <w:szCs w:val="17"/>
                <w:color w:val="auto"/>
              </w:rPr>
            </w:pPr>
          </w:p>
        </w:tc>
        <w:tc>
          <w:tcPr>
            <w:tcW w:w="1420" w:type="dxa"/>
            <w:vAlign w:val="bottom"/>
          </w:tcPr>
          <w:p>
            <w:pPr>
              <w:jc w:val="right"/>
              <w:ind w:right="462"/>
              <w:spacing w:after="0"/>
              <w:rPr>
                <w:sz w:val="20"/>
                <w:szCs w:val="20"/>
                <w:color w:val="auto"/>
              </w:rPr>
            </w:pPr>
            <w:r>
              <w:rPr>
                <w:rFonts w:ascii="Arial" w:cs="Arial" w:eastAsia="Arial" w:hAnsi="Arial"/>
                <w:sz w:val="14"/>
                <w:szCs w:val="14"/>
                <w:b w:val="1"/>
                <w:bCs w:val="1"/>
                <w:color w:val="auto"/>
              </w:rPr>
              <w:t xml:space="preserve">Value </w:t>
            </w:r>
            <w:r>
              <w:rPr>
                <w:rFonts w:ascii="Arial" w:cs="Arial" w:eastAsia="Arial" w:hAnsi="Arial"/>
                <w:sz w:val="9"/>
                <w:szCs w:val="9"/>
                <w:b w:val="1"/>
                <w:bCs w:val="1"/>
                <w:color w:val="auto"/>
              </w:rPr>
              <w:t>(1)</w:t>
            </w:r>
          </w:p>
        </w:tc>
      </w:tr>
      <w:tr>
        <w:trPr>
          <w:trHeight w:val="39"/>
        </w:trPr>
        <w:tc>
          <w:tcPr>
            <w:tcW w:w="4740" w:type="dxa"/>
            <w:vAlign w:val="bottom"/>
            <w:tcBorders>
              <w:bottom w:val="single" w:sz="8" w:color="CCEEFF"/>
            </w:tcBorders>
          </w:tcPr>
          <w:p>
            <w:pPr>
              <w:spacing w:after="0"/>
              <w:rPr>
                <w:sz w:val="3"/>
                <w:szCs w:val="3"/>
                <w:color w:val="auto"/>
              </w:rPr>
            </w:pPr>
          </w:p>
        </w:tc>
        <w:tc>
          <w:tcPr>
            <w:tcW w:w="15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January 1, 2022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23,386,942</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3.70</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7.66</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395,676</w:t>
            </w: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Granted</w:t>
            </w:r>
          </w:p>
        </w:tc>
        <w:tc>
          <w:tcPr>
            <w:tcW w:w="1560" w:type="dxa"/>
            <w:vAlign w:val="bottom"/>
          </w:tcPr>
          <w:p>
            <w:pPr>
              <w:jc w:val="right"/>
              <w:spacing w:after="0"/>
              <w:rPr>
                <w:sz w:val="20"/>
                <w:szCs w:val="20"/>
                <w:color w:val="auto"/>
              </w:rPr>
            </w:pPr>
            <w:r>
              <w:rPr>
                <w:rFonts w:ascii="Arial" w:cs="Arial" w:eastAsia="Arial" w:hAnsi="Arial"/>
                <w:sz w:val="16"/>
                <w:szCs w:val="16"/>
                <w:color w:val="auto"/>
              </w:rPr>
              <w:t>166,113</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11.15</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(3,776,392)</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w:t>
            </w:r>
          </w:p>
        </w:tc>
        <w:tc>
          <w:tcPr>
            <w:tcW w:w="80" w:type="dxa"/>
            <w:vAlign w:val="bottom"/>
            <w:shd w:val="clear" w:color="auto" w:fill="CCEEFF"/>
          </w:tcPr>
          <w:p>
            <w:pPr>
              <w:spacing w:after="0"/>
              <w:rPr>
                <w:sz w:val="21"/>
                <w:szCs w:val="21"/>
                <w:color w:val="auto"/>
              </w:rPr>
            </w:pPr>
          </w:p>
        </w:tc>
        <w:tc>
          <w:tcPr>
            <w:tcW w:w="15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30,850</w:t>
            </w:r>
          </w:p>
        </w:tc>
      </w:tr>
      <w:tr>
        <w:trPr>
          <w:trHeight w:val="236"/>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(1,412,467)</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5.12</w:t>
            </w:r>
          </w:p>
        </w:tc>
        <w:tc>
          <w:tcPr>
            <w:tcW w:w="80" w:type="dxa"/>
            <w:vAlign w:val="bottom"/>
            <w:tcBorders>
              <w:bottom w:val="single" w:sz="8" w:color="CCEEFF"/>
            </w:tcBorders>
          </w:tcPr>
          <w:p>
            <w:pPr>
              <w:spacing w:after="0"/>
              <w:rPr>
                <w:sz w:val="20"/>
                <w:szCs w:val="20"/>
                <w:color w:val="auto"/>
              </w:rPr>
            </w:pPr>
          </w:p>
        </w:tc>
        <w:tc>
          <w:tcPr>
            <w:tcW w:w="158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420" w:type="dxa"/>
            <w:vAlign w:val="bottom"/>
            <w:tcBorders>
              <w:bottom w:val="single" w:sz="8" w:color="CCEEFF"/>
            </w:tcBorders>
          </w:tcPr>
          <w:p>
            <w:pPr>
              <w:spacing w:after="0"/>
              <w:rPr>
                <w:sz w:val="20"/>
                <w:szCs w:val="20"/>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Balances as of September 30, 2022</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18,364,196</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3.98</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133,458</w:t>
            </w: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Vested and exercisable as of September 30, 2022</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10,653,383</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2.37</w:t>
            </w:r>
          </w:p>
        </w:tc>
        <w:tc>
          <w:tcPr>
            <w:tcW w:w="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6"/>
                <w:szCs w:val="16"/>
                <w:color w:val="auto"/>
              </w:rPr>
              <w:t>6.19</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93,049</w:t>
            </w:r>
          </w:p>
        </w:tc>
      </w:tr>
      <w:tr>
        <w:trPr>
          <w:trHeight w:val="20"/>
        </w:trPr>
        <w:tc>
          <w:tcPr>
            <w:tcW w:w="474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5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r>
      <w:tr>
        <w:trPr>
          <w:trHeight w:val="237"/>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 and expected to vest as of September 30, 2022</w:t>
            </w:r>
          </w:p>
        </w:tc>
        <w:tc>
          <w:tcPr>
            <w:tcW w:w="15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18,524,923</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3.97</w:t>
            </w:r>
          </w:p>
        </w:tc>
        <w:tc>
          <w:tcPr>
            <w:tcW w:w="80" w:type="dxa"/>
            <w:vAlign w:val="bottom"/>
            <w:shd w:val="clear" w:color="auto" w:fill="CCEEFF"/>
          </w:tcPr>
          <w:p>
            <w:pPr>
              <w:spacing w:after="0"/>
              <w:rPr>
                <w:sz w:val="20"/>
                <w:szCs w:val="20"/>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7.04</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134,689</w:t>
            </w:r>
          </w:p>
        </w:tc>
      </w:tr>
      <w:tr>
        <w:trPr>
          <w:trHeight w:val="277"/>
        </w:trPr>
        <w:tc>
          <w:tcPr>
            <w:tcW w:w="4740" w:type="dxa"/>
            <w:vAlign w:val="bottom"/>
          </w:tcPr>
          <w:p>
            <w:pPr>
              <w:spacing w:after="0"/>
              <w:rPr>
                <w:sz w:val="20"/>
                <w:szCs w:val="20"/>
                <w:color w:val="auto"/>
              </w:rPr>
            </w:pPr>
            <w:r>
              <w:rPr>
                <w:rFonts w:ascii="Arial" w:cs="Arial" w:eastAsia="Arial" w:hAnsi="Arial"/>
                <w:sz w:val="16"/>
                <w:szCs w:val="16"/>
                <w:color w:val="auto"/>
              </w:rPr>
              <w:t>_________________</w:t>
            </w: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ind w:left="660" w:right="700" w:hanging="328"/>
        <w:spacing w:after="0" w:line="270" w:lineRule="auto"/>
        <w:tabs>
          <w:tab w:leader="none" w:pos="66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aggregate intrinsic value is calculated as the difference between the exercise price of the underlying stock options and the estimated fair value of the Company’s common stock.</w:t>
      </w:r>
    </w:p>
    <w:p>
      <w:pPr>
        <w:spacing w:after="0" w:line="122" w:lineRule="exact"/>
        <w:rPr>
          <w:sz w:val="20"/>
          <w:szCs w:val="20"/>
          <w:color w:val="auto"/>
        </w:rPr>
      </w:pPr>
    </w:p>
    <w:p>
      <w:pPr>
        <w:ind w:right="220" w:firstLine="324"/>
        <w:spacing w:after="0" w:line="293" w:lineRule="auto"/>
        <w:rPr>
          <w:sz w:val="20"/>
          <w:szCs w:val="20"/>
          <w:color w:val="auto"/>
        </w:rPr>
      </w:pPr>
      <w:r>
        <w:rPr>
          <w:rFonts w:ascii="Arial" w:cs="Arial" w:eastAsia="Arial" w:hAnsi="Arial"/>
          <w:sz w:val="16"/>
          <w:szCs w:val="16"/>
          <w:color w:val="auto"/>
        </w:rPr>
        <w:t>The fair value of each employee stock option granted during the three and nine months ended September 30, 2022 and 2021 was estimated on the date of grant using the Black-Scholes option pricing model with the following assumptions: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3280" w:type="dxa"/>
            <w:vAlign w:val="bottom"/>
            <w:gridSpan w:val="4"/>
          </w:tcPr>
          <w:p>
            <w:pPr>
              <w:ind w:left="360"/>
              <w:spacing w:after="0"/>
              <w:rPr>
                <w:sz w:val="20"/>
                <w:szCs w:val="20"/>
                <w:color w:val="auto"/>
              </w:rPr>
            </w:pPr>
            <w:r>
              <w:rPr>
                <w:rFonts w:ascii="Arial" w:cs="Arial" w:eastAsia="Arial" w:hAnsi="Arial"/>
                <w:sz w:val="16"/>
                <w:szCs w:val="16"/>
                <w:b w:val="1"/>
                <w:bCs w:val="1"/>
                <w:color w:val="auto"/>
              </w:rPr>
              <w:t>Three Months Ended September 30,</w:t>
            </w:r>
          </w:p>
        </w:tc>
        <w:tc>
          <w:tcPr>
            <w:tcW w:w="3220" w:type="dxa"/>
            <w:vAlign w:val="bottom"/>
            <w:gridSpan w:val="3"/>
          </w:tcPr>
          <w:p>
            <w:pPr>
              <w:ind w:left="400"/>
              <w:spacing w:after="0"/>
              <w:rPr>
                <w:sz w:val="20"/>
                <w:szCs w:val="20"/>
                <w:color w:val="auto"/>
              </w:rPr>
            </w:pPr>
            <w:r>
              <w:rPr>
                <w:rFonts w:ascii="Arial" w:cs="Arial" w:eastAsia="Arial" w:hAnsi="Arial"/>
                <w:sz w:val="16"/>
                <w:szCs w:val="16"/>
                <w:b w:val="1"/>
                <w:bCs w:val="1"/>
                <w:color w:val="auto"/>
              </w:rPr>
              <w:t>Nine Months Ended September 30,</w:t>
            </w:r>
          </w:p>
        </w:tc>
      </w:tr>
      <w:tr>
        <w:trPr>
          <w:trHeight w:val="236"/>
        </w:trPr>
        <w:tc>
          <w:tcPr>
            <w:tcW w:w="4740" w:type="dxa"/>
            <w:vAlign w:val="bottom"/>
            <w:tcBorders>
              <w:bottom w:val="single" w:sz="8" w:color="CCEEFF"/>
            </w:tcBorders>
          </w:tcPr>
          <w:p>
            <w:pPr>
              <w:spacing w:after="0"/>
              <w:rPr>
                <w:sz w:val="20"/>
                <w:szCs w:val="20"/>
                <w:color w:val="auto"/>
              </w:rPr>
            </w:pPr>
          </w:p>
        </w:tc>
        <w:tc>
          <w:tcPr>
            <w:tcW w:w="15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2022</w:t>
            </w:r>
          </w:p>
        </w:tc>
        <w:tc>
          <w:tcPr>
            <w:tcW w:w="80" w:type="dxa"/>
            <w:vAlign w:val="bottom"/>
            <w:tcBorders>
              <w:top w:val="single" w:sz="8" w:color="auto"/>
              <w:bottom w:val="single" w:sz="8" w:color="CCEEFF"/>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15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5"/>
              </w:rPr>
              <w:t>2022</w:t>
            </w:r>
          </w:p>
        </w:tc>
        <w:tc>
          <w:tcPr>
            <w:tcW w:w="80" w:type="dxa"/>
            <w:vAlign w:val="bottom"/>
            <w:tcBorders>
              <w:top w:val="single" w:sz="8" w:color="auto"/>
              <w:bottom w:val="single" w:sz="8" w:color="CCEEFF"/>
            </w:tcBorders>
          </w:tcPr>
          <w:p>
            <w:pPr>
              <w:spacing w:after="0"/>
              <w:rPr>
                <w:sz w:val="20"/>
                <w:szCs w:val="20"/>
                <w:color w:val="auto"/>
              </w:rPr>
            </w:pPr>
          </w:p>
        </w:tc>
        <w:tc>
          <w:tcPr>
            <w:tcW w:w="15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rates</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2.86%</w:t>
            </w:r>
          </w:p>
        </w:tc>
        <w:tc>
          <w:tcPr>
            <w:tcW w:w="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260"/>
              <w:spacing w:after="0"/>
              <w:rPr>
                <w:sz w:val="20"/>
                <w:szCs w:val="20"/>
                <w:color w:val="auto"/>
              </w:rPr>
            </w:pPr>
            <w:r>
              <w:rPr>
                <w:rFonts w:ascii="Arial" w:cs="Arial" w:eastAsia="Arial" w:hAnsi="Arial"/>
                <w:sz w:val="16"/>
                <w:szCs w:val="16"/>
                <w:color w:val="auto"/>
              </w:rPr>
              <w:t>0.74% to 1.10%</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2.86%</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ind w:left="260"/>
              <w:spacing w:after="0"/>
              <w:rPr>
                <w:sz w:val="20"/>
                <w:szCs w:val="20"/>
                <w:color w:val="auto"/>
              </w:rPr>
            </w:pPr>
            <w:r>
              <w:rPr>
                <w:rFonts w:ascii="Arial" w:cs="Arial" w:eastAsia="Arial" w:hAnsi="Arial"/>
                <w:sz w:val="16"/>
                <w:szCs w:val="16"/>
                <w:color w:val="auto"/>
              </w:rPr>
              <w:t>0.32% to 1.19%</w:t>
            </w: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Expected term</w:t>
            </w:r>
          </w:p>
        </w:tc>
        <w:tc>
          <w:tcPr>
            <w:tcW w:w="1640" w:type="dxa"/>
            <w:vAlign w:val="bottom"/>
            <w:gridSpan w:val="2"/>
          </w:tcPr>
          <w:p>
            <w:pPr>
              <w:ind w:left="500"/>
              <w:spacing w:after="0"/>
              <w:rPr>
                <w:sz w:val="20"/>
                <w:szCs w:val="20"/>
                <w:color w:val="auto"/>
              </w:rPr>
            </w:pPr>
            <w:r>
              <w:rPr>
                <w:rFonts w:ascii="Arial" w:cs="Arial" w:eastAsia="Arial" w:hAnsi="Arial"/>
                <w:sz w:val="16"/>
                <w:szCs w:val="16"/>
                <w:color w:val="auto"/>
              </w:rPr>
              <w:t>6.1 years</w:t>
            </w:r>
          </w:p>
        </w:tc>
        <w:tc>
          <w:tcPr>
            <w:tcW w:w="1640" w:type="dxa"/>
            <w:vAlign w:val="bottom"/>
            <w:gridSpan w:val="2"/>
          </w:tcPr>
          <w:p>
            <w:pPr>
              <w:ind w:left="280"/>
              <w:spacing w:after="0"/>
              <w:rPr>
                <w:sz w:val="20"/>
                <w:szCs w:val="20"/>
                <w:color w:val="auto"/>
              </w:rPr>
            </w:pPr>
            <w:r>
              <w:rPr>
                <w:rFonts w:ascii="Arial" w:cs="Arial" w:eastAsia="Arial" w:hAnsi="Arial"/>
                <w:sz w:val="16"/>
                <w:szCs w:val="16"/>
                <w:color w:val="auto"/>
              </w:rPr>
              <w:t>5.0 to 6.5 years</w:t>
            </w:r>
          </w:p>
        </w:tc>
        <w:tc>
          <w:tcPr>
            <w:tcW w:w="1660" w:type="dxa"/>
            <w:vAlign w:val="bottom"/>
            <w:gridSpan w:val="2"/>
          </w:tcPr>
          <w:p>
            <w:pPr>
              <w:ind w:left="500"/>
              <w:spacing w:after="0"/>
              <w:rPr>
                <w:sz w:val="20"/>
                <w:szCs w:val="20"/>
                <w:color w:val="auto"/>
              </w:rPr>
            </w:pPr>
            <w:r>
              <w:rPr>
                <w:rFonts w:ascii="Arial" w:cs="Arial" w:eastAsia="Arial" w:hAnsi="Arial"/>
                <w:sz w:val="16"/>
                <w:szCs w:val="16"/>
                <w:color w:val="auto"/>
              </w:rPr>
              <w:t>6.1 years</w:t>
            </w:r>
          </w:p>
        </w:tc>
        <w:tc>
          <w:tcPr>
            <w:tcW w:w="1560" w:type="dxa"/>
            <w:vAlign w:val="bottom"/>
          </w:tcPr>
          <w:p>
            <w:pPr>
              <w:ind w:left="280"/>
              <w:spacing w:after="0"/>
              <w:rPr>
                <w:sz w:val="20"/>
                <w:szCs w:val="20"/>
                <w:color w:val="auto"/>
              </w:rPr>
            </w:pPr>
            <w:r>
              <w:rPr>
                <w:rFonts w:ascii="Arial" w:cs="Arial" w:eastAsia="Arial" w:hAnsi="Arial"/>
                <w:sz w:val="16"/>
                <w:szCs w:val="16"/>
                <w:color w:val="auto"/>
              </w:rPr>
              <w:t>3.5 to 6.8 years</w:t>
            </w:r>
          </w:p>
        </w:tc>
      </w:tr>
      <w:tr>
        <w:trPr>
          <w:trHeight w:val="25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15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64.0%</w:t>
            </w:r>
          </w:p>
        </w:tc>
        <w:tc>
          <w:tcPr>
            <w:tcW w:w="80" w:type="dxa"/>
            <w:vAlign w:val="bottom"/>
            <w:shd w:val="clear" w:color="auto" w:fill="CCEEFF"/>
          </w:tcPr>
          <w:p>
            <w:pPr>
              <w:spacing w:after="0"/>
              <w:rPr>
                <w:sz w:val="21"/>
                <w:szCs w:val="21"/>
                <w:color w:val="auto"/>
              </w:rPr>
            </w:pPr>
          </w:p>
        </w:tc>
        <w:tc>
          <w:tcPr>
            <w:tcW w:w="1640" w:type="dxa"/>
            <w:vAlign w:val="bottom"/>
            <w:gridSpan w:val="2"/>
            <w:shd w:val="clear" w:color="auto" w:fill="CCEEFF"/>
          </w:tcPr>
          <w:p>
            <w:pPr>
              <w:ind w:left="240"/>
              <w:spacing w:after="0"/>
              <w:rPr>
                <w:sz w:val="20"/>
                <w:szCs w:val="20"/>
                <w:color w:val="auto"/>
              </w:rPr>
            </w:pPr>
            <w:r>
              <w:rPr>
                <w:rFonts w:ascii="Arial" w:cs="Arial" w:eastAsia="Arial" w:hAnsi="Arial"/>
                <w:sz w:val="16"/>
                <w:szCs w:val="16"/>
                <w:color w:val="auto"/>
              </w:rPr>
              <w:t>49.3% to 50.5 %</w:t>
            </w:r>
          </w:p>
        </w:tc>
        <w:tc>
          <w:tcPr>
            <w:tcW w:w="158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2"/>
              </w:rPr>
              <w:t>64.0%</w:t>
            </w:r>
          </w:p>
        </w:tc>
        <w:tc>
          <w:tcPr>
            <w:tcW w:w="80" w:type="dxa"/>
            <w:vAlign w:val="bottom"/>
            <w:shd w:val="clear" w:color="auto" w:fill="CCEEFF"/>
          </w:tcPr>
          <w:p>
            <w:pPr>
              <w:spacing w:after="0"/>
              <w:rPr>
                <w:sz w:val="21"/>
                <w:szCs w:val="21"/>
                <w:color w:val="auto"/>
              </w:rPr>
            </w:pPr>
          </w:p>
        </w:tc>
        <w:tc>
          <w:tcPr>
            <w:tcW w:w="1560" w:type="dxa"/>
            <w:vAlign w:val="bottom"/>
            <w:shd w:val="clear" w:color="auto" w:fill="CCEEFF"/>
          </w:tcPr>
          <w:p>
            <w:pPr>
              <w:ind w:left="240"/>
              <w:spacing w:after="0"/>
              <w:rPr>
                <w:sz w:val="20"/>
                <w:szCs w:val="20"/>
                <w:color w:val="auto"/>
              </w:rPr>
            </w:pPr>
            <w:r>
              <w:rPr>
                <w:rFonts w:ascii="Arial" w:cs="Arial" w:eastAsia="Arial" w:hAnsi="Arial"/>
                <w:sz w:val="16"/>
                <w:szCs w:val="16"/>
                <w:color w:val="auto"/>
              </w:rPr>
              <w:t>37.8% to 50.5 %</w:t>
            </w:r>
          </w:p>
        </w:tc>
      </w:tr>
      <w:tr>
        <w:trPr>
          <w:trHeight w:val="223"/>
        </w:trPr>
        <w:tc>
          <w:tcPr>
            <w:tcW w:w="4740" w:type="dxa"/>
            <w:vAlign w:val="bottom"/>
          </w:tcPr>
          <w:p>
            <w:pPr>
              <w:ind w:left="20"/>
              <w:spacing w:after="0"/>
              <w:rPr>
                <w:sz w:val="20"/>
                <w:szCs w:val="20"/>
                <w:color w:val="auto"/>
              </w:rPr>
            </w:pPr>
            <w:r>
              <w:rPr>
                <w:rFonts w:ascii="Arial" w:cs="Arial" w:eastAsia="Arial" w:hAnsi="Arial"/>
                <w:sz w:val="16"/>
                <w:szCs w:val="16"/>
                <w:color w:val="auto"/>
              </w:rPr>
              <w:t>Dividend rate</w:t>
            </w:r>
          </w:p>
        </w:tc>
        <w:tc>
          <w:tcPr>
            <w:tcW w:w="16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640" w:type="dxa"/>
            <w:vAlign w:val="bottom"/>
            <w:gridSpan w:val="2"/>
          </w:tcPr>
          <w:p>
            <w:pPr>
              <w:jc w:val="center"/>
              <w:ind w:right="60"/>
              <w:spacing w:after="0"/>
              <w:rPr>
                <w:sz w:val="20"/>
                <w:szCs w:val="20"/>
                <w:color w:val="auto"/>
              </w:rPr>
            </w:pPr>
            <w:r>
              <w:rPr>
                <w:rFonts w:ascii="Arial" w:cs="Arial" w:eastAsia="Arial" w:hAnsi="Arial"/>
                <w:sz w:val="16"/>
                <w:szCs w:val="16"/>
                <w:color w:val="auto"/>
                <w:w w:val="99"/>
              </w:rPr>
              <w:t>—%</w:t>
            </w:r>
          </w:p>
        </w:tc>
        <w:tc>
          <w:tcPr>
            <w:tcW w:w="1660" w:type="dxa"/>
            <w:vAlign w:val="bottom"/>
            <w:gridSpan w:val="2"/>
          </w:tcPr>
          <w:p>
            <w:pPr>
              <w:jc w:val="center"/>
              <w:ind w:right="80"/>
              <w:spacing w:after="0"/>
              <w:rPr>
                <w:sz w:val="20"/>
                <w:szCs w:val="20"/>
                <w:color w:val="auto"/>
              </w:rPr>
            </w:pPr>
            <w:r>
              <w:rPr>
                <w:rFonts w:ascii="Arial" w:cs="Arial" w:eastAsia="Arial" w:hAnsi="Arial"/>
                <w:sz w:val="16"/>
                <w:szCs w:val="16"/>
                <w:color w:val="auto"/>
                <w:w w:val="99"/>
              </w:rPr>
              <w:t>—%</w:t>
            </w:r>
          </w:p>
        </w:tc>
        <w:tc>
          <w:tcPr>
            <w:tcW w:w="1560" w:type="dxa"/>
            <w:vAlign w:val="bottom"/>
          </w:tcPr>
          <w:p>
            <w:pPr>
              <w:jc w:val="center"/>
              <w:spacing w:after="0"/>
              <w:rPr>
                <w:sz w:val="20"/>
                <w:szCs w:val="20"/>
                <w:color w:val="auto"/>
              </w:rPr>
            </w:pPr>
            <w:r>
              <w:rPr>
                <w:rFonts w:ascii="Arial" w:cs="Arial" w:eastAsia="Arial" w:hAnsi="Arial"/>
                <w:sz w:val="16"/>
                <w:szCs w:val="16"/>
                <w:color w:val="auto"/>
                <w:w w:val="99"/>
              </w:rPr>
              <w:t>—%</w:t>
            </w:r>
          </w:p>
        </w:tc>
      </w:tr>
    </w:tbl>
    <w:p>
      <w:pPr>
        <w:spacing w:after="0" w:line="26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Fair value of underlying common stock</w:t>
      </w:r>
    </w:p>
    <w:p>
      <w:pPr>
        <w:spacing w:after="0" w:line="167" w:lineRule="exact"/>
        <w:rPr>
          <w:sz w:val="20"/>
          <w:szCs w:val="20"/>
          <w:color w:val="auto"/>
        </w:rPr>
      </w:pPr>
    </w:p>
    <w:p>
      <w:pPr>
        <w:ind w:right="200" w:firstLine="324"/>
        <w:spacing w:after="0" w:line="280" w:lineRule="auto"/>
        <w:rPr>
          <w:sz w:val="20"/>
          <w:szCs w:val="20"/>
          <w:color w:val="auto"/>
        </w:rPr>
      </w:pPr>
      <w:r>
        <w:rPr>
          <w:rFonts w:ascii="Arial" w:cs="Arial" w:eastAsia="Arial" w:hAnsi="Arial"/>
          <w:sz w:val="15"/>
          <w:szCs w:val="15"/>
          <w:color w:val="auto"/>
        </w:rPr>
        <w:t>Prior to the completion of the IPO, the Company’s board of directors considered numerous objective and subjective factors to determine the fair value of the Company’s common stock at each meeting in which awards were approved. The factors considered included, but were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actual operating and financial results; (v) current business conditions and projections; (vi) the likelihood of achieving a liquidity event, such as an initial public offering or sale of the Company, given prevailing market conditions; and (vii) precedent transactions involving the Company’s shares. After the completion of the IPO, the fair value of the Company’s common stock is determined by the closing price, on the date of grant, of its common stock, which is traded on the NASDAQ.</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280" w:firstLine="324"/>
        <w:spacing w:after="0" w:line="349" w:lineRule="auto"/>
        <w:rPr>
          <w:sz w:val="20"/>
          <w:szCs w:val="20"/>
          <w:color w:val="auto"/>
        </w:rPr>
      </w:pPr>
      <w:r>
        <w:rPr>
          <w:rFonts w:ascii="Arial" w:cs="Arial" w:eastAsia="Arial" w:hAnsi="Arial"/>
          <w:sz w:val="14"/>
          <w:szCs w:val="14"/>
          <w:color w:val="auto"/>
        </w:rPr>
        <w:t>The weighted-average grant date fair value of options granted during the three months ended September 30, 2022 and 2021 was $6.78 and $15.31, respectively. The weighted-average grant date fair value of options granted during the nine months ended September 30, 2022 and 2021 was $6.78 and $5.22, respectively.</w:t>
      </w:r>
    </w:p>
    <w:p>
      <w:pPr>
        <w:spacing w:after="0" w:line="85" w:lineRule="exact"/>
        <w:rPr>
          <w:sz w:val="20"/>
          <w:szCs w:val="20"/>
          <w:color w:val="auto"/>
        </w:rPr>
      </w:pPr>
    </w:p>
    <w:p>
      <w:pPr>
        <w:ind w:right="320" w:firstLine="324"/>
        <w:spacing w:after="0" w:line="310" w:lineRule="auto"/>
        <w:rPr>
          <w:sz w:val="20"/>
          <w:szCs w:val="20"/>
          <w:color w:val="auto"/>
        </w:rPr>
      </w:pPr>
      <w:r>
        <w:rPr>
          <w:rFonts w:ascii="Arial" w:cs="Arial" w:eastAsia="Arial" w:hAnsi="Arial"/>
          <w:sz w:val="15"/>
          <w:szCs w:val="15"/>
          <w:color w:val="auto"/>
        </w:rPr>
        <w:t>The aggregate grant-date fair value of options vested for the three months ended September 30, 2022 and 2021 was $2.5 million and $2.1 million, respectively. The aggregate grant-date fair value of options vested for the nine months ended September 30, 2022 and 2021 was $9.6 million and $5.4 million, respectively.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Restricted Stock Units</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5"/>
          <w:szCs w:val="15"/>
          <w:color w:val="auto"/>
        </w:rPr>
        <w:t>Prior to the IPO, the Company granted performance-based RSUs (“PRSUs”) to employees and directors that contained both service-based and performance-based vesting conditions. The service-based vesting condition for these awards is typically satisfied over four years with a cliff-vesting period of one year and continued vesting quarterly thereafter. The performance-based vesting condition is satisfied on the earlier of (i) the effective date of a registration statement of the Company filed under the Securities Act for the sale of the Company’s common stock or (ii) immediately prior to the closing of a change in control of the Company. Both events were not deemed probable until consummated, and therefore, stock-based compensation expense related to these PRSUs remained unrecognized prior to the effectiveness of the IPO. Upon the effectiveness of the IPO the performance-based vesting condition was satisfied, and therefore, the Company recognized cumulative stock-based compensation expense of $1.1 million, using the accelerated attribution method for the portion of the awards for which the service-based vesting condition has been fully or partially satisfied. The remaining grant-date fair value of these PRSUs is being recognized over the remaining requisite service period.</w:t>
      </w:r>
    </w:p>
    <w:p>
      <w:pPr>
        <w:spacing w:after="0" w:line="122" w:lineRule="exact"/>
        <w:rPr>
          <w:sz w:val="20"/>
          <w:szCs w:val="20"/>
          <w:color w:val="auto"/>
        </w:rPr>
      </w:pPr>
    </w:p>
    <w:p>
      <w:pPr>
        <w:ind w:right="140" w:firstLine="324"/>
        <w:spacing w:after="0" w:line="269" w:lineRule="auto"/>
        <w:rPr>
          <w:sz w:val="20"/>
          <w:szCs w:val="20"/>
          <w:color w:val="auto"/>
        </w:rPr>
      </w:pPr>
      <w:r>
        <w:rPr>
          <w:rFonts w:ascii="Arial" w:cs="Arial" w:eastAsia="Arial" w:hAnsi="Arial"/>
          <w:sz w:val="16"/>
          <w:szCs w:val="16"/>
          <w:color w:val="auto"/>
        </w:rPr>
        <w:t>Beginning in August 2021, the Company began granting RSUs to employees and directors with service-based vesting conditions. The service-based vesting condition for these awards is typically satisfied over four years with a cliff vesting period of one year and continued vesting quarterly thereafter. The grant-date fair value of these RSUs will be recognized over the requisite service period.</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Restricted stock unit activity, including PRSUs, during the nine months ended September 30, 2022 was as follows: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0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Weighted-Average</w:t>
            </w:r>
          </w:p>
        </w:tc>
      </w:tr>
      <w:tr>
        <w:trPr>
          <w:trHeight w:val="176"/>
        </w:trPr>
        <w:tc>
          <w:tcPr>
            <w:tcW w:w="80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7"/>
              </w:rPr>
              <w:t>Grant-Date Fair Value</w:t>
            </w:r>
          </w:p>
        </w:tc>
      </w:tr>
      <w:tr>
        <w:trPr>
          <w:trHeight w:val="186"/>
        </w:trPr>
        <w:tc>
          <w:tcPr>
            <w:tcW w:w="8020" w:type="dxa"/>
            <w:vAlign w:val="bottom"/>
          </w:tcPr>
          <w:p>
            <w:pPr>
              <w:spacing w:after="0"/>
              <w:rPr>
                <w:sz w:val="16"/>
                <w:szCs w:val="16"/>
                <w:color w:val="auto"/>
              </w:rPr>
            </w:pPr>
          </w:p>
        </w:tc>
        <w:tc>
          <w:tcPr>
            <w:tcW w:w="1580" w:type="dxa"/>
            <w:vAlign w:val="bottom"/>
          </w:tcPr>
          <w:p>
            <w:pPr>
              <w:jc w:val="right"/>
              <w:ind w:right="161"/>
              <w:spacing w:after="0"/>
              <w:rPr>
                <w:sz w:val="20"/>
                <w:szCs w:val="20"/>
                <w:color w:val="auto"/>
              </w:rPr>
            </w:pPr>
            <w:r>
              <w:rPr>
                <w:rFonts w:ascii="Arial" w:cs="Arial" w:eastAsia="Arial" w:hAnsi="Arial"/>
                <w:sz w:val="14"/>
                <w:szCs w:val="14"/>
                <w:b w:val="1"/>
                <w:bCs w:val="1"/>
                <w:color w:val="auto"/>
              </w:rPr>
              <w:t>Number of Shares</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tcPr>
          <w:p>
            <w:pPr>
              <w:jc w:val="center"/>
              <w:ind w:right="82"/>
              <w:spacing w:after="0"/>
              <w:rPr>
                <w:sz w:val="20"/>
                <w:szCs w:val="20"/>
                <w:color w:val="auto"/>
              </w:rPr>
            </w:pPr>
            <w:r>
              <w:rPr>
                <w:rFonts w:ascii="Arial" w:cs="Arial" w:eastAsia="Arial" w:hAnsi="Arial"/>
                <w:sz w:val="14"/>
                <w:szCs w:val="14"/>
                <w:b w:val="1"/>
                <w:bCs w:val="1"/>
                <w:color w:val="auto"/>
                <w:w w:val="91"/>
              </w:rPr>
              <w:t>Per Share</w:t>
            </w:r>
          </w:p>
        </w:tc>
      </w:tr>
      <w:tr>
        <w:trPr>
          <w:trHeight w:val="39"/>
        </w:trPr>
        <w:tc>
          <w:tcPr>
            <w:tcW w:w="8020" w:type="dxa"/>
            <w:vAlign w:val="bottom"/>
            <w:tcBorders>
              <w:bottom w:val="single" w:sz="8" w:color="CCEEFF"/>
            </w:tcBorders>
          </w:tcPr>
          <w:p>
            <w:pPr>
              <w:spacing w:after="0"/>
              <w:rPr>
                <w:sz w:val="3"/>
                <w:szCs w:val="3"/>
                <w:color w:val="auto"/>
              </w:rPr>
            </w:pPr>
          </w:p>
        </w:tc>
        <w:tc>
          <w:tcPr>
            <w:tcW w:w="1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400" w:type="dxa"/>
            <w:vAlign w:val="bottom"/>
            <w:tcBorders>
              <w:bottom w:val="single" w:sz="8" w:color="auto"/>
            </w:tcBorders>
          </w:tcPr>
          <w:p>
            <w:pPr>
              <w:spacing w:after="0"/>
              <w:rPr>
                <w:sz w:val="3"/>
                <w:szCs w:val="3"/>
                <w:color w:val="auto"/>
              </w:rPr>
            </w:pPr>
          </w:p>
        </w:tc>
      </w:tr>
      <w:tr>
        <w:trPr>
          <w:trHeight w:val="237"/>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Unvested at January 1, 2022</w:t>
            </w:r>
          </w:p>
        </w:tc>
        <w:tc>
          <w:tcPr>
            <w:tcW w:w="158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3,372,585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24.83</w:t>
            </w:r>
          </w:p>
        </w:tc>
      </w:tr>
      <w:tr>
        <w:trPr>
          <w:trHeight w:val="233"/>
        </w:trPr>
        <w:tc>
          <w:tcPr>
            <w:tcW w:w="8020" w:type="dxa"/>
            <w:vAlign w:val="bottom"/>
          </w:tcPr>
          <w:p>
            <w:pPr>
              <w:ind w:left="20"/>
              <w:spacing w:after="0"/>
              <w:rPr>
                <w:sz w:val="20"/>
                <w:szCs w:val="20"/>
                <w:color w:val="auto"/>
              </w:rPr>
            </w:pPr>
            <w:r>
              <w:rPr>
                <w:rFonts w:ascii="Arial" w:cs="Arial" w:eastAsia="Arial" w:hAnsi="Arial"/>
                <w:sz w:val="16"/>
                <w:szCs w:val="16"/>
                <w:color w:val="auto"/>
              </w:rPr>
              <w:t>Granted</w:t>
            </w:r>
          </w:p>
        </w:tc>
        <w:tc>
          <w:tcPr>
            <w:tcW w:w="1580" w:type="dxa"/>
            <w:vAlign w:val="bottom"/>
          </w:tcPr>
          <w:p>
            <w:pPr>
              <w:jc w:val="right"/>
              <w:ind w:right="1"/>
              <w:spacing w:after="0"/>
              <w:rPr>
                <w:sz w:val="20"/>
                <w:szCs w:val="20"/>
                <w:color w:val="auto"/>
              </w:rPr>
            </w:pPr>
            <w:r>
              <w:rPr>
                <w:rFonts w:ascii="Arial" w:cs="Arial" w:eastAsia="Arial" w:hAnsi="Arial"/>
                <w:sz w:val="16"/>
                <w:szCs w:val="16"/>
                <w:color w:val="auto"/>
              </w:rPr>
              <w:t>19,393,131</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10.66</w:t>
            </w:r>
          </w:p>
        </w:tc>
      </w:tr>
      <w:tr>
        <w:trPr>
          <w:trHeight w:val="25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Vested</w:t>
            </w:r>
          </w:p>
        </w:tc>
        <w:tc>
          <w:tcPr>
            <w:tcW w:w="1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(1,770,540)</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13.64</w:t>
            </w:r>
          </w:p>
        </w:tc>
      </w:tr>
      <w:tr>
        <w:trPr>
          <w:trHeight w:val="237"/>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Cancelled/forfeited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(1,064,180)</w:t>
            </w:r>
          </w:p>
        </w:tc>
        <w:tc>
          <w:tcPr>
            <w:tcW w:w="8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17.49</w:t>
            </w:r>
          </w:p>
        </w:tc>
      </w:tr>
      <w:tr>
        <w:trPr>
          <w:trHeight w:val="26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Unvested at September 30, 2022</w:t>
            </w:r>
          </w:p>
        </w:tc>
        <w:tc>
          <w:tcPr>
            <w:tcW w:w="158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19,930,996</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12.43</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jc w:val="both"/>
        <w:ind w:right="20" w:firstLine="324"/>
        <w:spacing w:after="0" w:line="293" w:lineRule="auto"/>
        <w:rPr>
          <w:sz w:val="20"/>
          <w:szCs w:val="20"/>
          <w:color w:val="auto"/>
        </w:rPr>
      </w:pPr>
      <w:r>
        <w:rPr>
          <w:rFonts w:ascii="Arial" w:cs="Arial" w:eastAsia="Arial" w:hAnsi="Arial"/>
          <w:sz w:val="16"/>
          <w:szCs w:val="16"/>
          <w:color w:val="auto"/>
        </w:rPr>
        <w:t>In addition, during the three months ended March 31, 2022, as a result of the expiration of the lock-up agreement related to its IPO, the Company issued 124,026 shares of common stock subject to RSUs that were vested as of December 31, 2021, but not yet settled.</w:t>
      </w:r>
    </w:p>
    <w:p>
      <w:pPr>
        <w:spacing w:after="0" w:line="104" w:lineRule="exact"/>
        <w:rPr>
          <w:sz w:val="20"/>
          <w:szCs w:val="20"/>
          <w:color w:val="auto"/>
        </w:rPr>
      </w:pPr>
    </w:p>
    <w:p>
      <w:pPr>
        <w:jc w:val="both"/>
        <w:ind w:right="240" w:firstLine="324"/>
        <w:spacing w:after="0" w:line="269" w:lineRule="auto"/>
        <w:rPr>
          <w:sz w:val="20"/>
          <w:szCs w:val="20"/>
          <w:color w:val="auto"/>
        </w:rPr>
      </w:pPr>
      <w:r>
        <w:rPr>
          <w:rFonts w:ascii="Arial" w:cs="Arial" w:eastAsia="Arial" w:hAnsi="Arial"/>
          <w:sz w:val="16"/>
          <w:szCs w:val="16"/>
          <w:color w:val="auto"/>
        </w:rPr>
        <w:t>The weighted-average grant date fair value of RSUs, including PRSUs, granted during the nine months ended September 30, 2022 and 2021 was $10.66 and $23.16, respectively. The aggregate grant-date fair value of RSUs, including PRSUs, vested for the nine months ended September 30, 2022 and 2021 was $24.2 million and $0.1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 Stock Purchase Plan</w:t>
      </w:r>
    </w:p>
    <w:p>
      <w:pPr>
        <w:spacing w:after="0" w:line="18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6"/>
          <w:szCs w:val="16"/>
          <w:color w:val="auto"/>
        </w:rPr>
        <w:t>The ESPP provides for offering periods during which eligible employees can participate in the ESPP and be granted the right to purchase shares. Except for the first offering period, which commenced on September 22, 2021, offering periods shall commence on each subsequent March 1 and September 1, with each offering period consisting of four six-month purchase periods, for a total of a 24-month offering period. No offering periods may last longer than 27 months. Except for the first offering period, the grant date for accounting purposes is generally the first date of each offering period and expense is recognized over the requisite service period, which is considered to be the 24-month offering period. For the first offering period, the grant date for awards under the ESPP was met in October 2021, upon mutual agreement of terms and conditions between the Company and participants of the ESPP.</w:t>
      </w:r>
    </w:p>
    <w:p>
      <w:pPr>
        <w:spacing w:after="0" w:line="132" w:lineRule="exact"/>
        <w:rPr>
          <w:sz w:val="20"/>
          <w:szCs w:val="20"/>
          <w:color w:val="auto"/>
        </w:rPr>
      </w:pPr>
    </w:p>
    <w:p>
      <w:pPr>
        <w:ind w:right="100" w:firstLine="324"/>
        <w:spacing w:after="0" w:line="262" w:lineRule="auto"/>
        <w:rPr>
          <w:sz w:val="20"/>
          <w:szCs w:val="20"/>
          <w:color w:val="auto"/>
        </w:rPr>
      </w:pPr>
      <w:r>
        <w:rPr>
          <w:rFonts w:ascii="Arial" w:cs="Arial" w:eastAsia="Arial" w:hAnsi="Arial"/>
          <w:sz w:val="16"/>
          <w:szCs w:val="16"/>
          <w:color w:val="auto"/>
        </w:rPr>
        <w:t>The offering period that commenced on September 22, 2021, ended on February 28, 2022, due to a decline in the Company’s stock price at the end of the purchase period, triggering a new offering period, as required by the ESPP plan documents. A new 24-month offering period commenced on March 1, 2022. This event was accounted for as a modification under US GAAP in the first quarter of 2022, whereby the fair value of the ESPP offering was measured immediately before and after modification, resulting in incremental stock-based compensation expense of $3.6 million, which will be recognized over the new offering period, which is deemed to be the requisite service period. In addition, a subsequent 24-month offering commenced on September 1, 2022.</w:t>
      </w:r>
    </w:p>
    <w:p>
      <w:pPr>
        <w:spacing w:after="0" w:line="130" w:lineRule="exact"/>
        <w:rPr>
          <w:sz w:val="20"/>
          <w:szCs w:val="20"/>
          <w:color w:val="auto"/>
        </w:rPr>
      </w:pPr>
    </w:p>
    <w:p>
      <w:pPr>
        <w:jc w:val="both"/>
        <w:ind w:right="340" w:firstLine="324"/>
        <w:spacing w:after="0" w:line="269" w:lineRule="auto"/>
        <w:rPr>
          <w:sz w:val="20"/>
          <w:szCs w:val="20"/>
          <w:color w:val="auto"/>
        </w:rPr>
      </w:pPr>
      <w:r>
        <w:rPr>
          <w:rFonts w:ascii="Arial" w:cs="Arial" w:eastAsia="Arial" w:hAnsi="Arial"/>
          <w:sz w:val="16"/>
          <w:szCs w:val="16"/>
          <w:color w:val="auto"/>
        </w:rPr>
        <w:t>Eligible employees can contribute up to 15% of their eligible compensation, subject to limitation as provided for in the ESPP, and purchase the common stock at a purchase price per share equal to 85% of the lesser of the fair market value of the common stock on (i) the offering date, which is defined as the first business day of the offering period, or (ii) the purchase date, which is the final business day of the purchase period.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right="140" w:firstLine="324"/>
        <w:spacing w:after="0" w:line="269" w:lineRule="auto"/>
        <w:rPr>
          <w:sz w:val="20"/>
          <w:szCs w:val="20"/>
          <w:color w:val="auto"/>
        </w:rPr>
      </w:pPr>
      <w:r>
        <w:rPr>
          <w:rFonts w:ascii="Arial" w:cs="Arial" w:eastAsia="Arial" w:hAnsi="Arial"/>
          <w:sz w:val="16"/>
          <w:szCs w:val="16"/>
          <w:color w:val="auto"/>
        </w:rPr>
        <w:t>The fair value of the ESPP offerings was estimated using the Black-Scholes option-pricing model as of the respective offering dates, using the following assumptions. These assumptions represent the grant date fair value inputs for new offerings during 2022, as well as updated valuation information as of the modification date, for any offerings for which a modification occurred, requiring incremental expense to be measured at the modification date:</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800" w:type="dxa"/>
            <w:vAlign w:val="bottom"/>
          </w:tcPr>
          <w:p>
            <w:pPr>
              <w:spacing w:after="0"/>
              <w:rPr>
                <w:sz w:val="17"/>
                <w:szCs w:val="17"/>
                <w:color w:val="auto"/>
              </w:rPr>
            </w:pPr>
          </w:p>
        </w:tc>
        <w:tc>
          <w:tcPr>
            <w:tcW w:w="2440" w:type="dxa"/>
            <w:vAlign w:val="bottom"/>
          </w:tcPr>
          <w:p>
            <w:pPr>
              <w:jc w:val="right"/>
              <w:ind w:right="39"/>
              <w:spacing w:after="0"/>
              <w:rPr>
                <w:sz w:val="20"/>
                <w:szCs w:val="20"/>
                <w:color w:val="auto"/>
              </w:rPr>
            </w:pPr>
            <w:r>
              <w:rPr>
                <w:rFonts w:ascii="Arial" w:cs="Arial" w:eastAsia="Arial" w:hAnsi="Arial"/>
                <w:sz w:val="16"/>
                <w:szCs w:val="16"/>
                <w:b w:val="1"/>
                <w:bCs w:val="1"/>
                <w:color w:val="auto"/>
                <w:w w:val="97"/>
              </w:rPr>
              <w:t>Nine Months Ended September</w:t>
            </w:r>
          </w:p>
        </w:tc>
      </w:tr>
      <w:tr>
        <w:trPr>
          <w:trHeight w:val="223"/>
        </w:trPr>
        <w:tc>
          <w:tcPr>
            <w:tcW w:w="8800" w:type="dxa"/>
            <w:vAlign w:val="bottom"/>
          </w:tcPr>
          <w:p>
            <w:pPr>
              <w:spacing w:after="0"/>
              <w:rPr>
                <w:sz w:val="19"/>
                <w:szCs w:val="19"/>
                <w:color w:val="auto"/>
              </w:rPr>
            </w:pPr>
          </w:p>
        </w:tc>
        <w:tc>
          <w:tcPr>
            <w:tcW w:w="2440" w:type="dxa"/>
            <w:vAlign w:val="bottom"/>
            <w:tcBorders>
              <w:bottom w:val="single" w:sz="8" w:color="auto"/>
            </w:tcBorders>
          </w:tcPr>
          <w:p>
            <w:pPr>
              <w:jc w:val="right"/>
              <w:ind w:right="1039"/>
              <w:spacing w:after="0"/>
              <w:rPr>
                <w:sz w:val="20"/>
                <w:szCs w:val="20"/>
                <w:color w:val="auto"/>
              </w:rPr>
            </w:pPr>
            <w:r>
              <w:rPr>
                <w:rFonts w:ascii="Arial" w:cs="Arial" w:eastAsia="Arial" w:hAnsi="Arial"/>
                <w:sz w:val="16"/>
                <w:szCs w:val="16"/>
                <w:b w:val="1"/>
                <w:bCs w:val="1"/>
                <w:color w:val="auto"/>
              </w:rPr>
              <w:t>30,</w:t>
            </w:r>
          </w:p>
        </w:tc>
      </w:tr>
      <w:tr>
        <w:trPr>
          <w:trHeight w:val="237"/>
        </w:trPr>
        <w:tc>
          <w:tcPr>
            <w:tcW w:w="8800" w:type="dxa"/>
            <w:vAlign w:val="bottom"/>
            <w:tcBorders>
              <w:bottom w:val="single" w:sz="8" w:color="CCEEFF"/>
            </w:tcBorders>
          </w:tcPr>
          <w:p>
            <w:pPr>
              <w:spacing w:after="0"/>
              <w:rPr>
                <w:sz w:val="20"/>
                <w:szCs w:val="20"/>
                <w:color w:val="auto"/>
              </w:rPr>
            </w:pPr>
          </w:p>
        </w:tc>
        <w:tc>
          <w:tcPr>
            <w:tcW w:w="2440" w:type="dxa"/>
            <w:vAlign w:val="bottom"/>
            <w:tcBorders>
              <w:bottom w:val="single" w:sz="8" w:color="auto"/>
            </w:tcBorders>
          </w:tcPr>
          <w:p>
            <w:pPr>
              <w:jc w:val="right"/>
              <w:ind w:right="979"/>
              <w:spacing w:after="0"/>
              <w:rPr>
                <w:sz w:val="20"/>
                <w:szCs w:val="20"/>
                <w:color w:val="auto"/>
              </w:rPr>
            </w:pPr>
            <w:r>
              <w:rPr>
                <w:rFonts w:ascii="Arial" w:cs="Arial" w:eastAsia="Arial" w:hAnsi="Arial"/>
                <w:sz w:val="16"/>
                <w:szCs w:val="16"/>
                <w:b w:val="1"/>
                <w:bCs w:val="1"/>
                <w:color w:val="auto"/>
              </w:rPr>
              <w:t>2022</w:t>
            </w:r>
          </w:p>
        </w:tc>
      </w:tr>
      <w:tr>
        <w:trPr>
          <w:trHeight w:val="243"/>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Risk-free interest rates</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 to 3.48%</w:t>
            </w:r>
          </w:p>
        </w:tc>
      </w:tr>
      <w:tr>
        <w:trPr>
          <w:trHeight w:val="233"/>
        </w:trPr>
        <w:tc>
          <w:tcPr>
            <w:tcW w:w="8800" w:type="dxa"/>
            <w:vAlign w:val="bottom"/>
          </w:tcPr>
          <w:p>
            <w:pPr>
              <w:ind w:left="20"/>
              <w:spacing w:after="0"/>
              <w:rPr>
                <w:sz w:val="20"/>
                <w:szCs w:val="20"/>
                <w:color w:val="auto"/>
              </w:rPr>
            </w:pPr>
            <w:r>
              <w:rPr>
                <w:rFonts w:ascii="Arial" w:cs="Arial" w:eastAsia="Arial" w:hAnsi="Arial"/>
                <w:sz w:val="16"/>
                <w:szCs w:val="16"/>
                <w:color w:val="auto"/>
              </w:rPr>
              <w:t>Expected term</w:t>
            </w:r>
          </w:p>
        </w:tc>
        <w:tc>
          <w:tcPr>
            <w:tcW w:w="2440" w:type="dxa"/>
            <w:vAlign w:val="bottom"/>
          </w:tcPr>
          <w:p>
            <w:pPr>
              <w:jc w:val="right"/>
              <w:spacing w:after="0"/>
              <w:rPr>
                <w:sz w:val="20"/>
                <w:szCs w:val="20"/>
                <w:color w:val="auto"/>
              </w:rPr>
            </w:pPr>
            <w:r>
              <w:rPr>
                <w:rFonts w:ascii="Arial" w:cs="Arial" w:eastAsia="Arial" w:hAnsi="Arial"/>
                <w:sz w:val="16"/>
                <w:szCs w:val="16"/>
                <w:color w:val="auto"/>
              </w:rPr>
              <w:t>0.5 to 2.0 years</w:t>
            </w:r>
          </w:p>
        </w:tc>
      </w:tr>
      <w:tr>
        <w:trPr>
          <w:trHeight w:val="253"/>
        </w:trPr>
        <w:tc>
          <w:tcPr>
            <w:tcW w:w="8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Volatility</w:t>
            </w:r>
          </w:p>
        </w:tc>
        <w:tc>
          <w:tcPr>
            <w:tcW w:w="2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58.3% to 73.0%</w:t>
            </w:r>
          </w:p>
        </w:tc>
      </w:tr>
      <w:tr>
        <w:trPr>
          <w:trHeight w:val="224"/>
        </w:trPr>
        <w:tc>
          <w:tcPr>
            <w:tcW w:w="8800" w:type="dxa"/>
            <w:vAlign w:val="bottom"/>
          </w:tcPr>
          <w:p>
            <w:pPr>
              <w:ind w:left="20"/>
              <w:spacing w:after="0"/>
              <w:rPr>
                <w:sz w:val="20"/>
                <w:szCs w:val="20"/>
                <w:color w:val="auto"/>
              </w:rPr>
            </w:pPr>
            <w:r>
              <w:rPr>
                <w:rFonts w:ascii="Arial" w:cs="Arial" w:eastAsia="Arial" w:hAnsi="Arial"/>
                <w:sz w:val="16"/>
                <w:szCs w:val="16"/>
                <w:color w:val="auto"/>
              </w:rPr>
              <w:t>Dividend rate</w:t>
            </w:r>
          </w:p>
        </w:tc>
        <w:tc>
          <w:tcPr>
            <w:tcW w:w="2440" w:type="dxa"/>
            <w:vAlign w:val="bottom"/>
          </w:tcPr>
          <w:p>
            <w:pPr>
              <w:jc w:val="right"/>
              <w:spacing w:after="0"/>
              <w:rPr>
                <w:sz w:val="20"/>
                <w:szCs w:val="20"/>
                <w:color w:val="auto"/>
              </w:rPr>
            </w:pPr>
            <w:r>
              <w:rPr>
                <w:rFonts w:ascii="Arial" w:cs="Arial" w:eastAsia="Arial" w:hAnsi="Arial"/>
                <w:sz w:val="16"/>
                <w:szCs w:val="16"/>
                <w:color w:val="auto"/>
              </w:rPr>
              <w:t>— %</w:t>
            </w:r>
          </w:p>
        </w:tc>
      </w:tr>
    </w:tbl>
    <w:p>
      <w:pPr>
        <w:spacing w:after="0" w:line="266" w:lineRule="exact"/>
        <w:rPr>
          <w:sz w:val="20"/>
          <w:szCs w:val="20"/>
          <w:color w:val="auto"/>
        </w:rPr>
      </w:pPr>
    </w:p>
    <w:p>
      <w:pPr>
        <w:ind w:right="20" w:firstLine="324"/>
        <w:spacing w:after="0" w:line="284" w:lineRule="auto"/>
        <w:rPr>
          <w:sz w:val="20"/>
          <w:szCs w:val="20"/>
          <w:color w:val="auto"/>
        </w:rPr>
      </w:pPr>
      <w:r>
        <w:rPr>
          <w:rFonts w:ascii="Arial" w:cs="Arial" w:eastAsia="Arial" w:hAnsi="Arial"/>
          <w:sz w:val="15"/>
          <w:szCs w:val="15"/>
          <w:color w:val="auto"/>
        </w:rPr>
        <w:t>As the March 1, 2022 offering was accounted for as a modification to the October 2021 offering, the ESPP was fair valued immediately before and after modification on March 1, 2022 to assess the incremental fair value provided as a result of the modification. The inputs to the incremental fair value are included in the table above. For the inputs to the original grant date fair value for that offering in October 2021, please see Note 10. “Stock-Based Compensation” t within the footnotes to the audited annual consolidated financial statements included in the Company’s Annual Report on Form 10-K for the year ended December 31, 2021.</w:t>
      </w:r>
    </w:p>
    <w:p>
      <w:pPr>
        <w:spacing w:after="0" w:line="11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 Expense</w:t>
      </w:r>
    </w:p>
    <w:p>
      <w:pPr>
        <w:spacing w:after="0" w:line="185" w:lineRule="exact"/>
        <w:rPr>
          <w:sz w:val="20"/>
          <w:szCs w:val="20"/>
          <w:color w:val="auto"/>
        </w:rPr>
      </w:pPr>
    </w:p>
    <w:p>
      <w:pPr>
        <w:ind w:right="100" w:firstLine="324"/>
        <w:spacing w:after="0" w:line="275" w:lineRule="auto"/>
        <w:rPr>
          <w:sz w:val="20"/>
          <w:szCs w:val="20"/>
          <w:color w:val="auto"/>
        </w:rPr>
      </w:pPr>
      <w:r>
        <w:rPr>
          <w:rFonts w:ascii="Arial" w:cs="Arial" w:eastAsia="Arial" w:hAnsi="Arial"/>
          <w:sz w:val="16"/>
          <w:szCs w:val="16"/>
          <w:color w:val="auto"/>
        </w:rPr>
        <w:t>Stock-based compensation expense for stock options, RSUs, PRSUs, and the ESPP, included in the Condensed Consolidated Statements of Operations, net of amounts capitalized to internal-use software, as described in Note 4, was as follows: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80" w:type="dxa"/>
            <w:vAlign w:val="bottom"/>
            <w:gridSpan w:val="5"/>
          </w:tcPr>
          <w:p>
            <w:pPr>
              <w:ind w:left="14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9"/>
                <w:szCs w:val="19"/>
                <w:color w:val="auto"/>
              </w:rPr>
            </w:pPr>
          </w:p>
        </w:tc>
        <w:tc>
          <w:tcPr>
            <w:tcW w:w="298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7"/>
              </w:rPr>
              <w:t>Nine Months Ended September 30,</w:t>
            </w:r>
          </w:p>
        </w:tc>
      </w:tr>
      <w:tr>
        <w:trPr>
          <w:trHeight w:val="236"/>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20" w:type="dxa"/>
            <w:vAlign w:val="bottom"/>
            <w:tcBorders>
              <w:top w:val="single" w:sz="8" w:color="auto"/>
              <w:bottom w:val="single" w:sz="8" w:color="auto"/>
            </w:tcBorders>
          </w:tcPr>
          <w:p>
            <w:pPr>
              <w:spacing w:after="0"/>
              <w:rPr>
                <w:sz w:val="20"/>
                <w:szCs w:val="20"/>
                <w:color w:val="auto"/>
              </w:rPr>
            </w:pPr>
          </w:p>
        </w:tc>
        <w:tc>
          <w:tcPr>
            <w:tcW w:w="13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0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support and operations</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w:t>
            </w:r>
          </w:p>
        </w:tc>
      </w:tr>
      <w:tr>
        <w:trPr>
          <w:trHeight w:val="233"/>
        </w:trPr>
        <w:tc>
          <w:tcPr>
            <w:tcW w:w="4720" w:type="dxa"/>
            <w:vAlign w:val="bottom"/>
          </w:tcPr>
          <w:p>
            <w:pPr>
              <w:ind w:left="20"/>
              <w:spacing w:after="0"/>
              <w:rPr>
                <w:sz w:val="20"/>
                <w:szCs w:val="20"/>
                <w:color w:val="auto"/>
              </w:rPr>
            </w:pPr>
            <w:r>
              <w:rPr>
                <w:rFonts w:ascii="Arial" w:cs="Arial" w:eastAsia="Arial" w:hAnsi="Arial"/>
                <w:sz w:val="16"/>
                <w:szCs w:val="16"/>
                <w:color w:val="auto"/>
              </w:rPr>
              <w:t>Marketing</w:t>
            </w:r>
          </w:p>
        </w:tc>
        <w:tc>
          <w:tcPr>
            <w:tcW w:w="22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3,352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486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7,149</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1,207</w:t>
            </w:r>
          </w:p>
        </w:tc>
      </w:tr>
      <w:tr>
        <w:trPr>
          <w:trHeight w:val="253"/>
        </w:trPr>
        <w:tc>
          <w:tcPr>
            <w:tcW w:w="47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Technology and development</w:t>
            </w:r>
          </w:p>
        </w:tc>
        <w:tc>
          <w:tcPr>
            <w:tcW w:w="220" w:type="dxa"/>
            <w:vAlign w:val="bottom"/>
            <w:shd w:val="clear" w:color="auto" w:fill="CCEEFF"/>
          </w:tcPr>
          <w:p>
            <w:pPr>
              <w:spacing w:after="0"/>
              <w:rPr>
                <w:sz w:val="21"/>
                <w:szCs w:val="21"/>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13,238</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1,698</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30,959</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3,522</w:t>
            </w:r>
          </w:p>
        </w:tc>
      </w:tr>
      <w:tr>
        <w:trPr>
          <w:trHeight w:val="237"/>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General and administrative</w:t>
            </w:r>
          </w:p>
        </w:tc>
        <w:tc>
          <w:tcPr>
            <w:tcW w:w="2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8,929</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2,516</w:t>
            </w:r>
          </w:p>
        </w:tc>
        <w:tc>
          <w:tcPr>
            <w:tcW w:w="8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4,159</w:t>
            </w:r>
          </w:p>
        </w:tc>
      </w:tr>
      <w:tr>
        <w:trPr>
          <w:trHeight w:val="268"/>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Total</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25,745</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4,740</w:t>
            </w:r>
          </w:p>
        </w:tc>
        <w:tc>
          <w:tcPr>
            <w:tcW w:w="8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67,880</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8,965</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140" w:firstLine="324"/>
        <w:spacing w:after="0" w:line="269" w:lineRule="auto"/>
        <w:rPr>
          <w:sz w:val="20"/>
          <w:szCs w:val="20"/>
          <w:color w:val="auto"/>
        </w:rPr>
      </w:pPr>
      <w:r>
        <w:rPr>
          <w:rFonts w:ascii="Arial" w:cs="Arial" w:eastAsia="Arial" w:hAnsi="Arial"/>
          <w:sz w:val="16"/>
          <w:szCs w:val="16"/>
          <w:color w:val="auto"/>
        </w:rPr>
        <w:t>As of September 30, 2022, the total unamortized compensation cost related to all non-vested equity awards, including options, RSUs, and PRSUs was $240.6 million, which will be amortized over a weighted-average remaining requisite service period of approximately 2.9 years. As of September 30, 2022, the total unrecognized compensation expense related to the ESPP was $5.1 million, which is expected to be amortized over the next 1.9 years.</w:t>
      </w:r>
    </w:p>
    <w:p>
      <w:pPr>
        <w:spacing w:after="0" w:line="124" w:lineRule="exact"/>
        <w:rPr>
          <w:sz w:val="20"/>
          <w:szCs w:val="20"/>
          <w:color w:val="auto"/>
        </w:rPr>
      </w:pPr>
    </w:p>
    <w:p>
      <w:pPr>
        <w:jc w:val="both"/>
        <w:ind w:right="100" w:firstLine="324"/>
        <w:spacing w:after="0" w:line="269" w:lineRule="auto"/>
        <w:rPr>
          <w:sz w:val="20"/>
          <w:szCs w:val="20"/>
          <w:color w:val="auto"/>
        </w:rPr>
      </w:pPr>
      <w:r>
        <w:rPr>
          <w:rFonts w:ascii="Arial" w:cs="Arial" w:eastAsia="Arial" w:hAnsi="Arial"/>
          <w:sz w:val="16"/>
          <w:szCs w:val="16"/>
          <w:color w:val="auto"/>
        </w:rPr>
        <w:t>The Company did not record a material income tax benefit related to stock-based compensation expense and stock option exercises, during the three and nine months ended September 30, 2022 and 2021, since the Company currently maintains a full valuation allowance against its net deferred tax assets in the jurisdictions where material stock compensation expense charges are incurred, and stock option exercises occurred.</w:t>
      </w:r>
    </w:p>
    <w:p>
      <w:pPr>
        <w:spacing w:after="0" w:line="133" w:lineRule="exact"/>
        <w:rPr>
          <w:sz w:val="20"/>
          <w:szCs w:val="20"/>
          <w:color w:val="auto"/>
        </w:rPr>
      </w:pPr>
    </w:p>
    <w:p>
      <w:pPr>
        <w:ind w:left="360" w:hanging="352"/>
        <w:spacing w:after="0"/>
        <w:tabs>
          <w:tab w:leader="none" w:pos="360" w:val="left"/>
        </w:tabs>
        <w:numPr>
          <w:ilvl w:val="0"/>
          <w:numId w:val="15"/>
        </w:numPr>
        <w:rPr>
          <w:rFonts w:ascii="Arial" w:cs="Arial" w:eastAsia="Arial" w:hAnsi="Arial"/>
          <w:sz w:val="16"/>
          <w:szCs w:val="16"/>
          <w:b w:val="1"/>
          <w:bCs w:val="1"/>
          <w:color w:val="auto"/>
        </w:rPr>
      </w:pPr>
      <w:r>
        <w:rPr>
          <w:rFonts w:ascii="Arial" w:cs="Arial" w:eastAsia="Arial" w:hAnsi="Arial"/>
          <w:sz w:val="16"/>
          <w:szCs w:val="16"/>
          <w:b w:val="1"/>
          <w:bCs w:val="1"/>
          <w:color w:val="auto"/>
        </w:rPr>
        <w:t>Related Party Arrangements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5"/>
          <w:szCs w:val="15"/>
          <w:color w:val="auto"/>
        </w:rPr>
        <w:t>The Company entered into promissory note agreements in October 2018 which were fully repaid in August 2021. The promissory note agreements were entered into with two executive employees in conjunction with their early exercise of stock options to purchase 1,800,000 shares of the Company’s common stock. The principal amount of the notes was $3.1 million, and interest accrued at 2.83% on the outstanding principal amount annually. The notes were secured by the shares that were exercised. Based on the nonrecourse nature of these agreements, the agreements were accounted for as grants of options to purchase common stock. The fair value of the stock options, determined using the Black-Scholes option pricing model was being recognized over the requisite service period. The associated shares are legally outstanding and included in shares of common stock outstanding in the Condensed Consolidated Financial Statements, but were historically excluded from the Company’s net loss per common share calculations, as these shares of common stock were considered unvested until the underlying promissory notes were repaid.</w:t>
      </w:r>
    </w:p>
    <w:p>
      <w:pPr>
        <w:spacing w:after="0" w:line="132"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On August 23, 2021, the promissory notes were paid in full, including all accrued interest. After repayment of the loan, these shares are now considered outstanding for purposes of the Company’s net loss per common share calculations to the extent the shares are vested.</w:t>
      </w:r>
    </w:p>
    <w:p>
      <w:pPr>
        <w:spacing w:after="0" w:line="114"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12.</w:t>
      </w:r>
      <w:r>
        <w:rPr>
          <w:sz w:val="20"/>
          <w:szCs w:val="20"/>
          <w:color w:val="auto"/>
        </w:rPr>
        <w:tab/>
      </w:r>
      <w:r>
        <w:rPr>
          <w:rFonts w:ascii="Arial" w:cs="Arial" w:eastAsia="Arial" w:hAnsi="Arial"/>
          <w:sz w:val="14"/>
          <w:szCs w:val="14"/>
          <w:b w:val="1"/>
          <w:bCs w:val="1"/>
          <w:color w:val="auto"/>
        </w:rPr>
        <w:t>Income Taxes</w:t>
      </w:r>
    </w:p>
    <w:p>
      <w:pPr>
        <w:spacing w:after="0" w:line="18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6"/>
          <w:szCs w:val="16"/>
          <w:color w:val="auto"/>
        </w:rPr>
        <w:t>The Company computes its tax provision for interim periods by applying the estimated annual effective tax rate to year-to-date income from recurring operations and adjusting for discrete items arising in that quarter.</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191135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0" w:name="page21"/>
    <w:bookmarkEnd w:id="20"/>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both"/>
        <w:ind w:right="220" w:firstLine="324"/>
        <w:spacing w:after="0" w:line="295" w:lineRule="auto"/>
        <w:rPr>
          <w:sz w:val="20"/>
          <w:szCs w:val="20"/>
          <w:color w:val="auto"/>
        </w:rPr>
      </w:pPr>
      <w:r>
        <w:rPr>
          <w:rFonts w:ascii="Arial" w:cs="Arial" w:eastAsia="Arial" w:hAnsi="Arial"/>
          <w:sz w:val="15"/>
          <w:szCs w:val="15"/>
          <w:color w:val="auto"/>
        </w:rPr>
        <w:t>The Company’s effective tax rates on pretax income were (0.9)% and (2.1)% for the three months ended September 30, 2022 and 2021, respectively and (1.6)% and (5.1)% for the nine months ended September 30, 2022 and 2021, respectively. The difference between the effective tax rate and the U.S. federal statutory rate of 21.0% in both periods was primarily the result of foreign income taxed at different rates and changes in the U.S. valuation allowance.</w:t>
      </w:r>
    </w:p>
    <w:p>
      <w:pPr>
        <w:spacing w:after="0" w:line="106"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Company maintains a full valuation allowance against the U.S. net deferred tax assets, as it believes that these deferred tax assets do not meet the more likely than not threshold.</w:t>
      </w:r>
    </w:p>
    <w:p>
      <w:pPr>
        <w:spacing w:after="0" w:line="104" w:lineRule="exact"/>
        <w:rPr>
          <w:sz w:val="20"/>
          <w:szCs w:val="20"/>
          <w:color w:val="auto"/>
        </w:rPr>
      </w:pPr>
    </w:p>
    <w:p>
      <w:pPr>
        <w:ind w:right="60" w:firstLine="324"/>
        <w:spacing w:after="0" w:line="275" w:lineRule="auto"/>
        <w:rPr>
          <w:sz w:val="20"/>
          <w:szCs w:val="20"/>
          <w:color w:val="auto"/>
        </w:rPr>
      </w:pPr>
      <w:r>
        <w:rPr>
          <w:rFonts w:ascii="Arial" w:cs="Arial" w:eastAsia="Arial" w:hAnsi="Arial"/>
          <w:sz w:val="16"/>
          <w:szCs w:val="16"/>
          <w:color w:val="auto"/>
        </w:rPr>
        <w:t>The Company files income tax returns in the U.S. federal jurisdiction, various state jurisdictions, and internationally. As of September 30, 2022, tax years 2011 through 2021 remain open for examination by taxing authorities.</w:t>
      </w:r>
    </w:p>
    <w:p>
      <w:pPr>
        <w:spacing w:after="0" w:line="132" w:lineRule="exact"/>
        <w:rPr>
          <w:sz w:val="20"/>
          <w:szCs w:val="20"/>
          <w:color w:val="auto"/>
        </w:rPr>
      </w:pPr>
    </w:p>
    <w:p>
      <w:pPr>
        <w:ind w:right="220" w:firstLine="324"/>
        <w:spacing w:after="0" w:line="269" w:lineRule="auto"/>
        <w:rPr>
          <w:sz w:val="20"/>
          <w:szCs w:val="20"/>
          <w:color w:val="auto"/>
        </w:rPr>
      </w:pPr>
      <w:r>
        <w:rPr>
          <w:rFonts w:ascii="Arial" w:cs="Arial" w:eastAsia="Arial" w:hAnsi="Arial"/>
          <w:sz w:val="16"/>
          <w:szCs w:val="16"/>
          <w:color w:val="auto"/>
        </w:rPr>
        <w:t xml:space="preserve">The Company has applied ASC 740,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and has determined that it has no uncertain tax positions both during the three and nine months ended September 30, 2022 and 2021. The Company recognizes interest and, if applicable, penalties for any uncertain tax positions. Interest and penalties are recorded as a component of income tax expense.</w:t>
      </w:r>
    </w:p>
    <w:p>
      <w:pPr>
        <w:spacing w:after="0" w:line="120" w:lineRule="exact"/>
        <w:rPr>
          <w:sz w:val="20"/>
          <w:szCs w:val="20"/>
          <w:color w:val="auto"/>
        </w:rPr>
      </w:pPr>
    </w:p>
    <w:p>
      <w:pPr>
        <w:spacing w:after="0"/>
        <w:tabs>
          <w:tab w:leader="none" w:pos="360" w:val="left"/>
        </w:tabs>
        <w:rPr>
          <w:sz w:val="20"/>
          <w:szCs w:val="20"/>
          <w:color w:val="auto"/>
        </w:rPr>
      </w:pPr>
      <w:r>
        <w:rPr>
          <w:rFonts w:ascii="Arial" w:cs="Arial" w:eastAsia="Arial" w:hAnsi="Arial"/>
          <w:sz w:val="16"/>
          <w:szCs w:val="16"/>
          <w:b w:val="1"/>
          <w:bCs w:val="1"/>
          <w:color w:val="auto"/>
        </w:rPr>
        <w:t>13.</w:t>
      </w:r>
      <w:r>
        <w:rPr>
          <w:sz w:val="20"/>
          <w:szCs w:val="20"/>
          <w:color w:val="auto"/>
        </w:rPr>
        <w:tab/>
      </w:r>
      <w:r>
        <w:rPr>
          <w:rFonts w:ascii="Arial" w:cs="Arial" w:eastAsia="Arial" w:hAnsi="Arial"/>
          <w:sz w:val="14"/>
          <w:szCs w:val="14"/>
          <w:b w:val="1"/>
          <w:bCs w:val="1"/>
          <w:color w:val="auto"/>
        </w:rPr>
        <w:t>401(k) Defined Contribution Plan</w:t>
      </w:r>
    </w:p>
    <w:p>
      <w:pPr>
        <w:spacing w:after="0" w:line="171" w:lineRule="exact"/>
        <w:rPr>
          <w:sz w:val="20"/>
          <w:szCs w:val="20"/>
          <w:color w:val="auto"/>
        </w:rPr>
      </w:pPr>
    </w:p>
    <w:p>
      <w:pPr>
        <w:ind w:firstLine="324"/>
        <w:spacing w:after="0" w:line="279" w:lineRule="auto"/>
        <w:rPr>
          <w:sz w:val="20"/>
          <w:szCs w:val="20"/>
          <w:color w:val="auto"/>
        </w:rPr>
      </w:pPr>
      <w:r>
        <w:rPr>
          <w:rFonts w:ascii="Arial" w:cs="Arial" w:eastAsia="Arial" w:hAnsi="Arial"/>
          <w:sz w:val="15"/>
          <w:szCs w:val="15"/>
          <w:color w:val="auto"/>
        </w:rPr>
        <w:t>The Company has a defined contribution savings plan under Section 401(k) of the Internal Revenue Code. This plan covers substantially all domestic employees who meet minimum age and service requirements and allows participants to defer a portion of their annual compensation on a pretax basis. The Company makes discretionary matching contributions that are funded in the following year. The Company matches 50% of the first 3% of compensation that a participant contributes to the 401(k) plan, up to a maximum of $1,000 per plan year. The Company contributed $0.3 million and $0.2 million to the 401(k) plan during each of the nine months ended September 30, 2022 and 2021, respectively, which represents the current period contribution for the prior plan year. The Company may also make discretionary profit-sharing contributions. No profit-sharing contributions were made during the three and nine months ended September 30, 2022 and 2021.</w:t>
      </w:r>
    </w:p>
    <w:p>
      <w:pPr>
        <w:spacing w:after="0" w:line="129" w:lineRule="exact"/>
        <w:rPr>
          <w:sz w:val="20"/>
          <w:szCs w:val="20"/>
          <w:color w:val="auto"/>
        </w:rPr>
      </w:pPr>
    </w:p>
    <w:p>
      <w:pPr>
        <w:ind w:right="8580" w:firstLine="8"/>
        <w:spacing w:after="0" w:line="526" w:lineRule="auto"/>
        <w:tabs>
          <w:tab w:leader="none" w:pos="364" w:val="left"/>
        </w:tabs>
        <w:numPr>
          <w:ilvl w:val="0"/>
          <w:numId w:val="16"/>
        </w:numPr>
        <w:rPr>
          <w:rFonts w:ascii="Arial" w:cs="Arial" w:eastAsia="Arial" w:hAnsi="Arial"/>
          <w:sz w:val="14"/>
          <w:szCs w:val="14"/>
          <w:b w:val="1"/>
          <w:bCs w:val="1"/>
          <w:color w:val="auto"/>
        </w:rPr>
      </w:pPr>
      <w:r>
        <w:rPr>
          <w:rFonts w:ascii="Arial" w:cs="Arial" w:eastAsia="Arial" w:hAnsi="Arial"/>
          <w:sz w:val="14"/>
          <w:szCs w:val="14"/>
          <w:b w:val="1"/>
          <w:bCs w:val="1"/>
          <w:color w:val="auto"/>
        </w:rPr>
        <w:t>Commitments and Contingencies Guarantees and Indemnification</w:t>
      </w:r>
    </w:p>
    <w:p>
      <w:pPr>
        <w:ind w:right="40" w:firstLine="324"/>
        <w:spacing w:after="0" w:line="268" w:lineRule="auto"/>
        <w:rPr>
          <w:sz w:val="20"/>
          <w:szCs w:val="20"/>
          <w:color w:val="auto"/>
        </w:rPr>
      </w:pPr>
      <w:r>
        <w:rPr>
          <w:rFonts w:ascii="Arial" w:cs="Arial" w:eastAsia="Arial" w:hAnsi="Arial"/>
          <w:sz w:val="16"/>
          <w:szCs w:val="16"/>
          <w:color w:val="auto"/>
        </w:rPr>
        <w:t>In the ordinary course of business to facilitate sales of its services, the Company has entered into agreements with, among others, suppliers, and partners that include guarantees or indemnity provisions. The Company also enters into indemnification agreements with its officers and directors, and the Company’s certificate of incorporation and bylaws include similar indemnification obligations to its officers and directors. To date, there have been no claims under any indemnification provisions; therefore, no such amounts have been accrued as of September 30, 2022 and December 31, 2021.</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 and Loss Contingencies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Litigation</w:t>
      </w:r>
    </w:p>
    <w:p>
      <w:pPr>
        <w:spacing w:after="0" w:line="181" w:lineRule="exact"/>
        <w:rPr>
          <w:sz w:val="20"/>
          <w:szCs w:val="20"/>
          <w:color w:val="auto"/>
        </w:rPr>
      </w:pPr>
    </w:p>
    <w:p>
      <w:pPr>
        <w:ind w:right="80" w:firstLine="324"/>
        <w:spacing w:after="0" w:line="284" w:lineRule="auto"/>
        <w:rPr>
          <w:sz w:val="20"/>
          <w:szCs w:val="20"/>
          <w:color w:val="auto"/>
        </w:rPr>
      </w:pPr>
      <w:r>
        <w:rPr>
          <w:rFonts w:ascii="Arial" w:cs="Arial" w:eastAsia="Arial" w:hAnsi="Arial"/>
          <w:sz w:val="15"/>
          <w:szCs w:val="15"/>
          <w:color w:val="auto"/>
        </w:rPr>
        <w:t>From time to time, the Company may be a party to litigation and subject to claims incident to the ordinary course of business, including intellectual property claims, labor and employment claims, threatened claims, breach of contract claims, and other matters. The Company accrues estimates for resolution of legal and other contingencies when losses are probable and estimable. Although the results of litigation and claims are inherently unpredictable, the Company believes that there was not at least a reasonable possibility that it had incurred a material loss with respect to such loss contingencies, as of September 30, 2022 and December 31, 2021.</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Indirect taxes</w:t>
      </w:r>
    </w:p>
    <w:p>
      <w:pPr>
        <w:spacing w:after="0" w:line="181" w:lineRule="exact"/>
        <w:rPr>
          <w:sz w:val="20"/>
          <w:szCs w:val="20"/>
          <w:color w:val="auto"/>
        </w:rPr>
      </w:pPr>
    </w:p>
    <w:p>
      <w:pPr>
        <w:ind w:firstLine="324"/>
        <w:spacing w:after="0" w:line="295" w:lineRule="auto"/>
        <w:rPr>
          <w:sz w:val="20"/>
          <w:szCs w:val="20"/>
          <w:color w:val="auto"/>
        </w:rPr>
      </w:pPr>
      <w:r>
        <w:rPr>
          <w:rFonts w:ascii="Arial" w:cs="Arial" w:eastAsia="Arial" w:hAnsi="Arial"/>
          <w:sz w:val="14"/>
          <w:szCs w:val="14"/>
          <w:color w:val="auto"/>
        </w:rPr>
        <w:t>The Company is subject to indirect taxation in various states and foreign jurisdictions in which it conducts business. The Company continually evaluates those jurisdictions in which indirect tax obligations exist to determine whether a loss is probable, as defined under U.S. GAAP, and the amount can be estimated. Determination of whether a loss is probable, and an estimate can be made, is a complex undertaking and takes into account the judgment of management, third-party research, and the potential outcome of negotiation and interpretations by regulators and courts, among other information. Such assessments include consideration of management’s evaluation of domestic and international tax laws and regulations, external legal advice, and the extent to which they may apply to our business and industry. Our assessment of probability includes consideration of recent inquiries, potential or actual self-disclosure, and applicability of tax rules driven by the growth in our business. As a result of this assessment, management accrued an estimated liability of approximately $3.8 million as of December 31, 2021, reflecting the amount that the Company believes is probable and estimable. There was no change to the estimated liability as of September 30, 2022. The estimated liability is recorded within ‘</w:t>
      </w:r>
      <w:r>
        <w:rPr>
          <w:rFonts w:ascii="Arial" w:cs="Arial" w:eastAsia="Arial" w:hAnsi="Arial"/>
          <w:sz w:val="14"/>
          <w:szCs w:val="14"/>
          <w:i w:val="1"/>
          <w:iCs w:val="1"/>
          <w:color w:val="auto"/>
        </w:rPr>
        <w:t>Accrued expenses and other current</w:t>
      </w:r>
      <w:r>
        <w:rPr>
          <w:rFonts w:ascii="Arial" w:cs="Arial" w:eastAsia="Arial" w:hAnsi="Arial"/>
          <w:sz w:val="14"/>
          <w:szCs w:val="14"/>
          <w:color w:val="auto"/>
        </w:rPr>
        <w:t xml:space="preserve"> </w:t>
      </w:r>
      <w:r>
        <w:rPr>
          <w:rFonts w:ascii="Arial" w:cs="Arial" w:eastAsia="Arial" w:hAnsi="Arial"/>
          <w:sz w:val="14"/>
          <w:szCs w:val="14"/>
          <w:i w:val="1"/>
          <w:iCs w:val="1"/>
          <w:color w:val="auto"/>
        </w:rPr>
        <w:t>liabilities</w:t>
      </w:r>
      <w:r>
        <w:rPr>
          <w:rFonts w:ascii="Arial" w:cs="Arial" w:eastAsia="Arial" w:hAnsi="Arial"/>
          <w:sz w:val="14"/>
          <w:szCs w:val="14"/>
          <w:color w:val="auto"/>
        </w:rPr>
        <w:t>’ on the Company’s Condensed Consolidated Balance Sheets. Although the Company believes its indirect tax estimates and associated liabilities are reasonable, the</w:t>
      </w:r>
      <w:r>
        <w:rPr>
          <w:rFonts w:ascii="Arial" w:cs="Arial" w:eastAsia="Arial" w:hAnsi="Arial"/>
          <w:sz w:val="14"/>
          <w:szCs w:val="14"/>
          <w:i w:val="1"/>
          <w:iCs w:val="1"/>
          <w:color w:val="auto"/>
        </w:rPr>
        <w:t xml:space="preserve"> </w:t>
      </w:r>
      <w:r>
        <w:rPr>
          <w:rFonts w:ascii="Arial" w:cs="Arial" w:eastAsia="Arial" w:hAnsi="Arial"/>
          <w:sz w:val="14"/>
          <w:szCs w:val="14"/>
          <w:color w:val="auto"/>
        </w:rPr>
        <w:t>final determination of indirect tax audits or settlements could be materially different than the amounts recorded, and such differences could be material.</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Reserve for Transaction Losses</w:t>
      </w:r>
    </w:p>
    <w:p>
      <w:pPr>
        <w:spacing w:after="0" w:line="171" w:lineRule="exact"/>
        <w:rPr>
          <w:sz w:val="20"/>
          <w:szCs w:val="20"/>
          <w:color w:val="auto"/>
        </w:rPr>
      </w:pPr>
    </w:p>
    <w:p>
      <w:pPr>
        <w:ind w:right="40" w:firstLine="324"/>
        <w:spacing w:after="0" w:line="268" w:lineRule="auto"/>
        <w:rPr>
          <w:sz w:val="20"/>
          <w:szCs w:val="20"/>
          <w:color w:val="auto"/>
        </w:rPr>
      </w:pPr>
      <w:r>
        <w:rPr>
          <w:rFonts w:ascii="Arial" w:cs="Arial" w:eastAsia="Arial" w:hAnsi="Arial"/>
          <w:sz w:val="16"/>
          <w:szCs w:val="16"/>
          <w:color w:val="auto"/>
        </w:rPr>
        <w:t>The Company is exposed to transaction losses including chargebacks, unauthorized credit card use, fraud associated with customer transactions and other non-fraud-related losses. The Company establishes reserves for such losses based on historical trends and any specific risks identified in processing customer transactions. This reserve is included in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on the Condensed Consolidated Balance Sheets. The provision for transaction losses is included as a component of ‘</w:t>
      </w:r>
      <w:r>
        <w:rPr>
          <w:rFonts w:ascii="Arial" w:cs="Arial" w:eastAsia="Arial" w:hAnsi="Arial"/>
          <w:sz w:val="16"/>
          <w:szCs w:val="16"/>
          <w:i w:val="1"/>
          <w:iCs w:val="1"/>
          <w:color w:val="auto"/>
        </w:rPr>
        <w:t>Transaction expenses</w:t>
      </w:r>
      <w:r>
        <w:rPr>
          <w:rFonts w:ascii="Arial" w:cs="Arial" w:eastAsia="Arial" w:hAnsi="Arial"/>
          <w:sz w:val="16"/>
          <w:szCs w:val="16"/>
          <w:color w:val="auto"/>
        </w:rPr>
        <w:t>’ within the Condensed Consolidated Statements of Operations.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9680" w:type="dxa"/>
            <w:vAlign w:val="bottom"/>
            <w:gridSpan w:val="10"/>
          </w:tcPr>
          <w:p>
            <w:pPr>
              <w:ind w:left="340"/>
              <w:spacing w:after="0"/>
              <w:rPr>
                <w:sz w:val="20"/>
                <w:szCs w:val="20"/>
                <w:color w:val="auto"/>
              </w:rPr>
            </w:pPr>
            <w:r>
              <w:rPr>
                <w:rFonts w:ascii="Arial" w:cs="Arial" w:eastAsia="Arial" w:hAnsi="Arial"/>
                <w:sz w:val="16"/>
                <w:szCs w:val="16"/>
                <w:color w:val="auto"/>
                <w:w w:val="91"/>
              </w:rPr>
              <w:t>The table below summarizes the Company’s reserve for transaction losses for the three and nine months ended September 30, 2022 and 2021:</w:t>
            </w:r>
          </w:p>
        </w:tc>
        <w:tc>
          <w:tcPr>
            <w:tcW w:w="2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4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940" w:type="dxa"/>
            <w:vAlign w:val="bottom"/>
            <w:gridSpan w:val="5"/>
          </w:tcPr>
          <w:p>
            <w:pPr>
              <w:ind w:left="2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24"/>
                <w:szCs w:val="24"/>
                <w:color w:val="auto"/>
              </w:rPr>
            </w:pPr>
          </w:p>
        </w:tc>
        <w:tc>
          <w:tcPr>
            <w:tcW w:w="302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8"/>
              </w:rPr>
              <w:t>Nine Months Ended September 30,</w:t>
            </w:r>
          </w:p>
        </w:tc>
        <w:tc>
          <w:tcPr>
            <w:tcW w:w="0" w:type="dxa"/>
            <w:vAlign w:val="bottom"/>
          </w:tcPr>
          <w:p>
            <w:pPr>
              <w:spacing w:after="0"/>
              <w:rPr>
                <w:sz w:val="1"/>
                <w:szCs w:val="1"/>
                <w:color w:val="auto"/>
              </w:rPr>
            </w:pPr>
          </w:p>
        </w:tc>
      </w:tr>
      <w:tr>
        <w:trPr>
          <w:trHeight w:val="237"/>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18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8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136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Beginning balance</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2,264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center"/>
              <w:ind w:left="619"/>
              <w:spacing w:after="0"/>
              <w:rPr>
                <w:sz w:val="20"/>
                <w:szCs w:val="20"/>
                <w:color w:val="auto"/>
              </w:rPr>
            </w:pPr>
            <w:r>
              <w:rPr>
                <w:rFonts w:ascii="Arial" w:cs="Arial" w:eastAsia="Arial" w:hAnsi="Arial"/>
                <w:sz w:val="16"/>
                <w:szCs w:val="16"/>
                <w:color w:val="auto"/>
                <w:w w:val="89"/>
              </w:rPr>
              <w:t>2,321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3,250</w:t>
            </w:r>
          </w:p>
        </w:tc>
        <w:tc>
          <w:tcPr>
            <w:tcW w:w="0" w:type="dxa"/>
            <w:vAlign w:val="bottom"/>
          </w:tcPr>
          <w:p>
            <w:pPr>
              <w:spacing w:after="0"/>
              <w:rPr>
                <w:sz w:val="1"/>
                <w:szCs w:val="1"/>
                <w:color w:val="auto"/>
              </w:rPr>
            </w:pPr>
          </w:p>
        </w:tc>
      </w:tr>
      <w:tr>
        <w:trPr>
          <w:trHeight w:val="233"/>
        </w:trPr>
        <w:tc>
          <w:tcPr>
            <w:tcW w:w="4740" w:type="dxa"/>
            <w:vAlign w:val="bottom"/>
          </w:tcPr>
          <w:p>
            <w:pPr>
              <w:ind w:left="140"/>
              <w:spacing w:after="0"/>
              <w:rPr>
                <w:sz w:val="20"/>
                <w:szCs w:val="20"/>
                <w:color w:val="auto"/>
              </w:rPr>
            </w:pPr>
            <w:r>
              <w:rPr>
                <w:rFonts w:ascii="Arial" w:cs="Arial" w:eastAsia="Arial" w:hAnsi="Arial"/>
                <w:sz w:val="16"/>
                <w:szCs w:val="16"/>
                <w:color w:val="auto"/>
              </w:rPr>
              <w:t>Provisions for transaction losses</w:t>
            </w: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13,005</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jc w:val="center"/>
              <w:ind w:left="619"/>
              <w:spacing w:after="0"/>
              <w:rPr>
                <w:sz w:val="20"/>
                <w:szCs w:val="20"/>
                <w:color w:val="auto"/>
              </w:rPr>
            </w:pPr>
            <w:r>
              <w:rPr>
                <w:rFonts w:ascii="Arial" w:cs="Arial" w:eastAsia="Arial" w:hAnsi="Arial"/>
                <w:sz w:val="16"/>
                <w:szCs w:val="16"/>
                <w:color w:val="auto"/>
                <w:w w:val="89"/>
              </w:rPr>
              <w:t>5,492</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31,240</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20,065</w:t>
            </w:r>
          </w:p>
        </w:tc>
        <w:tc>
          <w:tcPr>
            <w:tcW w:w="0" w:type="dxa"/>
            <w:vAlign w:val="bottom"/>
          </w:tcPr>
          <w:p>
            <w:pPr>
              <w:spacing w:after="0"/>
              <w:rPr>
                <w:sz w:val="1"/>
                <w:szCs w:val="1"/>
                <w:color w:val="auto"/>
              </w:rPr>
            </w:pPr>
          </w:p>
        </w:tc>
      </w:tr>
      <w:tr>
        <w:trPr>
          <w:trHeight w:val="246"/>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Losses incurred, net of recoveries</w:t>
            </w:r>
          </w:p>
        </w:tc>
        <w:tc>
          <w:tcPr>
            <w:tcW w:w="34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(12,514)</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center"/>
              <w:ind w:left="579"/>
              <w:spacing w:after="0"/>
              <w:rPr>
                <w:sz w:val="20"/>
                <w:szCs w:val="20"/>
                <w:color w:val="auto"/>
              </w:rPr>
            </w:pPr>
            <w:r>
              <w:rPr>
                <w:rFonts w:ascii="Arial" w:cs="Arial" w:eastAsia="Arial" w:hAnsi="Arial"/>
                <w:sz w:val="16"/>
                <w:szCs w:val="16"/>
                <w:color w:val="auto"/>
                <w:w w:val="94"/>
              </w:rPr>
              <w:t>(6,306)</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(31,619)</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(21,808)</w:t>
            </w:r>
          </w:p>
        </w:tc>
        <w:tc>
          <w:tcPr>
            <w:tcW w:w="0" w:type="dxa"/>
            <w:vAlign w:val="bottom"/>
          </w:tcPr>
          <w:p>
            <w:pPr>
              <w:spacing w:after="0"/>
              <w:rPr>
                <w:sz w:val="1"/>
                <w:szCs w:val="1"/>
                <w:color w:val="auto"/>
              </w:rPr>
            </w:pPr>
          </w:p>
        </w:tc>
      </w:tr>
      <w:tr>
        <w:trPr>
          <w:trHeight w:val="243"/>
        </w:trPr>
        <w:tc>
          <w:tcPr>
            <w:tcW w:w="4740" w:type="dxa"/>
            <w:vAlign w:val="bottom"/>
          </w:tcPr>
          <w:p>
            <w:pPr>
              <w:ind w:left="20"/>
              <w:spacing w:after="0"/>
              <w:rPr>
                <w:sz w:val="20"/>
                <w:szCs w:val="20"/>
                <w:color w:val="auto"/>
              </w:rPr>
            </w:pPr>
            <w:r>
              <w:rPr>
                <w:rFonts w:ascii="Arial" w:cs="Arial" w:eastAsia="Arial" w:hAnsi="Arial"/>
                <w:sz w:val="16"/>
                <w:szCs w:val="16"/>
                <w:color w:val="auto"/>
              </w:rPr>
              <w:t>Ending balance</w:t>
            </w: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2,755</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tcPr>
          <w:p>
            <w:pPr>
              <w:jc w:val="center"/>
              <w:ind w:left="619"/>
              <w:spacing w:after="0"/>
              <w:rPr>
                <w:sz w:val="20"/>
                <w:szCs w:val="20"/>
                <w:color w:val="auto"/>
              </w:rPr>
            </w:pPr>
            <w:r>
              <w:rPr>
                <w:rFonts w:ascii="Arial" w:cs="Arial" w:eastAsia="Arial" w:hAnsi="Arial"/>
                <w:sz w:val="16"/>
                <w:szCs w:val="16"/>
                <w:color w:val="auto"/>
                <w:w w:val="89"/>
              </w:rPr>
              <w:t>1,507</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2,755</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1,507</w:t>
            </w:r>
          </w:p>
        </w:tc>
        <w:tc>
          <w:tcPr>
            <w:tcW w:w="0" w:type="dxa"/>
            <w:vAlign w:val="bottom"/>
          </w:tcPr>
          <w:p>
            <w:pPr>
              <w:spacing w:after="0"/>
              <w:rPr>
                <w:sz w:val="1"/>
                <w:szCs w:val="1"/>
                <w:color w:val="auto"/>
              </w:rPr>
            </w:pPr>
          </w:p>
        </w:tc>
      </w:tr>
      <w:tr>
        <w:trPr>
          <w:trHeight w:val="21"/>
        </w:trPr>
        <w:tc>
          <w:tcPr>
            <w:tcW w:w="4740" w:type="dxa"/>
            <w:vAlign w:val="bottom"/>
            <w:vMerge w:val="restart"/>
          </w:tcPr>
          <w:p>
            <w:pPr>
              <w:spacing w:after="0"/>
              <w:rPr>
                <w:sz w:val="20"/>
                <w:szCs w:val="20"/>
                <w:color w:val="auto"/>
              </w:rPr>
            </w:pPr>
            <w:r>
              <w:rPr>
                <w:rFonts w:ascii="Arial" w:cs="Arial" w:eastAsia="Arial" w:hAnsi="Arial"/>
                <w:sz w:val="16"/>
                <w:szCs w:val="16"/>
                <w:b w:val="1"/>
                <w:bCs w:val="1"/>
                <w:color w:val="auto"/>
              </w:rPr>
              <w:t>15.  Accrued Expenses &amp; Other Current Liabilities</w:t>
            </w: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47"/>
        </w:trPr>
        <w:tc>
          <w:tcPr>
            <w:tcW w:w="47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5080" w:type="dxa"/>
            <w:vAlign w:val="bottom"/>
            <w:gridSpan w:val="2"/>
          </w:tcPr>
          <w:p>
            <w:pPr>
              <w:ind w:left="340"/>
              <w:spacing w:after="0"/>
              <w:rPr>
                <w:sz w:val="20"/>
                <w:szCs w:val="20"/>
                <w:color w:val="auto"/>
              </w:rPr>
            </w:pPr>
            <w:r>
              <w:rPr>
                <w:rFonts w:ascii="Arial" w:cs="Arial" w:eastAsia="Arial" w:hAnsi="Arial"/>
                <w:sz w:val="16"/>
                <w:szCs w:val="16"/>
                <w:color w:val="auto"/>
                <w:w w:val="92"/>
              </w:rPr>
              <w:t>Accrued expenses and other current liabilities consisted of the following:</w:t>
            </w: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6"/>
                <w:szCs w:val="16"/>
                <w:b w:val="1"/>
                <w:bCs w:val="1"/>
                <w:color w:val="auto"/>
              </w:rPr>
              <w:t>September 30,</w:t>
            </w:r>
          </w:p>
        </w:tc>
        <w:tc>
          <w:tcPr>
            <w:tcW w:w="200" w:type="dxa"/>
            <w:vAlign w:val="bottom"/>
          </w:tcPr>
          <w:p>
            <w:pPr>
              <w:spacing w:after="0"/>
              <w:rPr>
                <w:sz w:val="24"/>
                <w:szCs w:val="24"/>
                <w:color w:val="auto"/>
              </w:rPr>
            </w:pPr>
          </w:p>
        </w:tc>
        <w:tc>
          <w:tcPr>
            <w:tcW w:w="1360" w:type="dxa"/>
            <w:vAlign w:val="bottom"/>
          </w:tcPr>
          <w:p>
            <w:pPr>
              <w:jc w:val="right"/>
              <w:ind w:right="239"/>
              <w:spacing w:after="0"/>
              <w:rPr>
                <w:sz w:val="20"/>
                <w:szCs w:val="20"/>
                <w:color w:val="auto"/>
              </w:rPr>
            </w:pPr>
            <w:r>
              <w:rPr>
                <w:rFonts w:ascii="Arial" w:cs="Arial" w:eastAsia="Arial" w:hAnsi="Arial"/>
                <w:sz w:val="16"/>
                <w:szCs w:val="16"/>
                <w:b w:val="1"/>
                <w:bCs w:val="1"/>
                <w:color w:val="auto"/>
                <w:w w:val="97"/>
              </w:rPr>
              <w:t>December 31,</w:t>
            </w:r>
          </w:p>
        </w:tc>
        <w:tc>
          <w:tcPr>
            <w:tcW w:w="0" w:type="dxa"/>
            <w:vAlign w:val="bottom"/>
          </w:tcPr>
          <w:p>
            <w:pPr>
              <w:spacing w:after="0"/>
              <w:rPr>
                <w:sz w:val="1"/>
                <w:szCs w:val="1"/>
                <w:color w:val="auto"/>
              </w:rPr>
            </w:pPr>
          </w:p>
        </w:tc>
      </w:tr>
      <w:tr>
        <w:trPr>
          <w:trHeight w:val="256"/>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CCEEFF"/>
            </w:tcBorders>
          </w:tcPr>
          <w:p>
            <w:pPr>
              <w:spacing w:after="0"/>
              <w:rPr>
                <w:sz w:val="22"/>
                <w:szCs w:val="22"/>
                <w:color w:val="auto"/>
              </w:rPr>
            </w:pPr>
          </w:p>
        </w:tc>
        <w:tc>
          <w:tcPr>
            <w:tcW w:w="12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360" w:type="dxa"/>
            <w:vAlign w:val="bottom"/>
            <w:tcBorders>
              <w:bottom w:val="single" w:sz="8" w:color="CCEEFF"/>
            </w:tcBorders>
          </w:tcPr>
          <w:p>
            <w:pPr>
              <w:spacing w:after="0"/>
              <w:rPr>
                <w:sz w:val="22"/>
                <w:szCs w:val="22"/>
                <w:color w:val="auto"/>
              </w:rPr>
            </w:pPr>
          </w:p>
        </w:tc>
        <w:tc>
          <w:tcPr>
            <w:tcW w:w="118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3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0" w:type="dxa"/>
            <w:vAlign w:val="bottom"/>
          </w:tcPr>
          <w:p>
            <w:pPr>
              <w:spacing w:after="0"/>
              <w:rPr>
                <w:sz w:val="1"/>
                <w:szCs w:val="1"/>
                <w:color w:val="auto"/>
              </w:rPr>
            </w:pPr>
          </w:p>
        </w:tc>
      </w:tr>
      <w:tr>
        <w:trPr>
          <w:trHeight w:val="24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Trade settlement liability</w:t>
            </w:r>
            <w:r>
              <w:rPr>
                <w:rFonts w:ascii="Arial" w:cs="Arial" w:eastAsia="Arial" w:hAnsi="Arial"/>
                <w:sz w:val="21"/>
                <w:szCs w:val="21"/>
                <w:color w:val="auto"/>
                <w:vertAlign w:val="superscript"/>
              </w:rPr>
              <w:t>(1)</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48,101</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18,924</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ESPP employee contributions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449</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1,551</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transaction expense</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15,987</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12,639</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Accrued marketing expense</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8,546</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10,788</w:t>
            </w:r>
          </w:p>
        </w:tc>
        <w:tc>
          <w:tcPr>
            <w:tcW w:w="0" w:type="dxa"/>
            <w:vAlign w:val="bottom"/>
          </w:tcPr>
          <w:p>
            <w:pPr>
              <w:spacing w:after="0"/>
              <w:rPr>
                <w:sz w:val="1"/>
                <w:szCs w:val="1"/>
                <w:color w:val="auto"/>
              </w:rPr>
            </w:pPr>
          </w:p>
        </w:tc>
      </w:tr>
      <w:tr>
        <w:trPr>
          <w:trHeight w:val="253"/>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Reserve for transaction losses</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2,755</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3,134</w:t>
            </w:r>
          </w:p>
        </w:tc>
        <w:tc>
          <w:tcPr>
            <w:tcW w:w="0" w:type="dxa"/>
            <w:vAlign w:val="bottom"/>
          </w:tcPr>
          <w:p>
            <w:pPr>
              <w:spacing w:after="0"/>
              <w:rPr>
                <w:sz w:val="1"/>
                <w:szCs w:val="1"/>
                <w:color w:val="auto"/>
              </w:rPr>
            </w:pPr>
          </w:p>
        </w:tc>
      </w:tr>
      <w:tr>
        <w:trPr>
          <w:trHeight w:val="233"/>
        </w:trPr>
        <w:tc>
          <w:tcPr>
            <w:tcW w:w="4740" w:type="dxa"/>
            <w:vAlign w:val="bottom"/>
          </w:tcPr>
          <w:p>
            <w:pPr>
              <w:ind w:left="20"/>
              <w:spacing w:after="0"/>
              <w:rPr>
                <w:sz w:val="20"/>
                <w:szCs w:val="20"/>
                <w:color w:val="auto"/>
              </w:rPr>
            </w:pPr>
            <w:r>
              <w:rPr>
                <w:rFonts w:ascii="Arial" w:cs="Arial" w:eastAsia="Arial" w:hAnsi="Arial"/>
                <w:sz w:val="16"/>
                <w:szCs w:val="16"/>
                <w:color w:val="auto"/>
              </w:rPr>
              <w:t>Accrued salaries and benefits</w:t>
            </w: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4,593</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2,923</w:t>
            </w:r>
          </w:p>
        </w:tc>
        <w:tc>
          <w:tcPr>
            <w:tcW w:w="0" w:type="dxa"/>
            <w:vAlign w:val="bottom"/>
          </w:tcPr>
          <w:p>
            <w:pPr>
              <w:spacing w:after="0"/>
              <w:rPr>
                <w:sz w:val="1"/>
                <w:szCs w:val="1"/>
                <w:color w:val="auto"/>
              </w:rPr>
            </w:pPr>
          </w:p>
        </w:tc>
      </w:tr>
      <w:tr>
        <w:trPr>
          <w:trHeight w:val="246"/>
        </w:trPr>
        <w:tc>
          <w:tcPr>
            <w:tcW w:w="4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accrued expenses</w:t>
            </w:r>
          </w:p>
        </w:tc>
        <w:tc>
          <w:tcPr>
            <w:tcW w:w="34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19,142</w:t>
            </w:r>
          </w:p>
        </w:tc>
        <w:tc>
          <w:tcPr>
            <w:tcW w:w="8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16,724</w:t>
            </w:r>
          </w:p>
        </w:tc>
        <w:tc>
          <w:tcPr>
            <w:tcW w:w="0" w:type="dxa"/>
            <w:vAlign w:val="bottom"/>
          </w:tcPr>
          <w:p>
            <w:pPr>
              <w:spacing w:after="0"/>
              <w:rPr>
                <w:sz w:val="1"/>
                <w:szCs w:val="1"/>
                <w:color w:val="auto"/>
              </w:rPr>
            </w:pPr>
          </w:p>
        </w:tc>
      </w:tr>
      <w:tr>
        <w:trPr>
          <w:trHeight w:val="243"/>
        </w:trPr>
        <w:tc>
          <w:tcPr>
            <w:tcW w:w="4740" w:type="dxa"/>
            <w:vAlign w:val="bottom"/>
          </w:tcPr>
          <w:p>
            <w:pPr>
              <w:ind w:left="240"/>
              <w:spacing w:after="0"/>
              <w:rPr>
                <w:sz w:val="20"/>
                <w:szCs w:val="20"/>
                <w:color w:val="auto"/>
              </w:rPr>
            </w:pPr>
            <w:r>
              <w:rPr>
                <w:rFonts w:ascii="Arial" w:cs="Arial" w:eastAsia="Arial" w:hAnsi="Arial"/>
                <w:sz w:val="16"/>
                <w:szCs w:val="16"/>
                <w:color w:val="auto"/>
              </w:rPr>
              <w:t>Total</w:t>
            </w:r>
          </w:p>
        </w:tc>
        <w:tc>
          <w:tcPr>
            <w:tcW w:w="3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99,573</w:t>
            </w:r>
          </w:p>
        </w:tc>
        <w:tc>
          <w:tcPr>
            <w:tcW w:w="80" w:type="dxa"/>
            <w:vAlign w:val="bottom"/>
          </w:tcPr>
          <w:p>
            <w:pPr>
              <w:spacing w:after="0"/>
              <w:rPr>
                <w:sz w:val="21"/>
                <w:szCs w:val="21"/>
                <w:color w:val="auto"/>
              </w:rPr>
            </w:pPr>
          </w:p>
        </w:tc>
        <w:tc>
          <w:tcPr>
            <w:tcW w:w="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66,683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w:t>
      </w:r>
    </w:p>
    <w:p>
      <w:pPr>
        <w:spacing w:after="0" w:line="22" w:lineRule="exact"/>
        <w:rPr>
          <w:sz w:val="20"/>
          <w:szCs w:val="20"/>
          <w:color w:val="auto"/>
        </w:rPr>
      </w:pPr>
    </w:p>
    <w:p>
      <w:pPr>
        <w:ind w:left="660" w:right="20" w:hanging="328"/>
        <w:spacing w:after="0" w:line="267" w:lineRule="auto"/>
        <w:tabs>
          <w:tab w:leader="none" w:pos="660" w:val="left"/>
        </w:tabs>
        <w:numPr>
          <w:ilvl w:val="1"/>
          <w:numId w:val="17"/>
        </w:numPr>
        <w:rPr>
          <w:rFonts w:ascii="Arial" w:cs="Arial" w:eastAsia="Arial" w:hAnsi="Arial"/>
          <w:sz w:val="16"/>
          <w:szCs w:val="16"/>
          <w:color w:val="auto"/>
        </w:rPr>
      </w:pPr>
      <w:r>
        <w:rPr>
          <w:rFonts w:ascii="Arial" w:cs="Arial" w:eastAsia="Arial" w:hAnsi="Arial"/>
          <w:sz w:val="16"/>
          <w:szCs w:val="16"/>
          <w:color w:val="auto"/>
        </w:rPr>
        <w:t>The trade settlement liability amount represents the total of book overdrafts and disbursement postfunding liabilities owed to our disbursement partners. Refer to Note 2. “Basis of Presentation and Summary of Significant Accounting Policies” to our Condensed Consolidated Financial Statements included in Part I, Item 1 of this Quarterly Report on Form 10-Q for further discussion.</w:t>
      </w:r>
    </w:p>
    <w:p>
      <w:pPr>
        <w:spacing w:after="0" w:line="120" w:lineRule="exact"/>
        <w:rPr>
          <w:rFonts w:ascii="Arial" w:cs="Arial" w:eastAsia="Arial" w:hAnsi="Arial"/>
          <w:sz w:val="16"/>
          <w:szCs w:val="16"/>
          <w:color w:val="auto"/>
        </w:rPr>
      </w:pPr>
    </w:p>
    <w:p>
      <w:pPr>
        <w:ind w:left="500" w:hanging="362"/>
        <w:spacing w:after="0"/>
        <w:tabs>
          <w:tab w:leader="none" w:pos="50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Segment and Geographical Information</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5"/>
          <w:szCs w:val="15"/>
          <w:color w:val="auto"/>
        </w:rPr>
        <w:t>The Company determines operating segments based on how its chief operating decision maker (“CODM”) manages the business, makes operating decisions around the allocation of resources, and evaluates operating performance. The Company’s CODM is its Chief Executive Officer, who reviews the Company’s operating results on a consolidated basis. The Company operates as one segment. Based on the information provided to and reviewed by the Company’s CODM, the Company believes that the nature, amount, timing, and uncertainty of its revenue and how it is affected by economic factors are most appropriately depicted through the Company’s primary geographical locations. Revenues recorded by the Company are substantially all from the Company’s single performance obligation which are earned from similar services for which the nature of associated fees and the related revenue recognition models are substantially the same.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presents the Company’s revenue disaggregated by primary geographical location: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4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6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36"/>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26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United States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122,068</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88,852</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337,986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238,695</w:t>
            </w:r>
          </w:p>
        </w:tc>
      </w:tr>
      <w:tr>
        <w:trPr>
          <w:trHeight w:val="233"/>
        </w:trPr>
        <w:tc>
          <w:tcPr>
            <w:tcW w:w="4740" w:type="dxa"/>
            <w:vAlign w:val="bottom"/>
          </w:tcPr>
          <w:p>
            <w:pPr>
              <w:ind w:left="140"/>
              <w:spacing w:after="0"/>
              <w:rPr>
                <w:sz w:val="20"/>
                <w:szCs w:val="20"/>
                <w:color w:val="auto"/>
              </w:rPr>
            </w:pPr>
            <w:r>
              <w:rPr>
                <w:rFonts w:ascii="Arial" w:cs="Arial" w:eastAsia="Arial" w:hAnsi="Arial"/>
                <w:sz w:val="16"/>
                <w:szCs w:val="16"/>
                <w:color w:val="auto"/>
              </w:rPr>
              <w:t>Canada</w:t>
            </w: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20,624</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15,025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56,983</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39,980</w:t>
            </w:r>
          </w:p>
        </w:tc>
      </w:tr>
      <w:tr>
        <w:trPr>
          <w:trHeight w:val="246"/>
        </w:trPr>
        <w:tc>
          <w:tcPr>
            <w:tcW w:w="474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Rest of world</w:t>
            </w:r>
          </w:p>
        </w:tc>
        <w:tc>
          <w:tcPr>
            <w:tcW w:w="24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26,567</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17,367</w:t>
            </w:r>
          </w:p>
        </w:tc>
        <w:tc>
          <w:tcPr>
            <w:tcW w:w="8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67,559</w:t>
            </w:r>
          </w:p>
        </w:tc>
        <w:tc>
          <w:tcPr>
            <w:tcW w:w="8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44,675</w:t>
            </w:r>
          </w:p>
        </w:tc>
      </w:tr>
      <w:tr>
        <w:trPr>
          <w:trHeight w:val="243"/>
        </w:trPr>
        <w:tc>
          <w:tcPr>
            <w:tcW w:w="4740" w:type="dxa"/>
            <w:vAlign w:val="bottom"/>
          </w:tcPr>
          <w:p>
            <w:pPr>
              <w:ind w:left="240"/>
              <w:spacing w:after="0"/>
              <w:rPr>
                <w:sz w:val="20"/>
                <w:szCs w:val="20"/>
                <w:color w:val="auto"/>
              </w:rPr>
            </w:pPr>
            <w:r>
              <w:rPr>
                <w:rFonts w:ascii="Arial" w:cs="Arial" w:eastAsia="Arial" w:hAnsi="Arial"/>
                <w:sz w:val="16"/>
                <w:szCs w:val="16"/>
                <w:color w:val="auto"/>
              </w:rPr>
              <w:t>Total revenue</w:t>
            </w: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169,259</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121,244</w:t>
            </w:r>
          </w:p>
        </w:tc>
        <w:tc>
          <w:tcPr>
            <w:tcW w:w="80" w:type="dxa"/>
            <w:vAlign w:val="bottom"/>
          </w:tcPr>
          <w:p>
            <w:pPr>
              <w:spacing w:after="0"/>
              <w:rPr>
                <w:sz w:val="21"/>
                <w:szCs w:val="21"/>
                <w:color w:val="auto"/>
              </w:rPr>
            </w:pP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462,528</w:t>
            </w:r>
          </w:p>
        </w:tc>
        <w:tc>
          <w:tcPr>
            <w:tcW w:w="80" w:type="dxa"/>
            <w:vAlign w:val="bottom"/>
          </w:tcPr>
          <w:p>
            <w:pPr>
              <w:spacing w:after="0"/>
              <w:rPr>
                <w:sz w:val="21"/>
                <w:szCs w:val="21"/>
                <w:color w:val="auto"/>
              </w:rPr>
            </w:pP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323,350</w:t>
            </w:r>
          </w:p>
        </w:tc>
      </w:tr>
      <w:tr>
        <w:trPr>
          <w:trHeight w:val="21"/>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Revenue is attributed to the country in which the sending customer is located.</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22" w:name="page23"/>
    <w:bookmarkEnd w:id="22"/>
    <w:p>
      <w:pPr>
        <w:spacing w:after="0"/>
        <w:rPr>
          <w:sz w:val="20"/>
          <w:szCs w:val="20"/>
          <w:color w:val="auto"/>
        </w:rPr>
      </w:pPr>
      <w:r>
        <w:rPr>
          <w:rFonts w:ascii="Arial" w:cs="Arial" w:eastAsia="Arial" w:hAnsi="Arial"/>
          <w:sz w:val="16"/>
          <w:szCs w:val="16"/>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Management’s Discussion and Analysis of Financial Condition and Results of Operations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6"/>
          <w:szCs w:val="16"/>
          <w:i w:val="1"/>
          <w:iCs w:val="1"/>
          <w:color w:val="auto"/>
        </w:rPr>
        <w:t xml:space="preserve">You should read the following discussion and analysis of our financial condition and results of operations together with our Condensed Consolidated Financial Statements and the related notes appearing elsewhere in this Quarterly Report on Form 10-Q and our audited consolidated financial statements and the related notes and the discussion under the heading </w:t>
      </w:r>
      <w:r>
        <w:rPr>
          <w:rFonts w:ascii="Arial" w:cs="Arial" w:eastAsia="Arial" w:hAnsi="Arial"/>
          <w:sz w:val="17"/>
          <w:szCs w:val="17"/>
          <w:i w:val="1"/>
          <w:iCs w:val="1"/>
          <w:color w:val="auto"/>
        </w:rPr>
        <w:t>“</w:t>
      </w:r>
      <w:r>
        <w:rPr>
          <w:rFonts w:ascii="Arial" w:cs="Arial" w:eastAsia="Arial" w:hAnsi="Arial"/>
          <w:sz w:val="16"/>
          <w:szCs w:val="16"/>
          <w:i w:val="1"/>
          <w:iCs w:val="1"/>
          <w:color w:val="auto"/>
        </w:rPr>
        <w:t>Management’s Discussion and Analysis of Financial Condition and Results of Operations</w:t>
      </w:r>
      <w:r>
        <w:rPr>
          <w:rFonts w:ascii="Arial" w:cs="Arial" w:eastAsia="Arial" w:hAnsi="Arial"/>
          <w:sz w:val="17"/>
          <w:szCs w:val="17"/>
          <w:i w:val="1"/>
          <w:iCs w:val="1"/>
          <w:color w:val="auto"/>
        </w:rPr>
        <w:t>”</w:t>
      </w:r>
      <w:r>
        <w:rPr>
          <w:rFonts w:ascii="Arial" w:cs="Arial" w:eastAsia="Arial" w:hAnsi="Arial"/>
          <w:sz w:val="16"/>
          <w:szCs w:val="16"/>
          <w:i w:val="1"/>
          <w:iCs w:val="1"/>
          <w:color w:val="auto"/>
        </w:rPr>
        <w:t xml:space="preserve"> included in the Annual Report on Form 10-K for the year ended December 31, 2021. You should read the sections titled “Risk Factors” in this Quarterly Report on Form 10-Q as well as in the Annual Report on Form 10-K and “Special Note Regarding Forward-Looking Statements” for a discussion of important factors that could cause actual results to differ materially from the results described in or implied by the forward-looking statements contained in the following discussion and analysis. The forward-looking statements in this Form 10-Q represent our views as of the date of this Form 10-Q. Except as may be required by law, we assume no obligation to update these forward-looking statements or the reasons that results could differ from these forward-looking statements. You should, therefore, not rely on these forward-looking statements as representing our views as of any date subsequent to the date of this Form 10-Q.</w:t>
      </w:r>
    </w:p>
    <w:p>
      <w:pPr>
        <w:spacing w:after="0" w:line="22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Remitly is a leading digital financial services provider for immigrants and their families in over 170 countries around the world.</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Our differentiated approach to addressing the complexity of cross-border remittances and financial services is composed of four core elements:</w:t>
      </w:r>
    </w:p>
    <w:p>
      <w:pPr>
        <w:spacing w:after="0" w:line="177" w:lineRule="exact"/>
        <w:rPr>
          <w:sz w:val="20"/>
          <w:szCs w:val="20"/>
          <w:color w:val="auto"/>
        </w:rPr>
      </w:pPr>
    </w:p>
    <w:p>
      <w:pPr>
        <w:ind w:left="660" w:right="80" w:hanging="328"/>
        <w:spacing w:after="0" w:line="259"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 xml:space="preserve">Providing a simple and reliable way of sending money with our mobile-centric suite of products. </w:t>
      </w:r>
      <w:r>
        <w:rPr>
          <w:rFonts w:ascii="Arial" w:cs="Arial" w:eastAsia="Arial" w:hAnsi="Arial"/>
          <w:sz w:val="16"/>
          <w:szCs w:val="16"/>
          <w:color w:val="auto"/>
        </w:rPr>
        <w:t>Today, over 90% of our customers engage with Remitly on</w:t>
      </w:r>
      <w:r>
        <w:rPr>
          <w:rFonts w:ascii="Arial" w:cs="Arial" w:eastAsia="Arial" w:hAnsi="Arial"/>
          <w:sz w:val="16"/>
          <w:szCs w:val="16"/>
          <w:b w:val="1"/>
          <w:bCs w:val="1"/>
          <w:color w:val="auto"/>
        </w:rPr>
        <w:t xml:space="preserve"> </w:t>
      </w:r>
      <w:r>
        <w:rPr>
          <w:rFonts w:ascii="Arial" w:cs="Arial" w:eastAsia="Arial" w:hAnsi="Arial"/>
          <w:sz w:val="16"/>
          <w:szCs w:val="16"/>
          <w:color w:val="auto"/>
        </w:rPr>
        <w:t>their mobile phones, shifting what traditionally required an in-person interaction, including waiting in line to speak with an agent to the palm of their hands. As of September 30, 2022, our mobile app had a 4.9 iOS App Store rating with more than 860,000 reviewers and a 4.8 Android Google Play rating with more than 490,000 reviewers. We have achieved this level of engagement and these high ratings by designing mobile-centric products that make the customer experience simple and convenient and give our customers complete peace of mind.</w:t>
      </w:r>
    </w:p>
    <w:p>
      <w:pPr>
        <w:spacing w:after="0" w:line="141" w:lineRule="exact"/>
        <w:rPr>
          <w:rFonts w:ascii="Arial" w:cs="Arial" w:eastAsia="Arial" w:hAnsi="Arial"/>
          <w:sz w:val="16"/>
          <w:szCs w:val="16"/>
          <w:color w:val="auto"/>
        </w:rPr>
      </w:pPr>
    </w:p>
    <w:p>
      <w:pPr>
        <w:ind w:left="660" w:right="80" w:hanging="328"/>
        <w:spacing w:after="0" w:line="291" w:lineRule="auto"/>
        <w:tabs>
          <w:tab w:leader="none" w:pos="649" w:val="left"/>
        </w:tabs>
        <w:numPr>
          <w:ilvl w:val="0"/>
          <w:numId w:val="19"/>
        </w:numPr>
        <w:rPr>
          <w:rFonts w:ascii="Arial" w:cs="Arial" w:eastAsia="Arial" w:hAnsi="Arial"/>
          <w:sz w:val="14"/>
          <w:szCs w:val="14"/>
          <w:b w:val="1"/>
          <w:bCs w:val="1"/>
          <w:color w:val="auto"/>
        </w:rPr>
      </w:pPr>
      <w:r>
        <w:rPr>
          <w:rFonts w:ascii="Arial" w:cs="Arial" w:eastAsia="Arial" w:hAnsi="Arial"/>
          <w:sz w:val="14"/>
          <w:szCs w:val="14"/>
          <w:b w:val="1"/>
          <w:bCs w:val="1"/>
          <w:color w:val="auto"/>
        </w:rPr>
        <w:t>Conveniently putting money safely in the hands of our customers’ families, wherever they are, by relying on our global network</w:t>
      </w:r>
      <w:r>
        <w:rPr>
          <w:rFonts w:ascii="Arial" w:cs="Arial" w:eastAsia="Arial" w:hAnsi="Arial"/>
          <w:sz w:val="14"/>
          <w:szCs w:val="14"/>
          <w:color w:val="auto"/>
        </w:rPr>
        <w:t>. As of September 30,</w:t>
      </w:r>
      <w:r>
        <w:rPr>
          <w:rFonts w:ascii="Arial" w:cs="Arial" w:eastAsia="Arial" w:hAnsi="Arial"/>
          <w:sz w:val="14"/>
          <w:szCs w:val="14"/>
          <w:b w:val="1"/>
          <w:bCs w:val="1"/>
          <w:color w:val="auto"/>
        </w:rPr>
        <w:t xml:space="preserve"> </w:t>
      </w:r>
      <w:r>
        <w:rPr>
          <w:rFonts w:ascii="Arial" w:cs="Arial" w:eastAsia="Arial" w:hAnsi="Arial"/>
          <w:sz w:val="14"/>
          <w:szCs w:val="14"/>
          <w:color w:val="auto"/>
        </w:rPr>
        <w:t>2022, our global network of funding and disbursement partnerships enables us to complete money transfers in approximately 4,200 corridors without the need to deploy local operations in each country. We are able to do this while complying with global and local licensing and regulatory requirements. A corridor represents the pairing of a send country, from which a customer can send a remittance, with a specific receive country to which such remittance can be sent. We have partner relationships with global banks and leading global payment providers to give our customers an array of payment (or pay-in) options, including with a bank account, card-based payments, and alternative payment methods. Our disbursement network provides our customers with various digital and traditional delivery methods and enables us to send (or pay out) funds, generally within minutes across the majority of transactions, to more than 3.9 billion bank accounts, over</w:t>
      </w:r>
    </w:p>
    <w:p>
      <w:pPr>
        <w:spacing w:after="0" w:line="1" w:lineRule="exact"/>
        <w:rPr>
          <w:rFonts w:ascii="Arial" w:cs="Arial" w:eastAsia="Arial" w:hAnsi="Arial"/>
          <w:sz w:val="14"/>
          <w:szCs w:val="14"/>
          <w:b w:val="1"/>
          <w:bCs w:val="1"/>
          <w:color w:val="auto"/>
        </w:rPr>
      </w:pPr>
    </w:p>
    <w:p>
      <w:pPr>
        <w:ind w:left="660" w:right="40"/>
        <w:spacing w:after="0" w:line="275" w:lineRule="auto"/>
        <w:rPr>
          <w:rFonts w:ascii="Arial" w:cs="Arial" w:eastAsia="Arial" w:hAnsi="Arial"/>
          <w:sz w:val="14"/>
          <w:szCs w:val="14"/>
          <w:b w:val="1"/>
          <w:bCs w:val="1"/>
          <w:color w:val="auto"/>
        </w:rPr>
      </w:pPr>
      <w:r>
        <w:rPr>
          <w:rFonts w:ascii="Arial" w:cs="Arial" w:eastAsia="Arial" w:hAnsi="Arial"/>
          <w:sz w:val="16"/>
          <w:szCs w:val="16"/>
          <w:color w:val="auto"/>
        </w:rPr>
        <w:t>875 million mobile wallets, and over 420,000 cash pickup locations. These partner relationships help drive a better customer experience, including faster transfers, higher acceptance rates, and enhanced reliability.</w:t>
      </w:r>
    </w:p>
    <w:p>
      <w:pPr>
        <w:spacing w:after="0" w:line="113" w:lineRule="exact"/>
        <w:rPr>
          <w:rFonts w:ascii="Arial" w:cs="Arial" w:eastAsia="Arial" w:hAnsi="Arial"/>
          <w:sz w:val="14"/>
          <w:szCs w:val="14"/>
          <w:b w:val="1"/>
          <w:bCs w:val="1"/>
          <w:color w:val="auto"/>
        </w:rPr>
      </w:pPr>
    </w:p>
    <w:p>
      <w:pPr>
        <w:ind w:left="660" w:hanging="328"/>
        <w:spacing w:after="0" w:line="304" w:lineRule="auto"/>
        <w:tabs>
          <w:tab w:leader="none" w:pos="649"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Creating trusted and personalized experiences with our localization expertise at scale</w:t>
      </w:r>
      <w:r>
        <w:rPr>
          <w:rFonts w:ascii="Arial" w:cs="Arial" w:eastAsia="Arial" w:hAnsi="Arial"/>
          <w:sz w:val="14"/>
          <w:szCs w:val="14"/>
          <w:color w:val="auto"/>
        </w:rPr>
        <w:t>. We believe that our expertise in localizing our marketing, products,</w:t>
      </w:r>
      <w:r>
        <w:rPr>
          <w:rFonts w:ascii="Arial" w:cs="Arial" w:eastAsia="Arial" w:hAnsi="Arial"/>
          <w:sz w:val="14"/>
          <w:szCs w:val="14"/>
          <w:b w:val="1"/>
          <w:bCs w:val="1"/>
          <w:color w:val="auto"/>
        </w:rPr>
        <w:t xml:space="preserve"> </w:t>
      </w:r>
      <w:r>
        <w:rPr>
          <w:rFonts w:ascii="Arial" w:cs="Arial" w:eastAsia="Arial" w:hAnsi="Arial"/>
          <w:sz w:val="14"/>
          <w:szCs w:val="14"/>
          <w:color w:val="auto"/>
        </w:rPr>
        <w:t>and customer support at scale is a key differentiator and enables us to provide customers with a personalized experience that drives peace of mind. Localization can mean many things. To us, it means speaking with our customers in their preferred language, reaching them through the media channels they frequent, and being culturally relevant through their journey. While our business is global, we recognize the importance of a culturally relevant experience being delivered to our customers and their families in the many countries we serve. We strive to deliver marketing, product, and support experiences that connect with them in meaningful ways. For example, we tailor our customer experience with 15 native languages, and we provide peace of mind with our global customer support team. Additionally, for disbursement of funds, we partner with local brands that are among the most trusted and recognized by our customers and their families.</w:t>
      </w:r>
    </w:p>
    <w:p>
      <w:pPr>
        <w:spacing w:after="0" w:line="98" w:lineRule="exact"/>
        <w:rPr>
          <w:rFonts w:ascii="Arial" w:cs="Arial" w:eastAsia="Arial" w:hAnsi="Arial"/>
          <w:sz w:val="14"/>
          <w:szCs w:val="14"/>
          <w:color w:val="auto"/>
        </w:rPr>
      </w:pPr>
    </w:p>
    <w:p>
      <w:pPr>
        <w:ind w:left="660" w:right="100" w:hanging="328"/>
        <w:spacing w:after="0" w:line="259" w:lineRule="auto"/>
        <w:tabs>
          <w:tab w:leader="none" w:pos="649" w:val="left"/>
        </w:tabs>
        <w:numPr>
          <w:ilvl w:val="0"/>
          <w:numId w:val="19"/>
        </w:numPr>
        <w:rPr>
          <w:rFonts w:ascii="Arial" w:cs="Arial" w:eastAsia="Arial" w:hAnsi="Arial"/>
          <w:sz w:val="16"/>
          <w:szCs w:val="16"/>
          <w:color w:val="auto"/>
        </w:rPr>
      </w:pPr>
      <w:r>
        <w:rPr>
          <w:rFonts w:ascii="Arial" w:cs="Arial" w:eastAsia="Arial" w:hAnsi="Arial"/>
          <w:sz w:val="16"/>
          <w:szCs w:val="16"/>
          <w:b w:val="1"/>
          <w:bCs w:val="1"/>
          <w:color w:val="auto"/>
        </w:rPr>
        <w:t>Using our data-driven approach to better serve our customers and provide more value</w:t>
      </w:r>
      <w:r>
        <w:rPr>
          <w:rFonts w:ascii="Arial" w:cs="Arial" w:eastAsia="Arial" w:hAnsi="Arial"/>
          <w:sz w:val="16"/>
          <w:szCs w:val="16"/>
          <w:color w:val="auto"/>
        </w:rPr>
        <w:t>. We have a data-driven approach to how we grow our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prioritize our investments, and manage our operations. Because our customers initiate transfers digitally, we capture and leverage a body of transaction-related data that provides insight into customer behavior and customer experience. This data and the analytics we perform inform our marketing investments and product development prioritization. In addition, we leverage our data platform and proprietary machine learning models to improve our compliance systems and manage pricing, treasury, fraud risk, and customer support.</w:t>
      </w:r>
    </w:p>
    <w:p>
      <w:pPr>
        <w:spacing w:after="0" w:line="145" w:lineRule="exact"/>
        <w:rPr>
          <w:sz w:val="20"/>
          <w:szCs w:val="20"/>
          <w:color w:val="auto"/>
        </w:rPr>
      </w:pPr>
    </w:p>
    <w:p>
      <w:pPr>
        <w:ind w:right="160" w:firstLine="324"/>
        <w:spacing w:after="0" w:line="269" w:lineRule="auto"/>
        <w:rPr>
          <w:sz w:val="20"/>
          <w:szCs w:val="20"/>
          <w:color w:val="auto"/>
        </w:rPr>
      </w:pPr>
      <w:r>
        <w:rPr>
          <w:rFonts w:ascii="Arial" w:cs="Arial" w:eastAsia="Arial" w:hAnsi="Arial"/>
          <w:sz w:val="16"/>
          <w:szCs w:val="16"/>
          <w:color w:val="auto"/>
        </w:rPr>
        <w:t>The combination of our differentiated approach and our relentless focus on meeting the financial services needs of our immigrant communities has resulted in significant customer growth, high customer engagement, rapid send volume and transaction growth, and attractive customer economics built on top of an expansive global network.</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Revenue Model</w:t>
      </w:r>
    </w:p>
    <w:p>
      <w:pPr>
        <w:spacing w:after="0" w:line="171"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For our remittance business, which represents the vast majority of our revenue today, we generate revenue from transaction fees charged to customers who are sending remittances and foreign exchange spreads applied to the customer’s principal.</w:t>
      </w:r>
    </w:p>
    <w:p>
      <w:pPr>
        <w:spacing w:after="0" w:line="104" w:lineRule="exact"/>
        <w:rPr>
          <w:sz w:val="20"/>
          <w:szCs w:val="20"/>
          <w:color w:val="auto"/>
        </w:rPr>
      </w:pPr>
    </w:p>
    <w:p>
      <w:pPr>
        <w:ind w:right="120" w:firstLine="324"/>
        <w:spacing w:after="0" w:line="293" w:lineRule="auto"/>
        <w:rPr>
          <w:sz w:val="20"/>
          <w:szCs w:val="20"/>
          <w:color w:val="auto"/>
        </w:rPr>
      </w:pPr>
      <w:r>
        <w:rPr>
          <w:rFonts w:ascii="Arial" w:cs="Arial" w:eastAsia="Arial" w:hAnsi="Arial"/>
          <w:sz w:val="16"/>
          <w:szCs w:val="16"/>
          <w:color w:val="auto"/>
        </w:rPr>
        <w:t>Transaction fees vary based on the corridor, the currency in which funds are delivered to the recipient, the funding method a customer chooses (e.g., ACH, credit card, debit card, etc.), and the amount of the customer’s principal.</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3" w:name="page24"/>
    <w:bookmarkEnd w:id="23"/>
    <w:p>
      <w:pPr>
        <w:ind w:right="80" w:firstLine="324"/>
        <w:spacing w:after="0" w:line="269" w:lineRule="auto"/>
        <w:rPr>
          <w:sz w:val="20"/>
          <w:szCs w:val="20"/>
          <w:color w:val="auto"/>
        </w:rPr>
      </w:pPr>
      <w:r>
        <w:rPr>
          <w:rFonts w:ascii="Arial" w:cs="Arial" w:eastAsia="Arial" w:hAnsi="Arial"/>
          <w:sz w:val="16"/>
          <w:szCs w:val="16"/>
          <w:color w:val="auto"/>
        </w:rPr>
        <w:t>Foreign exchange spreads represent the difference between the foreign exchange rate offered to customers and the foreign exchange rate on the Company’s currency purchases. They are an output of proprietary and dynamic models that are designed to provide fair and competitive rates to our customers, while generating a spread for the Company based on our ability to buy foreign currency at generally advantageous rates.</w:t>
      </w:r>
    </w:p>
    <w:p>
      <w:pPr>
        <w:spacing w:after="0" w:line="124"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Revenue from transaction fees and foreign exchange spreads is reduced by customer promotions. For example, we may, from time to time, waive transaction fees for first-time customers, or provide customers with better foreign exchange rates on their first transaction. These incentives are accounted for as reductions to revenue, up to the point where net historical cumulative revenue, at the customer level, is reduced to zero. We consider these incentives to be an investment in our long-term relationship with customers.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 and Private Placement</w:t>
      </w:r>
    </w:p>
    <w:p>
      <w:pPr>
        <w:spacing w:after="0" w:line="171" w:lineRule="exact"/>
        <w:rPr>
          <w:sz w:val="20"/>
          <w:szCs w:val="20"/>
          <w:color w:val="auto"/>
        </w:rPr>
      </w:pPr>
    </w:p>
    <w:p>
      <w:pPr>
        <w:ind w:right="60" w:firstLine="324"/>
        <w:spacing w:after="0" w:line="262" w:lineRule="auto"/>
        <w:rPr>
          <w:sz w:val="20"/>
          <w:szCs w:val="20"/>
          <w:color w:val="auto"/>
        </w:rPr>
      </w:pPr>
      <w:r>
        <w:rPr>
          <w:rFonts w:ascii="Arial" w:cs="Arial" w:eastAsia="Arial" w:hAnsi="Arial"/>
          <w:sz w:val="16"/>
          <w:szCs w:val="16"/>
          <w:color w:val="auto"/>
        </w:rPr>
        <w:t>In September 2021, the Company completed its IPO, in which the Company issued and sold 7,000,000 shares of its common stock at $43.00 per share. Concurrently, 5,162,777 shares were sold by certain of our existing stockholders. In addition, the Company issued 581,395 shares of common stock to an existing stockholder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Business Metrics</w:t>
      </w:r>
    </w:p>
    <w:p>
      <w:pPr>
        <w:spacing w:after="0" w:line="171" w:lineRule="exact"/>
        <w:rPr>
          <w:sz w:val="20"/>
          <w:szCs w:val="20"/>
          <w:color w:val="auto"/>
        </w:rPr>
      </w:pPr>
    </w:p>
    <w:p>
      <w:pPr>
        <w:ind w:right="160" w:firstLine="324"/>
        <w:spacing w:after="0" w:line="291" w:lineRule="auto"/>
        <w:rPr>
          <w:sz w:val="20"/>
          <w:szCs w:val="20"/>
          <w:color w:val="auto"/>
        </w:rPr>
      </w:pPr>
      <w:r>
        <w:rPr>
          <w:rFonts w:ascii="Arial" w:cs="Arial" w:eastAsia="Arial" w:hAnsi="Arial"/>
          <w:sz w:val="15"/>
          <w:szCs w:val="15"/>
          <w:color w:val="auto"/>
        </w:rPr>
        <w:t>We regularly review the following key business metrics to evaluate our performance, identify trends affecting our business, prepare financial projections, and make strategic decisions. We believe that these key business metrics provide meaningful supplemental information for management and investors in assessing our historical and future operating performance. The calculation of these key business metrics discussed below may differ from other similarly titled metrics used by other companies, analysts, or investors. The key business metrics that we use to measure the performance of our business are defined as follows:</w:t>
      </w:r>
    </w:p>
    <w:p>
      <w:pPr>
        <w:spacing w:after="0" w:line="108" w:lineRule="exact"/>
        <w:rPr>
          <w:sz w:val="20"/>
          <w:szCs w:val="20"/>
          <w:color w:val="auto"/>
        </w:rPr>
      </w:pPr>
    </w:p>
    <w:p>
      <w:pPr>
        <w:ind w:left="660" w:right="320" w:hanging="328"/>
        <w:spacing w:after="0" w:line="275"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“Active customers” is defined as the number of distinct customers that have successfully completed at least one remittance transaction using Remitly during a given calendar quarter. We identify customers through unique account numbers.</w:t>
      </w:r>
    </w:p>
    <w:p>
      <w:pPr>
        <w:spacing w:after="0" w:line="131" w:lineRule="exact"/>
        <w:rPr>
          <w:rFonts w:ascii="Arial" w:cs="Arial" w:eastAsia="Arial" w:hAnsi="Arial"/>
          <w:sz w:val="16"/>
          <w:szCs w:val="16"/>
          <w:color w:val="auto"/>
        </w:rPr>
      </w:pPr>
    </w:p>
    <w:p>
      <w:pPr>
        <w:ind w:left="660" w:hanging="328"/>
        <w:spacing w:after="0" w:line="269" w:lineRule="auto"/>
        <w:tabs>
          <w:tab w:leader="none" w:pos="649" w:val="left"/>
        </w:tabs>
        <w:numPr>
          <w:ilvl w:val="0"/>
          <w:numId w:val="20"/>
        </w:numPr>
        <w:rPr>
          <w:rFonts w:ascii="Arial" w:cs="Arial" w:eastAsia="Arial" w:hAnsi="Arial"/>
          <w:sz w:val="16"/>
          <w:szCs w:val="16"/>
          <w:color w:val="auto"/>
        </w:rPr>
      </w:pPr>
      <w:r>
        <w:rPr>
          <w:rFonts w:ascii="Arial" w:cs="Arial" w:eastAsia="Arial" w:hAnsi="Arial"/>
          <w:sz w:val="16"/>
          <w:szCs w:val="16"/>
          <w:color w:val="auto"/>
        </w:rPr>
        <w:t>“Send volume” is defined as the sum of all customers’ principal, measured in U.S. dollars, related to transactions completed during a given period. The customers’ principal is net of cancellations, does not include transaction fees from customers, and does not include any credits, offers, or bonuses applied to the transactions by us.</w:t>
      </w:r>
    </w:p>
    <w:p>
      <w:pPr>
        <w:spacing w:after="0" w:line="124" w:lineRule="exact"/>
        <w:rPr>
          <w:sz w:val="20"/>
          <w:szCs w:val="20"/>
          <w:color w:val="auto"/>
        </w:rPr>
      </w:pPr>
    </w:p>
    <w:p>
      <w:pPr>
        <w:ind w:right="260" w:firstLine="324"/>
        <w:spacing w:after="0" w:line="275" w:lineRule="auto"/>
        <w:rPr>
          <w:sz w:val="20"/>
          <w:szCs w:val="20"/>
          <w:color w:val="auto"/>
        </w:rPr>
      </w:pPr>
      <w:r>
        <w:rPr>
          <w:rFonts w:ascii="Arial" w:cs="Arial" w:eastAsia="Arial" w:hAnsi="Arial"/>
          <w:sz w:val="16"/>
          <w:szCs w:val="16"/>
          <w:color w:val="auto"/>
        </w:rPr>
        <w:t>As active customers are measured on a quarterly basis, the data for the full-year periods for active customers is not meaningful, and therefore is only presented on a quarterly basis herein.</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Active Customers</w:t>
      </w:r>
    </w:p>
    <w:p>
      <w:pPr>
        <w:spacing w:after="0" w:line="208" w:lineRule="exact"/>
        <w:rPr>
          <w:sz w:val="20"/>
          <w:szCs w:val="20"/>
          <w:color w:val="auto"/>
        </w:rPr>
      </w:pPr>
    </w:p>
    <w:p>
      <w:pPr>
        <w:ind w:left="8460"/>
        <w:spacing w:after="0"/>
        <w:rPr>
          <w:sz w:val="20"/>
          <w:szCs w:val="20"/>
          <w:color w:val="auto"/>
        </w:rPr>
      </w:pPr>
      <w:r>
        <w:rPr>
          <w:rFonts w:ascii="Arial" w:cs="Arial" w:eastAsia="Arial" w:hAnsi="Arial"/>
          <w:sz w:val="14"/>
          <w:szCs w:val="14"/>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5045710</wp:posOffset>
            </wp:positionH>
            <wp:positionV relativeFrom="paragraph">
              <wp:posOffset>40640</wp:posOffset>
            </wp:positionV>
            <wp:extent cx="205740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057400"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98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2022</w:t>
            </w:r>
          </w:p>
        </w:tc>
        <w:tc>
          <w:tcPr>
            <w:tcW w:w="1140" w:type="dxa"/>
            <w:vAlign w:val="bottom"/>
          </w:tcPr>
          <w:p>
            <w:pPr>
              <w:spacing w:after="0"/>
              <w:rPr>
                <w:sz w:val="16"/>
                <w:szCs w:val="16"/>
                <w:color w:val="auto"/>
              </w:rPr>
            </w:pPr>
          </w:p>
        </w:tc>
        <w:tc>
          <w:tcPr>
            <w:tcW w:w="1060" w:type="dxa"/>
            <w:vAlign w:val="bottom"/>
          </w:tcPr>
          <w:p>
            <w:pPr>
              <w:jc w:val="right"/>
              <w:ind w:right="564"/>
              <w:spacing w:after="0"/>
              <w:rPr>
                <w:sz w:val="20"/>
                <w:szCs w:val="20"/>
                <w:color w:val="auto"/>
              </w:rPr>
            </w:pPr>
            <w:r>
              <w:rPr>
                <w:rFonts w:ascii="Arial" w:cs="Arial" w:eastAsia="Arial" w:hAnsi="Arial"/>
                <w:sz w:val="14"/>
                <w:szCs w:val="14"/>
                <w:b w:val="1"/>
                <w:bCs w:val="1"/>
                <w:color w:val="auto"/>
              </w:rPr>
              <w:t>2021</w:t>
            </w:r>
          </w:p>
        </w:tc>
      </w:tr>
      <w:tr>
        <w:trPr>
          <w:trHeight w:val="39"/>
        </w:trPr>
        <w:tc>
          <w:tcPr>
            <w:tcW w:w="7940" w:type="dxa"/>
            <w:vAlign w:val="bottom"/>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184"/>
        </w:trPr>
        <w:tc>
          <w:tcPr>
            <w:tcW w:w="79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jc w:val="right"/>
              <w:ind w:right="64"/>
              <w:spacing w:after="0"/>
              <w:rPr>
                <w:sz w:val="20"/>
                <w:szCs w:val="20"/>
                <w:color w:val="auto"/>
              </w:rPr>
            </w:pPr>
            <w:r>
              <w:rPr>
                <w:rFonts w:ascii="Arial" w:cs="Arial" w:eastAsia="Arial" w:hAnsi="Arial"/>
                <w:sz w:val="14"/>
                <w:szCs w:val="14"/>
                <w:color w:val="auto"/>
              </w:rPr>
              <w:t>(in thousands)</w:t>
            </w:r>
          </w:p>
        </w:tc>
        <w:tc>
          <w:tcPr>
            <w:tcW w:w="1060" w:type="dxa"/>
            <w:vAlign w:val="bottom"/>
          </w:tcPr>
          <w:p>
            <w:pPr>
              <w:spacing w:after="0"/>
              <w:rPr>
                <w:sz w:val="16"/>
                <w:szCs w:val="16"/>
                <w:color w:val="auto"/>
              </w:rPr>
            </w:pPr>
          </w:p>
        </w:tc>
      </w:tr>
      <w:tr>
        <w:trPr>
          <w:trHeight w:val="39"/>
        </w:trPr>
        <w:tc>
          <w:tcPr>
            <w:tcW w:w="79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43"/>
        </w:trPr>
        <w:tc>
          <w:tcPr>
            <w:tcW w:w="8980" w:type="dxa"/>
            <w:vAlign w:val="bottom"/>
            <w:gridSpan w:val="2"/>
            <w:shd w:val="clear" w:color="auto" w:fill="CCEEFF"/>
          </w:tcPr>
          <w:p>
            <w:pPr>
              <w:jc w:val="right"/>
              <w:ind w:right="7500"/>
              <w:spacing w:after="0"/>
              <w:rPr>
                <w:sz w:val="20"/>
                <w:szCs w:val="20"/>
                <w:color w:val="auto"/>
              </w:rPr>
            </w:pPr>
            <w:r>
              <w:rPr>
                <w:rFonts w:ascii="Arial" w:cs="Arial" w:eastAsia="Arial" w:hAnsi="Arial"/>
                <w:sz w:val="16"/>
                <w:szCs w:val="16"/>
                <w:color w:val="auto"/>
              </w:rPr>
              <w:t>Active customers</w:t>
            </w:r>
          </w:p>
        </w:tc>
        <w:tc>
          <w:tcPr>
            <w:tcW w:w="1140" w:type="dxa"/>
            <w:vAlign w:val="bottom"/>
            <w:shd w:val="clear" w:color="auto" w:fill="CCEEFF"/>
          </w:tcPr>
          <w:p>
            <w:pPr>
              <w:jc w:val="right"/>
              <w:ind w:right="604"/>
              <w:spacing w:after="0"/>
              <w:rPr>
                <w:sz w:val="20"/>
                <w:szCs w:val="20"/>
                <w:color w:val="auto"/>
              </w:rPr>
            </w:pPr>
            <w:r>
              <w:rPr>
                <w:rFonts w:ascii="Arial" w:cs="Arial" w:eastAsia="Arial" w:hAnsi="Arial"/>
                <w:sz w:val="16"/>
                <w:szCs w:val="16"/>
                <w:color w:val="auto"/>
              </w:rPr>
              <w:t>3,818</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2,561</w:t>
            </w: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that the number of our active customers is an important indicator of customer engagement and the overall growth of our business.</w:t>
      </w:r>
    </w:p>
    <w:p>
      <w:pPr>
        <w:spacing w:after="0" w:line="16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6"/>
          <w:szCs w:val="16"/>
          <w:color w:val="auto"/>
        </w:rPr>
        <w:t>Active customers increased to approximately 3.8 million, or 49% growth, for the three months ended September 30, 2022, compared to the three months ended September 30, 2021. This increase was primarily due to an increase in new customers, driven by investments in our mobile platform and marketing spend, our focus on customer experience, expansion of our global disbursement network, and the continued diversification across both send and receive countries. While we continue to see strong results in our largest existing receive countries, our successful diversification of our corridor portfolio across both send and receive countries has contributed to new customer growth. In addition, while not a primary driver of results, we believe the strength in the US dollar contributed to new customer acquisition in certain markets during the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4" w:right="379" w:bottom="1440" w:gutter="0" w:footer="0" w:header="0"/>
        </w:sectPr>
      </w:pPr>
    </w:p>
    <w:bookmarkStart w:id="24" w:name="page25"/>
    <w:bookmarkEnd w:id="24"/>
    <w:p>
      <w:pPr>
        <w:ind w:left="340"/>
        <w:spacing w:after="0"/>
        <w:rPr>
          <w:sz w:val="20"/>
          <w:szCs w:val="20"/>
          <w:color w:val="auto"/>
        </w:rPr>
      </w:pPr>
      <w:r>
        <w:rPr>
          <w:rFonts w:ascii="Arial" w:cs="Arial" w:eastAsia="Arial" w:hAnsi="Arial"/>
          <w:sz w:val="16"/>
          <w:szCs w:val="16"/>
          <w:b w:val="1"/>
          <w:bCs w:val="1"/>
          <w:i w:val="1"/>
          <w:iCs w:val="1"/>
          <w:color w:val="auto"/>
        </w:rPr>
        <w:t>Send Volume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960" w:type="dxa"/>
            <w:vAlign w:val="bottom"/>
            <w:gridSpan w:val="4"/>
          </w:tcPr>
          <w:p>
            <w:pPr>
              <w:ind w:left="180"/>
              <w:spacing w:after="0"/>
              <w:rPr>
                <w:sz w:val="20"/>
                <w:szCs w:val="20"/>
                <w:color w:val="auto"/>
              </w:rPr>
            </w:pPr>
            <w:r>
              <w:rPr>
                <w:rFonts w:ascii="Arial" w:cs="Arial" w:eastAsia="Arial" w:hAnsi="Arial"/>
                <w:sz w:val="14"/>
                <w:szCs w:val="14"/>
                <w:b w:val="1"/>
                <w:bCs w:val="1"/>
                <w:color w:val="auto"/>
              </w:rPr>
              <w:t>Three Months Ended September 30,</w:t>
            </w:r>
          </w:p>
        </w:tc>
        <w:tc>
          <w:tcPr>
            <w:tcW w:w="440" w:type="dxa"/>
            <w:vAlign w:val="bottom"/>
          </w:tcPr>
          <w:p>
            <w:pPr>
              <w:spacing w:after="0"/>
              <w:rPr>
                <w:sz w:val="16"/>
                <w:szCs w:val="16"/>
                <w:color w:val="auto"/>
              </w:rPr>
            </w:pPr>
          </w:p>
        </w:tc>
        <w:tc>
          <w:tcPr>
            <w:tcW w:w="2780" w:type="dxa"/>
            <w:vAlign w:val="bottom"/>
            <w:gridSpan w:val="3"/>
          </w:tcPr>
          <w:p>
            <w:pPr>
              <w:jc w:val="right"/>
              <w:ind w:right="464"/>
              <w:spacing w:after="0"/>
              <w:rPr>
                <w:sz w:val="20"/>
                <w:szCs w:val="20"/>
                <w:color w:val="auto"/>
              </w:rPr>
            </w:pPr>
            <w:r>
              <w:rPr>
                <w:rFonts w:ascii="Arial" w:cs="Arial" w:eastAsia="Arial" w:hAnsi="Arial"/>
                <w:sz w:val="14"/>
                <w:szCs w:val="14"/>
                <w:b w:val="1"/>
                <w:bCs w:val="1"/>
                <w:color w:val="auto"/>
                <w:w w:val="96"/>
              </w:rPr>
              <w:t>Nine Months Ended September 30,</w:t>
            </w:r>
          </w:p>
        </w:tc>
      </w:tr>
      <w:tr>
        <w:trPr>
          <w:trHeight w:val="39"/>
        </w:trPr>
        <w:tc>
          <w:tcPr>
            <w:tcW w:w="47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4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565"/>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180" w:type="dxa"/>
            <w:vAlign w:val="bottom"/>
          </w:tcPr>
          <w:p>
            <w:pPr>
              <w:jc w:val="right"/>
              <w:ind w:right="545"/>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40" w:type="dxa"/>
            <w:vAlign w:val="bottom"/>
          </w:tcPr>
          <w:p>
            <w:pPr>
              <w:jc w:val="right"/>
              <w:ind w:right="565"/>
              <w:spacing w:after="0"/>
              <w:rPr>
                <w:sz w:val="20"/>
                <w:szCs w:val="20"/>
                <w:color w:val="auto"/>
              </w:rPr>
            </w:pPr>
            <w:r>
              <w:rPr>
                <w:rFonts w:ascii="Arial" w:cs="Arial" w:eastAsia="Arial" w:hAnsi="Arial"/>
                <w:sz w:val="14"/>
                <w:szCs w:val="14"/>
                <w:b w:val="1"/>
                <w:bCs w:val="1"/>
                <w:color w:val="auto"/>
              </w:rPr>
              <w:t>2022</w:t>
            </w:r>
          </w:p>
        </w:tc>
        <w:tc>
          <w:tcPr>
            <w:tcW w:w="440" w:type="dxa"/>
            <w:vAlign w:val="bottom"/>
          </w:tcPr>
          <w:p>
            <w:pPr>
              <w:spacing w:after="0"/>
              <w:rPr>
                <w:sz w:val="16"/>
                <w:szCs w:val="16"/>
                <w:color w:val="auto"/>
              </w:rPr>
            </w:pPr>
          </w:p>
        </w:tc>
        <w:tc>
          <w:tcPr>
            <w:tcW w:w="1200" w:type="dxa"/>
            <w:vAlign w:val="bottom"/>
          </w:tcPr>
          <w:p>
            <w:pPr>
              <w:jc w:val="right"/>
              <w:ind w:right="564"/>
              <w:spacing w:after="0"/>
              <w:rPr>
                <w:sz w:val="20"/>
                <w:szCs w:val="20"/>
                <w:color w:val="auto"/>
              </w:rPr>
            </w:pPr>
            <w:r>
              <w:rPr>
                <w:rFonts w:ascii="Arial" w:cs="Arial" w:eastAsia="Arial" w:hAnsi="Arial"/>
                <w:sz w:val="14"/>
                <w:szCs w:val="14"/>
                <w:b w:val="1"/>
                <w:bCs w:val="1"/>
                <w:color w:val="auto"/>
              </w:rPr>
              <w:t>2021</w:t>
            </w:r>
          </w:p>
        </w:tc>
      </w:tr>
      <w:tr>
        <w:trPr>
          <w:trHeight w:val="39"/>
        </w:trPr>
        <w:tc>
          <w:tcPr>
            <w:tcW w:w="476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11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47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700" w:type="dxa"/>
            <w:vAlign w:val="bottom"/>
            <w:gridSpan w:val="3"/>
          </w:tcPr>
          <w:p>
            <w:pPr>
              <w:jc w:val="right"/>
              <w:ind w:right="19"/>
              <w:spacing w:after="0"/>
              <w:rPr>
                <w:sz w:val="20"/>
                <w:szCs w:val="20"/>
                <w:color w:val="auto"/>
              </w:rPr>
            </w:pPr>
            <w:r>
              <w:rPr>
                <w:rFonts w:ascii="Arial" w:cs="Arial" w:eastAsia="Arial" w:hAnsi="Arial"/>
                <w:sz w:val="14"/>
                <w:szCs w:val="14"/>
                <w:color w:val="auto"/>
              </w:rPr>
              <w:t>(in millions)</w:t>
            </w: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39"/>
        </w:trPr>
        <w:tc>
          <w:tcPr>
            <w:tcW w:w="4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4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4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43"/>
        </w:trPr>
        <w:tc>
          <w:tcPr>
            <w:tcW w:w="4760" w:type="dxa"/>
            <w:vAlign w:val="bottom"/>
            <w:shd w:val="clear" w:color="auto" w:fill="CCEEFF"/>
          </w:tcPr>
          <w:p>
            <w:pPr>
              <w:ind w:left="360"/>
              <w:spacing w:after="0"/>
              <w:rPr>
                <w:sz w:val="20"/>
                <w:szCs w:val="20"/>
                <w:color w:val="auto"/>
              </w:rPr>
            </w:pPr>
            <w:r>
              <w:rPr>
                <w:rFonts w:ascii="Arial" w:cs="Arial" w:eastAsia="Arial" w:hAnsi="Arial"/>
                <w:sz w:val="16"/>
                <w:szCs w:val="16"/>
                <w:color w:val="auto"/>
              </w:rPr>
              <w:t>Send volume</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2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7,521</w:t>
            </w: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5,239</w:t>
            </w:r>
          </w:p>
        </w:tc>
        <w:tc>
          <w:tcPr>
            <w:tcW w:w="8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20,579</w:t>
            </w:r>
          </w:p>
        </w:tc>
        <w:tc>
          <w:tcPr>
            <w:tcW w:w="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14,488</w:t>
            </w:r>
          </w:p>
        </w:tc>
      </w:tr>
    </w:tbl>
    <w:p>
      <w:pPr>
        <w:spacing w:after="0" w:line="247" w:lineRule="exact"/>
        <w:rPr>
          <w:sz w:val="20"/>
          <w:szCs w:val="20"/>
          <w:color w:val="auto"/>
        </w:rPr>
      </w:pPr>
    </w:p>
    <w:p>
      <w:pPr>
        <w:ind w:right="20" w:firstLine="324"/>
        <w:spacing w:after="0" w:line="269" w:lineRule="auto"/>
        <w:rPr>
          <w:sz w:val="20"/>
          <w:szCs w:val="20"/>
          <w:color w:val="auto"/>
        </w:rPr>
      </w:pPr>
      <w:r>
        <w:rPr>
          <w:rFonts w:ascii="Arial" w:cs="Arial" w:eastAsia="Arial" w:hAnsi="Arial"/>
          <w:sz w:val="16"/>
          <w:szCs w:val="16"/>
          <w:color w:val="auto"/>
        </w:rPr>
        <w:t>We measure send volume to assess the scale of remittances sent using our platform. Our customers mostly send from the United States, Canada, United Kingdom, other countries in Europe, and Australia. The recipients are located in over 160 countries and territories across the globe; the largest receive countries by send volume include India, Mexico, and the Philippines.</w:t>
      </w:r>
    </w:p>
    <w:p>
      <w:pPr>
        <w:spacing w:after="0" w:line="124" w:lineRule="exact"/>
        <w:rPr>
          <w:sz w:val="20"/>
          <w:szCs w:val="20"/>
          <w:color w:val="auto"/>
        </w:rPr>
      </w:pPr>
    </w:p>
    <w:p>
      <w:pPr>
        <w:ind w:right="560" w:firstLine="324"/>
        <w:spacing w:after="0" w:line="328" w:lineRule="auto"/>
        <w:rPr>
          <w:sz w:val="20"/>
          <w:szCs w:val="20"/>
          <w:color w:val="auto"/>
        </w:rPr>
      </w:pPr>
      <w:r>
        <w:rPr>
          <w:rFonts w:ascii="Arial" w:cs="Arial" w:eastAsia="Arial" w:hAnsi="Arial"/>
          <w:sz w:val="15"/>
          <w:szCs w:val="15"/>
          <w:color w:val="auto"/>
        </w:rPr>
        <w:t>Send volume increased approximately 44% to $7.5 billion for the three months ended September 30, 2022, compared to $5.2 billion for the three months ended September 30, 2021. This increase was primarily due to the growth of quarterly active customers, which increased 49% over the same period.</w:t>
      </w:r>
    </w:p>
    <w:p>
      <w:pPr>
        <w:spacing w:after="0" w:line="82" w:lineRule="exact"/>
        <w:rPr>
          <w:sz w:val="20"/>
          <w:szCs w:val="20"/>
          <w:color w:val="auto"/>
        </w:rPr>
      </w:pPr>
    </w:p>
    <w:p>
      <w:pPr>
        <w:ind w:right="420" w:firstLine="324"/>
        <w:spacing w:after="0" w:line="275" w:lineRule="auto"/>
        <w:rPr>
          <w:sz w:val="20"/>
          <w:szCs w:val="20"/>
          <w:color w:val="auto"/>
        </w:rPr>
      </w:pPr>
      <w:r>
        <w:rPr>
          <w:rFonts w:ascii="Arial" w:cs="Arial" w:eastAsia="Arial" w:hAnsi="Arial"/>
          <w:sz w:val="16"/>
          <w:szCs w:val="16"/>
          <w:color w:val="auto"/>
        </w:rPr>
        <w:t>Send volume increased $6.1 billion, or 42%, to $20.6 billion for the nine months ended September 30, 2022, compared to $14.5 billion for the nine months ended September 30, 2021, driven by the increase in quarterly active customers.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Factors Affecting Our Performance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Customer Retention and High Customer Engagement</w:t>
      </w:r>
    </w:p>
    <w:p>
      <w:pPr>
        <w:spacing w:after="0" w:line="181" w:lineRule="exact"/>
        <w:rPr>
          <w:sz w:val="20"/>
          <w:szCs w:val="20"/>
          <w:color w:val="auto"/>
        </w:rPr>
      </w:pPr>
    </w:p>
    <w:p>
      <w:pPr>
        <w:ind w:right="240" w:firstLine="324"/>
        <w:spacing w:after="0" w:line="275" w:lineRule="auto"/>
        <w:rPr>
          <w:sz w:val="20"/>
          <w:szCs w:val="20"/>
          <w:color w:val="auto"/>
        </w:rPr>
      </w:pPr>
      <w:r>
        <w:rPr>
          <w:rFonts w:ascii="Arial" w:cs="Arial" w:eastAsia="Arial" w:hAnsi="Arial"/>
          <w:sz w:val="16"/>
          <w:szCs w:val="16"/>
          <w:color w:val="auto"/>
        </w:rPr>
        <w:t>Our send volume is primarily driven by existing customers who regularly use our remittance product to send money home. We believe that our mobile-first products and superior customer experience encourage high retention and repeat usage, which are important drivers of our performance.</w:t>
      </w:r>
    </w:p>
    <w:p>
      <w:pPr>
        <w:spacing w:after="0" w:line="118" w:lineRule="exact"/>
        <w:rPr>
          <w:sz w:val="20"/>
          <w:szCs w:val="20"/>
          <w:color w:val="auto"/>
        </w:rPr>
      </w:pPr>
    </w:p>
    <w:p>
      <w:pPr>
        <w:ind w:right="460" w:firstLine="324"/>
        <w:spacing w:after="0" w:line="293" w:lineRule="auto"/>
        <w:rPr>
          <w:sz w:val="20"/>
          <w:szCs w:val="20"/>
          <w:color w:val="auto"/>
        </w:rPr>
      </w:pPr>
      <w:r>
        <w:rPr>
          <w:rFonts w:ascii="Arial" w:cs="Arial" w:eastAsia="Arial" w:hAnsi="Arial"/>
          <w:sz w:val="16"/>
          <w:szCs w:val="16"/>
          <w:color w:val="auto"/>
        </w:rPr>
        <w:t>We measure active customers to monitor the growth and performance of our customer base. The majority of our active customers send money for recurring, non-discretionary needs multiple times per month, providing a reoccurring revenue stream with high visibility and predictability.</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Attracting New Customers</w:t>
      </w:r>
    </w:p>
    <w:p>
      <w:pPr>
        <w:spacing w:after="0" w:line="181" w:lineRule="exact"/>
        <w:rPr>
          <w:sz w:val="20"/>
          <w:szCs w:val="20"/>
          <w:color w:val="auto"/>
        </w:rPr>
      </w:pPr>
    </w:p>
    <w:p>
      <w:pPr>
        <w:ind w:right="40" w:firstLine="324"/>
        <w:spacing w:after="0" w:line="258" w:lineRule="auto"/>
        <w:rPr>
          <w:sz w:val="20"/>
          <w:szCs w:val="20"/>
          <w:color w:val="auto"/>
        </w:rPr>
      </w:pPr>
      <w:r>
        <w:rPr>
          <w:rFonts w:ascii="Arial" w:cs="Arial" w:eastAsia="Arial" w:hAnsi="Arial"/>
          <w:sz w:val="16"/>
          <w:szCs w:val="16"/>
          <w:color w:val="auto"/>
        </w:rPr>
        <w:t>Our continued ability to attract new customers to our platform is a key driver for our long-term growth. We continue to expand our customer base by launching new send and receive corridors, by continuing to innovate, and by providing the most trusted financial services for immigrants. We plan to continue to acquire new customers through digital marketing channels and word-of-mouth referrals from existing customers, and by exploring new customer acquisition channels. Given the nature of our business, new customer acquisition may negatively impact net loss and Adjusted EBITDA in the initial period, while positively impacting net loss and Adjusted EBITDA in subsequent periods.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Customer Acquisition</w:t>
      </w:r>
    </w:p>
    <w:p>
      <w:pPr>
        <w:spacing w:after="0" w:line="181"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Efficiently acquiring customers is critical to our growth and maintaining attractive customer economics, which is impacted by online marketing competition, our ability to effectively target the right demographic, and competitor pricing.</w:t>
      </w:r>
    </w:p>
    <w:p>
      <w:pPr>
        <w:spacing w:after="0" w:line="132" w:lineRule="exact"/>
        <w:rPr>
          <w:sz w:val="20"/>
          <w:szCs w:val="20"/>
          <w:color w:val="auto"/>
        </w:rPr>
      </w:pPr>
    </w:p>
    <w:p>
      <w:pPr>
        <w:ind w:right="120" w:firstLine="324"/>
        <w:spacing w:after="0" w:line="258" w:lineRule="auto"/>
        <w:rPr>
          <w:sz w:val="20"/>
          <w:szCs w:val="20"/>
          <w:color w:val="auto"/>
        </w:rPr>
      </w:pPr>
      <w:r>
        <w:rPr>
          <w:rFonts w:ascii="Arial" w:cs="Arial" w:eastAsia="Arial" w:hAnsi="Arial"/>
          <w:sz w:val="16"/>
          <w:szCs w:val="16"/>
          <w:color w:val="auto"/>
        </w:rPr>
        <w:t>We have a history of successfully monitoring customer acquisitions costs and will continue to be strategic and disciplined toward customer acquisition. For example, for performance marketing, we set rigorous customer acquisition targets that we continuously monitor to ensure a high return on investment over the long term, and we can increase or decrease this investment as desired. Customer acquisition costs refer to direct marketing expenses deployed to acquire new customers and primarily includes digital advertising costs. As we look ahead to the fourth quarter we expect customer acquisition costs to increase sequentially but decline year over year as we remain focused on driving efficiencies across the marketing funnel.</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Corridor Mix</w:t>
      </w:r>
    </w:p>
    <w:p>
      <w:pPr>
        <w:spacing w:after="0" w:line="167"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Our business is global and certain attributes of our business vary by corridor such as send amount, customer funding sources, and transaction frequency. For example, a period of high growth in receive countries with large average send amounts, such as India, could disproportionately impact send volume while impacting active customers to a lesser extent. While shifts in our corridor mix could impact the trends in our global business, including send volume and customer economics, we have the ability to optimize these corridors over the long term based on their specific dynamics.</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Seasonality</w:t>
      </w:r>
    </w:p>
    <w:p>
      <w:pPr>
        <w:spacing w:after="0" w:line="167" w:lineRule="exact"/>
        <w:rPr>
          <w:sz w:val="20"/>
          <w:szCs w:val="20"/>
          <w:color w:val="auto"/>
        </w:rPr>
      </w:pPr>
    </w:p>
    <w:p>
      <w:pPr>
        <w:ind w:right="120" w:firstLine="324"/>
        <w:spacing w:after="0" w:line="303" w:lineRule="auto"/>
        <w:rPr>
          <w:sz w:val="20"/>
          <w:szCs w:val="20"/>
          <w:color w:val="auto"/>
        </w:rPr>
      </w:pPr>
      <w:r>
        <w:rPr>
          <w:rFonts w:ascii="Arial" w:cs="Arial" w:eastAsia="Arial" w:hAnsi="Arial"/>
          <w:sz w:val="14"/>
          <w:szCs w:val="14"/>
          <w:color w:val="auto"/>
        </w:rPr>
        <w:t>Our operating results and metrics are subject to seasonality, which may result in fluctuations in our quarterly revenues and operating results. For example, active customers and send volume generally peak as customers send gifts for regional and global holidays including, most notably, in the fourth quarter around the Christmas holiday. This seasonality typically drives higher fourth quarter customer acquisition, which generally results in higher fourth quarter marketing costs and transaction losses. It also results in higher transactions and transaction expenses, along with higher working capital needs. Other periods of seasonality include Ramadan/Eid, Lunar New Year/Tết and Mother’s Day, which occur throughout the year, although the impact of seasonality is generally lower than in the fourth quarter. The number of business days in a quarter and the day of week that the last day of the quarter falls on also introduces variability in our results, working capital balances, or cash flows period over period.</w:t>
      </w:r>
    </w:p>
    <w:p>
      <w:pPr>
        <w:sectPr>
          <w:pgSz w:w="11900" w:h="16838" w:orient="portrait"/>
          <w:cols w:equalWidth="0" w:num="1">
            <w:col w:w="11240"/>
          </w:cols>
          <w:pgMar w:left="320" w:top="12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type w:val="continuous"/>
        </w:sectPr>
      </w:pPr>
    </w:p>
    <w:bookmarkStart w:id="25" w:name="page26"/>
    <w:bookmarkEnd w:id="25"/>
    <w:p>
      <w:pPr>
        <w:ind w:left="340"/>
        <w:spacing w:after="0"/>
        <w:rPr>
          <w:sz w:val="20"/>
          <w:szCs w:val="20"/>
          <w:color w:val="auto"/>
        </w:rPr>
      </w:pPr>
      <w:r>
        <w:rPr>
          <w:rFonts w:ascii="Arial" w:cs="Arial" w:eastAsia="Arial" w:hAnsi="Arial"/>
          <w:sz w:val="16"/>
          <w:szCs w:val="16"/>
          <w:b w:val="1"/>
          <w:bCs w:val="1"/>
          <w:i w:val="1"/>
          <w:iCs w:val="1"/>
          <w:color w:val="auto"/>
        </w:rPr>
        <w:t>Our Technology Platform</w:t>
      </w:r>
    </w:p>
    <w:p>
      <w:pPr>
        <w:spacing w:after="0" w:line="167" w:lineRule="exact"/>
        <w:rPr>
          <w:sz w:val="20"/>
          <w:szCs w:val="20"/>
          <w:color w:val="auto"/>
        </w:rPr>
      </w:pPr>
    </w:p>
    <w:p>
      <w:pPr>
        <w:ind w:right="40" w:firstLine="324"/>
        <w:spacing w:after="0" w:line="291" w:lineRule="auto"/>
        <w:rPr>
          <w:sz w:val="20"/>
          <w:szCs w:val="20"/>
          <w:color w:val="auto"/>
        </w:rPr>
      </w:pPr>
      <w:r>
        <w:rPr>
          <w:rFonts w:ascii="Arial" w:cs="Arial" w:eastAsia="Arial" w:hAnsi="Arial"/>
          <w:sz w:val="15"/>
          <w:szCs w:val="15"/>
          <w:color w:val="auto"/>
        </w:rPr>
        <w:t>We continue to invest significant resources in our technology platform. These investments will allow us to introduce new and innovative products, add features to current products, enhance the customer and recipient experience, grow our payment and disbursement network, invest in our risk and security infrastructure, and continue to secure data in accordance with evolving best practices and legal requirements. While we expect our expenses related to technology and development to increase, which may impact short-term profitability, we believe these investments will ultimately contribute to our long-term growth.</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Management of Risk and Fraud</w:t>
      </w:r>
    </w:p>
    <w:p>
      <w:pPr>
        <w:spacing w:after="0" w:line="167" w:lineRule="exact"/>
        <w:rPr>
          <w:sz w:val="20"/>
          <w:szCs w:val="20"/>
          <w:color w:val="auto"/>
        </w:rPr>
      </w:pPr>
    </w:p>
    <w:p>
      <w:pPr>
        <w:ind w:right="120" w:firstLine="324"/>
        <w:spacing w:after="0" w:line="308" w:lineRule="auto"/>
        <w:rPr>
          <w:sz w:val="20"/>
          <w:szCs w:val="20"/>
          <w:color w:val="auto"/>
        </w:rPr>
      </w:pPr>
      <w:r>
        <w:rPr>
          <w:rFonts w:ascii="Arial" w:cs="Arial" w:eastAsia="Arial" w:hAnsi="Arial"/>
          <w:sz w:val="14"/>
          <w:szCs w:val="14"/>
          <w:color w:val="auto"/>
        </w:rPr>
        <w:t>We manage fraud (e.g., through identity theft) and other illegitimate activity (e.g., money laundering) by utilizing our proprietary risk models, which include machine learning processes, early warning systems, bespoke rules, and manual investigation processes. Our models and processes enable us to identify and address complex and evolving risks in these unwanted activities, while maintaining a differentiated customer experience. In addition, we integrate historical fraud loss data and other transaction data into our risk models, which helps us identify emerging patterns and quantify fraud and regulatory and compliance risks across all aspects of our customer interactions. These models and processes allow us to achieve and maintain fraud loss rates within desired guardrails, as well as tailor our risk models to target other illegitimate activity.</w:t>
      </w:r>
    </w:p>
    <w:p>
      <w:pPr>
        <w:spacing w:after="0" w:line="10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Macroeconomic and Geopolitical Changes</w:t>
      </w:r>
    </w:p>
    <w:p>
      <w:pPr>
        <w:spacing w:after="0" w:line="181" w:lineRule="exact"/>
        <w:rPr>
          <w:sz w:val="20"/>
          <w:szCs w:val="20"/>
          <w:color w:val="auto"/>
        </w:rPr>
      </w:pPr>
    </w:p>
    <w:p>
      <w:pPr>
        <w:ind w:right="40" w:firstLine="324"/>
        <w:spacing w:after="0" w:line="299" w:lineRule="auto"/>
        <w:rPr>
          <w:sz w:val="20"/>
          <w:szCs w:val="20"/>
          <w:color w:val="auto"/>
        </w:rPr>
      </w:pPr>
      <w:r>
        <w:rPr>
          <w:rFonts w:ascii="Arial" w:cs="Arial" w:eastAsia="Arial" w:hAnsi="Arial"/>
          <w:sz w:val="14"/>
          <w:szCs w:val="14"/>
          <w:color w:val="auto"/>
        </w:rPr>
        <w:t>Global macroeconomic and geopolitical factors, including inflation, currency fluctuations, immigration, trade and regulatory policies, the conflict in Ukraine, unemployment, and the rate of digital remittance adoption impact demand for our services and the options that we can offer. These factors evolve over time and periods of significant currency appreciation or depreciation, whether in send or receive currencies, changes to global migration patterns, and changes to digital adoption trends may shift the timing and volume of transactions, or the number of customers using our service. In addition, foreign currency movements do impact our business in numerous ways. For example, as the US dollar strengthens, we see customers in certain markets taking advantage of the ability to get more local currency to their families and friends. We also believe the strength of the US dollar and the strength in other developed market currencies versus emerging market currencies make it easier to acquire new customers in certain markets. Conversely, expansion of our international business can impact our consolidated results when other currencies weaken against the US dollar.</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Impact of the COVID-19 Pandemic</w:t>
      </w:r>
    </w:p>
    <w:p>
      <w:pPr>
        <w:spacing w:after="0" w:line="185" w:lineRule="exact"/>
        <w:rPr>
          <w:sz w:val="20"/>
          <w:szCs w:val="20"/>
          <w:color w:val="auto"/>
        </w:rPr>
      </w:pPr>
    </w:p>
    <w:p>
      <w:pPr>
        <w:ind w:firstLine="324"/>
        <w:spacing w:after="0" w:line="277" w:lineRule="auto"/>
        <w:rPr>
          <w:sz w:val="20"/>
          <w:szCs w:val="20"/>
          <w:color w:val="auto"/>
        </w:rPr>
      </w:pPr>
      <w:r>
        <w:rPr>
          <w:rFonts w:ascii="Arial" w:cs="Arial" w:eastAsia="Arial" w:hAnsi="Arial"/>
          <w:sz w:val="15"/>
          <w:szCs w:val="15"/>
          <w:color w:val="auto"/>
        </w:rPr>
        <w:t>The COVID-19 pandemic has had, and continues to have, a significant impact on the U.S. economy and the markets in which we operate. As a result of the COVID-19 pandemic, our business, and the digital financial services industry in general, saw accelerated growth, as digital remittances increasingly became the choice of senders and receivers; however, we also experienced disruptions. In response to the COVID-19 pandemic, government authorities and businesses globally implemented varying levels of travel restrictions, border closures, quarantines, shelter-in-place and lockdown orders, mask and social distancing requirements, and business limitations and shutdowns, which contributed to a variety of changes to consumer behavior as well as to government and business practices. As a result, we observed that consumer behavior evolved rapidly to favor forms of commerce that do not require in-person interactions, with acceleration in the shift to digital and contactless forms of payment. During 2020 and 2021, this led to rapid customer, transaction, and revenue growth for our business. We have experienced a stabilization in growth in 2022. It remains unclear to what extent these conditions will impact our customers’ behavior in the future.</w:t>
      </w:r>
    </w:p>
    <w:p>
      <w:pPr>
        <w:spacing w:after="0" w:line="122" w:lineRule="exact"/>
        <w:rPr>
          <w:sz w:val="20"/>
          <w:szCs w:val="20"/>
          <w:color w:val="auto"/>
        </w:rPr>
      </w:pPr>
    </w:p>
    <w:p>
      <w:pPr>
        <w:ind w:right="40" w:firstLine="324"/>
        <w:spacing w:after="0" w:line="269" w:lineRule="auto"/>
        <w:rPr>
          <w:sz w:val="20"/>
          <w:szCs w:val="20"/>
          <w:color w:val="auto"/>
        </w:rPr>
      </w:pPr>
      <w:r>
        <w:rPr>
          <w:rFonts w:ascii="Arial" w:cs="Arial" w:eastAsia="Arial" w:hAnsi="Arial"/>
          <w:sz w:val="16"/>
          <w:szCs w:val="16"/>
          <w:color w:val="auto"/>
        </w:rPr>
        <w:t>In some cases, pandemic-related measures also negatively impacted Remitly, including disruptions to workforce stability during 2020 and 2021. However, certain operating expenses during those years grew more slowly than usual due to reduced business travel and the virtualization or cancellation of events. These operating expenses have begun to return to normal growth levels as pandemic restrictions are lifted.</w:t>
      </w:r>
    </w:p>
    <w:p>
      <w:pPr>
        <w:spacing w:after="0" w:line="124"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The full extent to which the COVID-19 pandemic will directly or indirectly impact our business, results of operations, cash flows, and financial condition will depend on future developments that are highly uncertain and cannot be accurately predicted, particularly if new variants of the virus emerge. While we expect the trend toward increased use of digital payments to continue, its velocity may abate as conditions change. In addition, the impact from new variants and other factors arising from the COVID-19 pandemic could adversely effect the use of our services by our customers, the ability of our employees to perform work, and our business generally, which could have a material adverse impact on our operating and financial results.</w:t>
      </w:r>
    </w:p>
    <w:p>
      <w:pPr>
        <w:spacing w:after="0" w:line="130" w:lineRule="exact"/>
        <w:rPr>
          <w:sz w:val="20"/>
          <w:szCs w:val="20"/>
          <w:color w:val="auto"/>
        </w:rPr>
      </w:pPr>
    </w:p>
    <w:p>
      <w:pPr>
        <w:ind w:right="480" w:firstLine="324"/>
        <w:spacing w:after="0" w:line="275" w:lineRule="auto"/>
        <w:rPr>
          <w:sz w:val="20"/>
          <w:szCs w:val="20"/>
          <w:color w:val="auto"/>
        </w:rPr>
      </w:pPr>
      <w:r>
        <w:rPr>
          <w:rFonts w:ascii="Arial" w:cs="Arial" w:eastAsia="Arial" w:hAnsi="Arial"/>
          <w:sz w:val="16"/>
          <w:szCs w:val="16"/>
          <w:color w:val="auto"/>
        </w:rPr>
        <w:t>We will continue to actively monitor the situation and may take further actions that may alter our business practices as may be required by federal, state, or local authorities or that we determine are in the best interests of our employees, customers, or business partners.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5"/>
          <w:szCs w:val="15"/>
          <w:color w:val="auto"/>
        </w:rPr>
        <w:t>Throughout the COVID-19 pandemic, the Company has remained focused on serving its customers and communities, as well as the well-being of its employees.</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4" w:right="359" w:bottom="1440" w:gutter="0" w:footer="0" w:header="0"/>
        </w:sectPr>
      </w:pPr>
    </w:p>
    <w:bookmarkStart w:id="26" w:name="page27"/>
    <w:bookmarkEnd w:id="26"/>
    <w:p>
      <w:pPr>
        <w:spacing w:after="0"/>
        <w:rPr>
          <w:sz w:val="20"/>
          <w:szCs w:val="20"/>
          <w:color w:val="auto"/>
        </w:rPr>
      </w:pPr>
      <w:r>
        <w:rPr>
          <w:rFonts w:ascii="Arial" w:cs="Arial" w:eastAsia="Arial" w:hAnsi="Arial"/>
          <w:sz w:val="16"/>
          <w:szCs w:val="16"/>
          <w:b w:val="1"/>
          <w:bCs w:val="1"/>
          <w:color w:val="auto"/>
        </w:rPr>
        <w:t>Components of Results of Operations</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Revenue</w:t>
      </w:r>
    </w:p>
    <w:p>
      <w:pPr>
        <w:spacing w:after="0" w:line="181"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The Company’s revenue is generated on transaction fees charged to customers and foreign exchange spreads between the foreign exchange rate offered to customers and the foreign exchange rate on the Company’s currency purchases. Revenue is recognized when control of these services is transferred to the Company’s customers, which is the time the funds have been delivered to the intended recipient in an amount that reflects the consideration the Company expects to be entitled to in exchange for services provided.</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Costs and expenses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Transaction Expenses</w:t>
      </w:r>
    </w:p>
    <w:p>
      <w:pPr>
        <w:spacing w:after="0" w:line="167" w:lineRule="exact"/>
        <w:rPr>
          <w:sz w:val="20"/>
          <w:szCs w:val="20"/>
          <w:color w:val="auto"/>
        </w:rPr>
      </w:pPr>
    </w:p>
    <w:p>
      <w:pPr>
        <w:ind w:right="60" w:firstLine="324"/>
        <w:spacing w:after="0" w:line="295" w:lineRule="auto"/>
        <w:rPr>
          <w:sz w:val="20"/>
          <w:szCs w:val="20"/>
          <w:color w:val="auto"/>
        </w:rPr>
      </w:pPr>
      <w:r>
        <w:rPr>
          <w:rFonts w:ascii="Arial" w:cs="Arial" w:eastAsia="Arial" w:hAnsi="Arial"/>
          <w:sz w:val="15"/>
          <w:szCs w:val="15"/>
          <w:color w:val="auto"/>
        </w:rPr>
        <w:t>Transaction expenses include fees paid to disbursement partners for paying funds to the recipient, provisions for transaction losses and fees paid to payment processors for funding transactions. Transaction expenses also include bad debt expense, chargebacks, fraud prevention, fraud management tools and compliance tools. Over the long term we expect to continue to benefit from increasing scale, although we expect some variability in transaction expense from quarter to quarter.</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Reserve for Transaction Losses</w:t>
      </w:r>
    </w:p>
    <w:p>
      <w:pPr>
        <w:spacing w:after="0" w:line="181" w:lineRule="exact"/>
        <w:rPr>
          <w:sz w:val="20"/>
          <w:szCs w:val="20"/>
          <w:color w:val="auto"/>
        </w:rPr>
      </w:pPr>
    </w:p>
    <w:p>
      <w:pPr>
        <w:ind w:right="20" w:firstLine="324"/>
        <w:spacing w:after="0" w:line="262" w:lineRule="auto"/>
        <w:rPr>
          <w:sz w:val="20"/>
          <w:szCs w:val="20"/>
          <w:color w:val="auto"/>
        </w:rPr>
      </w:pPr>
      <w:r>
        <w:rPr>
          <w:rFonts w:ascii="Arial" w:cs="Arial" w:eastAsia="Arial" w:hAnsi="Arial"/>
          <w:sz w:val="16"/>
          <w:szCs w:val="16"/>
          <w:color w:val="auto"/>
        </w:rPr>
        <w:t>The Company is exposed to transaction losses, including chargebacks, unauthorized credit card use, fraud associated with customer transactions and other non-fraud-related losses. The Company establishes reserves for such losses based on historical trends and any specific risks identified in processing customer transactions. This reserve is included in ‘</w:t>
      </w:r>
      <w:r>
        <w:rPr>
          <w:rFonts w:ascii="Arial" w:cs="Arial" w:eastAsia="Arial" w:hAnsi="Arial"/>
          <w:sz w:val="16"/>
          <w:szCs w:val="16"/>
          <w:i w:val="1"/>
          <w:iCs w:val="1"/>
          <w:color w:val="auto"/>
        </w:rPr>
        <w:t>Accrued expenses and other current liabilities</w:t>
      </w:r>
      <w:r>
        <w:rPr>
          <w:rFonts w:ascii="Arial" w:cs="Arial" w:eastAsia="Arial" w:hAnsi="Arial"/>
          <w:sz w:val="16"/>
          <w:szCs w:val="16"/>
          <w:color w:val="auto"/>
        </w:rPr>
        <w:t>’ on the Condensed Consolidated Balance Sheets. The provision for transaction losses is included as a component of ‘</w:t>
      </w:r>
      <w:r>
        <w:rPr>
          <w:rFonts w:ascii="Arial" w:cs="Arial" w:eastAsia="Arial" w:hAnsi="Arial"/>
          <w:sz w:val="16"/>
          <w:szCs w:val="16"/>
          <w:i w:val="1"/>
          <w:iCs w:val="1"/>
          <w:color w:val="auto"/>
        </w:rPr>
        <w:t>Transaction expenses</w:t>
      </w:r>
      <w:r>
        <w:rPr>
          <w:rFonts w:ascii="Arial" w:cs="Arial" w:eastAsia="Arial" w:hAnsi="Arial"/>
          <w:sz w:val="16"/>
          <w:szCs w:val="16"/>
          <w:color w:val="auto"/>
        </w:rPr>
        <w:t>’ within the Condensed Consolidated Statements of Operations.</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Customer Support and Operations</w:t>
      </w:r>
    </w:p>
    <w:p>
      <w:pPr>
        <w:spacing w:after="0" w:line="181" w:lineRule="exact"/>
        <w:rPr>
          <w:sz w:val="20"/>
          <w:szCs w:val="20"/>
          <w:color w:val="auto"/>
        </w:rPr>
      </w:pPr>
    </w:p>
    <w:p>
      <w:pPr>
        <w:ind w:right="160" w:firstLine="324"/>
        <w:spacing w:after="0" w:line="279" w:lineRule="auto"/>
        <w:rPr>
          <w:sz w:val="20"/>
          <w:szCs w:val="20"/>
          <w:color w:val="auto"/>
        </w:rPr>
      </w:pPr>
      <w:r>
        <w:rPr>
          <w:rFonts w:ascii="Arial" w:cs="Arial" w:eastAsia="Arial" w:hAnsi="Arial"/>
          <w:sz w:val="15"/>
          <w:szCs w:val="15"/>
          <w:color w:val="auto"/>
        </w:rPr>
        <w:t>Customer support and operations expenses consist primarily of personnel-related expenses associated with the Company’s customer support and operations organization, including salaries, benefits, and stock-based compensation expense, as well as third-party costs for customer support services, and travel and related office expenses. This includes our customer service teams which directly support our customers, consisting of online support and call centers, and other costs incurred to support our customers, including related telephony costs to support these teams, customer protection and risk teams, investments in tools to effectively service our customers, and increased customer self-service capabilities. Customer support and operations expenses also include professional services fees.</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Marketing</w:t>
      </w:r>
    </w:p>
    <w:p>
      <w:pPr>
        <w:spacing w:after="0" w:line="167" w:lineRule="exact"/>
        <w:rPr>
          <w:sz w:val="20"/>
          <w:szCs w:val="20"/>
          <w:color w:val="auto"/>
        </w:rPr>
      </w:pPr>
    </w:p>
    <w:p>
      <w:pPr>
        <w:ind w:right="280" w:firstLine="324"/>
        <w:spacing w:after="0" w:line="295" w:lineRule="auto"/>
        <w:rPr>
          <w:sz w:val="20"/>
          <w:szCs w:val="20"/>
          <w:color w:val="auto"/>
        </w:rPr>
      </w:pPr>
      <w:r>
        <w:rPr>
          <w:rFonts w:ascii="Arial" w:cs="Arial" w:eastAsia="Arial" w:hAnsi="Arial"/>
          <w:sz w:val="15"/>
          <w:szCs w:val="15"/>
          <w:color w:val="auto"/>
        </w:rPr>
        <w:t>Marketing expenses consist primarily of advertising costs used to attract new customers, including branding-related expenses. Marketing expenses also include personnel-related expenses associated with the Company’s marketing organization staff, including salaries, benefits and stock-based compensation expense, promotions, software subscription services dedicated for use by the Company’s marketing functions, and outside services contracted for marketing purposes.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Technology and Development</w:t>
      </w:r>
    </w:p>
    <w:p>
      <w:pPr>
        <w:spacing w:after="0" w:line="181" w:lineRule="exact"/>
        <w:rPr>
          <w:sz w:val="20"/>
          <w:szCs w:val="20"/>
          <w:color w:val="auto"/>
        </w:rPr>
      </w:pPr>
    </w:p>
    <w:p>
      <w:pPr>
        <w:ind w:right="140" w:firstLine="324"/>
        <w:spacing w:after="0" w:line="258" w:lineRule="auto"/>
        <w:rPr>
          <w:sz w:val="20"/>
          <w:szCs w:val="20"/>
          <w:color w:val="auto"/>
        </w:rPr>
      </w:pPr>
      <w:r>
        <w:rPr>
          <w:rFonts w:ascii="Arial" w:cs="Arial" w:eastAsia="Arial" w:hAnsi="Arial"/>
          <w:sz w:val="16"/>
          <w:szCs w:val="16"/>
          <w:color w:val="auto"/>
        </w:rPr>
        <w:t>Technology and development expenses consist primarily of personnel-related expenses for employees involved in the research, design, development and maintenance of both new and existing products and services, including salaries, benefits and stock-based compensation expense. Technology and development expenses also include professional services fees and costs for software subscription services, predominantly for use by the Company’s technology and development teams. Technology and development expenses also include product and engineering teams used to support the development of both internal infrastructure and internal-use software, to the extent such costs do not qualify for capitalization.</w:t>
      </w:r>
    </w:p>
    <w:p>
      <w:pPr>
        <w:spacing w:after="0" w:line="145" w:lineRule="exact"/>
        <w:rPr>
          <w:sz w:val="20"/>
          <w:szCs w:val="20"/>
          <w:color w:val="auto"/>
        </w:rPr>
      </w:pPr>
    </w:p>
    <w:p>
      <w:pPr>
        <w:ind w:right="180" w:firstLine="324"/>
        <w:spacing w:after="0" w:line="279" w:lineRule="auto"/>
        <w:rPr>
          <w:sz w:val="20"/>
          <w:szCs w:val="20"/>
          <w:color w:val="auto"/>
        </w:rPr>
      </w:pPr>
      <w:r>
        <w:rPr>
          <w:rFonts w:ascii="Arial" w:cs="Arial" w:eastAsia="Arial" w:hAnsi="Arial"/>
          <w:sz w:val="15"/>
          <w:szCs w:val="15"/>
          <w:color w:val="auto"/>
        </w:rPr>
        <w:t>We believe delivering new functionality is critical to attract new customers and expand our relationship with existing customers. We expect to continue to make investments to expand our solutions in order to enhance our customers’ experience and satisfaction, and to attract new customers. We expect our technology and development expenses to increase in absolute dollars, but they may fluctuate as a percentage of total revenue from period to period as we expand our technology and development team to develop new solutions and enhancements to existing solutions. In fiscal year 2022, as we invest in our platform to expand our offerings, improve the user experience, and drive geographic expansion, we expect technology and development expense to increase as a percentage of revenue.</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w:t>
      </w:r>
    </w:p>
    <w:p>
      <w:pPr>
        <w:spacing w:after="0" w:line="181" w:lineRule="exact"/>
        <w:rPr>
          <w:sz w:val="20"/>
          <w:szCs w:val="20"/>
          <w:color w:val="auto"/>
        </w:rPr>
      </w:pPr>
    </w:p>
    <w:p>
      <w:pPr>
        <w:ind w:right="20" w:firstLine="324"/>
        <w:spacing w:after="0" w:line="310" w:lineRule="auto"/>
        <w:rPr>
          <w:sz w:val="20"/>
          <w:szCs w:val="20"/>
          <w:color w:val="auto"/>
        </w:rPr>
      </w:pPr>
      <w:r>
        <w:rPr>
          <w:rFonts w:ascii="Arial" w:cs="Arial" w:eastAsia="Arial" w:hAnsi="Arial"/>
          <w:sz w:val="14"/>
          <w:szCs w:val="14"/>
          <w:color w:val="auto"/>
        </w:rPr>
        <w:t>General and administrative expenses consist primarily of personnel-related expenses for the Company’s finance, legal, corporate development, human resources, facilities, and administrative personnel, including salaries, benefits and stock-based compensation expense. General and administrative expenses also include professional services fees, software subscriptions, facilities, indirect taxes, and other corporate expenses, including acquisition and integration expenses. Such expenses primarily include external legal, accounting, valuation, and due diligence costs, as well as advisory and other professional services fees necessary to integrate acquired businesses.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0" w:right="359" w:bottom="1440" w:gutter="0" w:footer="0" w:header="0"/>
        </w:sectPr>
      </w:pPr>
    </w:p>
    <w:bookmarkStart w:id="27" w:name="page28"/>
    <w:bookmarkEnd w:id="27"/>
    <w:p>
      <w:pPr>
        <w:ind w:right="300" w:firstLine="324"/>
        <w:spacing w:after="0" w:line="325" w:lineRule="auto"/>
        <w:rPr>
          <w:sz w:val="20"/>
          <w:szCs w:val="20"/>
          <w:color w:val="auto"/>
        </w:rPr>
      </w:pPr>
      <w:r>
        <w:rPr>
          <w:rFonts w:ascii="Arial" w:cs="Arial" w:eastAsia="Arial" w:hAnsi="Arial"/>
          <w:sz w:val="14"/>
          <w:szCs w:val="14"/>
          <w:color w:val="auto"/>
        </w:rPr>
        <w:t>We have incurred and expect to continue to incur additional expenses as a result of operating as a public company, including costs to comply with the rules and regulations applicable to companies listed on a national securities exchange, costs related to compliance and reporting obligations, and increased expenses for insurance, investor relations, and professional services. We have also invested in additional headcount to support both public company costs and to support our growth initiatives.</w:t>
      </w:r>
    </w:p>
    <w:p>
      <w:pPr>
        <w:spacing w:after="0" w:line="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181" w:lineRule="exact"/>
        <w:rPr>
          <w:sz w:val="20"/>
          <w:szCs w:val="20"/>
          <w:color w:val="auto"/>
        </w:rPr>
      </w:pPr>
    </w:p>
    <w:p>
      <w:pPr>
        <w:ind w:right="480" w:firstLine="324"/>
        <w:spacing w:after="0" w:line="275" w:lineRule="auto"/>
        <w:rPr>
          <w:sz w:val="20"/>
          <w:szCs w:val="20"/>
          <w:color w:val="auto"/>
        </w:rPr>
      </w:pPr>
      <w:r>
        <w:rPr>
          <w:rFonts w:ascii="Arial" w:cs="Arial" w:eastAsia="Arial" w:hAnsi="Arial"/>
          <w:sz w:val="16"/>
          <w:szCs w:val="16"/>
          <w:color w:val="auto"/>
        </w:rPr>
        <w:t>Depreciation and amortization expense includes depreciation on property and equipment and leasehold improvements, as well as the amortization of internal-use software costs and amortization of intangible assets.</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Income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income consists primarily of interest income earned on our cash and cash equivalents.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Interest Expense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Interest expense consists primarily of the interest expense on our borrowings.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Other Income (Expense), net</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Other income (expense), net primarily consists of foreign exchange gains and losses.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167" w:lineRule="exact"/>
        <w:rPr>
          <w:sz w:val="20"/>
          <w:szCs w:val="20"/>
          <w:color w:val="auto"/>
        </w:rPr>
      </w:pPr>
    </w:p>
    <w:p>
      <w:pPr>
        <w:jc w:val="both"/>
        <w:ind w:right="60" w:firstLine="324"/>
        <w:spacing w:after="0" w:line="269" w:lineRule="auto"/>
        <w:rPr>
          <w:sz w:val="20"/>
          <w:szCs w:val="20"/>
          <w:color w:val="auto"/>
        </w:rPr>
      </w:pPr>
      <w:r>
        <w:rPr>
          <w:rFonts w:ascii="Arial" w:cs="Arial" w:eastAsia="Arial" w:hAnsi="Arial"/>
          <w:sz w:val="16"/>
          <w:szCs w:val="16"/>
          <w:color w:val="auto"/>
        </w:rPr>
        <w:t>Provision for income taxes consists primarily of income taxes in certain foreign jurisdictions in which we conduct business and state income taxes in the United States. We maintain a full valuation allowance for U.S. deferred tax assets, which includes net operating loss carryforwards. We expect to maintain this full valuation allowance for the foreseeable future as it is more likely than not that the assets will not be realized based on our history of losses.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Comparison of the three and nine months ended September 30, 2022 and 2021</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Revenue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20" w:type="dxa"/>
            <w:vAlign w:val="bottom"/>
          </w:tcPr>
          <w:p>
            <w:pPr>
              <w:spacing w:after="0"/>
              <w:rPr>
                <w:sz w:val="15"/>
                <w:szCs w:val="15"/>
                <w:color w:val="auto"/>
              </w:rPr>
            </w:pPr>
          </w:p>
        </w:tc>
        <w:tc>
          <w:tcPr>
            <w:tcW w:w="2220" w:type="dxa"/>
            <w:vAlign w:val="bottom"/>
            <w:gridSpan w:val="7"/>
          </w:tcPr>
          <w:p>
            <w:pPr>
              <w:jc w:val="right"/>
              <w:ind w:right="140"/>
              <w:spacing w:after="0"/>
              <w:rPr>
                <w:sz w:val="20"/>
                <w:szCs w:val="20"/>
                <w:color w:val="auto"/>
              </w:rPr>
            </w:pPr>
            <w:r>
              <w:rPr>
                <w:rFonts w:ascii="Arial" w:cs="Arial" w:eastAsia="Arial" w:hAnsi="Arial"/>
                <w:sz w:val="14"/>
                <w:szCs w:val="14"/>
                <w:b w:val="1"/>
                <w:bCs w:val="1"/>
                <w:color w:val="auto"/>
                <w:w w:val="95"/>
              </w:rPr>
              <w:t>Three Months Ended September</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Nine Months Ended September</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6"/>
        </w:trPr>
        <w:tc>
          <w:tcPr>
            <w:tcW w:w="2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92"/>
              </w:rPr>
              <w:t>30,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720"/>
              <w:spacing w:after="0"/>
              <w:rPr>
                <w:sz w:val="20"/>
                <w:szCs w:val="20"/>
                <w:color w:val="auto"/>
              </w:rPr>
            </w:pPr>
            <w:r>
              <w:rPr>
                <w:rFonts w:ascii="Arial" w:cs="Arial" w:eastAsia="Arial" w:hAnsi="Arial"/>
                <w:sz w:val="14"/>
                <w:szCs w:val="14"/>
                <w:b w:val="1"/>
                <w:bCs w:val="1"/>
                <w:color w:val="auto"/>
                <w:w w:val="93"/>
              </w:rPr>
              <w:t>Change</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ind w:left="720"/>
              <w:spacing w:after="0"/>
              <w:rPr>
                <w:sz w:val="20"/>
                <w:szCs w:val="20"/>
                <w:color w:val="auto"/>
              </w:rPr>
            </w:pPr>
            <w:r>
              <w:rPr>
                <w:rFonts w:ascii="Arial" w:cs="Arial" w:eastAsia="Arial" w:hAnsi="Arial"/>
                <w:sz w:val="14"/>
                <w:szCs w:val="14"/>
                <w:b w:val="1"/>
                <w:bCs w:val="1"/>
                <w:color w:val="auto"/>
                <w:w w:val="97"/>
              </w:rPr>
              <w:t>Change</w:t>
            </w:r>
          </w:p>
        </w:tc>
        <w:tc>
          <w:tcPr>
            <w:tcW w:w="840" w:type="dxa"/>
            <w:vAlign w:val="bottom"/>
          </w:tcPr>
          <w:p>
            <w:pPr>
              <w:spacing w:after="0"/>
              <w:rPr>
                <w:sz w:val="16"/>
                <w:szCs w:val="16"/>
                <w:color w:val="auto"/>
              </w:rPr>
            </w:pPr>
          </w:p>
        </w:tc>
      </w:tr>
      <w:tr>
        <w:trPr>
          <w:trHeight w:val="39"/>
        </w:trPr>
        <w:tc>
          <w:tcPr>
            <w:tcW w:w="222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4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184"/>
        </w:trPr>
        <w:tc>
          <w:tcPr>
            <w:tcW w:w="22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6"/>
                <w:szCs w:val="16"/>
                <w:color w:val="auto"/>
              </w:rPr>
            </w:pPr>
          </w:p>
        </w:tc>
        <w:tc>
          <w:tcPr>
            <w:tcW w:w="72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104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7"/>
              </w:rPr>
              <w:t>Percent</w:t>
            </w:r>
          </w:p>
        </w:tc>
        <w:tc>
          <w:tcPr>
            <w:tcW w:w="860" w:type="dxa"/>
            <w:vAlign w:val="bottom"/>
          </w:tcPr>
          <w:p>
            <w:pPr>
              <w:jc w:val="right"/>
              <w:ind w:right="24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40" w:type="dxa"/>
            <w:vAlign w:val="bottom"/>
          </w:tcPr>
          <w:p>
            <w:pPr>
              <w:jc w:val="right"/>
              <w:ind w:right="26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22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r>
      <w:tr>
        <w:trPr>
          <w:trHeight w:val="237"/>
        </w:trPr>
        <w:tc>
          <w:tcPr>
            <w:tcW w:w="22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169,259</w:t>
            </w:r>
          </w:p>
        </w:tc>
        <w:tc>
          <w:tcPr>
            <w:tcW w:w="40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121,244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48,015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4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40 %  $</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462,528</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323,350</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139,178</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r>
    </w:tbl>
    <w:p>
      <w:pPr>
        <w:spacing w:after="0" w:line="247" w:lineRule="exact"/>
        <w:rPr>
          <w:sz w:val="20"/>
          <w:szCs w:val="20"/>
          <w:color w:val="auto"/>
        </w:rPr>
      </w:pPr>
    </w:p>
    <w:p>
      <w:pPr>
        <w:ind w:right="360" w:firstLine="324"/>
        <w:spacing w:after="0" w:line="325" w:lineRule="auto"/>
        <w:rPr>
          <w:sz w:val="20"/>
          <w:szCs w:val="20"/>
          <w:color w:val="auto"/>
        </w:rPr>
      </w:pPr>
      <w:r>
        <w:rPr>
          <w:rFonts w:ascii="Arial" w:cs="Arial" w:eastAsia="Arial" w:hAnsi="Arial"/>
          <w:sz w:val="14"/>
          <w:szCs w:val="14"/>
          <w:color w:val="auto"/>
        </w:rPr>
        <w:t>Revenue increased $48.0 million, or 40%, to $169.3 million for the three months ended September 30, 2022. This increase was primarily driven by growth in send volume, which increased $2.3 billion, or 44%, to $7.5 billion for the three months ended September 30, 2022, compared to $5.2 billion for the three months ended September 30, 2021, reflecting an increase in active customers compared to the third quarter in 2021 and continued strength in the retention of existing customers.</w:t>
      </w:r>
    </w:p>
    <w:p>
      <w:pPr>
        <w:spacing w:after="0" w:line="88" w:lineRule="exact"/>
        <w:rPr>
          <w:sz w:val="20"/>
          <w:szCs w:val="20"/>
          <w:color w:val="auto"/>
        </w:rPr>
      </w:pPr>
    </w:p>
    <w:p>
      <w:pPr>
        <w:ind w:right="40" w:firstLine="324"/>
        <w:spacing w:after="0" w:line="262" w:lineRule="auto"/>
        <w:rPr>
          <w:sz w:val="20"/>
          <w:szCs w:val="20"/>
          <w:color w:val="auto"/>
        </w:rPr>
      </w:pPr>
      <w:r>
        <w:rPr>
          <w:rFonts w:ascii="Arial" w:cs="Arial" w:eastAsia="Arial" w:hAnsi="Arial"/>
          <w:sz w:val="16"/>
          <w:szCs w:val="16"/>
          <w:color w:val="auto"/>
        </w:rPr>
        <w:t>While not a primary driver of results, foreign currency movements, particularly the recent strength in the US dollar, impacted our business in the three months ended September 30, 2022. For example, we saw customers taking advantage of the ability to get more local currency to their families and friends. The strong US dollar was also a benefit to new customer acquisition and retention in certain markets. Conversely, the increase in our revenue growth globally was negatively impacted by foreign currency translation related to our international revenue, as our international business continues to grow and currencies such as the British pound and Euro weakened against the US dollar.</w:t>
      </w:r>
    </w:p>
    <w:p>
      <w:pPr>
        <w:spacing w:after="0" w:line="130" w:lineRule="exact"/>
        <w:rPr>
          <w:sz w:val="20"/>
          <w:szCs w:val="20"/>
          <w:color w:val="auto"/>
        </w:rPr>
      </w:pPr>
    </w:p>
    <w:p>
      <w:pPr>
        <w:ind w:right="60" w:firstLine="324"/>
        <w:spacing w:after="0" w:line="325" w:lineRule="auto"/>
        <w:rPr>
          <w:sz w:val="20"/>
          <w:szCs w:val="20"/>
          <w:color w:val="auto"/>
        </w:rPr>
      </w:pPr>
      <w:r>
        <w:rPr>
          <w:rFonts w:ascii="Arial" w:cs="Arial" w:eastAsia="Arial" w:hAnsi="Arial"/>
          <w:sz w:val="14"/>
          <w:szCs w:val="14"/>
          <w:color w:val="auto"/>
        </w:rPr>
        <w:t>Revenue increased $139.2 million, or 43%, to $462.5 million for the nine months ended September 30, 2022, compared to $323.4 million for the nine months ended September 30, 2021. This increase in revenue was driven primarily by the growth in send volume, which increased $6.1 billion, or 42%, to $20.6 billion for the nine months ended September 30, 2022, compared to $14.5 billion for the nine months ended September 30, 2021. Send volume growth reflects an increase in active customers.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Transaction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23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Three Months Ended September 30,</w:t>
            </w:r>
          </w:p>
        </w:tc>
        <w:tc>
          <w:tcPr>
            <w:tcW w:w="160" w:type="dxa"/>
            <w:vAlign w:val="bottom"/>
          </w:tcPr>
          <w:p>
            <w:pPr>
              <w:spacing w:after="0"/>
              <w:rPr>
                <w:sz w:val="16"/>
                <w:szCs w:val="16"/>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Nine Months Ended September 30,</w:t>
            </w:r>
          </w:p>
        </w:tc>
        <w:tc>
          <w:tcPr>
            <w:tcW w:w="160" w:type="dxa"/>
            <w:vAlign w:val="bottom"/>
          </w:tcPr>
          <w:p>
            <w:pPr>
              <w:spacing w:after="0"/>
              <w:rPr>
                <w:sz w:val="16"/>
                <w:szCs w:val="16"/>
                <w:color w:val="auto"/>
              </w:rPr>
            </w:pPr>
          </w:p>
        </w:tc>
        <w:tc>
          <w:tcPr>
            <w:tcW w:w="1160" w:type="dxa"/>
            <w:vAlign w:val="bottom"/>
            <w:gridSpan w:val="3"/>
          </w:tcPr>
          <w:p>
            <w:pPr>
              <w:ind w:left="680"/>
              <w:spacing w:after="0"/>
              <w:rPr>
                <w:sz w:val="20"/>
                <w:szCs w:val="20"/>
                <w:color w:val="auto"/>
              </w:rPr>
            </w:pPr>
            <w:r>
              <w:rPr>
                <w:rFonts w:ascii="Arial" w:cs="Arial" w:eastAsia="Arial" w:hAnsi="Arial"/>
                <w:sz w:val="14"/>
                <w:szCs w:val="14"/>
                <w:b w:val="1"/>
                <w:bCs w:val="1"/>
                <w:color w:val="auto"/>
                <w:w w:val="89"/>
              </w:rPr>
              <w:t>Change</w:t>
            </w:r>
          </w:p>
        </w:tc>
        <w:tc>
          <w:tcPr>
            <w:tcW w:w="820" w:type="dxa"/>
            <w:vAlign w:val="bottom"/>
          </w:tcPr>
          <w:p>
            <w:pPr>
              <w:spacing w:after="0"/>
              <w:rPr>
                <w:sz w:val="16"/>
                <w:szCs w:val="16"/>
                <w:color w:val="auto"/>
              </w:rPr>
            </w:pPr>
          </w:p>
        </w:tc>
      </w:tr>
      <w:tr>
        <w:trPr>
          <w:trHeight w:val="39"/>
        </w:trPr>
        <w:tc>
          <w:tcPr>
            <w:tcW w:w="2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6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21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1100" w:type="dxa"/>
            <w:vAlign w:val="bottom"/>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12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24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2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6"/>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Transaction expenses</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69,872</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47,560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22,312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47 %</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164"/>
              <w:spacing w:after="0"/>
              <w:rPr>
                <w:sz w:val="20"/>
                <w:szCs w:val="20"/>
                <w:color w:val="auto"/>
              </w:rPr>
            </w:pPr>
            <w:r>
              <w:rPr>
                <w:rFonts w:ascii="Arial" w:cs="Arial" w:eastAsia="Arial" w:hAnsi="Arial"/>
                <w:sz w:val="16"/>
                <w:szCs w:val="16"/>
                <w:color w:val="auto"/>
              </w:rPr>
              <w:t>$186,961</w:t>
            </w:r>
          </w:p>
        </w:tc>
        <w:tc>
          <w:tcPr>
            <w:tcW w:w="8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82"/>
              <w:spacing w:after="0"/>
              <w:rPr>
                <w:sz w:val="20"/>
                <w:szCs w:val="20"/>
                <w:color w:val="auto"/>
              </w:rPr>
            </w:pPr>
            <w:r>
              <w:rPr>
                <w:rFonts w:ascii="Arial" w:cs="Arial" w:eastAsia="Arial" w:hAnsi="Arial"/>
                <w:sz w:val="16"/>
                <w:szCs w:val="16"/>
                <w:color w:val="auto"/>
              </w:rPr>
              <w:t>$135,175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51,786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38 %</w:t>
            </w:r>
          </w:p>
        </w:tc>
      </w:tr>
      <w:tr>
        <w:trPr>
          <w:trHeight w:val="224"/>
        </w:trPr>
        <w:tc>
          <w:tcPr>
            <w:tcW w:w="212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40 %</w:t>
            </w:r>
          </w:p>
        </w:tc>
        <w:tc>
          <w:tcPr>
            <w:tcW w:w="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42 %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28" w:name="page29"/>
    <w:bookmarkEnd w:id="28"/>
    <w:p>
      <w:pPr>
        <w:ind w:right="20" w:firstLine="324"/>
        <w:spacing w:after="0" w:line="262" w:lineRule="auto"/>
        <w:rPr>
          <w:sz w:val="20"/>
          <w:szCs w:val="20"/>
          <w:color w:val="auto"/>
        </w:rPr>
      </w:pPr>
      <w:r>
        <w:rPr>
          <w:rFonts w:ascii="Arial" w:cs="Arial" w:eastAsia="Arial" w:hAnsi="Arial"/>
          <w:sz w:val="16"/>
          <w:szCs w:val="16"/>
          <w:color w:val="auto"/>
        </w:rPr>
        <w:t>Transaction expenses increased $22.3 million, or 47%, to $69.9 million for the three months ended September 30, 2022, compared to $47.6 million for the three months ended September 30, 2021. The increase was primarily due to a $13.1 million increase in direct costs associated with processing a higher volume of our customers’ remittance transactions and the disbursement of our customers’ funds to their recipients, a $7.8 million increase in fraud and other losses largely driven by growth in new customers and send volume, and a $1.4 million increase in other transaction expenses, primarily related to software and tools that support our compliance and risk operations.</w:t>
      </w:r>
    </w:p>
    <w:p>
      <w:pPr>
        <w:spacing w:after="0" w:line="130" w:lineRule="exact"/>
        <w:rPr>
          <w:sz w:val="20"/>
          <w:szCs w:val="20"/>
          <w:color w:val="auto"/>
        </w:rPr>
      </w:pPr>
    </w:p>
    <w:p>
      <w:pPr>
        <w:ind w:right="200" w:firstLine="324"/>
        <w:spacing w:after="0" w:line="275" w:lineRule="auto"/>
        <w:rPr>
          <w:sz w:val="20"/>
          <w:szCs w:val="20"/>
          <w:color w:val="auto"/>
        </w:rPr>
      </w:pPr>
      <w:r>
        <w:rPr>
          <w:rFonts w:ascii="Arial" w:cs="Arial" w:eastAsia="Arial" w:hAnsi="Arial"/>
          <w:sz w:val="16"/>
          <w:szCs w:val="16"/>
          <w:color w:val="auto"/>
        </w:rPr>
        <w:t>As a percentage of revenue, transaction expenses increased to 41% for the three months ended September 30, 2022, from 39% for the three months ended September 30, 2021, due to an increase in fraud and other losses as a percentage of revenue.</w:t>
      </w:r>
    </w:p>
    <w:p>
      <w:pPr>
        <w:spacing w:after="0" w:line="132" w:lineRule="exact"/>
        <w:rPr>
          <w:sz w:val="20"/>
          <w:szCs w:val="20"/>
          <w:color w:val="auto"/>
        </w:rPr>
      </w:pPr>
    </w:p>
    <w:p>
      <w:pPr>
        <w:ind w:right="120" w:firstLine="324"/>
        <w:spacing w:after="0" w:line="258" w:lineRule="auto"/>
        <w:rPr>
          <w:sz w:val="20"/>
          <w:szCs w:val="20"/>
          <w:color w:val="auto"/>
        </w:rPr>
      </w:pPr>
      <w:r>
        <w:rPr>
          <w:rFonts w:ascii="Arial" w:cs="Arial" w:eastAsia="Arial" w:hAnsi="Arial"/>
          <w:sz w:val="16"/>
          <w:szCs w:val="16"/>
          <w:color w:val="auto"/>
        </w:rPr>
        <w:t>Transaction expenses increased $51.8 million, or 38%, to $187.0 million for the nine months ended September 30, 2022, compared to $135.2 million, for the nine months ended September 30, 2021. The increase was primarily due to a $36.1 million increase in direct costs associated with processing a higher volume of our customers’ remittance transactions and the disbursement of our customers’ funds to their recipients, a $12.1 million increase in fraud and other losses largely driven by growth in new customers and send volume, and a $3.6 million increase in other transaction expenses, primarily related to software and tools that support our compliance and risk operations.</w:t>
      </w:r>
    </w:p>
    <w:p>
      <w:pPr>
        <w:spacing w:after="0" w:line="145" w:lineRule="exact"/>
        <w:rPr>
          <w:sz w:val="20"/>
          <w:szCs w:val="20"/>
          <w:color w:val="auto"/>
        </w:rPr>
      </w:pPr>
    </w:p>
    <w:p>
      <w:pPr>
        <w:ind w:right="20" w:firstLine="324"/>
        <w:spacing w:after="0" w:line="349" w:lineRule="auto"/>
        <w:rPr>
          <w:sz w:val="20"/>
          <w:szCs w:val="20"/>
          <w:color w:val="auto"/>
        </w:rPr>
      </w:pPr>
      <w:r>
        <w:rPr>
          <w:rFonts w:ascii="Arial" w:cs="Arial" w:eastAsia="Arial" w:hAnsi="Arial"/>
          <w:sz w:val="14"/>
          <w:szCs w:val="14"/>
          <w:color w:val="auto"/>
        </w:rPr>
        <w:t>As a percentage of revenue, transaction expenses decreased to 40% for the nine months ended September 30, 2022, from 42% for the nine months ended September 30, 2021, primarily due to better economics with partners as we are able to drive better terms with our payment and disbursement partners as a result of by increasing scale.</w:t>
      </w:r>
    </w:p>
    <w:p>
      <w:pPr>
        <w:spacing w:after="0" w:line="7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Customer Support and Operations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23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Three Months Ended September 30,</w:t>
            </w:r>
          </w:p>
        </w:tc>
        <w:tc>
          <w:tcPr>
            <w:tcW w:w="160" w:type="dxa"/>
            <w:vAlign w:val="bottom"/>
          </w:tcPr>
          <w:p>
            <w:pPr>
              <w:spacing w:after="0"/>
              <w:rPr>
                <w:sz w:val="16"/>
                <w:szCs w:val="16"/>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6"/>
          </w:tcPr>
          <w:p>
            <w:pPr>
              <w:ind w:left="80"/>
              <w:spacing w:after="0"/>
              <w:rPr>
                <w:sz w:val="20"/>
                <w:szCs w:val="20"/>
                <w:color w:val="auto"/>
              </w:rPr>
            </w:pPr>
            <w:r>
              <w:rPr>
                <w:rFonts w:ascii="Arial" w:cs="Arial" w:eastAsia="Arial" w:hAnsi="Arial"/>
                <w:sz w:val="14"/>
                <w:szCs w:val="14"/>
                <w:b w:val="1"/>
                <w:bCs w:val="1"/>
                <w:color w:val="auto"/>
                <w:w w:val="98"/>
              </w:rPr>
              <w:t>Nine Months Ended September 30,</w:t>
            </w:r>
          </w:p>
        </w:tc>
        <w:tc>
          <w:tcPr>
            <w:tcW w:w="160" w:type="dxa"/>
            <w:vAlign w:val="bottom"/>
          </w:tcPr>
          <w:p>
            <w:pPr>
              <w:spacing w:after="0"/>
              <w:rPr>
                <w:sz w:val="16"/>
                <w:szCs w:val="16"/>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6"/>
                <w:szCs w:val="16"/>
                <w:color w:val="auto"/>
              </w:rPr>
            </w:pPr>
          </w:p>
        </w:tc>
      </w:tr>
      <w:tr>
        <w:trPr>
          <w:trHeight w:val="39"/>
        </w:trPr>
        <w:tc>
          <w:tcPr>
            <w:tcW w:w="2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21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24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2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6"/>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Customer support and</w:t>
            </w:r>
          </w:p>
        </w:tc>
        <w:tc>
          <w:tcPr>
            <w:tcW w:w="2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r>
      <w:tr>
        <w:trPr>
          <w:trHeight w:val="239"/>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operations</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18,142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12,005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6,137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48,867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32,435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16,432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51 %</w:t>
            </w:r>
          </w:p>
        </w:tc>
      </w:tr>
      <w:tr>
        <w:trPr>
          <w:trHeight w:val="224"/>
        </w:trPr>
        <w:tc>
          <w:tcPr>
            <w:tcW w:w="210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66" w:lineRule="exact"/>
        <w:rPr>
          <w:sz w:val="20"/>
          <w:szCs w:val="20"/>
          <w:color w:val="auto"/>
        </w:rPr>
      </w:pPr>
    </w:p>
    <w:p>
      <w:pPr>
        <w:ind w:right="320" w:firstLine="324"/>
        <w:spacing w:after="0" w:line="262" w:lineRule="auto"/>
        <w:rPr>
          <w:sz w:val="20"/>
          <w:szCs w:val="20"/>
          <w:color w:val="auto"/>
        </w:rPr>
      </w:pPr>
      <w:r>
        <w:rPr>
          <w:rFonts w:ascii="Arial" w:cs="Arial" w:eastAsia="Arial" w:hAnsi="Arial"/>
          <w:sz w:val="16"/>
          <w:szCs w:val="16"/>
          <w:color w:val="auto"/>
        </w:rPr>
        <w:t>Customer support and operations expenses increased $6.1 million, or 51%, for the three months ended September 30, 2022, compared to the three months ended September 30, 2021. The increase was primarily driven by a $2.4 million increase in internal personnel costs at our sites in the Philippines, Nicaragua, and Ireland that support customer operations, a $2.2 million increase in third-party customer support costs, a $1.1 million increase in software and telephony costs as we supported more active customers, and $0.4 million in other operating expenses.</w:t>
      </w:r>
    </w:p>
    <w:p>
      <w:pPr>
        <w:spacing w:after="0" w:line="128" w:lineRule="exact"/>
        <w:rPr>
          <w:sz w:val="20"/>
          <w:szCs w:val="20"/>
          <w:color w:val="auto"/>
        </w:rPr>
      </w:pPr>
    </w:p>
    <w:p>
      <w:pPr>
        <w:ind w:right="500" w:firstLine="324"/>
        <w:spacing w:after="0" w:line="275" w:lineRule="auto"/>
        <w:rPr>
          <w:sz w:val="20"/>
          <w:szCs w:val="20"/>
          <w:color w:val="auto"/>
        </w:rPr>
      </w:pPr>
      <w:r>
        <w:rPr>
          <w:rFonts w:ascii="Arial" w:cs="Arial" w:eastAsia="Arial" w:hAnsi="Arial"/>
          <w:sz w:val="16"/>
          <w:szCs w:val="16"/>
          <w:color w:val="auto"/>
        </w:rPr>
        <w:t>As a percentage of revenue, customer support and operations expenses increased to 11% for the three months ended September 30, 2022, from 10% for the three months ended September 30, 2021 due to an increase in staffing to support growth in new customer acquisition.</w:t>
      </w:r>
    </w:p>
    <w:p>
      <w:pPr>
        <w:spacing w:after="0" w:line="132" w:lineRule="exact"/>
        <w:rPr>
          <w:sz w:val="20"/>
          <w:szCs w:val="20"/>
          <w:color w:val="auto"/>
        </w:rPr>
      </w:pPr>
    </w:p>
    <w:p>
      <w:pPr>
        <w:ind w:right="320" w:firstLine="324"/>
        <w:spacing w:after="0" w:line="262" w:lineRule="auto"/>
        <w:rPr>
          <w:sz w:val="20"/>
          <w:szCs w:val="20"/>
          <w:color w:val="auto"/>
        </w:rPr>
      </w:pPr>
      <w:r>
        <w:rPr>
          <w:rFonts w:ascii="Arial" w:cs="Arial" w:eastAsia="Arial" w:hAnsi="Arial"/>
          <w:sz w:val="16"/>
          <w:szCs w:val="16"/>
          <w:color w:val="auto"/>
        </w:rPr>
        <w:t>Customer support and operations expenses increased $16.4 million, or 51%, for the nine months ended September 30, 2022, compared to the nine months ended September 30, 2021. The increase was primarily driven by a $6.4 million increase in internal personnel costs at our sites in the Philippines, Nicaragua, and Ireland that support customer operations, a $6.2 million increase in third-party customer support costs, a $2.8 million increase in software and telephony costs as we supported more active customers, and a $1.0 million increase in other operating expenses.</w:t>
      </w:r>
    </w:p>
    <w:p>
      <w:pPr>
        <w:spacing w:after="0" w:line="12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As a percentage of revenue, customer support and operations expenses increased to 11% for the nine months ended September 30, 2022, from 10% for the nine months ended September 30, 2021, due to an increase in staffing to support growth in new customer acquisition.</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Marketing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23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Three Months Ended September 30,</w:t>
            </w:r>
          </w:p>
        </w:tc>
        <w:tc>
          <w:tcPr>
            <w:tcW w:w="160" w:type="dxa"/>
            <w:vAlign w:val="bottom"/>
          </w:tcPr>
          <w:p>
            <w:pPr>
              <w:spacing w:after="0"/>
              <w:rPr>
                <w:sz w:val="16"/>
                <w:szCs w:val="16"/>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80" w:type="dxa"/>
            <w:vAlign w:val="bottom"/>
            <w:gridSpan w:val="4"/>
          </w:tcPr>
          <w:p>
            <w:pPr>
              <w:ind w:left="80"/>
              <w:spacing w:after="0"/>
              <w:rPr>
                <w:sz w:val="20"/>
                <w:szCs w:val="20"/>
                <w:color w:val="auto"/>
              </w:rPr>
            </w:pPr>
            <w:r>
              <w:rPr>
                <w:rFonts w:ascii="Arial" w:cs="Arial" w:eastAsia="Arial" w:hAnsi="Arial"/>
                <w:sz w:val="14"/>
                <w:szCs w:val="14"/>
                <w:b w:val="1"/>
                <w:bCs w:val="1"/>
                <w:color w:val="auto"/>
                <w:w w:val="98"/>
              </w:rPr>
              <w:t>Nine Months Ended September 30,</w:t>
            </w:r>
          </w:p>
        </w:tc>
        <w:tc>
          <w:tcPr>
            <w:tcW w:w="160" w:type="dxa"/>
            <w:vAlign w:val="bottom"/>
          </w:tcPr>
          <w:p>
            <w:pPr>
              <w:spacing w:after="0"/>
              <w:rPr>
                <w:sz w:val="16"/>
                <w:szCs w:val="16"/>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6"/>
                <w:szCs w:val="16"/>
                <w:color w:val="auto"/>
              </w:rPr>
            </w:pPr>
          </w:p>
        </w:tc>
      </w:tr>
      <w:tr>
        <w:trPr>
          <w:trHeight w:val="39"/>
        </w:trPr>
        <w:tc>
          <w:tcPr>
            <w:tcW w:w="20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20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1120" w:type="dxa"/>
            <w:vAlign w:val="bottom"/>
          </w:tcPr>
          <w:p>
            <w:pPr>
              <w:jc w:val="right"/>
              <w:ind w:right="344"/>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10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24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20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2080" w:type="dxa"/>
            <w:vAlign w:val="bottom"/>
            <w:shd w:val="clear" w:color="auto" w:fill="CCEEFF"/>
          </w:tcPr>
          <w:p>
            <w:pPr>
              <w:ind w:left="20"/>
              <w:spacing w:after="0"/>
              <w:rPr>
                <w:sz w:val="20"/>
                <w:szCs w:val="20"/>
                <w:color w:val="auto"/>
              </w:rPr>
            </w:pPr>
            <w:r>
              <w:rPr>
                <w:rFonts w:ascii="Arial" w:cs="Arial" w:eastAsia="Arial" w:hAnsi="Arial"/>
                <w:sz w:val="16"/>
                <w:szCs w:val="16"/>
                <w:color w:val="auto"/>
              </w:rPr>
              <w:t>Marketing</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43,337</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30,365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12,972</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43 %</w:t>
            </w: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jc w:val="right"/>
              <w:ind w:right="184"/>
              <w:spacing w:after="0"/>
              <w:rPr>
                <w:sz w:val="20"/>
                <w:szCs w:val="20"/>
                <w:color w:val="auto"/>
              </w:rPr>
            </w:pPr>
            <w:r>
              <w:rPr>
                <w:rFonts w:ascii="Arial" w:cs="Arial" w:eastAsia="Arial" w:hAnsi="Arial"/>
                <w:sz w:val="16"/>
                <w:szCs w:val="16"/>
                <w:color w:val="auto"/>
              </w:rPr>
              <w:t>$127,807</w:t>
            </w:r>
          </w:p>
        </w:tc>
        <w:tc>
          <w:tcPr>
            <w:tcW w:w="80" w:type="dxa"/>
            <w:vAlign w:val="bottom"/>
            <w:shd w:val="clear" w:color="auto" w:fill="CCEEFF"/>
          </w:tcPr>
          <w:p>
            <w:pPr>
              <w:spacing w:after="0"/>
              <w:rPr>
                <w:sz w:val="20"/>
                <w:szCs w:val="20"/>
                <w:color w:val="auto"/>
              </w:rPr>
            </w:pPr>
          </w:p>
        </w:tc>
        <w:tc>
          <w:tcPr>
            <w:tcW w:w="1100" w:type="dxa"/>
            <w:vAlign w:val="bottom"/>
            <w:shd w:val="clear" w:color="auto" w:fill="CCEEFF"/>
          </w:tcPr>
          <w:p>
            <w:pPr>
              <w:jc w:val="right"/>
              <w:ind w:right="222"/>
              <w:spacing w:after="0"/>
              <w:rPr>
                <w:sz w:val="20"/>
                <w:szCs w:val="20"/>
                <w:color w:val="auto"/>
              </w:rPr>
            </w:pPr>
            <w:r>
              <w:rPr>
                <w:rFonts w:ascii="Arial" w:cs="Arial" w:eastAsia="Arial" w:hAnsi="Arial"/>
                <w:sz w:val="16"/>
                <w:szCs w:val="16"/>
                <w:color w:val="auto"/>
              </w:rPr>
              <w:t>$82,639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45,168</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55 %</w:t>
            </w:r>
          </w:p>
        </w:tc>
      </w:tr>
      <w:tr>
        <w:trPr>
          <w:trHeight w:val="223"/>
        </w:trPr>
        <w:tc>
          <w:tcPr>
            <w:tcW w:w="208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26 %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28 %</w:t>
            </w:r>
          </w:p>
        </w:tc>
        <w:tc>
          <w:tcPr>
            <w:tcW w:w="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26 %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53" w:lineRule="exact"/>
        <w:rPr>
          <w:sz w:val="20"/>
          <w:szCs w:val="20"/>
          <w:color w:val="auto"/>
        </w:rPr>
      </w:pPr>
    </w:p>
    <w:p>
      <w:pPr>
        <w:ind w:right="40" w:firstLine="324"/>
        <w:spacing w:after="0" w:line="284" w:lineRule="auto"/>
        <w:rPr>
          <w:sz w:val="20"/>
          <w:szCs w:val="20"/>
          <w:color w:val="auto"/>
        </w:rPr>
      </w:pPr>
      <w:r>
        <w:rPr>
          <w:rFonts w:ascii="Arial" w:cs="Arial" w:eastAsia="Arial" w:hAnsi="Arial"/>
          <w:sz w:val="15"/>
          <w:szCs w:val="15"/>
          <w:color w:val="auto"/>
        </w:rPr>
        <w:t>Marketing expenses increased $13.0 million, or 43%, for the three months ended September 30, 2022, compared to the three months ended September 30, 2021, due primarily to an increase of $8.3 million in direct marketing expense, including online and offline marketing spend and promotion costs to acquire new customers. Personnel-related costs increased by $3.7 million, driven by a 31% increase in marketing headcount compared to the same period in 2021 and inclusive of a $2.9 million increase in stock-based compensation expense. The increase in marketing expenses was also driven by a $0.6 million increase in other indirect marketing, a $0.2 million increase in professional fees, a $0.1 million increase in employee-related costs, and a $0.1 million increase in software costs.</w:t>
      </w:r>
    </w:p>
    <w:p>
      <w:pPr>
        <w:spacing w:after="0" w:line="113" w:lineRule="exact"/>
        <w:rPr>
          <w:sz w:val="20"/>
          <w:szCs w:val="20"/>
          <w:color w:val="auto"/>
        </w:rPr>
      </w:pPr>
    </w:p>
    <w:p>
      <w:pPr>
        <w:ind w:right="20" w:firstLine="324"/>
        <w:spacing w:after="0" w:line="269" w:lineRule="auto"/>
        <w:rPr>
          <w:sz w:val="20"/>
          <w:szCs w:val="20"/>
          <w:color w:val="auto"/>
        </w:rPr>
      </w:pPr>
      <w:r>
        <w:rPr>
          <w:rFonts w:ascii="Arial" w:cs="Arial" w:eastAsia="Arial" w:hAnsi="Arial"/>
          <w:sz w:val="16"/>
          <w:szCs w:val="16"/>
          <w:color w:val="auto"/>
        </w:rPr>
        <w:t>As a percentage of revenue, marketing expenses increased to 26% for the three months ended September 30, 2022, from 25% for the three months ended September 30, 2021, primarily due to an increase in stock-based compensation and headcount due to growth in personnel who are directly engaged in acquiring new customers and marketing our services.</w:t>
      </w:r>
    </w:p>
    <w:p>
      <w:pPr>
        <w:sectPr>
          <w:pgSz w:w="11900" w:h="16838" w:orient="portrait"/>
          <w:cols w:equalWidth="0" w:num="1">
            <w:col w:w="11240"/>
          </w:cols>
          <w:pgMar w:left="320" w:top="12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type w:val="continuous"/>
        </w:sectPr>
      </w:pPr>
    </w:p>
    <w:bookmarkStart w:id="29" w:name="page30"/>
    <w:bookmarkEnd w:id="29"/>
    <w:p>
      <w:pPr>
        <w:ind w:right="240" w:firstLine="324"/>
        <w:spacing w:after="0" w:line="259" w:lineRule="auto"/>
        <w:rPr>
          <w:sz w:val="20"/>
          <w:szCs w:val="20"/>
          <w:color w:val="auto"/>
        </w:rPr>
      </w:pPr>
      <w:r>
        <w:rPr>
          <w:rFonts w:ascii="Arial" w:cs="Arial" w:eastAsia="Arial" w:hAnsi="Arial"/>
          <w:sz w:val="16"/>
          <w:szCs w:val="16"/>
          <w:color w:val="auto"/>
        </w:rPr>
        <w:t>Marketing expenses increased $45.2 million, or 55%, for the nine months ended September 30, 2022, compared to the nine months ended September 30, 2021, due primarily to an increase of $33.3 million in direct marketing expense, including online and offline marketing spend and promotion costs to acquire new customers. Personnel-related costs increased by $9.1 million driven by a 34% increase in marketing headcount compared to the same period in 2021 and inclusive of a $5.9 million increase in stock-based compensation expense. The increase in marketing expenses was also driven by a $1.7 million increase in other indirect marketing, a $0.4 million increase in professional fees, a $0.4 million increase in software costs, and a $0.4 million increase in employee-related costs, partially offset by a $0.1 million decrease in other operating expenses.</w:t>
      </w:r>
    </w:p>
    <w:p>
      <w:pPr>
        <w:spacing w:after="0" w:line="132" w:lineRule="exact"/>
        <w:rPr>
          <w:sz w:val="20"/>
          <w:szCs w:val="20"/>
          <w:color w:val="auto"/>
        </w:rPr>
      </w:pPr>
    </w:p>
    <w:p>
      <w:pPr>
        <w:jc w:val="both"/>
        <w:ind w:right="120" w:firstLine="324"/>
        <w:spacing w:after="0" w:line="325" w:lineRule="auto"/>
        <w:rPr>
          <w:sz w:val="20"/>
          <w:szCs w:val="20"/>
          <w:color w:val="auto"/>
        </w:rPr>
      </w:pPr>
      <w:r>
        <w:rPr>
          <w:rFonts w:ascii="Arial" w:cs="Arial" w:eastAsia="Arial" w:hAnsi="Arial"/>
          <w:sz w:val="14"/>
          <w:szCs w:val="14"/>
          <w:color w:val="auto"/>
        </w:rPr>
        <w:t>As a percentage of revenue, marketing expenses increased to 28% for the nine months ended September 30, 2022, from 26% for the nine months ended September 30, 2021, due to growth in new customers and higher customer acquisition costs, as our marketing spend was mostly dedicated to acquiring new customers, and an increase in stock-based compensation and headcount due to growth in personnel who are directly engaged in acquiring new customers and marketing our services.</w:t>
      </w:r>
    </w:p>
    <w:p>
      <w:pPr>
        <w:spacing w:after="0" w:line="10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Technology and Development Expenses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00" w:type="dxa"/>
            <w:vAlign w:val="bottom"/>
          </w:tcPr>
          <w:p>
            <w:pPr>
              <w:spacing w:after="0"/>
              <w:rPr>
                <w:sz w:val="16"/>
                <w:szCs w:val="16"/>
                <w:color w:val="auto"/>
              </w:rPr>
            </w:pPr>
          </w:p>
        </w:tc>
        <w:tc>
          <w:tcPr>
            <w:tcW w:w="2380" w:type="dxa"/>
            <w:vAlign w:val="bottom"/>
            <w:gridSpan w:val="6"/>
          </w:tcPr>
          <w:p>
            <w:pPr>
              <w:ind w:left="40"/>
              <w:spacing w:after="0"/>
              <w:rPr>
                <w:sz w:val="20"/>
                <w:szCs w:val="20"/>
                <w:color w:val="auto"/>
              </w:rPr>
            </w:pPr>
            <w:r>
              <w:rPr>
                <w:rFonts w:ascii="Arial" w:cs="Arial" w:eastAsia="Arial" w:hAnsi="Arial"/>
                <w:sz w:val="14"/>
                <w:szCs w:val="14"/>
                <w:b w:val="1"/>
                <w:bCs w:val="1"/>
                <w:color w:val="auto"/>
                <w:w w:val="97"/>
              </w:rPr>
              <w:t>Three Months Ended September 30,</w:t>
            </w:r>
          </w:p>
        </w:tc>
        <w:tc>
          <w:tcPr>
            <w:tcW w:w="160" w:type="dxa"/>
            <w:vAlign w:val="bottom"/>
          </w:tcPr>
          <w:p>
            <w:pPr>
              <w:spacing w:after="0"/>
              <w:rPr>
                <w:sz w:val="16"/>
                <w:szCs w:val="16"/>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6"/>
          </w:tcPr>
          <w:p>
            <w:pPr>
              <w:ind w:left="80"/>
              <w:spacing w:after="0"/>
              <w:rPr>
                <w:sz w:val="20"/>
                <w:szCs w:val="20"/>
                <w:color w:val="auto"/>
              </w:rPr>
            </w:pPr>
            <w:r>
              <w:rPr>
                <w:rFonts w:ascii="Arial" w:cs="Arial" w:eastAsia="Arial" w:hAnsi="Arial"/>
                <w:sz w:val="14"/>
                <w:szCs w:val="14"/>
                <w:b w:val="1"/>
                <w:bCs w:val="1"/>
                <w:color w:val="auto"/>
                <w:w w:val="98"/>
              </w:rPr>
              <w:t>Nine Months Ended September 30,</w:t>
            </w:r>
          </w:p>
        </w:tc>
        <w:tc>
          <w:tcPr>
            <w:tcW w:w="160" w:type="dxa"/>
            <w:vAlign w:val="bottom"/>
          </w:tcPr>
          <w:p>
            <w:pPr>
              <w:spacing w:after="0"/>
              <w:rPr>
                <w:sz w:val="16"/>
                <w:szCs w:val="16"/>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6"/>
                <w:szCs w:val="16"/>
                <w:color w:val="auto"/>
              </w:rPr>
            </w:pPr>
          </w:p>
        </w:tc>
      </w:tr>
      <w:tr>
        <w:trPr>
          <w:trHeight w:val="39"/>
        </w:trPr>
        <w:tc>
          <w:tcPr>
            <w:tcW w:w="210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21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24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2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21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8"/>
              </w:rPr>
              <w:t>Technology and development</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36,178</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18,123</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18,055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95,836</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44,965</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50,871</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113 %</w:t>
            </w:r>
          </w:p>
        </w:tc>
      </w:tr>
      <w:tr>
        <w:trPr>
          <w:trHeight w:val="223"/>
        </w:trPr>
        <w:tc>
          <w:tcPr>
            <w:tcW w:w="210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14 %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66" w:lineRule="exact"/>
        <w:rPr>
          <w:sz w:val="20"/>
          <w:szCs w:val="20"/>
          <w:color w:val="auto"/>
        </w:rPr>
      </w:pPr>
    </w:p>
    <w:p>
      <w:pPr>
        <w:ind w:right="100" w:firstLine="324"/>
        <w:spacing w:after="0" w:line="279" w:lineRule="auto"/>
        <w:rPr>
          <w:sz w:val="20"/>
          <w:szCs w:val="20"/>
          <w:color w:val="auto"/>
        </w:rPr>
      </w:pPr>
      <w:r>
        <w:rPr>
          <w:rFonts w:ascii="Arial" w:cs="Arial" w:eastAsia="Arial" w:hAnsi="Arial"/>
          <w:sz w:val="15"/>
          <w:szCs w:val="15"/>
          <w:color w:val="auto"/>
        </w:rPr>
        <w:t>Technology and development expenses increased $18.1 million, or 100% for the three months ended September 30, 2022, compared to the three months ended September 30, 2021. The increase was driven by a $16.4 million increase in personnel-related expenses. These expenses were primarily due to a 39% increase in headcount compared to the same period in 2021 undertaken as part of our continued investment in our technology platform and included an $11.5 million increase in stock-based compensation expense. The increase in technology and development expense also included a $1.5 million increase in software costs for cloud services and employee tools attributable to resources required to support incremental headcount and transaction volume and a $0.2 million increase in facilities costs.</w:t>
      </w:r>
    </w:p>
    <w:p>
      <w:pPr>
        <w:spacing w:after="0" w:line="131" w:lineRule="exact"/>
        <w:rPr>
          <w:sz w:val="20"/>
          <w:szCs w:val="20"/>
          <w:color w:val="auto"/>
        </w:rPr>
      </w:pPr>
    </w:p>
    <w:p>
      <w:pPr>
        <w:jc w:val="both"/>
        <w:ind w:right="200" w:firstLine="324"/>
        <w:spacing w:after="0" w:line="261" w:lineRule="auto"/>
        <w:rPr>
          <w:sz w:val="20"/>
          <w:szCs w:val="20"/>
          <w:color w:val="auto"/>
        </w:rPr>
      </w:pPr>
      <w:r>
        <w:rPr>
          <w:rFonts w:ascii="Arial" w:cs="Arial" w:eastAsia="Arial" w:hAnsi="Arial"/>
          <w:sz w:val="16"/>
          <w:szCs w:val="16"/>
          <w:color w:val="auto"/>
        </w:rPr>
        <w:t>As a percentage of revenue, technology and development expenses increased to 21% for the three months ended September 30, 2022, from 15% for the three months ended September 30, 2021, driven by an increase in stock-based compensation expense and headcount due to hiring additional personnel and contractors who are directly engaged in developing our platform and providing technology support and security.</w:t>
      </w:r>
    </w:p>
    <w:p>
      <w:pPr>
        <w:spacing w:after="0" w:line="142" w:lineRule="exact"/>
        <w:rPr>
          <w:sz w:val="20"/>
          <w:szCs w:val="20"/>
          <w:color w:val="auto"/>
        </w:rPr>
      </w:pPr>
    </w:p>
    <w:p>
      <w:pPr>
        <w:ind w:right="80" w:firstLine="324"/>
        <w:spacing w:after="0" w:line="259" w:lineRule="auto"/>
        <w:rPr>
          <w:sz w:val="20"/>
          <w:szCs w:val="20"/>
          <w:color w:val="auto"/>
        </w:rPr>
      </w:pPr>
      <w:r>
        <w:rPr>
          <w:rFonts w:ascii="Arial" w:cs="Arial" w:eastAsia="Arial" w:hAnsi="Arial"/>
          <w:sz w:val="16"/>
          <w:szCs w:val="16"/>
          <w:color w:val="auto"/>
        </w:rPr>
        <w:t>Technology and development expenses increased $50.9 million, or 113%, for the nine months ended September 30, 2022, compared to the nine months ended September 30, 2021. The increase was driven by $44.5 million in personnel-related expenses resulting from a 44% increase in headcount compared to the same period in 2021 due to our continued investment in our technology platform and inclusive of $27.4 million increase in stock-based compensation expense. Contributing to the increase in technology and development expense was a $4.4 million increase in software costs for employee tools and cloud services attributable to resources required to support incremental headcount and transaction volumes, a $0.8 million increase in facilities costs, a $0.8 million increase in employee-related expenses, and a $0.4 million increase in professional fees.</w:t>
      </w:r>
    </w:p>
    <w:p>
      <w:pPr>
        <w:spacing w:after="0" w:line="132" w:lineRule="exact"/>
        <w:rPr>
          <w:sz w:val="20"/>
          <w:szCs w:val="20"/>
          <w:color w:val="auto"/>
        </w:rPr>
      </w:pPr>
    </w:p>
    <w:p>
      <w:pPr>
        <w:jc w:val="both"/>
        <w:ind w:right="240" w:firstLine="324"/>
        <w:spacing w:after="0" w:line="269" w:lineRule="auto"/>
        <w:rPr>
          <w:sz w:val="20"/>
          <w:szCs w:val="20"/>
          <w:color w:val="auto"/>
        </w:rPr>
      </w:pPr>
      <w:r>
        <w:rPr>
          <w:rFonts w:ascii="Arial" w:cs="Arial" w:eastAsia="Arial" w:hAnsi="Arial"/>
          <w:sz w:val="16"/>
          <w:szCs w:val="16"/>
          <w:color w:val="auto"/>
        </w:rPr>
        <w:t>As a percentage of revenue, technology and development expenses increased to 21% for the nine months ended September 30, 2022, from 14% for the nine months ended September 30, 2021, driven by an increase in stock-based compensation expense and headcount due to hiring additional personnel and contractors who are directly engaged in developing our platform and providing technology support and security.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20" w:type="dxa"/>
            <w:vAlign w:val="bottom"/>
          </w:tcPr>
          <w:p>
            <w:pPr>
              <w:spacing w:after="0"/>
              <w:rPr>
                <w:sz w:val="16"/>
                <w:szCs w:val="16"/>
                <w:color w:val="auto"/>
              </w:rPr>
            </w:pPr>
          </w:p>
        </w:tc>
        <w:tc>
          <w:tcPr>
            <w:tcW w:w="2360" w:type="dxa"/>
            <w:vAlign w:val="bottom"/>
            <w:gridSpan w:val="6"/>
          </w:tcPr>
          <w:p>
            <w:pPr>
              <w:ind w:left="20"/>
              <w:spacing w:after="0"/>
              <w:rPr>
                <w:sz w:val="20"/>
                <w:szCs w:val="20"/>
                <w:color w:val="auto"/>
              </w:rPr>
            </w:pPr>
            <w:r>
              <w:rPr>
                <w:rFonts w:ascii="Arial" w:cs="Arial" w:eastAsia="Arial" w:hAnsi="Arial"/>
                <w:sz w:val="14"/>
                <w:szCs w:val="14"/>
                <w:b w:val="1"/>
                <w:bCs w:val="1"/>
                <w:color w:val="auto"/>
                <w:w w:val="97"/>
              </w:rPr>
              <w:t>Three Months Ended September 30,</w:t>
            </w:r>
          </w:p>
        </w:tc>
        <w:tc>
          <w:tcPr>
            <w:tcW w:w="160" w:type="dxa"/>
            <w:vAlign w:val="bottom"/>
          </w:tcPr>
          <w:p>
            <w:pPr>
              <w:spacing w:after="0"/>
              <w:rPr>
                <w:sz w:val="16"/>
                <w:szCs w:val="16"/>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380" w:type="dxa"/>
            <w:vAlign w:val="bottom"/>
            <w:gridSpan w:val="6"/>
          </w:tcPr>
          <w:p>
            <w:pPr>
              <w:ind w:left="80"/>
              <w:spacing w:after="0"/>
              <w:rPr>
                <w:sz w:val="20"/>
                <w:szCs w:val="20"/>
                <w:color w:val="auto"/>
              </w:rPr>
            </w:pPr>
            <w:r>
              <w:rPr>
                <w:rFonts w:ascii="Arial" w:cs="Arial" w:eastAsia="Arial" w:hAnsi="Arial"/>
                <w:sz w:val="14"/>
                <w:szCs w:val="14"/>
                <w:b w:val="1"/>
                <w:bCs w:val="1"/>
                <w:color w:val="auto"/>
                <w:w w:val="98"/>
              </w:rPr>
              <w:t>Nine Months Ended September 30,</w:t>
            </w:r>
          </w:p>
        </w:tc>
        <w:tc>
          <w:tcPr>
            <w:tcW w:w="160" w:type="dxa"/>
            <w:vAlign w:val="bottom"/>
          </w:tcPr>
          <w:p>
            <w:pPr>
              <w:spacing w:after="0"/>
              <w:rPr>
                <w:sz w:val="16"/>
                <w:szCs w:val="16"/>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6"/>
                <w:szCs w:val="16"/>
                <w:color w:val="auto"/>
              </w:rPr>
            </w:pPr>
          </w:p>
        </w:tc>
      </w:tr>
      <w:tr>
        <w:trPr>
          <w:trHeight w:val="39"/>
        </w:trPr>
        <w:tc>
          <w:tcPr>
            <w:tcW w:w="212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212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24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21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7"/>
        </w:trPr>
        <w:tc>
          <w:tcPr>
            <w:tcW w:w="21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35,504</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24,539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10,965</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45 %</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84"/>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42"/>
              <w:spacing w:after="0"/>
              <w:rPr>
                <w:sz w:val="20"/>
                <w:szCs w:val="20"/>
                <w:color w:val="auto"/>
              </w:rPr>
            </w:pPr>
            <w:r>
              <w:rPr>
                <w:rFonts w:ascii="Arial" w:cs="Arial" w:eastAsia="Arial" w:hAnsi="Arial"/>
                <w:sz w:val="16"/>
                <w:szCs w:val="16"/>
                <w:color w:val="auto"/>
              </w:rPr>
              <w:t>96,355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47,429</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48,926</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103 %</w:t>
            </w:r>
          </w:p>
        </w:tc>
      </w:tr>
      <w:tr>
        <w:trPr>
          <w:trHeight w:val="223"/>
        </w:trPr>
        <w:tc>
          <w:tcPr>
            <w:tcW w:w="2120" w:type="dxa"/>
            <w:vAlign w:val="bottom"/>
          </w:tcPr>
          <w:p>
            <w:pPr>
              <w:ind w:left="20"/>
              <w:spacing w:after="0"/>
              <w:rPr>
                <w:sz w:val="20"/>
                <w:szCs w:val="20"/>
                <w:color w:val="auto"/>
              </w:rPr>
            </w:pPr>
            <w:r>
              <w:rPr>
                <w:rFonts w:ascii="Arial" w:cs="Arial" w:eastAsia="Arial" w:hAnsi="Arial"/>
                <w:sz w:val="16"/>
                <w:szCs w:val="16"/>
                <w:color w:val="auto"/>
              </w:rPr>
              <w:t>Percentage of total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20 %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53" w:lineRule="exact"/>
        <w:rPr>
          <w:sz w:val="20"/>
          <w:szCs w:val="20"/>
          <w:color w:val="auto"/>
        </w:rPr>
      </w:pPr>
    </w:p>
    <w:p>
      <w:pPr>
        <w:ind w:firstLine="324"/>
        <w:spacing w:after="0" w:line="303" w:lineRule="auto"/>
        <w:rPr>
          <w:sz w:val="20"/>
          <w:szCs w:val="20"/>
          <w:color w:val="auto"/>
        </w:rPr>
      </w:pPr>
      <w:r>
        <w:rPr>
          <w:rFonts w:ascii="Arial" w:cs="Arial" w:eastAsia="Arial" w:hAnsi="Arial"/>
          <w:sz w:val="14"/>
          <w:szCs w:val="14"/>
          <w:color w:val="auto"/>
        </w:rPr>
        <w:t>General and administrative expenses increased $11.0 million, or 45%, for the three months ended September 30, 2022, compared to the three months ended September 30, 2021. This increase was primarily driven by a $10.3 million increase in personnel-related costs due to a 58% increase in general and administrative headcount compared to the same period in the prior year and inclusive of $6.4 million increase in stock-based compensation expense. Contributing to the increase in general and administrative expenses were $1.8 million of legal, accounting, and diligence acquisition and integration expenses, primarily driven by the pending acquisition of Rewire. The remaining increase in general and administrative expenses was also due to a $2.5 million increase in professional, regulatory, and corporate fees, a $0.9 million increase to facilities and software costs, and $0.4 million increase to other operating expenses, partially offset by a $4.9 million decrease to charitable contributions. The increase in headcount and professional, regulatory, and corporate fees has been to support the growth of the business and ongoing public company costs.</w:t>
      </w:r>
    </w:p>
    <w:p>
      <w:pPr>
        <w:spacing w:after="0" w:line="103" w:lineRule="exact"/>
        <w:rPr>
          <w:sz w:val="20"/>
          <w:szCs w:val="20"/>
          <w:color w:val="auto"/>
        </w:rPr>
      </w:pPr>
    </w:p>
    <w:p>
      <w:pPr>
        <w:ind w:right="360" w:firstLine="324"/>
        <w:spacing w:after="0" w:line="275" w:lineRule="auto"/>
        <w:rPr>
          <w:sz w:val="20"/>
          <w:szCs w:val="20"/>
          <w:color w:val="auto"/>
        </w:rPr>
      </w:pPr>
      <w:r>
        <w:rPr>
          <w:rFonts w:ascii="Arial" w:cs="Arial" w:eastAsia="Arial" w:hAnsi="Arial"/>
          <w:sz w:val="16"/>
          <w:szCs w:val="16"/>
          <w:color w:val="auto"/>
        </w:rPr>
        <w:t>As a percentage of revenue, general and administrative expenses increased to 21% for the three months ended September 30, 2022, from 20% for the three months ended September 30, 2021, due to an increase in headcount, stock-based compensation, and ongoing public company costs.</w:t>
      </w: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176530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30" w:name="page31"/>
    <w:bookmarkEnd w:id="30"/>
    <w:p>
      <w:pPr>
        <w:ind w:firstLine="324"/>
        <w:spacing w:after="0" w:line="277" w:lineRule="auto"/>
        <w:rPr>
          <w:sz w:val="20"/>
          <w:szCs w:val="20"/>
          <w:color w:val="auto"/>
        </w:rPr>
      </w:pPr>
      <w:r>
        <w:rPr>
          <w:rFonts w:ascii="Arial" w:cs="Arial" w:eastAsia="Arial" w:hAnsi="Arial"/>
          <w:sz w:val="15"/>
          <w:szCs w:val="15"/>
          <w:color w:val="auto"/>
        </w:rPr>
        <w:t>General and administrative expenses increased $48.9 million, or 103%, for the nine months ended September 30, 2022, compared to the nine months ended September 30, 2021. This increase was primarily driven by a $38.0 million increase in personnel-related costs due to a 68% increase in general and administrative headcount compared to the same period in the prior year and inclusive of a $25.0 million increase in stock-based compensation expense. Contributing to the increase in general and administrative expenses were $2.6 million of legal, accounting, and diligence acquisition and integration expenses, primarily driven by the pending acquisition of Rewire. The remaining increase in general and administrative expense was also due to a $8.3 million increase in professional, regulatory, and corporate fees, a $3.8 million increase to employee-related and facilities costs, and $0.8 million increase to software costs, and a $0.2 million increase in taxes and other operating expenses, partially offset by a $4.8 million decrease in charitable contributions.The increase in headcount and professional, regulatory, and corporate fees has been to support the growth of the business and ongoing public company costs, including incremental D&amp;O insurance required as a public company.</w:t>
      </w:r>
    </w:p>
    <w:p>
      <w:pPr>
        <w:spacing w:after="0" w:line="122"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As a percentage of revenue, general and administrative expenses increased to 21% for the nine months ended September 30, 2022, from 15% for the nine months ended September 30, 2021, due to an increase in headcount, stock-based compensation, and ongoing public company costs.</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Depreciation and Amortization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140" w:type="dxa"/>
            <w:vAlign w:val="bottom"/>
          </w:tcPr>
          <w:p>
            <w:pPr>
              <w:spacing w:after="0"/>
              <w:rPr>
                <w:sz w:val="16"/>
                <w:szCs w:val="16"/>
                <w:color w:val="auto"/>
              </w:rPr>
            </w:pPr>
          </w:p>
        </w:tc>
        <w:tc>
          <w:tcPr>
            <w:tcW w:w="2340" w:type="dxa"/>
            <w:vAlign w:val="bottom"/>
            <w:gridSpan w:val="6"/>
          </w:tcPr>
          <w:p>
            <w:pPr>
              <w:ind w:left="20"/>
              <w:spacing w:after="0"/>
              <w:rPr>
                <w:sz w:val="20"/>
                <w:szCs w:val="20"/>
                <w:color w:val="auto"/>
              </w:rPr>
            </w:pPr>
            <w:r>
              <w:rPr>
                <w:rFonts w:ascii="Arial" w:cs="Arial" w:eastAsia="Arial" w:hAnsi="Arial"/>
                <w:sz w:val="14"/>
                <w:szCs w:val="14"/>
                <w:b w:val="1"/>
                <w:bCs w:val="1"/>
                <w:color w:val="auto"/>
                <w:w w:val="96"/>
              </w:rPr>
              <w:t>Three Months Ended September 30,</w:t>
            </w:r>
          </w:p>
        </w:tc>
        <w:tc>
          <w:tcPr>
            <w:tcW w:w="180" w:type="dxa"/>
            <w:vAlign w:val="bottom"/>
          </w:tcPr>
          <w:p>
            <w:pPr>
              <w:spacing w:after="0"/>
              <w:rPr>
                <w:sz w:val="16"/>
                <w:szCs w:val="16"/>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gridSpan w:val="6"/>
          </w:tcPr>
          <w:p>
            <w:pPr>
              <w:ind w:left="60"/>
              <w:spacing w:after="0"/>
              <w:rPr>
                <w:sz w:val="20"/>
                <w:szCs w:val="20"/>
                <w:color w:val="auto"/>
              </w:rPr>
            </w:pPr>
            <w:r>
              <w:rPr>
                <w:rFonts w:ascii="Arial" w:cs="Arial" w:eastAsia="Arial" w:hAnsi="Arial"/>
                <w:sz w:val="14"/>
                <w:szCs w:val="14"/>
                <w:b w:val="1"/>
                <w:bCs w:val="1"/>
                <w:color w:val="auto"/>
                <w:w w:val="98"/>
              </w:rPr>
              <w:t>Nine Months Ended September 30,</w:t>
            </w:r>
          </w:p>
        </w:tc>
        <w:tc>
          <w:tcPr>
            <w:tcW w:w="160" w:type="dxa"/>
            <w:vAlign w:val="bottom"/>
          </w:tcPr>
          <w:p>
            <w:pPr>
              <w:spacing w:after="0"/>
              <w:rPr>
                <w:sz w:val="16"/>
                <w:szCs w:val="16"/>
                <w:color w:val="auto"/>
              </w:rPr>
            </w:pPr>
          </w:p>
        </w:tc>
        <w:tc>
          <w:tcPr>
            <w:tcW w:w="1180" w:type="dxa"/>
            <w:vAlign w:val="bottom"/>
            <w:gridSpan w:val="3"/>
          </w:tcPr>
          <w:p>
            <w:pPr>
              <w:ind w:left="680"/>
              <w:spacing w:after="0"/>
              <w:rPr>
                <w:sz w:val="20"/>
                <w:szCs w:val="20"/>
                <w:color w:val="auto"/>
              </w:rPr>
            </w:pPr>
            <w:r>
              <w:rPr>
                <w:rFonts w:ascii="Arial" w:cs="Arial" w:eastAsia="Arial" w:hAnsi="Arial"/>
                <w:sz w:val="14"/>
                <w:szCs w:val="14"/>
                <w:b w:val="1"/>
                <w:bCs w:val="1"/>
                <w:color w:val="auto"/>
                <w:w w:val="93"/>
              </w:rPr>
              <w:t>Change</w:t>
            </w:r>
          </w:p>
        </w:tc>
        <w:tc>
          <w:tcPr>
            <w:tcW w:w="820" w:type="dxa"/>
            <w:vAlign w:val="bottom"/>
          </w:tcPr>
          <w:p>
            <w:pPr>
              <w:spacing w:after="0"/>
              <w:rPr>
                <w:sz w:val="16"/>
                <w:szCs w:val="16"/>
                <w:color w:val="auto"/>
              </w:rPr>
            </w:pPr>
          </w:p>
        </w:tc>
      </w:tr>
      <w:tr>
        <w:trPr>
          <w:trHeight w:val="39"/>
        </w:trPr>
        <w:tc>
          <w:tcPr>
            <w:tcW w:w="2140" w:type="dxa"/>
            <w:vAlign w:val="bottom"/>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184"/>
        </w:trPr>
        <w:tc>
          <w:tcPr>
            <w:tcW w:w="214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6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40" w:type="dxa"/>
            <w:vAlign w:val="bottom"/>
          </w:tcPr>
          <w:p>
            <w:pPr>
              <w:jc w:val="right"/>
              <w:ind w:right="322"/>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20" w:type="dxa"/>
            <w:vAlign w:val="bottom"/>
          </w:tcPr>
          <w:p>
            <w:pPr>
              <w:jc w:val="right"/>
              <w:ind w:right="244"/>
              <w:spacing w:after="0"/>
              <w:rPr>
                <w:sz w:val="20"/>
                <w:szCs w:val="20"/>
                <w:color w:val="auto"/>
              </w:rPr>
            </w:pPr>
            <w:r>
              <w:rPr>
                <w:rFonts w:ascii="Arial" w:cs="Arial" w:eastAsia="Arial" w:hAnsi="Arial"/>
                <w:sz w:val="14"/>
                <w:szCs w:val="14"/>
                <w:b w:val="1"/>
                <w:bCs w:val="1"/>
                <w:color w:val="auto"/>
                <w:w w:val="93"/>
              </w:rPr>
              <w:t>Percent</w:t>
            </w:r>
          </w:p>
        </w:tc>
      </w:tr>
      <w:tr>
        <w:trPr>
          <w:trHeight w:val="39"/>
        </w:trPr>
        <w:tc>
          <w:tcPr>
            <w:tcW w:w="214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r>
      <w:tr>
        <w:trPr>
          <w:trHeight w:val="236"/>
        </w:trPr>
        <w:tc>
          <w:tcPr>
            <w:tcW w:w="214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Depreciation and Amortization</w:t>
            </w:r>
          </w:p>
        </w:tc>
        <w:tc>
          <w:tcPr>
            <w:tcW w:w="2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1,843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1,319</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524</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40 %</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4,870</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3,890</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980</w:t>
            </w:r>
          </w:p>
        </w:tc>
        <w:tc>
          <w:tcPr>
            <w:tcW w:w="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25 %</w:t>
            </w:r>
          </w:p>
        </w:tc>
      </w:tr>
      <w:tr>
        <w:trPr>
          <w:trHeight w:val="224"/>
        </w:trPr>
        <w:tc>
          <w:tcPr>
            <w:tcW w:w="2140" w:type="dxa"/>
            <w:vAlign w:val="bottom"/>
          </w:tcPr>
          <w:p>
            <w:pPr>
              <w:ind w:left="20"/>
              <w:spacing w:after="0"/>
              <w:rPr>
                <w:sz w:val="20"/>
                <w:szCs w:val="20"/>
                <w:color w:val="auto"/>
              </w:rPr>
            </w:pPr>
            <w:r>
              <w:rPr>
                <w:rFonts w:ascii="Arial" w:cs="Arial" w:eastAsia="Arial" w:hAnsi="Arial"/>
                <w:sz w:val="16"/>
                <w:szCs w:val="16"/>
                <w:color w:val="auto"/>
              </w:rPr>
              <w:t>Percentage of revenue</w:t>
            </w: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1 %</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20" w:type="dxa"/>
            <w:vAlign w:val="bottom"/>
          </w:tcPr>
          <w:p>
            <w:pPr>
              <w:spacing w:after="0"/>
              <w:rPr>
                <w:sz w:val="19"/>
                <w:szCs w:val="19"/>
                <w:color w:val="auto"/>
              </w:rPr>
            </w:pPr>
          </w:p>
        </w:tc>
      </w:tr>
    </w:tbl>
    <w:p>
      <w:pPr>
        <w:spacing w:after="0" w:line="266" w:lineRule="exact"/>
        <w:rPr>
          <w:sz w:val="20"/>
          <w:szCs w:val="20"/>
          <w:color w:val="auto"/>
        </w:rPr>
      </w:pPr>
    </w:p>
    <w:p>
      <w:pPr>
        <w:ind w:right="340" w:firstLine="324"/>
        <w:spacing w:after="0" w:line="275" w:lineRule="auto"/>
        <w:rPr>
          <w:sz w:val="20"/>
          <w:szCs w:val="20"/>
          <w:color w:val="auto"/>
        </w:rPr>
      </w:pPr>
      <w:r>
        <w:rPr>
          <w:rFonts w:ascii="Arial" w:cs="Arial" w:eastAsia="Arial" w:hAnsi="Arial"/>
          <w:sz w:val="16"/>
          <w:szCs w:val="16"/>
          <w:color w:val="auto"/>
        </w:rPr>
        <w:t>Depreciation and amortization increased $0.5 million, or 40%, for the three months ended September 30, 2022, compared to the three months ended September 30, 2021. This increase is primarily due to an increase in depreciation for internally developed software and computers.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4"/>
          <w:szCs w:val="14"/>
          <w:color w:val="auto"/>
        </w:rPr>
        <w:t>Depreciation and amortization increased $1.0 million, or 25%, for the nine months ended September 30, 2022, compared to the nine months ended September 30, 2021.</w:t>
      </w:r>
    </w:p>
    <w:p>
      <w:pPr>
        <w:spacing w:after="0" w:line="42" w:lineRule="exact"/>
        <w:rPr>
          <w:sz w:val="20"/>
          <w:szCs w:val="20"/>
          <w:color w:val="auto"/>
        </w:rPr>
      </w:pPr>
    </w:p>
    <w:p>
      <w:pPr>
        <w:spacing w:after="0"/>
        <w:rPr>
          <w:sz w:val="20"/>
          <w:szCs w:val="20"/>
          <w:color w:val="auto"/>
        </w:rPr>
      </w:pPr>
      <w:r>
        <w:rPr>
          <w:rFonts w:ascii="Arial" w:cs="Arial" w:eastAsia="Arial" w:hAnsi="Arial"/>
          <w:sz w:val="16"/>
          <w:szCs w:val="16"/>
          <w:color w:val="auto"/>
        </w:rPr>
        <w:t>This increase is primarily due to an increase in depreciation for internally developed software, computers, and leasehold improvements.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Interest Income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80" w:type="dxa"/>
            <w:vAlign w:val="bottom"/>
          </w:tcPr>
          <w:p>
            <w:pPr>
              <w:spacing w:after="0"/>
              <w:rPr>
                <w:sz w:val="15"/>
                <w:szCs w:val="15"/>
                <w:color w:val="auto"/>
              </w:rPr>
            </w:pPr>
          </w:p>
        </w:tc>
        <w:tc>
          <w:tcPr>
            <w:tcW w:w="222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4"/>
              </w:rPr>
              <w:t>Three Months Ended September</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40" w:type="dxa"/>
            <w:vAlign w:val="bottom"/>
            <w:gridSpan w:val="6"/>
          </w:tcPr>
          <w:p>
            <w:pPr>
              <w:jc w:val="center"/>
              <w:ind w:right="180"/>
              <w:spacing w:after="0"/>
              <w:rPr>
                <w:sz w:val="20"/>
                <w:szCs w:val="20"/>
                <w:color w:val="auto"/>
              </w:rPr>
            </w:pPr>
            <w:r>
              <w:rPr>
                <w:rFonts w:ascii="Arial" w:cs="Arial" w:eastAsia="Arial" w:hAnsi="Arial"/>
                <w:sz w:val="14"/>
                <w:szCs w:val="14"/>
                <w:b w:val="1"/>
                <w:bCs w:val="1"/>
                <w:color w:val="auto"/>
                <w:w w:val="92"/>
              </w:rPr>
              <w:t>Nine Months Ended September</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86"/>
        </w:trPr>
        <w:tc>
          <w:tcPr>
            <w:tcW w:w="2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660"/>
              <w:spacing w:after="0"/>
              <w:rPr>
                <w:sz w:val="20"/>
                <w:szCs w:val="20"/>
                <w:color w:val="auto"/>
              </w:rPr>
            </w:pPr>
            <w:r>
              <w:rPr>
                <w:rFonts w:ascii="Arial" w:cs="Arial" w:eastAsia="Arial" w:hAnsi="Arial"/>
                <w:sz w:val="14"/>
                <w:szCs w:val="14"/>
                <w:b w:val="1"/>
                <w:bCs w:val="1"/>
                <w:color w:val="auto"/>
                <w:w w:val="97"/>
              </w:rPr>
              <w:t>Change</w:t>
            </w: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w w:val="81"/>
              </w:rPr>
              <w:t>30,</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660"/>
              <w:spacing w:after="0"/>
              <w:rPr>
                <w:sz w:val="20"/>
                <w:szCs w:val="20"/>
                <w:color w:val="auto"/>
              </w:rPr>
            </w:pPr>
            <w:r>
              <w:rPr>
                <w:rFonts w:ascii="Arial" w:cs="Arial" w:eastAsia="Arial" w:hAnsi="Arial"/>
                <w:sz w:val="14"/>
                <w:szCs w:val="14"/>
                <w:b w:val="1"/>
                <w:bCs w:val="1"/>
                <w:color w:val="auto"/>
                <w:w w:val="97"/>
              </w:rPr>
              <w:t>Change</w:t>
            </w:r>
          </w:p>
        </w:tc>
        <w:tc>
          <w:tcPr>
            <w:tcW w:w="800" w:type="dxa"/>
            <w:vAlign w:val="bottom"/>
          </w:tcPr>
          <w:p>
            <w:pPr>
              <w:spacing w:after="0"/>
              <w:rPr>
                <w:sz w:val="16"/>
                <w:szCs w:val="16"/>
                <w:color w:val="auto"/>
              </w:rPr>
            </w:pPr>
          </w:p>
        </w:tc>
      </w:tr>
      <w:tr>
        <w:trPr>
          <w:trHeight w:val="39"/>
        </w:trPr>
        <w:tc>
          <w:tcPr>
            <w:tcW w:w="23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180" w:type="dxa"/>
            <w:vAlign w:val="bottom"/>
            <w:tcBorders>
              <w:bottom w:val="single" w:sz="8" w:color="auto"/>
            </w:tcBorders>
            <w:gridSpan w:val="3"/>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184"/>
        </w:trPr>
        <w:tc>
          <w:tcPr>
            <w:tcW w:w="23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6"/>
                <w:szCs w:val="16"/>
                <w:color w:val="auto"/>
              </w:rPr>
            </w:pPr>
          </w:p>
        </w:tc>
        <w:tc>
          <w:tcPr>
            <w:tcW w:w="74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540" w:type="dxa"/>
            <w:vAlign w:val="bottom"/>
          </w:tcPr>
          <w:p>
            <w:pPr>
              <w:ind w:left="40"/>
              <w:spacing w:after="0"/>
              <w:rPr>
                <w:sz w:val="20"/>
                <w:szCs w:val="20"/>
                <w:color w:val="auto"/>
              </w:rPr>
            </w:pPr>
            <w:r>
              <w:rPr>
                <w:rFonts w:ascii="Arial" w:cs="Arial" w:eastAsia="Arial" w:hAnsi="Arial"/>
                <w:sz w:val="14"/>
                <w:szCs w:val="14"/>
                <w:b w:val="1"/>
                <w:bCs w:val="1"/>
                <w:color w:val="auto"/>
                <w:w w:val="93"/>
              </w:rPr>
              <w:t>Percent</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right"/>
              <w:ind w:right="245"/>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00" w:type="dxa"/>
            <w:vAlign w:val="bottom"/>
          </w:tcPr>
          <w:p>
            <w:pPr>
              <w:ind w:left="40"/>
              <w:spacing w:after="0"/>
              <w:rPr>
                <w:sz w:val="20"/>
                <w:szCs w:val="20"/>
                <w:color w:val="auto"/>
              </w:rPr>
            </w:pPr>
            <w:r>
              <w:rPr>
                <w:rFonts w:ascii="Arial" w:cs="Arial" w:eastAsia="Arial" w:hAnsi="Arial"/>
                <w:sz w:val="14"/>
                <w:szCs w:val="14"/>
                <w:b w:val="1"/>
                <w:bCs w:val="1"/>
                <w:color w:val="auto"/>
              </w:rPr>
              <w:t>Percent</w:t>
            </w:r>
          </w:p>
        </w:tc>
      </w:tr>
      <w:tr>
        <w:trPr>
          <w:trHeight w:val="39"/>
        </w:trPr>
        <w:tc>
          <w:tcPr>
            <w:tcW w:w="23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37"/>
        </w:trPr>
        <w:tc>
          <w:tcPr>
            <w:tcW w:w="2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income</w:t>
            </w:r>
          </w:p>
        </w:tc>
        <w:tc>
          <w:tcPr>
            <w:tcW w:w="220" w:type="dxa"/>
            <w:vAlign w:val="bottom"/>
            <w:shd w:val="clear" w:color="auto" w:fill="CCEEFF"/>
          </w:tcPr>
          <w:p>
            <w:pPr>
              <w:jc w:val="right"/>
              <w:ind w:right="66"/>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1,400</w:t>
            </w:r>
          </w:p>
        </w:tc>
        <w:tc>
          <w:tcPr>
            <w:tcW w:w="38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82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1,318</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4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w w:val="94"/>
              </w:rPr>
              <w:t>nm  $</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1,875</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1,783</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00" w:type="dxa"/>
            <w:vAlign w:val="bottom"/>
            <w:shd w:val="clear" w:color="auto" w:fill="CCEEFF"/>
          </w:tcPr>
          <w:p>
            <w:pPr>
              <w:ind w:left="580"/>
              <w:spacing w:after="0"/>
              <w:rPr>
                <w:sz w:val="20"/>
                <w:szCs w:val="20"/>
                <w:color w:val="auto"/>
              </w:rPr>
            </w:pPr>
            <w:r>
              <w:rPr>
                <w:rFonts w:ascii="Arial" w:cs="Arial" w:eastAsia="Arial" w:hAnsi="Arial"/>
                <w:sz w:val="16"/>
                <w:szCs w:val="16"/>
                <w:color w:val="auto"/>
                <w:w w:val="89"/>
              </w:rPr>
              <w:t>nm</w:t>
            </w:r>
          </w:p>
        </w:tc>
      </w:tr>
      <w:tr>
        <w:trPr>
          <w:trHeight w:val="223"/>
        </w:trPr>
        <w:tc>
          <w:tcPr>
            <w:tcW w:w="2380" w:type="dxa"/>
            <w:vAlign w:val="bottom"/>
          </w:tcPr>
          <w:p>
            <w:pPr>
              <w:ind w:left="20"/>
              <w:spacing w:after="0"/>
              <w:rPr>
                <w:sz w:val="20"/>
                <w:szCs w:val="20"/>
                <w:color w:val="auto"/>
              </w:rPr>
            </w:pPr>
            <w:r>
              <w:rPr>
                <w:rFonts w:ascii="Arial" w:cs="Arial" w:eastAsia="Arial" w:hAnsi="Arial"/>
                <w:sz w:val="16"/>
                <w:szCs w:val="16"/>
                <w:color w:val="auto"/>
              </w:rPr>
              <w:t>nm = not meaningful</w:t>
            </w:r>
          </w:p>
        </w:tc>
        <w:tc>
          <w:tcPr>
            <w:tcW w:w="2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r>
    </w:tbl>
    <w:p>
      <w:pPr>
        <w:spacing w:after="0" w:line="266" w:lineRule="exact"/>
        <w:rPr>
          <w:sz w:val="20"/>
          <w:szCs w:val="20"/>
          <w:color w:val="auto"/>
        </w:rPr>
      </w:pPr>
    </w:p>
    <w:p>
      <w:pPr>
        <w:ind w:right="200" w:firstLine="324"/>
        <w:spacing w:after="0" w:line="275" w:lineRule="auto"/>
        <w:rPr>
          <w:sz w:val="20"/>
          <w:szCs w:val="20"/>
          <w:color w:val="auto"/>
        </w:rPr>
      </w:pPr>
      <w:r>
        <w:rPr>
          <w:rFonts w:ascii="Arial" w:cs="Arial" w:eastAsia="Arial" w:hAnsi="Arial"/>
          <w:sz w:val="16"/>
          <w:szCs w:val="16"/>
          <w:color w:val="auto"/>
        </w:rPr>
        <w:t>Interest income increased by $1.3 million and $1.9 million for the three and nine months ended September 30, 2022, as compared to the three and nine months ended September 30, 2021. These increases are primarily due to an increase in yield and higher cash balances in interest bearing accounts.</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Interest Expense</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280" w:type="dxa"/>
            <w:vAlign w:val="bottom"/>
          </w:tcPr>
          <w:p>
            <w:pPr>
              <w:spacing w:after="0"/>
              <w:rPr>
                <w:sz w:val="15"/>
                <w:szCs w:val="15"/>
                <w:color w:val="auto"/>
              </w:rPr>
            </w:pPr>
          </w:p>
        </w:tc>
        <w:tc>
          <w:tcPr>
            <w:tcW w:w="216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93"/>
              </w:rPr>
              <w:t>Three Months Ended September</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6"/>
          </w:tcPr>
          <w:p>
            <w:pPr>
              <w:jc w:val="center"/>
              <w:ind w:right="100"/>
              <w:spacing w:after="0"/>
              <w:rPr>
                <w:sz w:val="20"/>
                <w:szCs w:val="20"/>
                <w:color w:val="auto"/>
              </w:rPr>
            </w:pPr>
            <w:r>
              <w:rPr>
                <w:rFonts w:ascii="Arial" w:cs="Arial" w:eastAsia="Arial" w:hAnsi="Arial"/>
                <w:sz w:val="14"/>
                <w:szCs w:val="14"/>
                <w:b w:val="1"/>
                <w:bCs w:val="1"/>
                <w:color w:val="auto"/>
                <w:w w:val="93"/>
              </w:rPr>
              <w:t>Nine Months Ended September</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6"/>
        </w:trPr>
        <w:tc>
          <w:tcPr>
            <w:tcW w:w="2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ind w:right="79"/>
              <w:spacing w:after="0"/>
              <w:rPr>
                <w:sz w:val="20"/>
                <w:szCs w:val="20"/>
                <w:color w:val="auto"/>
              </w:rPr>
            </w:pPr>
            <w:r>
              <w:rPr>
                <w:rFonts w:ascii="Arial" w:cs="Arial" w:eastAsia="Arial" w:hAnsi="Arial"/>
                <w:sz w:val="14"/>
                <w:szCs w:val="14"/>
                <w:b w:val="1"/>
                <w:bCs w:val="1"/>
                <w:color w:val="auto"/>
              </w:rPr>
              <w:t>30,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720"/>
              <w:spacing w:after="0"/>
              <w:rPr>
                <w:sz w:val="20"/>
                <w:szCs w:val="20"/>
                <w:color w:val="auto"/>
              </w:rPr>
            </w:pPr>
            <w:r>
              <w:rPr>
                <w:rFonts w:ascii="Arial" w:cs="Arial" w:eastAsia="Arial" w:hAnsi="Arial"/>
                <w:sz w:val="14"/>
                <w:szCs w:val="14"/>
                <w:b w:val="1"/>
                <w:bCs w:val="1"/>
                <w:color w:val="auto"/>
                <w:w w:val="93"/>
              </w:rPr>
              <w:t>Change</w:t>
            </w: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gridSpan w:val="3"/>
          </w:tcPr>
          <w:p>
            <w:pPr>
              <w:jc w:val="right"/>
              <w:ind w:right="99"/>
              <w:spacing w:after="0"/>
              <w:rPr>
                <w:sz w:val="20"/>
                <w:szCs w:val="20"/>
                <w:color w:val="auto"/>
              </w:rPr>
            </w:pPr>
            <w:r>
              <w:rPr>
                <w:rFonts w:ascii="Arial" w:cs="Arial" w:eastAsia="Arial" w:hAnsi="Arial"/>
                <w:sz w:val="14"/>
                <w:szCs w:val="14"/>
                <w:b w:val="1"/>
                <w:bCs w:val="1"/>
                <w:color w:val="auto"/>
              </w:rPr>
              <w:t>30,</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720"/>
              <w:spacing w:after="0"/>
              <w:rPr>
                <w:sz w:val="20"/>
                <w:szCs w:val="20"/>
                <w:color w:val="auto"/>
              </w:rPr>
            </w:pPr>
            <w:r>
              <w:rPr>
                <w:rFonts w:ascii="Arial" w:cs="Arial" w:eastAsia="Arial" w:hAnsi="Arial"/>
                <w:sz w:val="14"/>
                <w:szCs w:val="14"/>
                <w:b w:val="1"/>
                <w:bCs w:val="1"/>
                <w:color w:val="auto"/>
                <w:w w:val="93"/>
              </w:rPr>
              <w:t>Change</w:t>
            </w:r>
          </w:p>
        </w:tc>
        <w:tc>
          <w:tcPr>
            <w:tcW w:w="860" w:type="dxa"/>
            <w:vAlign w:val="bottom"/>
          </w:tcPr>
          <w:p>
            <w:pPr>
              <w:spacing w:after="0"/>
              <w:rPr>
                <w:sz w:val="16"/>
                <w:szCs w:val="16"/>
                <w:color w:val="auto"/>
              </w:rPr>
            </w:pPr>
          </w:p>
        </w:tc>
      </w:tr>
      <w:tr>
        <w:trPr>
          <w:trHeight w:val="39"/>
        </w:trPr>
        <w:tc>
          <w:tcPr>
            <w:tcW w:w="22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4"/>
        </w:trPr>
        <w:tc>
          <w:tcPr>
            <w:tcW w:w="228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20" w:type="dxa"/>
            <w:vAlign w:val="bottom"/>
          </w:tcPr>
          <w:p>
            <w:pPr>
              <w:spacing w:after="0"/>
              <w:rPr>
                <w:sz w:val="16"/>
                <w:szCs w:val="16"/>
                <w:color w:val="auto"/>
              </w:rPr>
            </w:pPr>
          </w:p>
        </w:tc>
        <w:tc>
          <w:tcPr>
            <w:tcW w:w="780" w:type="dxa"/>
            <w:vAlign w:val="bottom"/>
          </w:tcPr>
          <w:p>
            <w:pPr>
              <w:jc w:val="right"/>
              <w:ind w:right="28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4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6"/>
                <w:szCs w:val="16"/>
                <w:color w:val="auto"/>
              </w:rPr>
            </w:pPr>
          </w:p>
        </w:tc>
        <w:tc>
          <w:tcPr>
            <w:tcW w:w="780" w:type="dxa"/>
            <w:vAlign w:val="bottom"/>
          </w:tcPr>
          <w:p>
            <w:pPr>
              <w:jc w:val="right"/>
              <w:ind w:right="285"/>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right"/>
              <w:ind w:right="264"/>
              <w:spacing w:after="0"/>
              <w:rPr>
                <w:sz w:val="20"/>
                <w:szCs w:val="20"/>
                <w:color w:val="auto"/>
              </w:rPr>
            </w:pPr>
            <w:r>
              <w:rPr>
                <w:rFonts w:ascii="Arial" w:cs="Arial" w:eastAsia="Arial" w:hAnsi="Arial"/>
                <w:sz w:val="14"/>
                <w:szCs w:val="14"/>
                <w:b w:val="1"/>
                <w:bCs w:val="1"/>
                <w:color w:val="auto"/>
                <w:w w:val="97"/>
              </w:rPr>
              <w:t>Percent</w:t>
            </w:r>
          </w:p>
        </w:tc>
      </w:tr>
      <w:tr>
        <w:trPr>
          <w:trHeight w:val="39"/>
        </w:trPr>
        <w:tc>
          <w:tcPr>
            <w:tcW w:w="22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2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Interest expense</w:t>
            </w: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(1,048)</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w:t>
            </w:r>
          </w:p>
        </w:tc>
      </w:tr>
    </w:tbl>
    <w:p>
      <w:pPr>
        <w:spacing w:after="0" w:line="233" w:lineRule="exact"/>
        <w:rPr>
          <w:sz w:val="20"/>
          <w:szCs w:val="20"/>
          <w:color w:val="auto"/>
        </w:rPr>
      </w:pPr>
    </w:p>
    <w:p>
      <w:pPr>
        <w:ind w:right="80" w:firstLine="324"/>
        <w:spacing w:after="0" w:line="293" w:lineRule="auto"/>
        <w:rPr>
          <w:sz w:val="20"/>
          <w:szCs w:val="20"/>
          <w:color w:val="auto"/>
        </w:rPr>
      </w:pPr>
      <w:r>
        <w:rPr>
          <w:rFonts w:ascii="Arial" w:cs="Arial" w:eastAsia="Arial" w:hAnsi="Arial"/>
          <w:sz w:val="16"/>
          <w:szCs w:val="16"/>
          <w:color w:val="auto"/>
        </w:rPr>
        <w:t>Interest expense changed by an immaterial amount for the three- and nine-month periods ended September 30, 2022, as compared to the three- and nine-month periods ended September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31" w:name="page32"/>
    <w:bookmarkEnd w:id="31"/>
    <w:p>
      <w:pPr>
        <w:ind w:left="340"/>
        <w:spacing w:after="0"/>
        <w:rPr>
          <w:sz w:val="20"/>
          <w:szCs w:val="20"/>
          <w:color w:val="auto"/>
        </w:rPr>
      </w:pPr>
      <w:r>
        <w:rPr>
          <w:rFonts w:ascii="Arial" w:cs="Arial" w:eastAsia="Arial" w:hAnsi="Arial"/>
          <w:sz w:val="16"/>
          <w:szCs w:val="16"/>
          <w:b w:val="1"/>
          <w:bCs w:val="1"/>
          <w:i w:val="1"/>
          <w:iCs w:val="1"/>
          <w:color w:val="auto"/>
        </w:rPr>
        <w:t>Other income, net</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2300" w:type="dxa"/>
            <w:vAlign w:val="bottom"/>
          </w:tcPr>
          <w:p>
            <w:pPr>
              <w:spacing w:after="0"/>
              <w:rPr>
                <w:sz w:val="15"/>
                <w:szCs w:val="15"/>
                <w:color w:val="auto"/>
              </w:rPr>
            </w:pPr>
          </w:p>
        </w:tc>
        <w:tc>
          <w:tcPr>
            <w:tcW w:w="21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4"/>
              </w:rPr>
              <w:t>Three Months Ended September</w:t>
            </w: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18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3"/>
              </w:rPr>
              <w:t>Nine Months Ended September</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6"/>
        </w:trPr>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700"/>
              <w:spacing w:after="0"/>
              <w:rPr>
                <w:sz w:val="20"/>
                <w:szCs w:val="20"/>
                <w:color w:val="auto"/>
              </w:rPr>
            </w:pPr>
            <w:r>
              <w:rPr>
                <w:rFonts w:ascii="Arial" w:cs="Arial" w:eastAsia="Arial" w:hAnsi="Arial"/>
                <w:sz w:val="14"/>
                <w:szCs w:val="14"/>
                <w:b w:val="1"/>
                <w:bCs w:val="1"/>
                <w:color w:val="auto"/>
                <w:w w:val="97"/>
              </w:rPr>
              <w:t>Change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1"/>
              </w:rPr>
              <w:t>30,</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720"/>
              <w:spacing w:after="0"/>
              <w:rPr>
                <w:sz w:val="20"/>
                <w:szCs w:val="20"/>
                <w:color w:val="auto"/>
              </w:rPr>
            </w:pPr>
            <w:r>
              <w:rPr>
                <w:rFonts w:ascii="Arial" w:cs="Arial" w:eastAsia="Arial" w:hAnsi="Arial"/>
                <w:sz w:val="14"/>
                <w:szCs w:val="14"/>
                <w:b w:val="1"/>
                <w:bCs w:val="1"/>
                <w:color w:val="auto"/>
                <w:w w:val="93"/>
              </w:rPr>
              <w:t>Change</w:t>
            </w:r>
          </w:p>
        </w:tc>
        <w:tc>
          <w:tcPr>
            <w:tcW w:w="860" w:type="dxa"/>
            <w:vAlign w:val="bottom"/>
          </w:tcPr>
          <w:p>
            <w:pPr>
              <w:spacing w:after="0"/>
              <w:rPr>
                <w:sz w:val="16"/>
                <w:szCs w:val="16"/>
                <w:color w:val="auto"/>
              </w:rPr>
            </w:pPr>
          </w:p>
        </w:tc>
      </w:tr>
      <w:tr>
        <w:trPr>
          <w:trHeight w:val="39"/>
        </w:trPr>
        <w:tc>
          <w:tcPr>
            <w:tcW w:w="23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4"/>
        </w:trPr>
        <w:tc>
          <w:tcPr>
            <w:tcW w:w="23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6"/>
                <w:szCs w:val="16"/>
                <w:color w:val="auto"/>
              </w:rPr>
            </w:pPr>
          </w:p>
        </w:tc>
        <w:tc>
          <w:tcPr>
            <w:tcW w:w="72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20"/>
              <w:spacing w:after="0"/>
              <w:rPr>
                <w:sz w:val="20"/>
                <w:szCs w:val="20"/>
                <w:color w:val="auto"/>
              </w:rPr>
            </w:pPr>
            <w:r>
              <w:rPr>
                <w:rFonts w:ascii="Arial" w:cs="Arial" w:eastAsia="Arial" w:hAnsi="Arial"/>
                <w:sz w:val="14"/>
                <w:szCs w:val="14"/>
                <w:b w:val="1"/>
                <w:bCs w:val="1"/>
                <w:color w:val="auto"/>
              </w:rPr>
              <w:t>Percent</w:t>
            </w:r>
          </w:p>
        </w:tc>
        <w:tc>
          <w:tcPr>
            <w:tcW w:w="220" w:type="dxa"/>
            <w:vAlign w:val="bottom"/>
          </w:tcPr>
          <w:p>
            <w:pPr>
              <w:spacing w:after="0"/>
              <w:rPr>
                <w:sz w:val="16"/>
                <w:szCs w:val="16"/>
                <w:color w:val="auto"/>
              </w:rPr>
            </w:pPr>
          </w:p>
        </w:tc>
        <w:tc>
          <w:tcPr>
            <w:tcW w:w="740" w:type="dxa"/>
            <w:vAlign w:val="bottom"/>
          </w:tcPr>
          <w:p>
            <w:pPr>
              <w:jc w:val="right"/>
              <w:ind w:right="24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right"/>
              <w:ind w:right="264"/>
              <w:spacing w:after="0"/>
              <w:rPr>
                <w:sz w:val="20"/>
                <w:szCs w:val="20"/>
                <w:color w:val="auto"/>
              </w:rPr>
            </w:pPr>
            <w:r>
              <w:rPr>
                <w:rFonts w:ascii="Arial" w:cs="Arial" w:eastAsia="Arial" w:hAnsi="Arial"/>
                <w:sz w:val="14"/>
                <w:szCs w:val="14"/>
                <w:b w:val="1"/>
                <w:bCs w:val="1"/>
                <w:color w:val="auto"/>
                <w:w w:val="97"/>
              </w:rPr>
              <w:t>Percent</w:t>
            </w:r>
          </w:p>
        </w:tc>
      </w:tr>
      <w:tr>
        <w:trPr>
          <w:trHeight w:val="39"/>
        </w:trPr>
        <w:tc>
          <w:tcPr>
            <w:tcW w:w="2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income, net</w:t>
            </w: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1,765</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396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1,369</w:t>
            </w:r>
          </w:p>
        </w:tc>
        <w:tc>
          <w:tcPr>
            <w:tcW w:w="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346 %</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44"/>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4,121</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1,077</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35 %</w:t>
            </w:r>
          </w:p>
        </w:tc>
      </w:tr>
    </w:tbl>
    <w:p>
      <w:pPr>
        <w:spacing w:after="0" w:line="247"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Other income, net increased $1.4 million for the three-month period ended September 30, 2022, compared to the three-month period ended September 30, 2021.</w:t>
      </w:r>
    </w:p>
    <w:p>
      <w:pPr>
        <w:spacing w:after="0" w:line="179" w:lineRule="exact"/>
        <w:rPr>
          <w:sz w:val="20"/>
          <w:szCs w:val="20"/>
          <w:color w:val="auto"/>
        </w:rPr>
      </w:pPr>
    </w:p>
    <w:p>
      <w:pPr>
        <w:ind w:left="340"/>
        <w:spacing w:after="0"/>
        <w:rPr>
          <w:sz w:val="20"/>
          <w:szCs w:val="20"/>
          <w:color w:val="auto"/>
        </w:rPr>
      </w:pPr>
      <w:r>
        <w:rPr>
          <w:rFonts w:ascii="Arial" w:cs="Arial" w:eastAsia="Arial" w:hAnsi="Arial"/>
          <w:sz w:val="15"/>
          <w:szCs w:val="15"/>
          <w:color w:val="auto"/>
        </w:rPr>
        <w:t>Other income, net increased $1.1 million for the nine-month period ended September 30, 2022, compared to the nine-month period ended September 30, 2021.</w:t>
      </w:r>
    </w:p>
    <w:p>
      <w:pPr>
        <w:spacing w:after="0" w:line="192" w:lineRule="exact"/>
        <w:rPr>
          <w:sz w:val="20"/>
          <w:szCs w:val="20"/>
          <w:color w:val="auto"/>
        </w:rPr>
      </w:pPr>
    </w:p>
    <w:p>
      <w:pPr>
        <w:ind w:right="300" w:firstLine="324"/>
        <w:spacing w:after="0" w:line="275" w:lineRule="auto"/>
        <w:rPr>
          <w:sz w:val="20"/>
          <w:szCs w:val="20"/>
          <w:color w:val="auto"/>
        </w:rPr>
      </w:pPr>
      <w:r>
        <w:rPr>
          <w:rFonts w:ascii="Arial" w:cs="Arial" w:eastAsia="Arial" w:hAnsi="Arial"/>
          <w:sz w:val="16"/>
          <w:szCs w:val="16"/>
          <w:color w:val="auto"/>
        </w:rPr>
        <w:t>Other income in all periods was primarily due to unrealized gains on foreign exchange remeasurements related to transactions associated with high-volume balance sheet amounts.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Provision for Income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2300" w:type="dxa"/>
            <w:vAlign w:val="bottom"/>
          </w:tcPr>
          <w:p>
            <w:pPr>
              <w:spacing w:after="0"/>
              <w:rPr>
                <w:sz w:val="15"/>
                <w:szCs w:val="15"/>
                <w:color w:val="auto"/>
              </w:rPr>
            </w:pPr>
          </w:p>
        </w:tc>
        <w:tc>
          <w:tcPr>
            <w:tcW w:w="2160" w:type="dxa"/>
            <w:vAlign w:val="bottom"/>
            <w:gridSpan w:val="7"/>
          </w:tcPr>
          <w:p>
            <w:pPr>
              <w:ind w:left="40"/>
              <w:spacing w:after="0"/>
              <w:rPr>
                <w:sz w:val="20"/>
                <w:szCs w:val="20"/>
                <w:color w:val="auto"/>
              </w:rPr>
            </w:pPr>
            <w:r>
              <w:rPr>
                <w:rFonts w:ascii="Arial" w:cs="Arial" w:eastAsia="Arial" w:hAnsi="Arial"/>
                <w:sz w:val="14"/>
                <w:szCs w:val="14"/>
                <w:b w:val="1"/>
                <w:bCs w:val="1"/>
                <w:color w:val="auto"/>
                <w:w w:val="97"/>
              </w:rPr>
              <w:t>Three Months Ended September</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0" w:type="dxa"/>
            <w:vAlign w:val="bottom"/>
            <w:gridSpan w:val="7"/>
          </w:tcPr>
          <w:p>
            <w:pPr>
              <w:jc w:val="center"/>
              <w:ind w:right="80"/>
              <w:spacing w:after="0"/>
              <w:rPr>
                <w:sz w:val="20"/>
                <w:szCs w:val="20"/>
                <w:color w:val="auto"/>
              </w:rPr>
            </w:pPr>
            <w:r>
              <w:rPr>
                <w:rFonts w:ascii="Arial" w:cs="Arial" w:eastAsia="Arial" w:hAnsi="Arial"/>
                <w:sz w:val="14"/>
                <w:szCs w:val="14"/>
                <w:b w:val="1"/>
                <w:bCs w:val="1"/>
                <w:color w:val="auto"/>
                <w:w w:val="92"/>
              </w:rPr>
              <w:t>Nine Months Ended September</w:t>
            </w:r>
          </w:p>
        </w:tc>
        <w:tc>
          <w:tcPr>
            <w:tcW w:w="1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r>
      <w:tr>
        <w:trPr>
          <w:trHeight w:val="186"/>
        </w:trPr>
        <w:tc>
          <w:tcPr>
            <w:tcW w:w="2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38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92"/>
              </w:rPr>
              <w:t>30,</w:t>
            </w: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700"/>
              <w:spacing w:after="0"/>
              <w:rPr>
                <w:sz w:val="20"/>
                <w:szCs w:val="20"/>
                <w:color w:val="auto"/>
              </w:rPr>
            </w:pPr>
            <w:r>
              <w:rPr>
                <w:rFonts w:ascii="Arial" w:cs="Arial" w:eastAsia="Arial" w:hAnsi="Arial"/>
                <w:sz w:val="14"/>
                <w:szCs w:val="14"/>
                <w:b w:val="1"/>
                <w:bCs w:val="1"/>
                <w:color w:val="auto"/>
                <w:w w:val="97"/>
              </w:rPr>
              <w:t>Change</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w w:val="81"/>
              </w:rPr>
              <w:t>30,</w:t>
            </w: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720"/>
              <w:spacing w:after="0"/>
              <w:rPr>
                <w:sz w:val="20"/>
                <w:szCs w:val="20"/>
                <w:color w:val="auto"/>
              </w:rPr>
            </w:pPr>
            <w:r>
              <w:rPr>
                <w:rFonts w:ascii="Arial" w:cs="Arial" w:eastAsia="Arial" w:hAnsi="Arial"/>
                <w:sz w:val="14"/>
                <w:szCs w:val="14"/>
                <w:b w:val="1"/>
                <w:bCs w:val="1"/>
                <w:color w:val="auto"/>
                <w:w w:val="93"/>
              </w:rPr>
              <w:t>Change</w:t>
            </w:r>
          </w:p>
        </w:tc>
        <w:tc>
          <w:tcPr>
            <w:tcW w:w="860" w:type="dxa"/>
            <w:vAlign w:val="bottom"/>
          </w:tcPr>
          <w:p>
            <w:pPr>
              <w:spacing w:after="0"/>
              <w:rPr>
                <w:sz w:val="16"/>
                <w:szCs w:val="16"/>
                <w:color w:val="auto"/>
              </w:rPr>
            </w:pPr>
          </w:p>
        </w:tc>
      </w:tr>
      <w:tr>
        <w:trPr>
          <w:trHeight w:val="39"/>
        </w:trPr>
        <w:tc>
          <w:tcPr>
            <w:tcW w:w="230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gridSpan w:val="3"/>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184"/>
        </w:trPr>
        <w:tc>
          <w:tcPr>
            <w:tcW w:w="2300" w:type="dxa"/>
            <w:vAlign w:val="bottom"/>
          </w:tcPr>
          <w:p>
            <w:pPr>
              <w:ind w:left="20"/>
              <w:spacing w:after="0"/>
              <w:rPr>
                <w:sz w:val="20"/>
                <w:szCs w:val="20"/>
                <w:color w:val="auto"/>
              </w:rPr>
            </w:pPr>
            <w:r>
              <w:rPr>
                <w:rFonts w:ascii="Arial" w:cs="Arial" w:eastAsia="Arial" w:hAnsi="Arial"/>
                <w:sz w:val="14"/>
                <w:szCs w:val="14"/>
                <w:i w:val="1"/>
                <w:iCs w:val="1"/>
                <w:color w:val="auto"/>
              </w:rPr>
              <w:t>(dollars in thousands)</w:t>
            </w:r>
          </w:p>
        </w:tc>
        <w:tc>
          <w:tcPr>
            <w:tcW w:w="240" w:type="dxa"/>
            <w:vAlign w:val="bottom"/>
          </w:tcPr>
          <w:p>
            <w:pPr>
              <w:spacing w:after="0"/>
              <w:rPr>
                <w:sz w:val="16"/>
                <w:szCs w:val="16"/>
                <w:color w:val="auto"/>
              </w:rPr>
            </w:pPr>
          </w:p>
        </w:tc>
        <w:tc>
          <w:tcPr>
            <w:tcW w:w="70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jc w:val="right"/>
              <w:ind w:right="28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920" w:type="dxa"/>
            <w:vAlign w:val="bottom"/>
            <w:gridSpan w:val="2"/>
          </w:tcPr>
          <w:p>
            <w:pPr>
              <w:ind w:left="40"/>
              <w:spacing w:after="0"/>
              <w:rPr>
                <w:sz w:val="20"/>
                <w:szCs w:val="20"/>
                <w:color w:val="auto"/>
              </w:rPr>
            </w:pPr>
            <w:r>
              <w:rPr>
                <w:rFonts w:ascii="Arial" w:cs="Arial" w:eastAsia="Arial" w:hAnsi="Arial"/>
                <w:sz w:val="14"/>
                <w:szCs w:val="14"/>
                <w:b w:val="1"/>
                <w:bCs w:val="1"/>
                <w:color w:val="auto"/>
              </w:rPr>
              <w:t>Percent</w:t>
            </w:r>
          </w:p>
        </w:tc>
        <w:tc>
          <w:tcPr>
            <w:tcW w:w="240" w:type="dxa"/>
            <w:vAlign w:val="bottom"/>
          </w:tcPr>
          <w:p>
            <w:pPr>
              <w:spacing w:after="0"/>
              <w:rPr>
                <w:sz w:val="16"/>
                <w:szCs w:val="16"/>
                <w:color w:val="auto"/>
              </w:rPr>
            </w:pPr>
          </w:p>
        </w:tc>
        <w:tc>
          <w:tcPr>
            <w:tcW w:w="720" w:type="dxa"/>
            <w:vAlign w:val="bottom"/>
          </w:tcPr>
          <w:p>
            <w:pPr>
              <w:jc w:val="right"/>
              <w:ind w:right="224"/>
              <w:spacing w:after="0"/>
              <w:rPr>
                <w:sz w:val="20"/>
                <w:szCs w:val="20"/>
                <w:color w:val="auto"/>
              </w:rPr>
            </w:pPr>
            <w:r>
              <w:rPr>
                <w:rFonts w:ascii="Arial" w:cs="Arial" w:eastAsia="Arial" w:hAnsi="Arial"/>
                <w:sz w:val="14"/>
                <w:szCs w:val="14"/>
                <w:b w:val="1"/>
                <w:bCs w:val="1"/>
                <w:color w:val="auto"/>
              </w:rPr>
              <w:t>2022</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304"/>
              <w:spacing w:after="0"/>
              <w:rPr>
                <w:sz w:val="20"/>
                <w:szCs w:val="20"/>
                <w:color w:val="auto"/>
              </w:rPr>
            </w:pPr>
            <w:r>
              <w:rPr>
                <w:rFonts w:ascii="Arial" w:cs="Arial" w:eastAsia="Arial" w:hAnsi="Arial"/>
                <w:sz w:val="14"/>
                <w:szCs w:val="14"/>
                <w:b w:val="1"/>
                <w:bCs w:val="1"/>
                <w:color w:val="auto"/>
              </w:rPr>
              <w:t>2021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3"/>
          </w:tcPr>
          <w:p>
            <w:pPr>
              <w:ind w:left="80"/>
              <w:spacing w:after="0"/>
              <w:rPr>
                <w:sz w:val="20"/>
                <w:szCs w:val="20"/>
                <w:color w:val="auto"/>
              </w:rPr>
            </w:pPr>
            <w:r>
              <w:rPr>
                <w:rFonts w:ascii="Arial" w:cs="Arial" w:eastAsia="Arial" w:hAnsi="Arial"/>
                <w:sz w:val="14"/>
                <w:szCs w:val="14"/>
                <w:b w:val="1"/>
                <w:bCs w:val="1"/>
                <w:color w:val="auto"/>
              </w:rPr>
              <w:t>Amount</w:t>
            </w:r>
          </w:p>
        </w:tc>
        <w:tc>
          <w:tcPr>
            <w:tcW w:w="860" w:type="dxa"/>
            <w:vAlign w:val="bottom"/>
          </w:tcPr>
          <w:p>
            <w:pPr>
              <w:jc w:val="right"/>
              <w:ind w:right="264"/>
              <w:spacing w:after="0"/>
              <w:rPr>
                <w:sz w:val="20"/>
                <w:szCs w:val="20"/>
                <w:color w:val="auto"/>
              </w:rPr>
            </w:pPr>
            <w:r>
              <w:rPr>
                <w:rFonts w:ascii="Arial" w:cs="Arial" w:eastAsia="Arial" w:hAnsi="Arial"/>
                <w:sz w:val="14"/>
                <w:szCs w:val="14"/>
                <w:b w:val="1"/>
                <w:bCs w:val="1"/>
                <w:color w:val="auto"/>
                <w:w w:val="97"/>
              </w:rPr>
              <w:t>Percent</w:t>
            </w:r>
          </w:p>
        </w:tc>
      </w:tr>
      <w:tr>
        <w:trPr>
          <w:trHeight w:val="39"/>
        </w:trPr>
        <w:tc>
          <w:tcPr>
            <w:tcW w:w="23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7"/>
        </w:trPr>
        <w:tc>
          <w:tcPr>
            <w:tcW w:w="2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Provision for income taxes</w:t>
            </w:r>
          </w:p>
        </w:tc>
        <w:tc>
          <w:tcPr>
            <w:tcW w:w="2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w:t>
            </w:r>
          </w:p>
        </w:tc>
        <w:tc>
          <w:tcPr>
            <w:tcW w:w="38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261</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ind w:right="5"/>
              <w:spacing w:after="0"/>
              <w:rPr>
                <w:sz w:val="20"/>
                <w:szCs w:val="20"/>
                <w:color w:val="auto"/>
              </w:rPr>
            </w:pPr>
            <w:r>
              <w:rPr>
                <w:rFonts w:ascii="Arial" w:cs="Arial" w:eastAsia="Arial" w:hAnsi="Arial"/>
                <w:sz w:val="16"/>
                <w:szCs w:val="16"/>
                <w:color w:val="auto"/>
              </w:rPr>
              <w:t>26</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10 %</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64"/>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1,085</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392</w:t>
            </w:r>
          </w:p>
        </w:tc>
        <w:tc>
          <w:tcPr>
            <w:tcW w:w="8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36 %</w:t>
            </w:r>
          </w:p>
        </w:tc>
      </w:tr>
    </w:tbl>
    <w:p>
      <w:pPr>
        <w:spacing w:after="0" w:line="247" w:lineRule="exact"/>
        <w:rPr>
          <w:sz w:val="20"/>
          <w:szCs w:val="20"/>
          <w:color w:val="auto"/>
        </w:rPr>
      </w:pPr>
    </w:p>
    <w:p>
      <w:pPr>
        <w:ind w:right="80" w:firstLine="324"/>
        <w:spacing w:after="0" w:line="275" w:lineRule="auto"/>
        <w:rPr>
          <w:sz w:val="20"/>
          <w:szCs w:val="20"/>
          <w:color w:val="auto"/>
        </w:rPr>
      </w:pPr>
      <w:r>
        <w:rPr>
          <w:rFonts w:ascii="Arial" w:cs="Arial" w:eastAsia="Arial" w:hAnsi="Arial"/>
          <w:sz w:val="16"/>
          <w:szCs w:val="16"/>
          <w:color w:val="auto"/>
        </w:rPr>
        <w:t>The provision for income taxes increased by an immaterial amount for the three months ended September 30, 2022 compared to the three months ended September 30, 2021.</w:t>
      </w:r>
    </w:p>
    <w:p>
      <w:pPr>
        <w:spacing w:after="0" w:line="118" w:lineRule="exact"/>
        <w:rPr>
          <w:sz w:val="20"/>
          <w:szCs w:val="20"/>
          <w:color w:val="auto"/>
        </w:rPr>
      </w:pPr>
    </w:p>
    <w:p>
      <w:pPr>
        <w:ind w:right="360" w:firstLine="324"/>
        <w:spacing w:after="0" w:line="293" w:lineRule="auto"/>
        <w:rPr>
          <w:sz w:val="20"/>
          <w:szCs w:val="20"/>
          <w:color w:val="auto"/>
        </w:rPr>
      </w:pPr>
      <w:r>
        <w:rPr>
          <w:rFonts w:ascii="Arial" w:cs="Arial" w:eastAsia="Arial" w:hAnsi="Arial"/>
          <w:sz w:val="16"/>
          <w:szCs w:val="16"/>
          <w:color w:val="auto"/>
        </w:rPr>
        <w:t>The provision for income taxes increased $0.4 million, or 36%, for the nine months ended September 30, 2022, compared to the nine months ended September 30, 2021.</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increase in income taxes was primarily due to an increase in taxable income in line with business growth.</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Financial Measures</w:t>
      </w:r>
    </w:p>
    <w:p>
      <w:pPr>
        <w:spacing w:after="0" w:line="171" w:lineRule="exact"/>
        <w:rPr>
          <w:sz w:val="20"/>
          <w:szCs w:val="20"/>
          <w:color w:val="auto"/>
        </w:rPr>
      </w:pPr>
    </w:p>
    <w:p>
      <w:pPr>
        <w:ind w:right="100" w:firstLine="324"/>
        <w:spacing w:after="0" w:line="262" w:lineRule="auto"/>
        <w:rPr>
          <w:sz w:val="20"/>
          <w:szCs w:val="20"/>
          <w:color w:val="auto"/>
        </w:rPr>
      </w:pPr>
      <w:r>
        <w:rPr>
          <w:rFonts w:ascii="Arial" w:cs="Arial" w:eastAsia="Arial" w:hAnsi="Arial"/>
          <w:sz w:val="16"/>
          <w:szCs w:val="16"/>
          <w:color w:val="auto"/>
        </w:rPr>
        <w:t>We regularly review the following non-GAAP measure to evaluate our performance, identify trends affecting our business, prepare financial projections, and make strategic decisions. We believe that this non-GAAP measure provides meaningful supplemental information for management and investors in assessing our historical and future operating performance. The calculation of this non-GAAP measure discussed below may differ from other similarly titled metrics used by other companies, analysts, or investors.</w:t>
      </w:r>
    </w:p>
    <w:p>
      <w:pPr>
        <w:spacing w:after="0" w:line="142" w:lineRule="exact"/>
        <w:rPr>
          <w:sz w:val="20"/>
          <w:szCs w:val="20"/>
          <w:color w:val="auto"/>
        </w:rPr>
      </w:pPr>
    </w:p>
    <w:p>
      <w:pPr>
        <w:ind w:right="100" w:firstLine="324"/>
        <w:spacing w:after="0" w:line="284" w:lineRule="auto"/>
        <w:rPr>
          <w:sz w:val="20"/>
          <w:szCs w:val="20"/>
          <w:color w:val="auto"/>
        </w:rPr>
      </w:pPr>
      <w:r>
        <w:rPr>
          <w:rFonts w:ascii="Arial" w:cs="Arial" w:eastAsia="Arial" w:hAnsi="Arial"/>
          <w:sz w:val="15"/>
          <w:szCs w:val="15"/>
          <w:color w:val="auto"/>
        </w:rPr>
        <w:t>We use Adjusted EBITDA, a non-GAAP financial measure to supplement net loss. Adjusted EBITDA is calculated as net loss adjusted by (i) interest expense, net; (ii) provision for income taxes; (iii) non-cash charge of depreciation and amortization; (iv) gains and losses from the remeasurement of foreign currency assets and liabilities into their functional currency; (v) non-cash charges associated with our donation of common stock in connection with our Pledge 1% commitment, (vi) non-cash stock-based compensation expense, net; and (vii) certain transaction and integration costs associated with acquisitions.</w:t>
      </w:r>
    </w:p>
    <w:p>
      <w:pPr>
        <w:spacing w:after="0" w:line="115"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Adjusted EBITDA is a key output measure used by our management to evaluate our operating performance, inform future operating plans, and make strategic long-term decisions, including those relating to operating expenses and the allocation of internal resources.</w:t>
      </w:r>
    </w:p>
    <w:p>
      <w:pPr>
        <w:spacing w:after="0" w:line="104" w:lineRule="exact"/>
        <w:rPr>
          <w:sz w:val="20"/>
          <w:szCs w:val="20"/>
          <w:color w:val="auto"/>
        </w:rPr>
      </w:pPr>
    </w:p>
    <w:p>
      <w:pPr>
        <w:ind w:right="420" w:firstLine="324"/>
        <w:spacing w:after="0" w:line="275" w:lineRule="auto"/>
        <w:rPr>
          <w:sz w:val="20"/>
          <w:szCs w:val="20"/>
          <w:color w:val="auto"/>
        </w:rPr>
      </w:pPr>
      <w:r>
        <w:rPr>
          <w:rFonts w:ascii="Arial" w:cs="Arial" w:eastAsia="Arial" w:hAnsi="Arial"/>
          <w:sz w:val="16"/>
          <w:szCs w:val="16"/>
          <w:color w:val="auto"/>
        </w:rPr>
        <w:t>Adjusted EBITDA has limitations as a financial measure, should be considered as supplemental in nature, and is not meant as a substitute for the related financial information prepared in accordance with GAAP. These limitations include the following:</w:t>
      </w:r>
    </w:p>
    <w:p>
      <w:pPr>
        <w:spacing w:after="0" w:line="132" w:lineRule="exact"/>
        <w:rPr>
          <w:sz w:val="20"/>
          <w:szCs w:val="20"/>
          <w:color w:val="auto"/>
        </w:rPr>
      </w:pPr>
    </w:p>
    <w:p>
      <w:pPr>
        <w:ind w:left="660" w:right="480" w:hanging="328"/>
        <w:spacing w:after="0" w:line="322" w:lineRule="auto"/>
        <w:tabs>
          <w:tab w:leader="none" w:pos="649" w:val="left"/>
        </w:tabs>
        <w:numPr>
          <w:ilvl w:val="0"/>
          <w:numId w:val="21"/>
        </w:numPr>
        <w:rPr>
          <w:rFonts w:ascii="Arial" w:cs="Arial" w:eastAsia="Arial" w:hAnsi="Arial"/>
          <w:sz w:val="14"/>
          <w:szCs w:val="14"/>
          <w:color w:val="auto"/>
        </w:rPr>
      </w:pPr>
      <w:r>
        <w:rPr>
          <w:rFonts w:ascii="Arial" w:cs="Arial" w:eastAsia="Arial" w:hAnsi="Arial"/>
          <w:sz w:val="14"/>
          <w:szCs w:val="14"/>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expenditures or other capital commitments;</w:t>
      </w: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does not reflect changes in, or cash requirements for, our working capital needs;</w:t>
      </w:r>
    </w:p>
    <w:p>
      <w:pPr>
        <w:spacing w:after="0" w:line="72"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does not reflect the effect of income taxes that may represent a reduction in cash available to us;</w:t>
      </w:r>
    </w:p>
    <w:p>
      <w:pPr>
        <w:spacing w:after="0" w:line="59" w:lineRule="exact"/>
        <w:rPr>
          <w:rFonts w:ascii="Arial" w:cs="Arial" w:eastAsia="Arial" w:hAnsi="Arial"/>
          <w:sz w:val="16"/>
          <w:szCs w:val="16"/>
          <w:color w:val="auto"/>
        </w:rPr>
      </w:pPr>
    </w:p>
    <w:p>
      <w:pPr>
        <w:ind w:left="640" w:hanging="308"/>
        <w:spacing w:after="0"/>
        <w:tabs>
          <w:tab w:leader="none" w:pos="640" w:val="left"/>
        </w:tabs>
        <w:numPr>
          <w:ilvl w:val="0"/>
          <w:numId w:val="21"/>
        </w:numPr>
        <w:rPr>
          <w:rFonts w:ascii="Arial" w:cs="Arial" w:eastAsia="Arial" w:hAnsi="Arial"/>
          <w:sz w:val="15"/>
          <w:szCs w:val="15"/>
          <w:color w:val="auto"/>
        </w:rPr>
      </w:pPr>
      <w:r>
        <w:rPr>
          <w:rFonts w:ascii="Arial" w:cs="Arial" w:eastAsia="Arial" w:hAnsi="Arial"/>
          <w:sz w:val="15"/>
          <w:szCs w:val="15"/>
          <w:color w:val="auto"/>
        </w:rPr>
        <w:t>Adjusted EBITDA does not reflect the effect of gains and losses from the remeasurement of foreign currency assets and liabilities into their functional currency;</w:t>
      </w:r>
    </w:p>
    <w:p>
      <w:pPr>
        <w:spacing w:after="0" w:line="84" w:lineRule="exact"/>
        <w:rPr>
          <w:rFonts w:ascii="Arial" w:cs="Arial" w:eastAsia="Arial" w:hAnsi="Arial"/>
          <w:sz w:val="15"/>
          <w:szCs w:val="15"/>
          <w:color w:val="auto"/>
        </w:rPr>
      </w:pPr>
    </w:p>
    <w:p>
      <w:pPr>
        <w:ind w:left="660" w:right="20" w:hanging="328"/>
        <w:spacing w:after="0" w:line="275"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excludes noncash charges associated with the donation of our common stock in connection with our Pledge 1% commitment, which is recorded in general and administrative expense;</w:t>
      </w:r>
    </w:p>
    <w:p>
      <w:pPr>
        <w:spacing w:after="0" w:line="10" w:lineRule="exact"/>
        <w:rPr>
          <w:rFonts w:ascii="Arial" w:cs="Arial" w:eastAsia="Arial" w:hAnsi="Arial"/>
          <w:sz w:val="16"/>
          <w:szCs w:val="16"/>
          <w:color w:val="auto"/>
        </w:rPr>
      </w:pPr>
    </w:p>
    <w:p>
      <w:pPr>
        <w:ind w:left="660" w:right="60" w:hanging="328"/>
        <w:spacing w:after="0" w:line="293" w:lineRule="auto"/>
        <w:tabs>
          <w:tab w:leader="none" w:pos="649" w:val="left"/>
        </w:tabs>
        <w:numPr>
          <w:ilvl w:val="0"/>
          <w:numId w:val="21"/>
        </w:numPr>
        <w:rPr>
          <w:rFonts w:ascii="Arial" w:cs="Arial" w:eastAsia="Arial" w:hAnsi="Arial"/>
          <w:sz w:val="16"/>
          <w:szCs w:val="16"/>
          <w:color w:val="auto"/>
        </w:rPr>
      </w:pPr>
      <w:r>
        <w:rPr>
          <w:rFonts w:ascii="Arial" w:cs="Arial" w:eastAsia="Arial" w:hAnsi="Arial"/>
          <w:sz w:val="16"/>
          <w:szCs w:val="16"/>
          <w:color w:val="auto"/>
        </w:rPr>
        <w:t>Adjusted EBITDA excludes stock-based compensation expense, which has recently been, and will continue to be for the foreseeable future, a significant recurring expense for our business and an important part of our compensation strategy;</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32" w:name="page33"/>
    <w:bookmarkEnd w:id="32"/>
    <w:p>
      <w:pPr>
        <w:ind w:left="660" w:right="160" w:hanging="328"/>
        <w:spacing w:after="0" w:line="269"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Adjusted EBITDA excludes certain transaction costs, primarily acquisition and integration expenses related to the pending Rewire acquisition. Transaction costs primarily include legal, accounting, valuation and due diligence costs, as well as advisory and other professional services fees necessary to integrate acquired businesses; and</w:t>
      </w:r>
    </w:p>
    <w:p>
      <w:pPr>
        <w:spacing w:after="0" w:line="15" w:lineRule="exact"/>
        <w:rPr>
          <w:rFonts w:ascii="Arial" w:cs="Arial" w:eastAsia="Arial" w:hAnsi="Arial"/>
          <w:sz w:val="16"/>
          <w:szCs w:val="16"/>
          <w:color w:val="auto"/>
        </w:rPr>
      </w:pPr>
    </w:p>
    <w:p>
      <w:pPr>
        <w:ind w:left="660" w:right="500" w:hanging="328"/>
        <w:spacing w:after="0" w:line="290" w:lineRule="auto"/>
        <w:tabs>
          <w:tab w:leader="none" w:pos="649" w:val="left"/>
        </w:tabs>
        <w:numPr>
          <w:ilvl w:val="0"/>
          <w:numId w:val="22"/>
        </w:numPr>
        <w:rPr>
          <w:rFonts w:ascii="Arial" w:cs="Arial" w:eastAsia="Arial" w:hAnsi="Arial"/>
          <w:sz w:val="16"/>
          <w:szCs w:val="16"/>
          <w:color w:val="auto"/>
        </w:rPr>
      </w:pPr>
      <w:r>
        <w:rPr>
          <w:rFonts w:ascii="Arial" w:cs="Arial" w:eastAsia="Arial" w:hAnsi="Arial"/>
          <w:sz w:val="16"/>
          <w:szCs w:val="16"/>
          <w:color w:val="auto"/>
        </w:rPr>
        <w:t>other companies, including companies in our industry, may calculate Adjusted EBITDA differently from how we calculate this measure or not at all, which reduces its usefulness as a comparative measure.</w:t>
      </w:r>
    </w:p>
    <w:p>
      <w:pPr>
        <w:spacing w:after="0" w:line="1" w:lineRule="exact"/>
        <w:rPr>
          <w:sz w:val="20"/>
          <w:szCs w:val="20"/>
          <w:color w:val="auto"/>
        </w:rPr>
      </w:pPr>
    </w:p>
    <w:p>
      <w:pPr>
        <w:ind w:right="40" w:firstLine="324"/>
        <w:spacing w:after="0" w:line="275" w:lineRule="auto"/>
        <w:rPr>
          <w:sz w:val="20"/>
          <w:szCs w:val="20"/>
          <w:color w:val="auto"/>
        </w:rPr>
      </w:pPr>
      <w:r>
        <w:rPr>
          <w:rFonts w:ascii="Arial" w:cs="Arial" w:eastAsia="Arial" w:hAnsi="Arial"/>
          <w:sz w:val="16"/>
          <w:szCs w:val="16"/>
          <w:color w:val="auto"/>
        </w:rPr>
        <w:t>The following table sets forth a reconciliation of net loss to Adjusted EBITDA, the most directly comparable financial measure prepared in accordance with GAAP, for each of the periods indicated:</w:t>
      </w:r>
    </w:p>
    <w:p>
      <w:pPr>
        <w:spacing w:after="0" w:line="182"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47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60" w:type="dxa"/>
            <w:vAlign w:val="bottom"/>
            <w:gridSpan w:val="5"/>
          </w:tcPr>
          <w:p>
            <w:pPr>
              <w:ind w:left="120"/>
              <w:spacing w:after="0"/>
              <w:rPr>
                <w:sz w:val="20"/>
                <w:szCs w:val="20"/>
                <w:color w:val="auto"/>
              </w:rPr>
            </w:pPr>
            <w:r>
              <w:rPr>
                <w:rFonts w:ascii="Arial" w:cs="Arial" w:eastAsia="Arial" w:hAnsi="Arial"/>
                <w:sz w:val="16"/>
                <w:szCs w:val="16"/>
                <w:b w:val="1"/>
                <w:bCs w:val="1"/>
                <w:color w:val="auto"/>
              </w:rPr>
              <w:t>Three Months Ended September 30,</w:t>
            </w:r>
          </w:p>
        </w:tc>
        <w:tc>
          <w:tcPr>
            <w:tcW w:w="240" w:type="dxa"/>
            <w:vAlign w:val="bottom"/>
          </w:tcPr>
          <w:p>
            <w:pPr>
              <w:spacing w:after="0"/>
              <w:rPr>
                <w:sz w:val="19"/>
                <w:szCs w:val="19"/>
                <w:color w:val="auto"/>
              </w:rPr>
            </w:pPr>
          </w:p>
        </w:tc>
        <w:tc>
          <w:tcPr>
            <w:tcW w:w="2960" w:type="dxa"/>
            <w:vAlign w:val="bottom"/>
            <w:gridSpan w:val="4"/>
          </w:tcPr>
          <w:p>
            <w:pPr>
              <w:jc w:val="right"/>
              <w:ind w:right="319"/>
              <w:spacing w:after="0"/>
              <w:rPr>
                <w:sz w:val="20"/>
                <w:szCs w:val="20"/>
                <w:color w:val="auto"/>
              </w:rPr>
            </w:pPr>
            <w:r>
              <w:rPr>
                <w:rFonts w:ascii="Arial" w:cs="Arial" w:eastAsia="Arial" w:hAnsi="Arial"/>
                <w:sz w:val="16"/>
                <w:szCs w:val="16"/>
                <w:b w:val="1"/>
                <w:bCs w:val="1"/>
                <w:color w:val="auto"/>
                <w:w w:val="96"/>
              </w:rPr>
              <w:t>Nine Months Ended September 30,</w:t>
            </w:r>
          </w:p>
        </w:tc>
      </w:tr>
      <w:tr>
        <w:trPr>
          <w:trHeight w:val="237"/>
        </w:trPr>
        <w:tc>
          <w:tcPr>
            <w:tcW w:w="4700" w:type="dxa"/>
            <w:vAlign w:val="bottom"/>
            <w:tcBorders>
              <w:bottom w:val="single" w:sz="8" w:color="CCEEFF"/>
            </w:tcBorders>
          </w:tcPr>
          <w:p>
            <w:pPr>
              <w:spacing w:after="0"/>
              <w:rPr>
                <w:sz w:val="20"/>
                <w:szCs w:val="20"/>
                <w:color w:val="auto"/>
              </w:rPr>
            </w:pPr>
            <w:r>
              <w:rPr>
                <w:rFonts w:ascii="Arial" w:cs="Arial" w:eastAsia="Arial" w:hAnsi="Arial"/>
                <w:sz w:val="16"/>
                <w:szCs w:val="16"/>
                <w:i w:val="1"/>
                <w:iCs w:val="1"/>
                <w:color w:val="auto"/>
              </w:rPr>
              <w:t>(in thousands)</w:t>
            </w:r>
          </w:p>
        </w:tc>
        <w:tc>
          <w:tcPr>
            <w:tcW w:w="22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CEEFF"/>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132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2022</w:t>
            </w:r>
          </w:p>
        </w:tc>
        <w:tc>
          <w:tcPr>
            <w:tcW w:w="80" w:type="dxa"/>
            <w:vAlign w:val="bottom"/>
            <w:tcBorders>
              <w:top w:val="single" w:sz="8" w:color="auto"/>
              <w:bottom w:val="single" w:sz="8" w:color="CCEEFF"/>
            </w:tcBorders>
          </w:tcPr>
          <w:p>
            <w:pPr>
              <w:spacing w:after="0"/>
              <w:rPr>
                <w:sz w:val="20"/>
                <w:szCs w:val="20"/>
                <w:color w:val="auto"/>
              </w:rPr>
            </w:pPr>
          </w:p>
        </w:tc>
        <w:tc>
          <w:tcPr>
            <w:tcW w:w="360" w:type="dxa"/>
            <w:vAlign w:val="bottom"/>
            <w:tcBorders>
              <w:top w:val="single" w:sz="8" w:color="auto"/>
              <w:bottom w:val="single" w:sz="8" w:color="auto"/>
            </w:tcBorders>
          </w:tcPr>
          <w:p>
            <w:pPr>
              <w:spacing w:after="0"/>
              <w:rPr>
                <w:sz w:val="20"/>
                <w:szCs w:val="20"/>
                <w:color w:val="auto"/>
              </w:rPr>
            </w:pPr>
          </w:p>
        </w:tc>
        <w:tc>
          <w:tcPr>
            <w:tcW w:w="1200" w:type="dxa"/>
            <w:vAlign w:val="bottom"/>
            <w:tcBorders>
              <w:top w:val="single" w:sz="8" w:color="auto"/>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2021</w:t>
            </w:r>
          </w:p>
        </w:tc>
      </w:tr>
      <w:tr>
        <w:trPr>
          <w:trHeight w:val="243"/>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Net loss</w:t>
            </w:r>
          </w:p>
        </w:tc>
        <w:tc>
          <w:tcPr>
            <w:tcW w:w="220" w:type="dxa"/>
            <w:vAlign w:val="bottom"/>
            <w:shd w:val="clear" w:color="auto" w:fill="CCEEFF"/>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(33,069)</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(12,962)</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(94,624)</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(22,180)</w:t>
            </w:r>
          </w:p>
        </w:tc>
      </w:tr>
      <w:tr>
        <w:trPr>
          <w:trHeight w:val="233"/>
        </w:trPr>
        <w:tc>
          <w:tcPr>
            <w:tcW w:w="4700" w:type="dxa"/>
            <w:vAlign w:val="bottom"/>
          </w:tcPr>
          <w:p>
            <w:pPr>
              <w:spacing w:after="0"/>
              <w:rPr>
                <w:sz w:val="20"/>
                <w:szCs w:val="20"/>
                <w:color w:val="auto"/>
              </w:rPr>
            </w:pPr>
            <w:r>
              <w:rPr>
                <w:rFonts w:ascii="Arial" w:cs="Arial" w:eastAsia="Arial" w:hAnsi="Arial"/>
                <w:sz w:val="16"/>
                <w:szCs w:val="16"/>
                <w:color w:val="auto"/>
              </w:rPr>
              <w:t>Add:</w:t>
            </w: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253"/>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Interest expense, net</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430</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(900)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956</w:t>
            </w:r>
          </w:p>
        </w:tc>
      </w:tr>
      <w:tr>
        <w:trPr>
          <w:trHeight w:val="233"/>
        </w:trPr>
        <w:tc>
          <w:tcPr>
            <w:tcW w:w="4700" w:type="dxa"/>
            <w:vAlign w:val="bottom"/>
          </w:tcPr>
          <w:p>
            <w:pPr>
              <w:ind w:left="120"/>
              <w:spacing w:after="0"/>
              <w:rPr>
                <w:sz w:val="20"/>
                <w:szCs w:val="20"/>
                <w:color w:val="auto"/>
              </w:rPr>
            </w:pPr>
            <w:r>
              <w:rPr>
                <w:rFonts w:ascii="Arial" w:cs="Arial" w:eastAsia="Arial" w:hAnsi="Arial"/>
                <w:sz w:val="16"/>
                <w:szCs w:val="16"/>
                <w:color w:val="auto"/>
              </w:rPr>
              <w:t>Provision for income taxes</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287</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261</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1,477</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1,085</w:t>
            </w:r>
          </w:p>
        </w:tc>
      </w:tr>
      <w:tr>
        <w:trPr>
          <w:trHeight w:val="253"/>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Depreciation and amortization expenses</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1,319</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4,870</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3,890</w:t>
            </w:r>
          </w:p>
        </w:tc>
      </w:tr>
      <w:tr>
        <w:trPr>
          <w:trHeight w:val="233"/>
        </w:trPr>
        <w:tc>
          <w:tcPr>
            <w:tcW w:w="4700" w:type="dxa"/>
            <w:vAlign w:val="bottom"/>
          </w:tcPr>
          <w:p>
            <w:pPr>
              <w:ind w:left="120"/>
              <w:spacing w:after="0"/>
              <w:rPr>
                <w:sz w:val="20"/>
                <w:szCs w:val="20"/>
                <w:color w:val="auto"/>
              </w:rPr>
            </w:pPr>
            <w:r>
              <w:rPr>
                <w:rFonts w:ascii="Arial" w:cs="Arial" w:eastAsia="Arial" w:hAnsi="Arial"/>
                <w:sz w:val="16"/>
                <w:szCs w:val="16"/>
                <w:color w:val="auto"/>
              </w:rPr>
              <w:t>Foreign exchange gain</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(1,815)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(396)</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(4,171)</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(3,044)</w:t>
            </w:r>
          </w:p>
        </w:tc>
      </w:tr>
      <w:tr>
        <w:trPr>
          <w:trHeight w:val="253"/>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Donation of common stock</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6,933</w:t>
            </w:r>
          </w:p>
        </w:tc>
        <w:tc>
          <w:tcPr>
            <w:tcW w:w="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1,972</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6,933</w:t>
            </w:r>
          </w:p>
        </w:tc>
      </w:tr>
      <w:tr>
        <w:trPr>
          <w:trHeight w:val="233"/>
        </w:trPr>
        <w:tc>
          <w:tcPr>
            <w:tcW w:w="4700" w:type="dxa"/>
            <w:vAlign w:val="bottom"/>
          </w:tcPr>
          <w:p>
            <w:pPr>
              <w:ind w:left="120"/>
              <w:spacing w:after="0"/>
              <w:rPr>
                <w:sz w:val="20"/>
                <w:szCs w:val="20"/>
                <w:color w:val="auto"/>
              </w:rPr>
            </w:pPr>
            <w:r>
              <w:rPr>
                <w:rFonts w:ascii="Arial" w:cs="Arial" w:eastAsia="Arial" w:hAnsi="Arial"/>
                <w:sz w:val="16"/>
                <w:szCs w:val="16"/>
                <w:color w:val="auto"/>
              </w:rPr>
              <w:t>Stock-based compensation expense</w:t>
            </w: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25,745</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4,740</w:t>
            </w: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67,880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8,965</w:t>
            </w:r>
          </w:p>
        </w:tc>
      </w:tr>
      <w:tr>
        <w:trPr>
          <w:trHeight w:val="253"/>
        </w:trPr>
        <w:tc>
          <w:tcPr>
            <w:tcW w:w="47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Transaction costs</w:t>
            </w:r>
            <w:r>
              <w:rPr>
                <w:rFonts w:ascii="Arial" w:cs="Arial" w:eastAsia="Arial" w:hAnsi="Arial"/>
                <w:sz w:val="21"/>
                <w:szCs w:val="21"/>
                <w:color w:val="auto"/>
                <w:vertAlign w:val="superscript"/>
              </w:rPr>
              <w:t>(1)</w:t>
            </w:r>
          </w:p>
        </w:tc>
        <w:tc>
          <w:tcPr>
            <w:tcW w:w="22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1"/>
                <w:szCs w:val="21"/>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2,385</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237"/>
        </w:trPr>
        <w:tc>
          <w:tcPr>
            <w:tcW w:w="4700" w:type="dxa"/>
            <w:vAlign w:val="bottom"/>
          </w:tcPr>
          <w:p>
            <w:pPr>
              <w:spacing w:after="0"/>
              <w:rPr>
                <w:sz w:val="20"/>
                <w:szCs w:val="20"/>
                <w:color w:val="auto"/>
              </w:rPr>
            </w:pPr>
            <w:r>
              <w:rPr>
                <w:rFonts w:ascii="Arial" w:cs="Arial" w:eastAsia="Arial" w:hAnsi="Arial"/>
                <w:sz w:val="16"/>
                <w:szCs w:val="16"/>
                <w:color w:val="auto"/>
              </w:rPr>
              <w:t>Adjusted EBITDA</w:t>
            </w:r>
          </w:p>
        </w:tc>
        <w:tc>
          <w:tcPr>
            <w:tcW w:w="220" w:type="dxa"/>
            <w:vAlign w:val="bottom"/>
            <w:tcBorders>
              <w:top w:val="single" w:sz="8" w:color="auto"/>
              <w:bottom w:val="single" w:sz="8" w:color="auto"/>
            </w:tcBorders>
          </w:tcPr>
          <w:p>
            <w:pPr>
              <w:jc w:val="right"/>
              <w:ind w:right="64"/>
              <w:spacing w:after="0"/>
              <w:rPr>
                <w:sz w:val="20"/>
                <w:szCs w:val="20"/>
                <w:color w:val="auto"/>
              </w:rPr>
            </w:pPr>
            <w:r>
              <w:rPr>
                <w:rFonts w:ascii="Arial" w:cs="Arial" w:eastAsia="Arial" w:hAnsi="Arial"/>
                <w:sz w:val="15"/>
                <w:szCs w:val="15"/>
                <w:color w:val="auto"/>
                <w:w w:val="71"/>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(3,722)</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jc w:val="right"/>
              <w:ind w:right="184"/>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325</w:t>
            </w:r>
          </w:p>
        </w:tc>
        <w:tc>
          <w:tcPr>
            <w:tcW w:w="80" w:type="dxa"/>
            <w:vAlign w:val="bottom"/>
          </w:tcPr>
          <w:p>
            <w:pPr>
              <w:spacing w:after="0"/>
              <w:rPr>
                <w:sz w:val="20"/>
                <w:szCs w:val="20"/>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(21,111)</w:t>
            </w:r>
          </w:p>
        </w:tc>
        <w:tc>
          <w:tcPr>
            <w:tcW w:w="80" w:type="dxa"/>
            <w:vAlign w:val="bottom"/>
          </w:tcPr>
          <w:p>
            <w:pPr>
              <w:spacing w:after="0"/>
              <w:rPr>
                <w:sz w:val="20"/>
                <w:szCs w:val="20"/>
                <w:color w:val="auto"/>
              </w:rPr>
            </w:pPr>
          </w:p>
        </w:tc>
        <w:tc>
          <w:tcPr>
            <w:tcW w:w="3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(3,395)</w:t>
            </w:r>
          </w:p>
        </w:tc>
      </w:tr>
      <w:tr>
        <w:trPr>
          <w:trHeight w:val="20"/>
        </w:trPr>
        <w:tc>
          <w:tcPr>
            <w:tcW w:w="47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firstLine="332"/>
        <w:spacing w:after="0" w:line="268" w:lineRule="auto"/>
        <w:tabs>
          <w:tab w:leader="none" w:pos="456" w:val="left"/>
        </w:tabs>
        <w:numPr>
          <w:ilvl w:val="0"/>
          <w:numId w:val="23"/>
        </w:numPr>
        <w:rPr>
          <w:rFonts w:ascii="Arial" w:cs="Arial" w:eastAsia="Arial" w:hAnsi="Arial"/>
          <w:sz w:val="9"/>
          <w:szCs w:val="9"/>
          <w:color w:val="auto"/>
        </w:rPr>
      </w:pPr>
      <w:r>
        <w:rPr>
          <w:rFonts w:ascii="Arial" w:cs="Arial" w:eastAsia="Arial" w:hAnsi="Arial"/>
          <w:sz w:val="9"/>
          <w:szCs w:val="9"/>
          <w:color w:val="auto"/>
        </w:rPr>
        <w:t>Included in transaction costs above are approximately $0.5 million of expenses incurred in connection with the pending acquisition of Rewire (O.S.G) Research and Development Ltd. that were incurred in the three months ended June 30, 2022. We have determined it is not material to retrospectively reflect this amount in Adjusted EBITDA for prior periods; therefore we have included the full amount in the three months ended September 30, 2022, in order for year to date Adjusted EBITDA to appropriately reflect the full year impact of transaction expenses in accordance with our non-GAAP policy, effective as of the third quarter of 2022.</w:t>
      </w:r>
    </w:p>
    <w:p>
      <w:pPr>
        <w:spacing w:after="0" w:line="194" w:lineRule="exact"/>
        <w:rPr>
          <w:sz w:val="20"/>
          <w:szCs w:val="20"/>
          <w:color w:val="auto"/>
        </w:rPr>
      </w:pPr>
    </w:p>
    <w:p>
      <w:pPr>
        <w:ind w:right="20" w:firstLine="324"/>
        <w:spacing w:after="0" w:line="291" w:lineRule="auto"/>
        <w:rPr>
          <w:sz w:val="20"/>
          <w:szCs w:val="20"/>
          <w:color w:val="auto"/>
        </w:rPr>
      </w:pPr>
      <w:r>
        <w:rPr>
          <w:rFonts w:ascii="Arial" w:cs="Arial" w:eastAsia="Arial" w:hAnsi="Arial"/>
          <w:sz w:val="15"/>
          <w:szCs w:val="15"/>
          <w:color w:val="auto"/>
        </w:rPr>
        <w:t>Adjusted EBITDA was $(3.7) million for the three months ended September 30, 2022, compared to $0.3 million for the three months ended September 30, 2021. Adjusted EBITDA was $(21.1) million for the nine months ended September 30, 2022, compared to $(3.4) million for the nine months ended September 30, 2021. Although we have continued to experience growth, this has been offset by higher investments in headcount to support our customer acquisition growth, continued investments in our technology platform, and other general and administrative expenses to support growth initiatives and operate as a public company.</w:t>
      </w:r>
    </w:p>
    <w:p>
      <w:pPr>
        <w:spacing w:after="0" w:line="10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Sources of Liquidity and Material Future Cash Requirements</w:t>
      </w:r>
    </w:p>
    <w:p>
      <w:pPr>
        <w:spacing w:after="0" w:line="181" w:lineRule="exact"/>
        <w:rPr>
          <w:sz w:val="20"/>
          <w:szCs w:val="20"/>
          <w:color w:val="auto"/>
        </w:rPr>
      </w:pPr>
    </w:p>
    <w:p>
      <w:pPr>
        <w:ind w:firstLine="324"/>
        <w:spacing w:after="0" w:line="303" w:lineRule="auto"/>
        <w:rPr>
          <w:sz w:val="20"/>
          <w:szCs w:val="20"/>
          <w:color w:val="auto"/>
        </w:rPr>
      </w:pPr>
      <w:r>
        <w:rPr>
          <w:rFonts w:ascii="Arial" w:cs="Arial" w:eastAsia="Arial" w:hAnsi="Arial"/>
          <w:sz w:val="14"/>
          <w:szCs w:val="14"/>
          <w:color w:val="auto"/>
        </w:rPr>
        <w:t>As of September 30, 2022 and December 31, 2021, our principal sources of liquidity were cash and cash equivalents of $376.5 million and $403.3 million, respectively, as well as funds available under the New Revolving Credit Facility. We have historically financed our operations and capital expenditures primarily through cash generated from operations including transaction fees and foreign exchange spreads and sales of our redeemable convertible preferred stock. Since September 2021, we have primarily financed our operating growth and capital expenditures through the proceeds from our IPO and concurrent private placement. In addition, in September 2021, we entered into our $250.0 million New Revolving Credit Facility; however, we have not yet borrowed against this credit facility, given the cash we have on hand to fund operations, other than utilizing the letter of credit sub-facility, on an as needed basis. As of September 30, 2022, we have unused borrowing capacity of $230.8 million.</w:t>
      </w:r>
    </w:p>
    <w:p>
      <w:pPr>
        <w:spacing w:after="0" w:line="103" w:lineRule="exact"/>
        <w:rPr>
          <w:sz w:val="20"/>
          <w:szCs w:val="20"/>
          <w:color w:val="auto"/>
        </w:rPr>
      </w:pPr>
    </w:p>
    <w:p>
      <w:pPr>
        <w:ind w:right="40" w:firstLine="324"/>
        <w:spacing w:after="0" w:line="296" w:lineRule="auto"/>
        <w:rPr>
          <w:sz w:val="20"/>
          <w:szCs w:val="20"/>
          <w:color w:val="auto"/>
        </w:rPr>
      </w:pPr>
      <w:r>
        <w:rPr>
          <w:rFonts w:ascii="Arial" w:cs="Arial" w:eastAsia="Arial" w:hAnsi="Arial"/>
          <w:sz w:val="14"/>
          <w:szCs w:val="14"/>
          <w:color w:val="auto"/>
        </w:rPr>
        <w:t>We believe that our cash, cash equivalents, and funds available under the New Revolving Credit Facility will be sufficient to meet our working capital requirements for at least the next twelve months. Our material cash requirements include funds to support current and potential operating activities, capital expenditures, and other commitments, and could include other uses of cash, such as strategic investments. In addition, in the three months ended September 30, 2022 we entered into an agreement to acquire Rewire (as defined herein) for approximately $80 million of aggregate consideration, of which the majority is expected to be settled in cash. Our future capital requirements will depend on many factors, including our rate of revenue growth, the expansion of our sales and marketing activities, the timing and extent of expansion into new corridors, and the timing of introductions of new products and enhancements of existing products. Furthermore, certain jurisdictions where we operate require us to hold eligible liquid assets, based on regulatory or legal requirements, equal to the aggregate amount of all customer balances. In addition, as discussed elsewhere in this Quarterly Report on Form 10-Q, we expect that our operating expenses may continue to increase to support the continued growth of our business, including increased investments in our technology to support product improvements, new product development, and geographic expansion, as well as ongoing operating costs as a public company. We also routinely enter into marketing and advertising contracts, as well as software and other service arrangements, that can include minimum purchase quantities, requiring us to utilize cash on hand to fulfill these amounts. Refer to “Contractual Obligations and Commitments” discussed further below.</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4" w:right="359" w:bottom="1440" w:gutter="0" w:footer="0" w:header="0"/>
        </w:sectPr>
      </w:pPr>
    </w:p>
    <w:bookmarkStart w:id="33" w:name="page34"/>
    <w:bookmarkEnd w:id="33"/>
    <w:p>
      <w:pPr>
        <w:ind w:right="20" w:firstLine="324"/>
        <w:spacing w:after="0" w:line="284" w:lineRule="auto"/>
        <w:rPr>
          <w:sz w:val="20"/>
          <w:szCs w:val="20"/>
          <w:color w:val="auto"/>
        </w:rPr>
      </w:pPr>
      <w:r>
        <w:rPr>
          <w:rFonts w:ascii="Arial" w:cs="Arial" w:eastAsia="Arial" w:hAnsi="Arial"/>
          <w:sz w:val="15"/>
          <w:szCs w:val="15"/>
          <w:color w:val="auto"/>
        </w:rPr>
        <w:t>In the future, we may also attempt to raise additional capital through the sale of equity securities or through equity-linked securities, and the ownership of our existing stockholders would be diluted. In addition, if we raise additional financing by incurring additional indebtedness, we may be subject to increased fixed payment obligations and could also be subject to additional restrictive covenants, such as limitations on our ability to incur additional debt, and other operating restrictions that could adversely impact our ability to conduct our business. Any future indebtedness we incur may result in terms that are unfavorable to equity investors. There can be no assurances that we will be able to raise additional capital. The inability to raise capital would adversely affect our ability to achieve our business objectives.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shows a summary of our cash flows for the periods presented: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900" w:type="dxa"/>
            <w:vAlign w:val="bottom"/>
            <w:gridSpan w:val="4"/>
          </w:tcPr>
          <w:p>
            <w:pPr>
              <w:jc w:val="right"/>
              <w:ind w:right="461"/>
              <w:spacing w:after="0"/>
              <w:rPr>
                <w:sz w:val="20"/>
                <w:szCs w:val="20"/>
                <w:color w:val="auto"/>
              </w:rPr>
            </w:pPr>
            <w:r>
              <w:rPr>
                <w:rFonts w:ascii="Arial" w:cs="Arial" w:eastAsia="Arial" w:hAnsi="Arial"/>
                <w:sz w:val="14"/>
                <w:szCs w:val="14"/>
                <w:b w:val="1"/>
                <w:bCs w:val="1"/>
                <w:color w:val="auto"/>
              </w:rPr>
              <w:t>Nine Months Ended September 30,</w:t>
            </w:r>
          </w:p>
        </w:tc>
      </w:tr>
      <w:tr>
        <w:trPr>
          <w:trHeight w:val="39"/>
        </w:trPr>
        <w:tc>
          <w:tcPr>
            <w:tcW w:w="802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184"/>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6"/>
                <w:szCs w:val="16"/>
                <w:color w:val="auto"/>
              </w:rPr>
            </w:pPr>
          </w:p>
        </w:tc>
        <w:tc>
          <w:tcPr>
            <w:tcW w:w="1260" w:type="dxa"/>
            <w:vAlign w:val="bottom"/>
          </w:tcPr>
          <w:p>
            <w:pPr>
              <w:jc w:val="right"/>
              <w:ind w:right="563"/>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0" w:type="dxa"/>
            <w:vAlign w:val="bottom"/>
          </w:tcPr>
          <w:p>
            <w:pPr>
              <w:jc w:val="right"/>
              <w:ind w:right="561"/>
              <w:spacing w:after="0"/>
              <w:rPr>
                <w:sz w:val="20"/>
                <w:szCs w:val="20"/>
                <w:color w:val="auto"/>
              </w:rPr>
            </w:pPr>
            <w:r>
              <w:rPr>
                <w:rFonts w:ascii="Arial" w:cs="Arial" w:eastAsia="Arial" w:hAnsi="Arial"/>
                <w:sz w:val="14"/>
                <w:szCs w:val="14"/>
                <w:b w:val="1"/>
                <w:bCs w:val="1"/>
                <w:color w:val="auto"/>
              </w:rPr>
              <w:t>2021</w:t>
            </w:r>
          </w:p>
        </w:tc>
      </w:tr>
      <w:tr>
        <w:trPr>
          <w:trHeight w:val="39"/>
        </w:trPr>
        <w:tc>
          <w:tcPr>
            <w:tcW w:w="802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(used in):</w:t>
            </w:r>
          </w:p>
        </w:tc>
        <w:tc>
          <w:tcPr>
            <w:tcW w:w="32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r>
      <w:tr>
        <w:trPr>
          <w:trHeight w:val="233"/>
        </w:trPr>
        <w:tc>
          <w:tcPr>
            <w:tcW w:w="8020" w:type="dxa"/>
            <w:vAlign w:val="bottom"/>
          </w:tcPr>
          <w:p>
            <w:pPr>
              <w:ind w:left="240"/>
              <w:spacing w:after="0"/>
              <w:rPr>
                <w:sz w:val="20"/>
                <w:szCs w:val="20"/>
                <w:color w:val="auto"/>
              </w:rPr>
            </w:pPr>
            <w:r>
              <w:rPr>
                <w:rFonts w:ascii="Arial" w:cs="Arial" w:eastAsia="Arial" w:hAnsi="Arial"/>
                <w:sz w:val="16"/>
                <w:szCs w:val="16"/>
                <w:color w:val="auto"/>
              </w:rPr>
              <w:t>Operating activities</w:t>
            </w: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(27,789)</w:t>
            </w:r>
          </w:p>
        </w:tc>
        <w:tc>
          <w:tcPr>
            <w:tcW w:w="80" w:type="dxa"/>
            <w:vAlign w:val="bottom"/>
          </w:tcPr>
          <w:p>
            <w:pPr>
              <w:spacing w:after="0"/>
              <w:rPr>
                <w:sz w:val="20"/>
                <w:szCs w:val="20"/>
                <w:color w:val="auto"/>
              </w:rPr>
            </w:pP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19,425</w:t>
            </w:r>
          </w:p>
        </w:tc>
      </w:tr>
      <w:tr>
        <w:trPr>
          <w:trHeight w:val="253"/>
        </w:trPr>
        <w:tc>
          <w:tcPr>
            <w:tcW w:w="8020" w:type="dxa"/>
            <w:vAlign w:val="bottom"/>
            <w:shd w:val="clear" w:color="auto" w:fill="CCEEFF"/>
          </w:tcPr>
          <w:p>
            <w:pPr>
              <w:ind w:left="240"/>
              <w:spacing w:after="0"/>
              <w:rPr>
                <w:sz w:val="20"/>
                <w:szCs w:val="20"/>
                <w:color w:val="auto"/>
              </w:rPr>
            </w:pPr>
            <w:r>
              <w:rPr>
                <w:rFonts w:ascii="Arial" w:cs="Arial" w:eastAsia="Arial" w:hAnsi="Arial"/>
                <w:sz w:val="16"/>
                <w:szCs w:val="16"/>
                <w:color w:val="auto"/>
              </w:rPr>
              <w:t>Investing activities</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(5,016)</w:t>
            </w:r>
          </w:p>
        </w:tc>
        <w:tc>
          <w:tcPr>
            <w:tcW w:w="8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(3,288)</w:t>
            </w:r>
          </w:p>
        </w:tc>
      </w:tr>
      <w:tr>
        <w:trPr>
          <w:trHeight w:val="223"/>
        </w:trPr>
        <w:tc>
          <w:tcPr>
            <w:tcW w:w="8020" w:type="dxa"/>
            <w:vAlign w:val="bottom"/>
          </w:tcPr>
          <w:p>
            <w:pPr>
              <w:ind w:left="240"/>
              <w:spacing w:after="0"/>
              <w:rPr>
                <w:sz w:val="20"/>
                <w:szCs w:val="20"/>
                <w:color w:val="auto"/>
              </w:rPr>
            </w:pPr>
            <w:r>
              <w:rPr>
                <w:rFonts w:ascii="Arial" w:cs="Arial" w:eastAsia="Arial" w:hAnsi="Arial"/>
                <w:sz w:val="16"/>
                <w:szCs w:val="16"/>
                <w:color w:val="auto"/>
              </w:rPr>
              <w:t>Financing activities</w:t>
            </w:r>
          </w:p>
        </w:tc>
        <w:tc>
          <w:tcPr>
            <w:tcW w:w="320" w:type="dxa"/>
            <w:vAlign w:val="bottom"/>
          </w:tcPr>
          <w:p>
            <w:pPr>
              <w:spacing w:after="0"/>
              <w:rPr>
                <w:sz w:val="19"/>
                <w:szCs w:val="19"/>
                <w:color w:val="auto"/>
              </w:rPr>
            </w:pPr>
          </w:p>
        </w:tc>
        <w:tc>
          <w:tcPr>
            <w:tcW w:w="1260" w:type="dxa"/>
            <w:vAlign w:val="bottom"/>
          </w:tcPr>
          <w:p>
            <w:pPr>
              <w:jc w:val="right"/>
              <w:ind w:right="3"/>
              <w:spacing w:after="0"/>
              <w:rPr>
                <w:sz w:val="20"/>
                <w:szCs w:val="20"/>
                <w:color w:val="auto"/>
              </w:rPr>
            </w:pPr>
            <w:r>
              <w:rPr>
                <w:rFonts w:ascii="Arial" w:cs="Arial" w:eastAsia="Arial" w:hAnsi="Arial"/>
                <w:sz w:val="16"/>
                <w:szCs w:val="16"/>
                <w:color w:val="auto"/>
              </w:rPr>
              <w:t>8,190</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239,665</w:t>
            </w:r>
          </w:p>
        </w:tc>
      </w:tr>
    </w:tbl>
    <w:p>
      <w:pPr>
        <w:spacing w:after="0" w:line="266"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Cash Flows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Operating Activities</w:t>
      </w:r>
    </w:p>
    <w:p>
      <w:pPr>
        <w:spacing w:after="0" w:line="181" w:lineRule="exact"/>
        <w:rPr>
          <w:sz w:val="20"/>
          <w:szCs w:val="20"/>
          <w:color w:val="auto"/>
        </w:rPr>
      </w:pPr>
    </w:p>
    <w:p>
      <w:pPr>
        <w:ind w:right="20" w:firstLine="324"/>
        <w:spacing w:after="0" w:line="299" w:lineRule="auto"/>
        <w:rPr>
          <w:sz w:val="20"/>
          <w:szCs w:val="20"/>
          <w:color w:val="auto"/>
        </w:rPr>
      </w:pPr>
      <w:r>
        <w:rPr>
          <w:rFonts w:ascii="Arial" w:cs="Arial" w:eastAsia="Arial" w:hAnsi="Arial"/>
          <w:sz w:val="14"/>
          <w:szCs w:val="14"/>
          <w:color w:val="auto"/>
        </w:rPr>
        <w:t>Our main sources of operating cash are transaction fees charged to customers and foreign exchange spreads on transactions. Our primary uses of cash from operating activities have been for advertising expenses used to attract new customers, transaction expenses that include fees paid to payment processors and disbursement partners, personnel-related expenses, technology, and other general corporate expenditures. Our changes in operating cash flows, are heavily impacted by the timing of customer transactions and in particular, the day of the week that the quarter end falls on, including holidays and long weekends. For example we generally have higher prefunding amounts if the quarter closes on a weekend or in advance of a long weekend, such as a holiday, which creates variability in customer transaction related balances period over period. These balances in our Condensed Consolidated Statement of Cash Flows include disbursement prefunding, customer funds receivable, customer liabilities, and book overdrafts and disbursement postfunding liabilities, which are included within the line item: accrued expenses and other liabilities.</w:t>
      </w:r>
    </w:p>
    <w:p>
      <w:pPr>
        <w:spacing w:after="0" w:line="122" w:lineRule="exact"/>
        <w:rPr>
          <w:sz w:val="20"/>
          <w:szCs w:val="20"/>
          <w:color w:val="auto"/>
        </w:rPr>
      </w:pPr>
    </w:p>
    <w:p>
      <w:pPr>
        <w:ind w:right="60" w:firstLine="324"/>
        <w:spacing w:after="0" w:line="257" w:lineRule="auto"/>
        <w:rPr>
          <w:sz w:val="20"/>
          <w:szCs w:val="20"/>
          <w:color w:val="auto"/>
        </w:rPr>
      </w:pPr>
      <w:r>
        <w:rPr>
          <w:rFonts w:ascii="Arial" w:cs="Arial" w:eastAsia="Arial" w:hAnsi="Arial"/>
          <w:sz w:val="16"/>
          <w:szCs w:val="16"/>
          <w:color w:val="auto"/>
        </w:rPr>
        <w:t>For the nine months ended September 30, 2022, net cash used in operating activities was $27.8 million, which primarily consisted of unfavorable changes in our operating assets and liabilities of $8.2 million, and net loss of $94.6 million, partially offset by $75.0 million of noncash charges included within net loss for the period. The primary driver for the unfavorable change in operating assets and liabilities was due to the overall growth in our business and the timing of funding customer transactions, including an increase in customer funds receivable of $52.5 million partially offset by an increase in customer liabilities of $36.8 million and changes in the timing of other operating assets and liabilities. As compared to the nine months ended September 30, 2021, the unfavorable change in our customer transaction related balances is primarily due to the timing of funding of our customer transactions, as the quarter ended on a Friday prior to a high funding weekend, compared to the same date in prior year, which ended during the week.</w:t>
      </w:r>
    </w:p>
    <w:p>
      <w:pPr>
        <w:spacing w:after="0" w:line="133" w:lineRule="exact"/>
        <w:rPr>
          <w:sz w:val="20"/>
          <w:szCs w:val="20"/>
          <w:color w:val="auto"/>
        </w:rPr>
      </w:pPr>
    </w:p>
    <w:p>
      <w:pPr>
        <w:ind w:right="200" w:firstLine="324"/>
        <w:spacing w:after="0" w:line="310" w:lineRule="auto"/>
        <w:rPr>
          <w:sz w:val="20"/>
          <w:szCs w:val="20"/>
          <w:color w:val="auto"/>
        </w:rPr>
      </w:pPr>
      <w:r>
        <w:rPr>
          <w:rFonts w:ascii="Arial" w:cs="Arial" w:eastAsia="Arial" w:hAnsi="Arial"/>
          <w:sz w:val="14"/>
          <w:szCs w:val="14"/>
          <w:color w:val="auto"/>
        </w:rPr>
        <w:t>For the nine months ended September 30, 2021, net cash provided by operating activities was $19.4 million, which primarily consisted of favorable changes in our operating assets and liabilities of $21.5 million offset by net loss of $22.2 million, excluding approximately $20.1 million of non-cash charges included within net loss for the period. The main drivers for the change in operating assets and liabilities were an increase in customer liabilities of $50.3 million due to growth in our business and timing of disbursements, offset by an increase in customer receivables of $29.1 million in line with the growth in our business, and timing of cash settlement.</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Investing Activities</w:t>
      </w:r>
    </w:p>
    <w:p>
      <w:pPr>
        <w:spacing w:after="0" w:line="167"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Cash used in investing activities consists primarily of purchases of property and equipment, capitalization of internal-use software, and cash paid for acquisitions of businesses.</w:t>
      </w:r>
    </w:p>
    <w:p>
      <w:pPr>
        <w:spacing w:after="0" w:line="104" w:lineRule="exact"/>
        <w:rPr>
          <w:sz w:val="20"/>
          <w:szCs w:val="20"/>
          <w:color w:val="auto"/>
        </w:rPr>
      </w:pPr>
    </w:p>
    <w:p>
      <w:pPr>
        <w:ind w:right="440" w:firstLine="324"/>
        <w:spacing w:after="0" w:line="275" w:lineRule="auto"/>
        <w:rPr>
          <w:sz w:val="20"/>
          <w:szCs w:val="20"/>
          <w:color w:val="auto"/>
        </w:rPr>
      </w:pPr>
      <w:r>
        <w:rPr>
          <w:rFonts w:ascii="Arial" w:cs="Arial" w:eastAsia="Arial" w:hAnsi="Arial"/>
          <w:sz w:val="16"/>
          <w:szCs w:val="16"/>
          <w:color w:val="auto"/>
        </w:rPr>
        <w:t>Net cash used in investing activities was $5.0 million for the nine months ended September 30, 2022, primarily related to purchases of property and equipment to support the increase in headcount, capitalization of internal use software costs and the acquisition of a business.</w:t>
      </w:r>
    </w:p>
    <w:p>
      <w:pPr>
        <w:spacing w:after="0" w:line="132" w:lineRule="exact"/>
        <w:rPr>
          <w:sz w:val="20"/>
          <w:szCs w:val="20"/>
          <w:color w:val="auto"/>
        </w:rPr>
      </w:pPr>
    </w:p>
    <w:p>
      <w:pPr>
        <w:ind w:right="440" w:firstLine="324"/>
        <w:spacing w:after="0" w:line="275" w:lineRule="auto"/>
        <w:rPr>
          <w:sz w:val="20"/>
          <w:szCs w:val="20"/>
          <w:color w:val="auto"/>
        </w:rPr>
      </w:pPr>
      <w:r>
        <w:rPr>
          <w:rFonts w:ascii="Arial" w:cs="Arial" w:eastAsia="Arial" w:hAnsi="Arial"/>
          <w:sz w:val="16"/>
          <w:szCs w:val="16"/>
          <w:color w:val="auto"/>
        </w:rPr>
        <w:t>Net cash used in investing activities was $3.3 million for the nine months ended September 30, 2021, primarily related to purchases of property and equipment to support the increase in headcount, and capitalization of internal use software costs.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Financing Activities</w:t>
      </w:r>
    </w:p>
    <w:p>
      <w:pPr>
        <w:spacing w:after="0" w:line="167" w:lineRule="exact"/>
        <w:rPr>
          <w:sz w:val="20"/>
          <w:szCs w:val="20"/>
          <w:color w:val="auto"/>
        </w:rPr>
      </w:pPr>
    </w:p>
    <w:p>
      <w:pPr>
        <w:jc w:val="both"/>
        <w:ind w:right="40" w:firstLine="324"/>
        <w:spacing w:after="0" w:line="269" w:lineRule="auto"/>
        <w:rPr>
          <w:sz w:val="20"/>
          <w:szCs w:val="20"/>
          <w:color w:val="auto"/>
        </w:rPr>
      </w:pPr>
      <w:r>
        <w:rPr>
          <w:rFonts w:ascii="Arial" w:cs="Arial" w:eastAsia="Arial" w:hAnsi="Arial"/>
          <w:sz w:val="16"/>
          <w:szCs w:val="16"/>
          <w:color w:val="auto"/>
        </w:rPr>
        <w:t>Cash provided by financing activities consists primarily of proceeds from the exercise of stock options, offset by repayments of our revolving credit facility borrowings and payment of debt issuance costs. Cash provided by financing activities also historically consisted of proceeds from our IPO and concurrent private placement, as well as previous issuances of redeemable convertible preferred stock.</w:t>
      </w:r>
    </w:p>
    <w:p>
      <w:pPr>
        <w:spacing w:after="0" w:line="124"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color w:val="auto"/>
        </w:rPr>
        <w:t>Net cash provided by financing activities for the nine months ended September 30, 2022 of $8.2 million was primarily driven by proceeds from the exercise of stock options of $8.2 million.</w:t>
      </w:r>
    </w:p>
    <w:p>
      <w:pPr>
        <w:sectPr>
          <w:pgSz w:w="11900" w:h="16838" w:orient="portrait"/>
          <w:cols w:equalWidth="0" w:num="1">
            <w:col w:w="11240"/>
          </w:cols>
          <w:pgMar w:left="320" w:top="1264"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182880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type w:val="continuous"/>
        </w:sectPr>
      </w:pPr>
    </w:p>
    <w:bookmarkStart w:id="34" w:name="page35"/>
    <w:bookmarkEnd w:id="34"/>
    <w:p>
      <w:pPr>
        <w:ind w:right="140" w:firstLine="324"/>
        <w:spacing w:after="0" w:line="260" w:lineRule="auto"/>
        <w:rPr>
          <w:sz w:val="20"/>
          <w:szCs w:val="20"/>
          <w:color w:val="auto"/>
        </w:rPr>
      </w:pPr>
      <w:r>
        <w:rPr>
          <w:rFonts w:ascii="Arial" w:cs="Arial" w:eastAsia="Arial" w:hAnsi="Arial"/>
          <w:sz w:val="16"/>
          <w:szCs w:val="16"/>
          <w:color w:val="auto"/>
        </w:rPr>
        <w:t xml:space="preserve">Net cash provided by financing activities for the nine months ended September 30, 2021 of $239.7 million was primarily driven by proceeds from the issuance of common stock upon our IPO and concurrent private placement, net of underwriting discounts and commissions and other offering costs of $307.1 million, which excludes $1.9 million of offering costs not yet paid as of September 30, 2021. These proceeds were partially offset by repayments of our Revolving Credit Facility borrowings of $80.0 million and payments of debt issuance costs of </w:t>
      </w:r>
      <w:r>
        <w:rPr>
          <w:rFonts w:ascii="Arial" w:cs="Arial" w:eastAsia="Arial" w:hAnsi="Arial"/>
          <w:sz w:val="17"/>
          <w:szCs w:val="17"/>
          <w:color w:val="auto"/>
        </w:rPr>
        <w:t>$1.0 million</w:t>
      </w:r>
      <w:r>
        <w:rPr>
          <w:rFonts w:ascii="Arial" w:cs="Arial" w:eastAsia="Arial" w:hAnsi="Arial"/>
          <w:sz w:val="16"/>
          <w:szCs w:val="16"/>
          <w:color w:val="auto"/>
        </w:rPr>
        <w:t xml:space="preserve">. Other financing sources in the nine months ended September 30, 2021 included proceeds from the exercise of stock options of $7.5 million, the repayment of a non-recourse promissory note of </w:t>
      </w:r>
      <w:r>
        <w:rPr>
          <w:rFonts w:ascii="Arial" w:cs="Arial" w:eastAsia="Arial" w:hAnsi="Arial"/>
          <w:sz w:val="17"/>
          <w:szCs w:val="17"/>
          <w:color w:val="auto"/>
        </w:rPr>
        <w:t>$3.1 million</w:t>
      </w:r>
      <w:r>
        <w:rPr>
          <w:rFonts w:ascii="Arial" w:cs="Arial" w:eastAsia="Arial" w:hAnsi="Arial"/>
          <w:sz w:val="16"/>
          <w:szCs w:val="16"/>
          <w:color w:val="auto"/>
        </w:rPr>
        <w:t>, and the issuance of Series F redeemable convertible preferred stock, net of issuance costs of $2.9 million.</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Commitments</w:t>
      </w:r>
    </w:p>
    <w:p>
      <w:pPr>
        <w:spacing w:after="0" w:line="171" w:lineRule="exact"/>
        <w:rPr>
          <w:sz w:val="20"/>
          <w:szCs w:val="20"/>
          <w:color w:val="auto"/>
        </w:rPr>
      </w:pPr>
    </w:p>
    <w:p>
      <w:pPr>
        <w:ind w:firstLine="324"/>
        <w:spacing w:after="0" w:line="258" w:lineRule="auto"/>
        <w:rPr>
          <w:sz w:val="20"/>
          <w:szCs w:val="20"/>
          <w:color w:val="auto"/>
        </w:rPr>
      </w:pPr>
      <w:r>
        <w:rPr>
          <w:rFonts w:ascii="Arial" w:cs="Arial" w:eastAsia="Arial" w:hAnsi="Arial"/>
          <w:sz w:val="16"/>
          <w:szCs w:val="16"/>
          <w:color w:val="auto"/>
        </w:rPr>
        <w:t>Our principal commitments consist of standby letters of credits, long-term leases, and other purchase commitments entered into in the normal course of business. In addition, we routinely enter into marketing and advertising contracts, as well as software or other service arrangements, that contractually obligate us to purchase services in the near term, including minimum service quantities, unless we give notice of cancellation based on the applicable terms of the agreements. Most contracts are typically cancelable within a period of less than one year. As of September 30, 2022, we had approximately $7.0 million in total purchase commitments under these arrangements, of which approximately $3.0 million is cancellable within 90 days of the date of this Quarterly Report on Form 10-Q. The remaining amount includes one multi-year commitment through 2023. Changes in our business needs, contractual cancellation provisions, fluctuating interest rates, and other factors may result in actual payments differing from the estimates. We cannot provide certainty regarding the timing and amounts of these payments. In addition, we have entered into the following commitments during 2022:</w:t>
      </w:r>
    </w:p>
    <w:p>
      <w:pPr>
        <w:spacing w:after="0" w:line="132" w:lineRule="exact"/>
        <w:rPr>
          <w:sz w:val="20"/>
          <w:szCs w:val="20"/>
          <w:color w:val="auto"/>
        </w:rPr>
      </w:pPr>
    </w:p>
    <w:p>
      <w:pPr>
        <w:ind w:left="660" w:right="20" w:hanging="328"/>
        <w:spacing w:after="0" w:line="256" w:lineRule="auto"/>
        <w:tabs>
          <w:tab w:leader="none" w:pos="649"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August 15, 2022, we entered into a definitive agreement pursuant to which we, through a newly formed merger subsidiary, will acquire the outstanding equity interests of Rewire (O.S.G) Research and Development Ltd., a company organized under the laws of the State of Israel (“Rewire”). Pursuant to the terms and conditions set forth in the agreement, Rewire’s selling shareholders will receive approximately $80 million of aggregate consideration in exchange for their outstanding equity interests in Rewire, subject to customary purchase price adjustments. The aggregate purchase consideration will be settled in a combination of cash and Company stock. Some portion of the equity consideration will be recognized as share-based compensation expense, as it requires a future service period. The closing of the transaction is subject to customary closing conditions, including, among other things, (i) the receipt of regulatory approvals from Dutch Central Bank (De Nederlandsche Bank) and the Capital Market Insurance and Saving Authority in Israel, (ii) the accuracy of certain representations and warranties made by the other party in the agreement (subject to certain materiality exceptions) and (iii) the other party’s material compliance with its covenants set forth in the agreement.</w:t>
      </w:r>
    </w:p>
    <w:p>
      <w:pPr>
        <w:spacing w:after="0" w:line="150" w:lineRule="exact"/>
        <w:rPr>
          <w:rFonts w:ascii="Arial" w:cs="Arial" w:eastAsia="Arial" w:hAnsi="Arial"/>
          <w:sz w:val="16"/>
          <w:szCs w:val="16"/>
          <w:color w:val="auto"/>
        </w:rPr>
      </w:pPr>
    </w:p>
    <w:p>
      <w:pPr>
        <w:ind w:left="660" w:right="20" w:hanging="328"/>
        <w:spacing w:after="0" w:line="303" w:lineRule="auto"/>
        <w:tabs>
          <w:tab w:leader="none" w:pos="649"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On May 4, 2022, the Company amended and renewed the lease for its corporate headquarters in Seattle, Washington. In addition, during 2022, the Company amended certain of its existing lease agreements to accommodate additional space needed for its workforce, as a result of the Company’s continued growth, which included entering into a new multi-year lease agreement in Ireland. These leases commenced, or will commence, in various months during 2022 and expire between 2023 and 2025. Total incremental estimated cash payments that will be made over the course of these lease agreements total approximately $10 million. These leases have been recorded in accordance with ASC 842, </w:t>
      </w:r>
      <w:r>
        <w:rPr>
          <w:rFonts w:ascii="Arial" w:cs="Arial" w:eastAsia="Arial" w:hAnsi="Arial"/>
          <w:sz w:val="14"/>
          <w:szCs w:val="14"/>
          <w:i w:val="1"/>
          <w:iCs w:val="1"/>
          <w:color w:val="auto"/>
        </w:rPr>
        <w:t>Leases,</w:t>
      </w:r>
      <w:r>
        <w:rPr>
          <w:rFonts w:ascii="Arial" w:cs="Arial" w:eastAsia="Arial" w:hAnsi="Arial"/>
          <w:sz w:val="14"/>
          <w:szCs w:val="14"/>
          <w:color w:val="auto"/>
        </w:rPr>
        <w:t xml:space="preserve"> on the Company’s Condensed Consolidated Balance Sheets as of September 30, 2022.</w:t>
      </w:r>
    </w:p>
    <w:p>
      <w:pPr>
        <w:spacing w:after="0" w:line="118" w:lineRule="exact"/>
        <w:rPr>
          <w:sz w:val="20"/>
          <w:szCs w:val="20"/>
          <w:color w:val="auto"/>
        </w:rPr>
      </w:pPr>
    </w:p>
    <w:p>
      <w:pPr>
        <w:jc w:val="both"/>
        <w:ind w:right="120" w:firstLine="324"/>
        <w:spacing w:after="0" w:line="262" w:lineRule="auto"/>
        <w:rPr>
          <w:sz w:val="20"/>
          <w:szCs w:val="20"/>
          <w:color w:val="auto"/>
        </w:rPr>
      </w:pPr>
      <w:r>
        <w:rPr>
          <w:rFonts w:ascii="Arial" w:cs="Arial" w:eastAsia="Arial" w:hAnsi="Arial"/>
          <w:sz w:val="16"/>
          <w:szCs w:val="16"/>
          <w:color w:val="auto"/>
        </w:rPr>
        <w:t>During the nine months ended September 30, 2022, there were no other material changes outside of the ordinary course of business to the contractual obligations and contingencies as disclosed in “Management’s Discussion and Analysis of Financial Condition and Results of Operations” set forth in our Annual Report on Form 10-K for the year ended December 31, 2021. For further discussion of commitments and contingencies, also refer to Note 14. “Commitments and Contingencies” to our Condensed Consolidated Financial Statements included in Part I, Item 1 of this Quarterly Report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Off-Balance Sheet Arrangements</w:t>
      </w:r>
    </w:p>
    <w:p>
      <w:pPr>
        <w:spacing w:after="0" w:line="185" w:lineRule="exact"/>
        <w:rPr>
          <w:sz w:val="20"/>
          <w:szCs w:val="20"/>
          <w:color w:val="auto"/>
        </w:rPr>
      </w:pPr>
    </w:p>
    <w:p>
      <w:pPr>
        <w:ind w:right="200" w:firstLine="324"/>
        <w:spacing w:after="0" w:line="275" w:lineRule="auto"/>
        <w:rPr>
          <w:sz w:val="20"/>
          <w:szCs w:val="20"/>
          <w:color w:val="auto"/>
        </w:rPr>
      </w:pPr>
      <w:r>
        <w:rPr>
          <w:rFonts w:ascii="Arial" w:cs="Arial" w:eastAsia="Arial" w:hAnsi="Arial"/>
          <w:sz w:val="16"/>
          <w:szCs w:val="16"/>
          <w:color w:val="auto"/>
        </w:rPr>
        <w:t>As of September 30, 2022, we had no off-balance sheet arrangements that have, or are reasonably likely to have, a current or future material effect on our condensed consolidated financial condition, results of operations, liquidity, capital expenditures, or capital resources.</w:t>
      </w:r>
    </w:p>
    <w:p>
      <w:pPr>
        <w:spacing w:after="0" w:line="11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 and Estimates</w:t>
      </w:r>
    </w:p>
    <w:p>
      <w:pPr>
        <w:spacing w:after="0" w:line="185" w:lineRule="exact"/>
        <w:rPr>
          <w:sz w:val="20"/>
          <w:szCs w:val="20"/>
          <w:color w:val="auto"/>
        </w:rPr>
      </w:pPr>
    </w:p>
    <w:p>
      <w:pPr>
        <w:ind w:right="140" w:firstLine="324"/>
        <w:spacing w:after="0" w:line="303" w:lineRule="auto"/>
        <w:rPr>
          <w:sz w:val="20"/>
          <w:szCs w:val="20"/>
          <w:color w:val="auto"/>
        </w:rPr>
      </w:pPr>
      <w:r>
        <w:rPr>
          <w:rFonts w:ascii="Arial" w:cs="Arial" w:eastAsia="Arial" w:hAnsi="Arial"/>
          <w:sz w:val="14"/>
          <w:szCs w:val="14"/>
          <w:color w:val="auto"/>
        </w:rPr>
        <w:t>The Company’s Condensed Consolidated Financial Statements and accompanying notes included in this Quarterly Report on Form 10-Q are prepared in accordance with GAAP. The preparation of these Condensed Consolidated Financial Statements requires management to make estimates, judgments and assumptions that affect the reported amounts of assets, liabilities, revenue and expenses, and related disclosures. The Company’s estimates are based on historical experience and on various other factors that it believes are reasonable under the circumstances. Actual results may differ significantly from the estimates made by management. To the extent that there are differences between our estimates and actual results, our future financial statement presentation, financial condition, results of operations, and cash flows will be affected.</w:t>
      </w:r>
    </w:p>
    <w:p>
      <w:pPr>
        <w:spacing w:after="0" w:line="118" w:lineRule="exact"/>
        <w:rPr>
          <w:sz w:val="20"/>
          <w:szCs w:val="20"/>
          <w:color w:val="auto"/>
        </w:rPr>
      </w:pPr>
    </w:p>
    <w:p>
      <w:pPr>
        <w:ind w:right="260" w:firstLine="324"/>
        <w:spacing w:after="0" w:line="310" w:lineRule="auto"/>
        <w:rPr>
          <w:sz w:val="20"/>
          <w:szCs w:val="20"/>
          <w:color w:val="auto"/>
        </w:rPr>
      </w:pPr>
      <w:r>
        <w:rPr>
          <w:rFonts w:ascii="Arial" w:cs="Arial" w:eastAsia="Arial" w:hAnsi="Arial"/>
          <w:sz w:val="15"/>
          <w:szCs w:val="15"/>
          <w:color w:val="auto"/>
        </w:rPr>
        <w:t>There have been no material changes to the Company’s critical accounting policies and estimates as compared to those described in “Management’s Discussion and Analysis of Financial Condition and Results of Operations” set forth in our Annual Report on Form 10-K for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64" w:right="37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color w:val="auto"/>
        </w:rPr>
        <w:t>Recently Issued Accounting Pronouncements</w:t>
      </w:r>
    </w:p>
    <w:p>
      <w:pPr>
        <w:spacing w:after="0" w:line="171"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color w:val="auto"/>
        </w:rPr>
        <w:t>See Note 2, “Basis of Presentation and Summary of Significant Accounting Policies,” in the notes to the Company’s Condensed Consolidated Financial Statements included in Part I, Item 1 of this Quarterly Report on Form 10-Q for a discussion of recent accounting pronouncements.</w:t>
      </w:r>
    </w:p>
    <w:p>
      <w:pPr>
        <w:spacing w:after="0" w:line="1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JOBS Act</w:t>
      </w:r>
    </w:p>
    <w:p>
      <w:pPr>
        <w:spacing w:after="0" w:line="185" w:lineRule="exact"/>
        <w:rPr>
          <w:sz w:val="20"/>
          <w:szCs w:val="20"/>
          <w:color w:val="auto"/>
        </w:rPr>
      </w:pPr>
    </w:p>
    <w:p>
      <w:pPr>
        <w:ind w:right="20" w:firstLine="324"/>
        <w:spacing w:after="0" w:line="275" w:lineRule="auto"/>
        <w:rPr>
          <w:sz w:val="20"/>
          <w:szCs w:val="20"/>
          <w:color w:val="auto"/>
        </w:rPr>
      </w:pPr>
      <w:r>
        <w:rPr>
          <w:rFonts w:ascii="Arial" w:cs="Arial" w:eastAsia="Arial" w:hAnsi="Arial"/>
          <w:sz w:val="15"/>
          <w:szCs w:val="15"/>
          <w:color w:val="auto"/>
        </w:rPr>
        <w:t>We are an “emerging growth company,” as defined in the Jumpstart Our Business Startups (the “JOBS Act”). The JOBS Act provides that an emerging growth company can take advantage of an extended transition period for complying with new or revised accounting standards. Under the JOBS Act, emerging growth companies can delay adopting new or revised accounting standards issued subsequent to the enactment of the JOBS Act until such time as those standards apply to private companies. We elected to use this extended transition period for complying with new or revised accounting standards that have different effective dates for public and private companies until the earlier of the date that we (1) are no longer an emerging growth company or (2)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 Based on the market value of our common stock held by nonaffiliates as of the last business day of our fiscal second quarter ended June 30, 2022, we will cease to be an emerging growth company as of December 31, 2022.</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Quantitative and Qualitative Disclosures About Market Risk</w:t>
      </w:r>
    </w:p>
    <w:p>
      <w:pPr>
        <w:spacing w:after="0" w:line="171" w:lineRule="exact"/>
        <w:rPr>
          <w:sz w:val="20"/>
          <w:szCs w:val="20"/>
          <w:color w:val="auto"/>
        </w:rPr>
      </w:pPr>
    </w:p>
    <w:p>
      <w:pPr>
        <w:ind w:right="20" w:firstLine="324"/>
        <w:spacing w:after="0" w:line="269" w:lineRule="auto"/>
        <w:rPr>
          <w:sz w:val="20"/>
          <w:szCs w:val="20"/>
          <w:color w:val="auto"/>
        </w:rPr>
      </w:pPr>
      <w:r>
        <w:rPr>
          <w:rFonts w:ascii="Arial" w:cs="Arial" w:eastAsia="Arial" w:hAnsi="Arial"/>
          <w:sz w:val="16"/>
          <w:szCs w:val="16"/>
          <w:color w:val="auto"/>
        </w:rPr>
        <w:t>Market risk is the potential for economic losses to be incurred on market risk sensitive instruments arising from adverse changes in market factors such as interest rates, foreign currency exchange rates, and equity investment risk. Management establishes and oversees the implementation of policies governing our investing, funding and foreign currency activities in order to mitigate market risks. We monitor risk exposures on an ongoing basis.</w:t>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Credit Risk</w:t>
      </w:r>
    </w:p>
    <w:p>
      <w:pPr>
        <w:spacing w:after="0" w:line="185" w:lineRule="exact"/>
        <w:rPr>
          <w:sz w:val="20"/>
          <w:szCs w:val="20"/>
          <w:color w:val="auto"/>
        </w:rPr>
      </w:pPr>
    </w:p>
    <w:p>
      <w:pPr>
        <w:ind w:right="20" w:firstLine="324"/>
        <w:spacing w:after="0" w:line="275" w:lineRule="auto"/>
        <w:rPr>
          <w:sz w:val="20"/>
          <w:szCs w:val="20"/>
          <w:color w:val="auto"/>
        </w:rPr>
      </w:pPr>
      <w:r>
        <w:rPr>
          <w:rFonts w:ascii="Arial" w:cs="Arial" w:eastAsia="Arial" w:hAnsi="Arial"/>
          <w:sz w:val="15"/>
          <w:szCs w:val="15"/>
          <w:color w:val="auto"/>
        </w:rPr>
        <w:t>We have a limited number of pay-in payment processors and therefore we are exposed to credit risk relating to those pay-in payment providers if in the course of a transaction, we were to disburse funds to the recipient but the pay-in payment provider does not deliver our customer’s funds to us (for example, due to their illiquidity). We mitigate this credit risk by engaging with reputable pay-in payment providers and entering into written agreements with pay-in providers allowing for legal recourse. We are also exposed to credit risk relating to many of our disbursement partners when we prefund or remit funds in advance of having collected funds from our customers through our pay-in payment processors, if our disbursement partners fail to disburse funds according to our instructions (for example, due to their insufficient capital). We mitigate these credit exposures by engaging with reputable disbursement partners and performing a credit review before onboarding each disbursement partner and by negotiating for post-funding arrangements where circumstances permit. We also periodically review credit ratings or, if unavailable, other financial documentation, of both our pay-in payment providers and disbursement partners. We have not experienced significant losses during the periods presented.</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Foreign Currency Exchange Rate Risk</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5"/>
          <w:szCs w:val="15"/>
          <w:color w:val="auto"/>
        </w:rPr>
        <w:t>Given the nature of our business, we are exposed to foreign exchange rate risk in a number of ways. Our principal exposure to foreign exchange rate risk includes:</w:t>
      </w:r>
    </w:p>
    <w:p>
      <w:pPr>
        <w:spacing w:after="0" w:line="192" w:lineRule="exact"/>
        <w:rPr>
          <w:sz w:val="20"/>
          <w:szCs w:val="20"/>
          <w:color w:val="auto"/>
        </w:rPr>
      </w:pPr>
    </w:p>
    <w:p>
      <w:pPr>
        <w:ind w:left="660" w:hanging="328"/>
        <w:spacing w:after="0" w:line="259"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Exposure to foreign currency exchange risk on our cross-border payments if exchange rates fluctuate between initiation of the transaction and transaction disbursement to the recipient. We disburse transactions in multiple foreign currencies, including most notably the Indian rupee, the Mexican peso, and the Philippine peso. In the vast majority of cases, the recipient disbursement occurs within a day of sending, which mitigates foreign currency exchange risk. To enable disbursement in the receive currency, we prefund many disbursement partners one to two business days in advance based on expected send volume. Foreign exchange rate risk due to differences between the timing of transaction initiation and payment varies based on the day of the week and the bank holiday schedule; for example, disbursement prefunding is typically largest before long weekends.</w:t>
      </w:r>
    </w:p>
    <w:p>
      <w:pPr>
        <w:spacing w:after="0" w:line="131" w:lineRule="exact"/>
        <w:rPr>
          <w:rFonts w:ascii="Arial" w:cs="Arial" w:eastAsia="Arial" w:hAnsi="Arial"/>
          <w:sz w:val="16"/>
          <w:szCs w:val="16"/>
          <w:color w:val="auto"/>
        </w:rPr>
      </w:pPr>
    </w:p>
    <w:p>
      <w:pPr>
        <w:ind w:left="660" w:right="100" w:hanging="328"/>
        <w:spacing w:after="0" w:line="259" w:lineRule="auto"/>
        <w:tabs>
          <w:tab w:leader="none" w:pos="649" w:val="left"/>
        </w:tabs>
        <w:numPr>
          <w:ilvl w:val="0"/>
          <w:numId w:val="25"/>
        </w:numPr>
        <w:rPr>
          <w:rFonts w:ascii="Arial" w:cs="Arial" w:eastAsia="Arial" w:hAnsi="Arial"/>
          <w:sz w:val="16"/>
          <w:szCs w:val="16"/>
          <w:color w:val="auto"/>
        </w:rPr>
      </w:pPr>
      <w:r>
        <w:rPr>
          <w:rFonts w:ascii="Arial" w:cs="Arial" w:eastAsia="Arial" w:hAnsi="Arial"/>
          <w:sz w:val="16"/>
          <w:szCs w:val="16"/>
          <w:color w:val="auto"/>
        </w:rPr>
        <w:t>While the majority of our revenue and expenses are denominated in the U.S. dollar, certain of our international operations are conducted in foreign currencies, a significant portion of which occur in Canada, the United Kingdom, and Europe. Changes in the relative value of the U.S. dollar to other currencies may affect revenue and other operating results as expressed in U.S. dollars. In addition, our international subsidiary financial statements are denominated in and operated in currencies outside of the US dollar. As such, the consolidated financial statements will continue to remain subject to the impact of foreign currency translation, as our international business continues to grow. In periods where other currencies weaken against the US dollar, this can negatively impact our consolidated results which are reported in the US dollar.</w:t>
      </w: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36" w:name="page37"/>
    <w:bookmarkEnd w:id="36"/>
    <w:p>
      <w:pPr>
        <w:ind w:right="140" w:firstLine="324"/>
        <w:spacing w:after="0" w:line="275" w:lineRule="auto"/>
        <w:rPr>
          <w:sz w:val="20"/>
          <w:szCs w:val="20"/>
          <w:color w:val="auto"/>
        </w:rPr>
      </w:pPr>
      <w:r>
        <w:rPr>
          <w:rFonts w:ascii="Arial" w:cs="Arial" w:eastAsia="Arial" w:hAnsi="Arial"/>
          <w:sz w:val="15"/>
          <w:szCs w:val="15"/>
          <w:color w:val="auto"/>
        </w:rPr>
        <w:t>As of September 30, 2022 and December 31, 2021, a hypothetical uniform 10% strengthening or weakening in the value of the U.S. dollar relative to other currencies in which our net loss is generated, would have resulted in a decrease or increase to the fair value of our customer transaction related assets and liabilities denominated in currencies other than the subsidiaries’ functional currencies of approximately $14.5 million and $11.6 million, respectively, based on our unhedged exposure to foreign currency at that date. There are inherent limitations in this sensitivity analysis, primarily due to the following assumptions: (1) foreign exchange rate movements are linear and instantaneous, (2) exposure is static, and (3) customer transaction behavior due to currency rate changes is static. As a result, the analysis is unable to reflect the potential effects of more complex market changes that could arise, which may positively or negatively affect our results from operations. For example, both the disbursement prefunding balance and the customer funds liability balance (and resulting net impact to our net currency position) may be highly variable day to day. In addition, changes in foreign exchange rates may impact customer behavior by altering the timing or volume of transactions sent through our platform. For example, an increase in the value of a send currency against a receive currency may accelerate the timing or amount of remittances.</w:t>
      </w:r>
    </w:p>
    <w:p>
      <w:pPr>
        <w:spacing w:after="0" w:line="138" w:lineRule="exact"/>
        <w:rPr>
          <w:sz w:val="20"/>
          <w:szCs w:val="20"/>
          <w:color w:val="auto"/>
        </w:rPr>
      </w:pPr>
    </w:p>
    <w:p>
      <w:pPr>
        <w:ind w:right="160" w:firstLine="324"/>
        <w:spacing w:after="0" w:line="261" w:lineRule="auto"/>
        <w:rPr>
          <w:sz w:val="20"/>
          <w:szCs w:val="20"/>
          <w:color w:val="auto"/>
        </w:rPr>
      </w:pPr>
      <w:r>
        <w:rPr>
          <w:rFonts w:ascii="Arial" w:cs="Arial" w:eastAsia="Arial" w:hAnsi="Arial"/>
          <w:sz w:val="16"/>
          <w:szCs w:val="16"/>
          <w:color w:val="auto"/>
        </w:rPr>
        <w:t>To the extent practicable, we minimize our foreign currency exposures by maintaining natural hedges between our current assets and current liabilities in similarly denominated foreign currencies. At this time, we do not enter into derivatives or other financial instruments in an attempt to hedge our foreign currency exchange risk. We may do so in the future, but it is difficult to predict the impact hedging activities would have on our operating results.</w:t>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Controls and Procedures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Evaluation of Disclosure Controls and Procedures</w:t>
      </w:r>
    </w:p>
    <w:p>
      <w:pPr>
        <w:spacing w:after="0" w:line="167" w:lineRule="exact"/>
        <w:rPr>
          <w:sz w:val="20"/>
          <w:szCs w:val="20"/>
          <w:color w:val="auto"/>
        </w:rPr>
      </w:pPr>
    </w:p>
    <w:p>
      <w:pPr>
        <w:ind w:firstLine="324"/>
        <w:spacing w:after="0" w:line="303" w:lineRule="auto"/>
        <w:rPr>
          <w:sz w:val="20"/>
          <w:szCs w:val="20"/>
          <w:color w:val="auto"/>
        </w:rPr>
      </w:pPr>
      <w:r>
        <w:rPr>
          <w:rFonts w:ascii="Arial" w:cs="Arial" w:eastAsia="Arial" w:hAnsi="Arial"/>
          <w:sz w:val="14"/>
          <w:szCs w:val="14"/>
          <w:color w:val="auto"/>
        </w:rPr>
        <w:t>Our management, with the participation of our Chief Executive Officer and Chief Financial Officer, has evaluated the effectiveness of our disclosure controls and procedures as of September 30, 2022, the end of the period covered by this Quarterly Report on Form 10-Q.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Chief Executive Officer and Chief Financial Officer, as appropriate to allow timely decisions regarding required disclosure.</w:t>
      </w:r>
    </w:p>
    <w:p>
      <w:pPr>
        <w:spacing w:after="0" w:line="103" w:lineRule="exact"/>
        <w:rPr>
          <w:sz w:val="20"/>
          <w:szCs w:val="20"/>
          <w:color w:val="auto"/>
        </w:rPr>
      </w:pPr>
    </w:p>
    <w:p>
      <w:pPr>
        <w:ind w:right="40" w:firstLine="324"/>
        <w:spacing w:after="0" w:line="259" w:lineRule="auto"/>
        <w:rPr>
          <w:sz w:val="20"/>
          <w:szCs w:val="20"/>
          <w:color w:val="auto"/>
        </w:rPr>
      </w:pPr>
      <w:r>
        <w:rPr>
          <w:rFonts w:ascii="Arial" w:cs="Arial" w:eastAsia="Arial" w:hAnsi="Arial"/>
          <w:sz w:val="16"/>
          <w:szCs w:val="16"/>
          <w:color w:val="auto"/>
        </w:rPr>
        <w:t>Based on such evaluation, and in consideration of the material weaknesses in our internal control over financial reporting described below, our Chief Executive Officer and Chief Financial Officer concluded that, as of the end of the period covered by this Quarterly Report on Form 10-Q, our disclosure controls and procedures were not effective. Accordingly, our management has performed additional analyses, reconciliations, and other post-closing procedures. On the basis of these procedures, management has concluded that, notwithstanding the material weaknesses in our internal control over financial reporting, the Condensed Consolidated Financial Statements for the periods covered by and included in this Quarterly Report on Form 10-Q fairly state, in all material respects, our financial position, results of operations and cash flows for the periods presented in conformity with U.S. GAAP.</w:t>
      </w:r>
    </w:p>
    <w:p>
      <w:pPr>
        <w:spacing w:after="0" w:line="145"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Previously Identified Material Weaknesses in Internal Control Over Financial Reporting</w:t>
      </w:r>
    </w:p>
    <w:p>
      <w:pPr>
        <w:spacing w:after="0" w:line="167" w:lineRule="exact"/>
        <w:rPr>
          <w:sz w:val="20"/>
          <w:szCs w:val="20"/>
          <w:color w:val="auto"/>
        </w:rPr>
      </w:pPr>
    </w:p>
    <w:p>
      <w:pPr>
        <w:ind w:right="20" w:firstLine="324"/>
        <w:spacing w:after="0" w:line="295" w:lineRule="auto"/>
        <w:rPr>
          <w:sz w:val="20"/>
          <w:szCs w:val="20"/>
          <w:color w:val="auto"/>
        </w:rPr>
      </w:pPr>
      <w:r>
        <w:rPr>
          <w:rFonts w:ascii="Arial" w:cs="Arial" w:eastAsia="Arial" w:hAnsi="Arial"/>
          <w:sz w:val="15"/>
          <w:szCs w:val="15"/>
          <w:color w:val="auto"/>
        </w:rPr>
        <w:t>In connection with preparing our consolidated financial statements as of and for the year ended December 31, 2021, we identified two material weaknesses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material weaknesses are as follows:</w:t>
      </w:r>
    </w:p>
    <w:p>
      <w:pPr>
        <w:spacing w:after="0" w:line="181" w:lineRule="exact"/>
        <w:rPr>
          <w:sz w:val="20"/>
          <w:szCs w:val="20"/>
          <w:color w:val="auto"/>
        </w:rPr>
      </w:pPr>
    </w:p>
    <w:p>
      <w:pPr>
        <w:ind w:left="660" w:right="120" w:hanging="328"/>
        <w:spacing w:after="0" w:line="258"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certain information technology (“IT”) general controls for information systems that are relevant to the preparation of our financial statements. Specifically, we did not design and maintain: (1) program change management controls for certain financial systems to ensure that IT program and data changes affecting financial IT applications and underlying accounting records are identified, tested, authorized and implemented appropriately; and (2) user access controls to ensure appropriate segregation of duties and that adequately restrict user and privileged access to certain financial systems, programs, and data to appropriate Company personnel.</w:t>
      </w:r>
    </w:p>
    <w:p>
      <w:pPr>
        <w:spacing w:after="0" w:line="131" w:lineRule="exact"/>
        <w:rPr>
          <w:rFonts w:ascii="Arial" w:cs="Arial" w:eastAsia="Arial" w:hAnsi="Arial"/>
          <w:sz w:val="16"/>
          <w:szCs w:val="16"/>
          <w:color w:val="auto"/>
        </w:rPr>
      </w:pPr>
    </w:p>
    <w:p>
      <w:pPr>
        <w:ind w:left="660" w:right="160" w:hanging="328"/>
        <w:spacing w:after="0" w:line="293" w:lineRule="auto"/>
        <w:tabs>
          <w:tab w:leader="none" w:pos="649"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did not design and maintain effective controls over segregation of duties in journal entries. More specifically, certain personnel had the ability to prepare and post journal entries without an independent review performed by someone without this ability.</w:t>
      </w:r>
    </w:p>
    <w:p>
      <w:pPr>
        <w:spacing w:after="0" w:line="104" w:lineRule="exact"/>
        <w:rPr>
          <w:sz w:val="20"/>
          <w:szCs w:val="20"/>
          <w:color w:val="auto"/>
        </w:rPr>
      </w:pPr>
    </w:p>
    <w:p>
      <w:pPr>
        <w:jc w:val="both"/>
        <w:ind w:right="100" w:firstLine="324"/>
        <w:spacing w:after="0" w:line="295" w:lineRule="auto"/>
        <w:rPr>
          <w:sz w:val="20"/>
          <w:szCs w:val="20"/>
          <w:color w:val="auto"/>
        </w:rPr>
      </w:pPr>
      <w:r>
        <w:rPr>
          <w:rFonts w:ascii="Arial" w:cs="Arial" w:eastAsia="Arial" w:hAnsi="Arial"/>
          <w:sz w:val="15"/>
          <w:szCs w:val="15"/>
          <w:color w:val="auto"/>
        </w:rPr>
        <w:t>These material weaknesses did not result in a misstatement to the Condensed Consolidated Financial Statement periods covered by this Quarterly Report on Form 10-Q. However, the material weaknesses described above could result in misstatements potentially impacting all financial statement accounts and disclosures that would result in a material misstatement to the annual or interim Condensed Consolidated Financial Statements that would not be prevented or detected.</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64" w:right="359" w:bottom="1440" w:gutter="0" w:footer="0" w:header="0"/>
        </w:sectPr>
      </w:pPr>
    </w:p>
    <w:bookmarkStart w:id="37" w:name="page38"/>
    <w:bookmarkEnd w:id="37"/>
    <w:p>
      <w:pPr>
        <w:ind w:right="100" w:firstLine="324"/>
        <w:spacing w:after="0" w:line="258" w:lineRule="auto"/>
        <w:rPr>
          <w:sz w:val="20"/>
          <w:szCs w:val="20"/>
          <w:color w:val="auto"/>
        </w:rPr>
      </w:pPr>
      <w:r>
        <w:rPr>
          <w:rFonts w:ascii="Arial" w:cs="Arial" w:eastAsia="Arial" w:hAnsi="Arial"/>
          <w:sz w:val="16"/>
          <w:szCs w:val="16"/>
          <w:color w:val="auto"/>
        </w:rPr>
        <w:t>In addition, in the second quarter of 2022, we identified a new material weakness. We did not design and maintain controls to monitor the impact of vesting terms on the timing and accuracy of stock-based compensation expense for graded-vesting equity awards. This material weakness resulted in the misstatement of stock-based compensation expense and related financial disclosures for the year-ended December 31, 2021 and the interim period ended March 31, 2022, which was corrected in the interim period ended June 30, 2022, as described in Note 2 to the Company’s Condensed Consolidated Financial Statements included in Part I, Item 1 of this Quarterly Report on Form 10-Q. Management has determined that this error was not material to the historical financial statements in any individual period or in the aggregate and did not result in the previously issued financial statements being materially misstated. This material weakness could result in misstatements of the aforementioned account balances or disclosures that would result in a material misstatement to the annual or interim Condensed Consolidated Financial Statements that would not be prevented or detected.</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Remediation Plan for Material Weaknesses</w:t>
      </w:r>
    </w:p>
    <w:p>
      <w:pPr>
        <w:spacing w:after="0" w:line="181" w:lineRule="exact"/>
        <w:rPr>
          <w:sz w:val="20"/>
          <w:szCs w:val="20"/>
          <w:color w:val="auto"/>
        </w:rPr>
      </w:pPr>
    </w:p>
    <w:p>
      <w:pPr>
        <w:ind w:firstLine="324"/>
        <w:spacing w:after="0" w:line="262" w:lineRule="auto"/>
        <w:rPr>
          <w:sz w:val="20"/>
          <w:szCs w:val="20"/>
          <w:color w:val="auto"/>
        </w:rPr>
      </w:pPr>
      <w:r>
        <w:rPr>
          <w:rFonts w:ascii="Arial" w:cs="Arial" w:eastAsia="Arial" w:hAnsi="Arial"/>
          <w:sz w:val="16"/>
          <w:szCs w:val="16"/>
          <w:color w:val="auto"/>
        </w:rPr>
        <w:t>With the oversight of the Audit and Risk Committee of our board of directors, we have continued throughout 2022 to dedicate significant resources and efforts to improve our control environment and to take steps to remediate the material weaknesses identified above. Our internal audit organization, which reports directly to our Audit and Risk Committee, has played an integral role in providing direction to achieve a stronger control environment. While certain remedial actions have been completed, we continue to actively plan for and implement additional control procedures.</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Actions Taken During the Current Quarter</w:t>
      </w:r>
    </w:p>
    <w:p>
      <w:pPr>
        <w:spacing w:after="0" w:line="167" w:lineRule="exact"/>
        <w:rPr>
          <w:sz w:val="20"/>
          <w:szCs w:val="20"/>
          <w:color w:val="auto"/>
        </w:rPr>
      </w:pPr>
    </w:p>
    <w:p>
      <w:pPr>
        <w:ind w:right="320" w:firstLine="324"/>
        <w:spacing w:after="0" w:line="293" w:lineRule="auto"/>
        <w:rPr>
          <w:sz w:val="20"/>
          <w:szCs w:val="20"/>
          <w:color w:val="auto"/>
        </w:rPr>
      </w:pPr>
      <w:r>
        <w:rPr>
          <w:rFonts w:ascii="Arial" w:cs="Arial" w:eastAsia="Arial" w:hAnsi="Arial"/>
          <w:sz w:val="16"/>
          <w:szCs w:val="16"/>
          <w:color w:val="auto"/>
        </w:rPr>
        <w:t>As of the date of this Quarterly Report on Form 10-Q, these remain material weaknesses and we are in the process of remediating them. In order to remediate these material weaknesses, we have taken the following actions:</w:t>
      </w:r>
    </w:p>
    <w:p>
      <w:pPr>
        <w:spacing w:after="0" w:line="104" w:lineRule="exact"/>
        <w:rPr>
          <w:sz w:val="20"/>
          <w:szCs w:val="20"/>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developed enhanced risk assessment procedures and monitoring controls related to changes in the financial reporting system;</w:t>
      </w:r>
    </w:p>
    <w:p>
      <w:pPr>
        <w:spacing w:after="0" w:line="180"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5"/>
          <w:szCs w:val="15"/>
          <w:color w:val="auto"/>
        </w:rPr>
      </w:pPr>
      <w:r>
        <w:rPr>
          <w:rFonts w:ascii="Arial" w:cs="Arial" w:eastAsia="Arial" w:hAnsi="Arial"/>
          <w:sz w:val="15"/>
          <w:szCs w:val="15"/>
          <w:color w:val="auto"/>
        </w:rPr>
        <w:t>implemented comprehensive access control protocols to implement restrictions on user and privileged access to the affected financial reporting system;</w:t>
      </w:r>
    </w:p>
    <w:p>
      <w:pPr>
        <w:spacing w:after="0" w:line="178" w:lineRule="exact"/>
        <w:rPr>
          <w:rFonts w:ascii="Arial" w:cs="Arial" w:eastAsia="Arial" w:hAnsi="Arial"/>
          <w:sz w:val="15"/>
          <w:szCs w:val="15"/>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implemented controls to review and monitor user access;</w:t>
      </w:r>
    </w:p>
    <w:p>
      <w:pPr>
        <w:spacing w:after="0" w:line="167"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established additional controls over the preparation and review of journal entries; and</w:t>
      </w:r>
    </w:p>
    <w:p>
      <w:pPr>
        <w:spacing w:after="0" w:line="180" w:lineRule="exact"/>
        <w:rPr>
          <w:rFonts w:ascii="Arial" w:cs="Arial" w:eastAsia="Arial" w:hAnsi="Arial"/>
          <w:sz w:val="16"/>
          <w:szCs w:val="16"/>
          <w:color w:val="auto"/>
        </w:rPr>
      </w:pPr>
    </w:p>
    <w:p>
      <w:pPr>
        <w:ind w:left="640" w:hanging="308"/>
        <w:spacing w:after="0"/>
        <w:tabs>
          <w:tab w:leader="none" w:pos="640" w:val="left"/>
        </w:tabs>
        <w:numPr>
          <w:ilvl w:val="0"/>
          <w:numId w:val="27"/>
        </w:numPr>
        <w:rPr>
          <w:rFonts w:ascii="Arial" w:cs="Arial" w:eastAsia="Arial" w:hAnsi="Arial"/>
          <w:sz w:val="16"/>
          <w:szCs w:val="16"/>
          <w:color w:val="auto"/>
        </w:rPr>
      </w:pPr>
      <w:r>
        <w:rPr>
          <w:rFonts w:ascii="Arial" w:cs="Arial" w:eastAsia="Arial" w:hAnsi="Arial"/>
          <w:sz w:val="16"/>
          <w:szCs w:val="16"/>
          <w:color w:val="auto"/>
        </w:rPr>
        <w:t>established additional controls to monitor the impact of vesting terms on the timing and accuracy of stock-based compensation expense.</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i w:val="1"/>
          <w:iCs w:val="1"/>
          <w:color w:val="auto"/>
        </w:rPr>
        <w:t>Status of Remediation Efforts</w:t>
      </w:r>
    </w:p>
    <w:p>
      <w:pPr>
        <w:spacing w:after="0" w:line="181" w:lineRule="exact"/>
        <w:rPr>
          <w:sz w:val="20"/>
          <w:szCs w:val="20"/>
          <w:color w:val="auto"/>
        </w:rPr>
      </w:pPr>
    </w:p>
    <w:p>
      <w:pPr>
        <w:jc w:val="both"/>
        <w:ind w:right="80" w:firstLine="324"/>
        <w:spacing w:after="0" w:line="303" w:lineRule="auto"/>
        <w:rPr>
          <w:sz w:val="20"/>
          <w:szCs w:val="20"/>
          <w:color w:val="auto"/>
        </w:rPr>
      </w:pPr>
      <w:r>
        <w:rPr>
          <w:rFonts w:ascii="Arial" w:cs="Arial" w:eastAsia="Arial" w:hAnsi="Arial"/>
          <w:sz w:val="14"/>
          <w:szCs w:val="14"/>
          <w:color w:val="auto"/>
        </w:rPr>
        <w:t>We believe the measures described above will facilitate the remediation of the control deficiencies we have identified and strengthen our internal control over financial reporting. We are committed to continuing to improve our internal control processes and will continue to review, optimize and enhance our financial reporting controls and procedures. As we continue to evaluate and work to improve our internal control over financial reporting, we may take additional measures to address control deficiencies, or we may modify, or in appropriate circumstances not complete, certain of the remediation measures described above. While we are taking the necessary actions to address each of the material weaknesses discussed above, each material weakness will not be considered remediated until the applicable remedial measures have been implemented for a sufficient period of time and management has concluded, through testing, that the enhanced controls are operating effectively.</w:t>
      </w:r>
    </w:p>
    <w:p>
      <w:pPr>
        <w:spacing w:after="0" w:line="103" w:lineRule="exact"/>
        <w:rPr>
          <w:sz w:val="20"/>
          <w:szCs w:val="20"/>
          <w:color w:val="auto"/>
        </w:rPr>
      </w:pPr>
    </w:p>
    <w:p>
      <w:pPr>
        <w:ind w:firstLine="324"/>
        <w:spacing w:after="0" w:line="269" w:lineRule="auto"/>
        <w:rPr>
          <w:sz w:val="20"/>
          <w:szCs w:val="20"/>
          <w:color w:val="auto"/>
        </w:rPr>
      </w:pPr>
      <w:r>
        <w:rPr>
          <w:rFonts w:ascii="Arial" w:cs="Arial" w:eastAsia="Arial" w:hAnsi="Arial"/>
          <w:sz w:val="16"/>
          <w:szCs w:val="16"/>
          <w:color w:val="auto"/>
        </w:rPr>
        <w:t>We have concluded that these material weaknesses in our internal control over financial reporting occurred as we are a new public company, and, prior to the effectiveness of our initial public offering, we were a private company and did not have the necessary business processes and related internal controls necessary to satisfy the accounting and financial reporting requirements of a public company.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Changes in Internal Control over Financial Reporting</w:t>
      </w:r>
    </w:p>
    <w:p>
      <w:pPr>
        <w:spacing w:after="0" w:line="181" w:lineRule="exact"/>
        <w:rPr>
          <w:sz w:val="20"/>
          <w:szCs w:val="20"/>
          <w:color w:val="auto"/>
        </w:rPr>
      </w:pPr>
    </w:p>
    <w:p>
      <w:pPr>
        <w:ind w:right="160" w:firstLine="324"/>
        <w:spacing w:after="0" w:line="275" w:lineRule="auto"/>
        <w:rPr>
          <w:sz w:val="20"/>
          <w:szCs w:val="20"/>
          <w:color w:val="auto"/>
        </w:rPr>
      </w:pPr>
      <w:r>
        <w:rPr>
          <w:rFonts w:ascii="Arial" w:cs="Arial" w:eastAsia="Arial" w:hAnsi="Arial"/>
          <w:sz w:val="16"/>
          <w:szCs w:val="16"/>
          <w:color w:val="auto"/>
        </w:rPr>
        <w:t>The third quarter remediation activities described above, are changes in our internal control over financial reporting during the quarter ended September 30, 2022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4"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b w:val="1"/>
          <w:bCs w:val="1"/>
          <w:color w:val="auto"/>
        </w:rPr>
        <w:t>Part II. Other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Legal Proceedings</w:t>
      </w:r>
    </w:p>
    <w:p>
      <w:pPr>
        <w:spacing w:after="0" w:line="185" w:lineRule="exact"/>
        <w:rPr>
          <w:sz w:val="20"/>
          <w:szCs w:val="20"/>
          <w:color w:val="auto"/>
        </w:rPr>
      </w:pPr>
    </w:p>
    <w:p>
      <w:pPr>
        <w:ind w:right="340" w:firstLine="324"/>
        <w:spacing w:after="0" w:line="275" w:lineRule="auto"/>
        <w:rPr>
          <w:sz w:val="20"/>
          <w:szCs w:val="20"/>
          <w:color w:val="auto"/>
        </w:rPr>
      </w:pPr>
      <w:r>
        <w:rPr>
          <w:rFonts w:ascii="Arial" w:cs="Arial" w:eastAsia="Arial" w:hAnsi="Arial"/>
          <w:sz w:val="16"/>
          <w:szCs w:val="16"/>
          <w:color w:val="auto"/>
        </w:rPr>
        <w:t>In the normal course of business, the Company occasionally becomes involved in various legal proceedings. In the opinion of management, any liability from such proceedings would not have a material adverse effect on the business or financial condition of the Company.</w:t>
      </w:r>
    </w:p>
    <w:p>
      <w:pPr>
        <w:spacing w:after="0" w:line="12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1A. Risk Factors</w:t>
      </w:r>
    </w:p>
    <w:p>
      <w:pPr>
        <w:spacing w:after="0" w:line="171" w:lineRule="exact"/>
        <w:rPr>
          <w:sz w:val="20"/>
          <w:szCs w:val="20"/>
          <w:color w:val="auto"/>
        </w:rPr>
      </w:pPr>
    </w:p>
    <w:p>
      <w:pPr>
        <w:ind w:right="80" w:firstLine="324"/>
        <w:spacing w:after="0" w:line="284" w:lineRule="auto"/>
        <w:rPr>
          <w:sz w:val="20"/>
          <w:szCs w:val="20"/>
          <w:color w:val="auto"/>
        </w:rPr>
      </w:pPr>
      <w:r>
        <w:rPr>
          <w:rFonts w:ascii="Arial" w:cs="Arial" w:eastAsia="Arial" w:hAnsi="Arial"/>
          <w:sz w:val="15"/>
          <w:szCs w:val="15"/>
          <w:color w:val="auto"/>
        </w:rPr>
        <w:t>In addition to the other information set forth in this Quarterly Report on Form 10-Q, you should carefully consider the factors discussed in Part I, Item 1A, “Risk Factors,” in our Annual Report on Form 10-K for the year ended December 31, 2021, which could materially affect our business, reputation, financial condition, future results or the trading price of the Company’s stock. These are not the only risks facing the Company. Additional risks and uncertainties not currently known to us or that we currently deem to be immaterial also may materially adversely affect our business, reputation, financial condition and/or operating results.</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2. Unregistered Sales of Equity Securities and Use of Proceeds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Recent Sales of Unregistered Equity Securities</w:t>
      </w:r>
    </w:p>
    <w:p>
      <w:pPr>
        <w:spacing w:after="0" w:line="167"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Use of Proceeds</w:t>
      </w:r>
    </w:p>
    <w:p>
      <w:pPr>
        <w:spacing w:after="0" w:line="181" w:lineRule="exact"/>
        <w:rPr>
          <w:sz w:val="20"/>
          <w:szCs w:val="20"/>
          <w:color w:val="auto"/>
        </w:rPr>
      </w:pPr>
    </w:p>
    <w:p>
      <w:pPr>
        <w:ind w:right="60" w:firstLine="324"/>
        <w:spacing w:after="0" w:line="258" w:lineRule="auto"/>
        <w:rPr>
          <w:sz w:val="20"/>
          <w:szCs w:val="20"/>
          <w:color w:val="auto"/>
        </w:rPr>
      </w:pPr>
      <w:r>
        <w:rPr>
          <w:rFonts w:ascii="Arial" w:cs="Arial" w:eastAsia="Arial" w:hAnsi="Arial"/>
          <w:sz w:val="16"/>
          <w:szCs w:val="16"/>
          <w:color w:val="auto"/>
        </w:rPr>
        <w:t>In September 2021, we completed the IPO, in which we issued and sold 7,000,000 shares of our common stock at $43.00 per share. Concurrently, 5,162,777 shares were sold by certain of our existing stockholders. In addition, the Company concurrently issued 581,395 shares of common stock in a private placement at the same offering price as the IPO. The Company received net proceeds of $305.2 million for the IPO and private placement, after deducting underwriting discounts and other fees of $20.8 million. In connection with the IPO, 127,410,631 shares of outstanding redeemable convertible preferred stock automatically converted into an equivalent number of shares of common stock on a one-to-one basis.</w:t>
      </w:r>
    </w:p>
    <w:p>
      <w:pPr>
        <w:spacing w:after="0" w:line="145" w:lineRule="exact"/>
        <w:rPr>
          <w:sz w:val="20"/>
          <w:szCs w:val="20"/>
          <w:color w:val="auto"/>
        </w:rPr>
      </w:pPr>
    </w:p>
    <w:p>
      <w:pPr>
        <w:ind w:firstLine="324"/>
        <w:spacing w:after="0" w:line="310" w:lineRule="auto"/>
        <w:rPr>
          <w:sz w:val="20"/>
          <w:szCs w:val="20"/>
          <w:color w:val="auto"/>
        </w:rPr>
      </w:pPr>
      <w:r>
        <w:rPr>
          <w:rFonts w:ascii="Arial" w:cs="Arial" w:eastAsia="Arial" w:hAnsi="Arial"/>
          <w:sz w:val="14"/>
          <w:szCs w:val="14"/>
          <w:color w:val="auto"/>
        </w:rPr>
        <w:t>All of the shares issued and sold in our IPO were registered under the Securities Act pursuant to a registration statement on Form S-1 (File No. 333-259167), which was declared effective by the SEC on September 22, 2021. There has been no material change in the planned use of proceeds from our IPO as described in the final prospectus relating to the IPO. The managing underwriters of our IPO were Goldman Sachs &amp; Co. LLC and J.P. Morgan Securities LLC. No payments were made by us to directors, officers or persons owning 10% or more of our common stock or to their associates, or to our affiliates, in connection with the issuance and sale of the securities registered.</w:t>
      </w:r>
    </w:p>
    <w:p>
      <w:pPr>
        <w:spacing w:after="0" w:line="100" w:lineRule="exact"/>
        <w:rPr>
          <w:sz w:val="20"/>
          <w:szCs w:val="20"/>
          <w:color w:val="auto"/>
        </w:rPr>
      </w:pPr>
    </w:p>
    <w:p>
      <w:pPr>
        <w:ind w:left="340"/>
        <w:spacing w:after="0"/>
        <w:rPr>
          <w:sz w:val="20"/>
          <w:szCs w:val="20"/>
          <w:color w:val="auto"/>
        </w:rPr>
      </w:pPr>
      <w:r>
        <w:rPr>
          <w:rFonts w:ascii="Arial" w:cs="Arial" w:eastAsia="Arial" w:hAnsi="Arial"/>
          <w:sz w:val="16"/>
          <w:szCs w:val="16"/>
          <w:b w:val="1"/>
          <w:bCs w:val="1"/>
          <w:i w:val="1"/>
          <w:iCs w:val="1"/>
          <w:color w:val="auto"/>
        </w:rPr>
        <w:t>Issuer Purchase of Equity Securities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Defaults Upon Senior Securities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4. Mine Safety Disclosures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Not applicable.</w:t>
      </w:r>
    </w:p>
    <w:p>
      <w:pPr>
        <w:spacing w:after="0" w:line="17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5. Other Information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39" w:name="page40"/>
    <w:bookmarkEnd w:id="39"/>
    <w:p>
      <w:pPr>
        <w:spacing w:after="0"/>
        <w:rPr>
          <w:sz w:val="20"/>
          <w:szCs w:val="20"/>
          <w:color w:val="auto"/>
        </w:rPr>
      </w:pPr>
      <w:r>
        <w:rPr>
          <w:rFonts w:ascii="Arial" w:cs="Arial" w:eastAsia="Arial" w:hAnsi="Arial"/>
          <w:sz w:val="16"/>
          <w:szCs w:val="16"/>
          <w:b w:val="1"/>
          <w:bCs w:val="1"/>
          <w:color w:val="auto"/>
        </w:rPr>
        <w:t>Item 6. Exhibits</w:t>
      </w:r>
    </w:p>
    <w:p>
      <w:pPr>
        <w:spacing w:after="0" w:line="203" w:lineRule="exact"/>
        <w:rPr>
          <w:sz w:val="20"/>
          <w:szCs w:val="20"/>
          <w:color w:val="auto"/>
        </w:rPr>
      </w:pPr>
    </w:p>
    <w:p>
      <w:pPr>
        <w:ind w:left="7840"/>
        <w:spacing w:after="0"/>
        <w:rPr>
          <w:sz w:val="20"/>
          <w:szCs w:val="20"/>
          <w:color w:val="auto"/>
        </w:rPr>
      </w:pPr>
      <w:r>
        <w:rPr>
          <w:rFonts w:ascii="Arial" w:cs="Arial" w:eastAsia="Arial" w:hAnsi="Arial"/>
          <w:sz w:val="18"/>
          <w:szCs w:val="18"/>
          <w:b w:val="1"/>
          <w:bCs w:val="1"/>
          <w:color w:val="auto"/>
        </w:rPr>
        <w:t>Incorporated by reference</w:t>
      </w:r>
    </w:p>
    <w:p>
      <w:pPr>
        <w:spacing w:after="0" w:line="54" w:lineRule="exact"/>
        <w:rPr>
          <w:sz w:val="20"/>
          <w:szCs w:val="20"/>
          <w:color w:val="auto"/>
        </w:rPr>
      </w:pPr>
    </w:p>
    <w:tbl>
      <w:tblPr>
        <w:tblLayout w:type="fixed"/>
        <w:tblInd w:w="360" w:type="dxa"/>
        <w:tblCellMar>
          <w:top w:w="0" w:type="dxa"/>
          <w:left w:w="0" w:type="dxa"/>
          <w:bottom w:w="0" w:type="dxa"/>
          <w:right w:w="0" w:type="dxa"/>
        </w:tblCellMar>
      </w:tblPr>
      <w:tr>
        <w:trPr>
          <w:trHeight w:val="189"/>
        </w:trPr>
        <w:tc>
          <w:tcPr>
            <w:tcW w:w="920" w:type="dxa"/>
            <w:vAlign w:val="bottom"/>
          </w:tcPr>
          <w:p>
            <w:pPr>
              <w:spacing w:after="0"/>
              <w:rPr>
                <w:sz w:val="20"/>
                <w:szCs w:val="20"/>
                <w:color w:val="auto"/>
              </w:rPr>
            </w:pPr>
            <w:r>
              <w:rPr>
                <w:rFonts w:ascii="Arial" w:cs="Arial" w:eastAsia="Arial" w:hAnsi="Arial"/>
                <w:sz w:val="16"/>
                <w:szCs w:val="16"/>
                <w:color w:val="auto"/>
              </w:rPr>
              <w:t>Exhibit</w:t>
            </w:r>
          </w:p>
        </w:tc>
        <w:tc>
          <w:tcPr>
            <w:tcW w:w="4420" w:type="dxa"/>
            <w:vAlign w:val="bottom"/>
            <w:gridSpan w:val="12"/>
          </w:tcPr>
          <w:p>
            <w:pPr>
              <w:spacing w:after="0"/>
              <w:rPr>
                <w:sz w:val="20"/>
                <w:szCs w:val="20"/>
                <w:color w:val="auto"/>
              </w:rPr>
            </w:pPr>
            <w:r>
              <w:rPr>
                <w:rFonts w:ascii="Arial" w:cs="Arial" w:eastAsia="Arial" w:hAnsi="Arial"/>
                <w:sz w:val="16"/>
                <w:szCs w:val="16"/>
                <w:color w:val="auto"/>
              </w:rPr>
              <w:t>Description</w:t>
            </w: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0"/>
              </w:rPr>
              <w:t>Filed</w:t>
            </w:r>
          </w:p>
        </w:tc>
        <w:tc>
          <w:tcPr>
            <w:tcW w:w="7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20" w:type="dxa"/>
            <w:vAlign w:val="bottom"/>
          </w:tcPr>
          <w:p>
            <w:pPr>
              <w:spacing w:after="0"/>
              <w:rPr>
                <w:sz w:val="20"/>
                <w:szCs w:val="20"/>
                <w:color w:val="auto"/>
              </w:rPr>
            </w:pPr>
            <w:r>
              <w:rPr>
                <w:rFonts w:ascii="Arial" w:cs="Arial" w:eastAsia="Arial" w:hAnsi="Arial"/>
                <w:sz w:val="16"/>
                <w:szCs w:val="16"/>
                <w:color w:val="auto"/>
              </w:rPr>
              <w:t>Number</w:t>
            </w: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920" w:type="dxa"/>
            <w:vAlign w:val="bottom"/>
          </w:tcPr>
          <w:p>
            <w:pPr>
              <w:jc w:val="center"/>
              <w:ind w:right="19"/>
              <w:spacing w:after="0"/>
              <w:rPr>
                <w:sz w:val="20"/>
                <w:szCs w:val="20"/>
                <w:color w:val="auto"/>
              </w:rPr>
            </w:pPr>
            <w:r>
              <w:rPr>
                <w:rFonts w:ascii="Arial" w:cs="Arial" w:eastAsia="Arial" w:hAnsi="Arial"/>
                <w:sz w:val="16"/>
                <w:szCs w:val="16"/>
                <w:b w:val="1"/>
                <w:bCs w:val="1"/>
                <w:color w:val="auto"/>
                <w:w w:val="97"/>
              </w:rPr>
              <w:t>Herewith</w:t>
            </w:r>
          </w:p>
        </w:tc>
        <w:tc>
          <w:tcPr>
            <w:tcW w:w="760" w:type="dxa"/>
            <w:vAlign w:val="bottom"/>
          </w:tcPr>
          <w:p>
            <w:pPr>
              <w:jc w:val="center"/>
              <w:spacing w:after="0"/>
              <w:rPr>
                <w:sz w:val="20"/>
                <w:szCs w:val="20"/>
                <w:color w:val="auto"/>
              </w:rPr>
            </w:pPr>
            <w:r>
              <w:rPr>
                <w:rFonts w:ascii="Arial" w:cs="Arial" w:eastAsia="Arial" w:hAnsi="Arial"/>
                <w:sz w:val="16"/>
                <w:szCs w:val="16"/>
                <w:b w:val="1"/>
                <w:bCs w:val="1"/>
                <w:color w:val="auto"/>
                <w:w w:val="94"/>
              </w:rPr>
              <w:t>Form</w:t>
            </w:r>
          </w:p>
        </w:tc>
        <w:tc>
          <w:tcPr>
            <w:tcW w:w="1080" w:type="dxa"/>
            <w:vAlign w:val="bottom"/>
          </w:tcPr>
          <w:p>
            <w:pPr>
              <w:jc w:val="center"/>
              <w:spacing w:after="0"/>
              <w:rPr>
                <w:sz w:val="20"/>
                <w:szCs w:val="20"/>
                <w:color w:val="auto"/>
              </w:rPr>
            </w:pPr>
            <w:r>
              <w:rPr>
                <w:rFonts w:ascii="Arial" w:cs="Arial" w:eastAsia="Arial" w:hAnsi="Arial"/>
                <w:sz w:val="16"/>
                <w:szCs w:val="16"/>
                <w:b w:val="1"/>
                <w:bCs w:val="1"/>
                <w:color w:val="auto"/>
                <w:w w:val="93"/>
              </w:rPr>
              <w:t>File No.</w:t>
            </w:r>
          </w:p>
        </w:tc>
        <w:tc>
          <w:tcPr>
            <w:tcW w:w="920" w:type="dxa"/>
            <w:vAlign w:val="bottom"/>
          </w:tcPr>
          <w:p>
            <w:pPr>
              <w:jc w:val="center"/>
              <w:spacing w:after="0"/>
              <w:rPr>
                <w:sz w:val="20"/>
                <w:szCs w:val="20"/>
                <w:color w:val="auto"/>
              </w:rPr>
            </w:pPr>
            <w:r>
              <w:rPr>
                <w:rFonts w:ascii="Arial" w:cs="Arial" w:eastAsia="Arial" w:hAnsi="Arial"/>
                <w:sz w:val="16"/>
                <w:szCs w:val="16"/>
                <w:b w:val="1"/>
                <w:bCs w:val="1"/>
                <w:color w:val="auto"/>
                <w:w w:val="97"/>
              </w:rPr>
              <w:t>Exhibit</w:t>
            </w:r>
          </w:p>
        </w:tc>
        <w:tc>
          <w:tcPr>
            <w:tcW w:w="1520" w:type="dxa"/>
            <w:vAlign w:val="bottom"/>
          </w:tcPr>
          <w:p>
            <w:pPr>
              <w:jc w:val="center"/>
              <w:ind w:left="159"/>
              <w:spacing w:after="0"/>
              <w:rPr>
                <w:sz w:val="20"/>
                <w:szCs w:val="20"/>
                <w:color w:val="auto"/>
              </w:rPr>
            </w:pPr>
            <w:r>
              <w:rPr>
                <w:rFonts w:ascii="Arial" w:cs="Arial" w:eastAsia="Arial" w:hAnsi="Arial"/>
                <w:sz w:val="16"/>
                <w:szCs w:val="16"/>
                <w:b w:val="1"/>
                <w:bCs w:val="1"/>
                <w:color w:val="auto"/>
                <w:w w:val="92"/>
              </w:rPr>
              <w:t>Filing Date</w:t>
            </w:r>
          </w:p>
        </w:tc>
        <w:tc>
          <w:tcPr>
            <w:tcW w:w="0" w:type="dxa"/>
            <w:vAlign w:val="bottom"/>
          </w:tcPr>
          <w:p>
            <w:pPr>
              <w:spacing w:after="0"/>
              <w:rPr>
                <w:sz w:val="1"/>
                <w:szCs w:val="1"/>
                <w:color w:val="auto"/>
              </w:rPr>
            </w:pPr>
          </w:p>
        </w:tc>
      </w:tr>
      <w:tr>
        <w:trPr>
          <w:trHeight w:val="195"/>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8"/>
              </w:rPr>
              <w:t>2.1</w:t>
            </w:r>
          </w:p>
        </w:tc>
        <w:tc>
          <w:tcPr>
            <w:tcW w:w="4420" w:type="dxa"/>
            <w:vAlign w:val="bottom"/>
            <w:gridSpan w:val="12"/>
          </w:tcPr>
          <w:p>
            <w:pPr>
              <w:spacing w:after="0"/>
              <w:rPr>
                <w:rFonts w:ascii="Arial" w:cs="Arial" w:eastAsia="Arial" w:hAnsi="Arial"/>
                <w:sz w:val="16"/>
                <w:szCs w:val="16"/>
                <w:color w:val="0000FF"/>
                <w:w w:val="96"/>
              </w:rPr>
            </w:pPr>
            <w:hyperlink r:id="rId58">
              <w:r>
                <w:rPr>
                  <w:rFonts w:ascii="Arial" w:cs="Arial" w:eastAsia="Arial" w:hAnsi="Arial"/>
                  <w:sz w:val="16"/>
                  <w:szCs w:val="16"/>
                  <w:color w:val="0000FF"/>
                  <w:w w:val="96"/>
                </w:rPr>
                <w:t>Agreement and Plan of Merger, dated as of August 15, 2022, by</w:t>
              </w:r>
            </w:hyperlink>
          </w:p>
        </w:tc>
        <w:tc>
          <w:tcPr>
            <w:tcW w:w="92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rPr>
              <w:t>8-K</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001-40822</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2.1</w:t>
            </w:r>
          </w:p>
        </w:tc>
        <w:tc>
          <w:tcPr>
            <w:tcW w:w="1520" w:type="dxa"/>
            <w:vAlign w:val="bottom"/>
          </w:tcPr>
          <w:p>
            <w:pPr>
              <w:jc w:val="center"/>
              <w:ind w:left="159"/>
              <w:spacing w:after="0"/>
              <w:rPr>
                <w:sz w:val="20"/>
                <w:szCs w:val="20"/>
                <w:color w:val="auto"/>
              </w:rPr>
            </w:pPr>
            <w:r>
              <w:rPr>
                <w:rFonts w:ascii="Arial" w:cs="Arial" w:eastAsia="Arial" w:hAnsi="Arial"/>
                <w:sz w:val="16"/>
                <w:szCs w:val="16"/>
                <w:color w:val="auto"/>
                <w:w w:val="92"/>
              </w:rPr>
              <w:t>August 16, 2022</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420" w:type="dxa"/>
            <w:vAlign w:val="bottom"/>
            <w:gridSpan w:val="12"/>
          </w:tcPr>
          <w:p>
            <w:pPr>
              <w:spacing w:after="0" w:line="169" w:lineRule="exact"/>
              <w:rPr>
                <w:rFonts w:ascii="Arial" w:cs="Arial" w:eastAsia="Arial" w:hAnsi="Arial"/>
                <w:sz w:val="16"/>
                <w:szCs w:val="16"/>
                <w:color w:val="0000FF"/>
                <w:w w:val="94"/>
              </w:rPr>
            </w:pPr>
            <w:hyperlink r:id="rId58">
              <w:r>
                <w:rPr>
                  <w:rFonts w:ascii="Arial" w:cs="Arial" w:eastAsia="Arial" w:hAnsi="Arial"/>
                  <w:sz w:val="16"/>
                  <w:szCs w:val="16"/>
                  <w:color w:val="0000FF"/>
                  <w:w w:val="94"/>
                </w:rPr>
                <w:t>and among, Remitly Global, Inc., Ramon Merger Sub Ltd., Rewire</w:t>
              </w:r>
            </w:hyperlink>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360" w:type="dxa"/>
            <w:vAlign w:val="bottom"/>
            <w:tcBorders>
              <w:top w:val="single" w:sz="8" w:color="0000FF"/>
            </w:tcBorders>
            <w:gridSpan w:val="10"/>
          </w:tcPr>
          <w:p>
            <w:pPr>
              <w:spacing w:after="0" w:line="155" w:lineRule="exact"/>
              <w:rPr>
                <w:rFonts w:ascii="Arial" w:cs="Arial" w:eastAsia="Arial" w:hAnsi="Arial"/>
                <w:sz w:val="16"/>
                <w:szCs w:val="16"/>
                <w:color w:val="0000FF"/>
                <w:w w:val="93"/>
              </w:rPr>
            </w:pPr>
            <w:hyperlink r:id="rId58">
              <w:r>
                <w:rPr>
                  <w:rFonts w:ascii="Arial" w:cs="Arial" w:eastAsia="Arial" w:hAnsi="Arial"/>
                  <w:sz w:val="16"/>
                  <w:szCs w:val="16"/>
                  <w:color w:val="0000FF"/>
                  <w:w w:val="93"/>
                </w:rPr>
                <w:t>(O.S.G) Research and Development Ltd. and Fortis Advisors LLC</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8"/>
              </w:rPr>
              <w:t>3.1</w:t>
            </w:r>
          </w:p>
        </w:tc>
        <w:tc>
          <w:tcPr>
            <w:tcW w:w="4300" w:type="dxa"/>
            <w:vAlign w:val="bottom"/>
            <w:tcBorders>
              <w:top w:val="single" w:sz="8" w:color="0000FF"/>
            </w:tcBorders>
            <w:gridSpan w:val="7"/>
          </w:tcPr>
          <w:p>
            <w:pPr>
              <w:spacing w:after="0"/>
              <w:rPr>
                <w:rFonts w:ascii="Arial" w:cs="Arial" w:eastAsia="Arial" w:hAnsi="Arial"/>
                <w:sz w:val="16"/>
                <w:szCs w:val="16"/>
                <w:color w:val="0000FF"/>
              </w:rPr>
            </w:pPr>
            <w:hyperlink r:id="rId59">
              <w:r>
                <w:rPr>
                  <w:rFonts w:ascii="Arial" w:cs="Arial" w:eastAsia="Arial" w:hAnsi="Arial"/>
                  <w:sz w:val="16"/>
                  <w:szCs w:val="16"/>
                  <w:color w:val="0000FF"/>
                </w:rPr>
                <w:t>Amended and Restated Certificate of Incorporation</w:t>
              </w:r>
            </w:hyperlink>
          </w:p>
        </w:tc>
        <w:tc>
          <w:tcPr>
            <w:tcW w:w="120" w:type="dxa"/>
            <w:vAlign w:val="bottom"/>
            <w:gridSpan w:val="5"/>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001-40822</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3.3</w:t>
            </w:r>
          </w:p>
        </w:tc>
        <w:tc>
          <w:tcPr>
            <w:tcW w:w="1520" w:type="dxa"/>
            <w:vAlign w:val="bottom"/>
          </w:tcPr>
          <w:p>
            <w:pPr>
              <w:jc w:val="center"/>
              <w:ind w:left="159"/>
              <w:spacing w:after="0"/>
              <w:rPr>
                <w:sz w:val="20"/>
                <w:szCs w:val="20"/>
                <w:color w:val="auto"/>
              </w:rPr>
            </w:pPr>
            <w:r>
              <w:rPr>
                <w:rFonts w:ascii="Arial" w:cs="Arial" w:eastAsia="Arial" w:hAnsi="Arial"/>
                <w:sz w:val="16"/>
                <w:szCs w:val="16"/>
                <w:color w:val="auto"/>
                <w:w w:val="91"/>
              </w:rPr>
              <w:t>November 12, 2021</w:t>
            </w:r>
          </w:p>
        </w:tc>
        <w:tc>
          <w:tcPr>
            <w:tcW w:w="0" w:type="dxa"/>
            <w:vAlign w:val="bottom"/>
          </w:tcPr>
          <w:p>
            <w:pPr>
              <w:spacing w:after="0"/>
              <w:rPr>
                <w:sz w:val="1"/>
                <w:szCs w:val="1"/>
                <w:color w:val="auto"/>
              </w:rPr>
            </w:pPr>
          </w:p>
        </w:tc>
      </w:tr>
      <w:tr>
        <w:trPr>
          <w:trHeight w:val="209"/>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8"/>
              </w:rPr>
              <w:t>3.2</w:t>
            </w:r>
          </w:p>
        </w:tc>
        <w:tc>
          <w:tcPr>
            <w:tcW w:w="3320" w:type="dxa"/>
            <w:vAlign w:val="bottom"/>
            <w:tcBorders>
              <w:top w:val="single" w:sz="8" w:color="0000FF"/>
            </w:tcBorders>
            <w:gridSpan w:val="4"/>
          </w:tcPr>
          <w:p>
            <w:pPr>
              <w:spacing w:after="0"/>
              <w:rPr>
                <w:rFonts w:ascii="Arial" w:cs="Arial" w:eastAsia="Arial" w:hAnsi="Arial"/>
                <w:sz w:val="16"/>
                <w:szCs w:val="16"/>
                <w:color w:val="0000FF"/>
              </w:rPr>
            </w:pPr>
            <w:hyperlink r:id="rId60">
              <w:r>
                <w:rPr>
                  <w:rFonts w:ascii="Arial" w:cs="Arial" w:eastAsia="Arial" w:hAnsi="Arial"/>
                  <w:sz w:val="16"/>
                  <w:szCs w:val="16"/>
                  <w:color w:val="0000FF"/>
                </w:rPr>
                <w:t>Restated Bylaws</w:t>
              </w:r>
            </w:hyperlink>
          </w:p>
        </w:tc>
        <w:tc>
          <w:tcPr>
            <w:tcW w:w="1100" w:type="dxa"/>
            <w:vAlign w:val="bottom"/>
            <w:gridSpan w:val="8"/>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jc w:val="center"/>
              <w:spacing w:after="0"/>
              <w:rPr>
                <w:sz w:val="20"/>
                <w:szCs w:val="20"/>
                <w:color w:val="auto"/>
              </w:rPr>
            </w:pPr>
            <w:r>
              <w:rPr>
                <w:rFonts w:ascii="Arial" w:cs="Arial" w:eastAsia="Arial" w:hAnsi="Arial"/>
                <w:sz w:val="16"/>
                <w:szCs w:val="16"/>
                <w:color w:val="auto"/>
                <w:w w:val="95"/>
              </w:rPr>
              <w:t>10-Q</w:t>
            </w:r>
          </w:p>
        </w:tc>
        <w:tc>
          <w:tcPr>
            <w:tcW w:w="1080" w:type="dxa"/>
            <w:vAlign w:val="bottom"/>
          </w:tcPr>
          <w:p>
            <w:pPr>
              <w:jc w:val="center"/>
              <w:spacing w:after="0"/>
              <w:rPr>
                <w:sz w:val="20"/>
                <w:szCs w:val="20"/>
                <w:color w:val="auto"/>
              </w:rPr>
            </w:pPr>
            <w:r>
              <w:rPr>
                <w:rFonts w:ascii="Arial" w:cs="Arial" w:eastAsia="Arial" w:hAnsi="Arial"/>
                <w:sz w:val="16"/>
                <w:szCs w:val="16"/>
                <w:color w:val="auto"/>
                <w:w w:val="91"/>
              </w:rPr>
              <w:t>001-40822</w:t>
            </w:r>
          </w:p>
        </w:tc>
        <w:tc>
          <w:tcPr>
            <w:tcW w:w="920" w:type="dxa"/>
            <w:vAlign w:val="bottom"/>
          </w:tcPr>
          <w:p>
            <w:pPr>
              <w:jc w:val="center"/>
              <w:spacing w:after="0"/>
              <w:rPr>
                <w:sz w:val="20"/>
                <w:szCs w:val="20"/>
                <w:color w:val="auto"/>
              </w:rPr>
            </w:pPr>
            <w:r>
              <w:rPr>
                <w:rFonts w:ascii="Arial" w:cs="Arial" w:eastAsia="Arial" w:hAnsi="Arial"/>
                <w:sz w:val="16"/>
                <w:szCs w:val="16"/>
                <w:color w:val="auto"/>
                <w:w w:val="89"/>
              </w:rPr>
              <w:t>3.4</w:t>
            </w:r>
          </w:p>
        </w:tc>
        <w:tc>
          <w:tcPr>
            <w:tcW w:w="1520" w:type="dxa"/>
            <w:vAlign w:val="bottom"/>
          </w:tcPr>
          <w:p>
            <w:pPr>
              <w:jc w:val="center"/>
              <w:ind w:left="159"/>
              <w:spacing w:after="0"/>
              <w:rPr>
                <w:sz w:val="20"/>
                <w:szCs w:val="20"/>
                <w:color w:val="auto"/>
              </w:rPr>
            </w:pPr>
            <w:r>
              <w:rPr>
                <w:rFonts w:ascii="Arial" w:cs="Arial" w:eastAsia="Arial" w:hAnsi="Arial"/>
                <w:sz w:val="16"/>
                <w:szCs w:val="16"/>
                <w:color w:val="auto"/>
                <w:w w:val="91"/>
              </w:rPr>
              <w:t>November 12, 2021</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6"/>
              </w:rPr>
              <w:t>31.1</w:t>
            </w:r>
          </w:p>
        </w:tc>
        <w:tc>
          <w:tcPr>
            <w:tcW w:w="4420" w:type="dxa"/>
            <w:vAlign w:val="bottom"/>
            <w:gridSpan w:val="12"/>
          </w:tcPr>
          <w:p>
            <w:pPr>
              <w:spacing w:after="0"/>
              <w:rPr>
                <w:sz w:val="20"/>
                <w:szCs w:val="20"/>
                <w:color w:val="auto"/>
              </w:rPr>
            </w:pPr>
            <w:r>
              <w:rPr>
                <w:rFonts w:ascii="Arial" w:cs="Arial" w:eastAsia="Arial" w:hAnsi="Arial"/>
                <w:sz w:val="16"/>
                <w:szCs w:val="16"/>
                <w:color w:val="0000FF"/>
                <w:w w:val="95"/>
              </w:rPr>
              <w:t>Certification of Principal Executive Officer Pursuant to Rules 13a-</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00" w:type="dxa"/>
            <w:vAlign w:val="bottom"/>
            <w:gridSpan w:val="2"/>
            <w:shd w:val="clear" w:color="auto" w:fill="0000FF"/>
          </w:tcPr>
          <w:p>
            <w:pPr>
              <w:spacing w:after="0" w:line="20" w:lineRule="exact"/>
              <w:rPr>
                <w:sz w:val="1"/>
                <w:szCs w:val="1"/>
                <w:color w:val="auto"/>
              </w:rPr>
            </w:pPr>
          </w:p>
        </w:tc>
        <w:tc>
          <w:tcPr>
            <w:tcW w:w="292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420" w:type="dxa"/>
            <w:vAlign w:val="bottom"/>
            <w:gridSpan w:val="12"/>
          </w:tcPr>
          <w:p>
            <w:pPr>
              <w:spacing w:after="0" w:line="169" w:lineRule="exact"/>
              <w:rPr>
                <w:sz w:val="20"/>
                <w:szCs w:val="20"/>
                <w:color w:val="auto"/>
              </w:rPr>
            </w:pPr>
            <w:r>
              <w:rPr>
                <w:rFonts w:ascii="Arial" w:cs="Arial" w:eastAsia="Arial" w:hAnsi="Arial"/>
                <w:sz w:val="16"/>
                <w:szCs w:val="16"/>
                <w:color w:val="0000FF"/>
                <w:w w:val="92"/>
              </w:rPr>
              <w:t>14(a) and 15d-14(a) under the Securities Exchange Act of 1934, as</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920" w:type="dxa"/>
            <w:vAlign w:val="bottom"/>
          </w:tcPr>
          <w:p>
            <w:pPr>
              <w:spacing w:after="0"/>
              <w:rPr>
                <w:sz w:val="13"/>
                <w:szCs w:val="13"/>
                <w:color w:val="auto"/>
              </w:rPr>
            </w:pPr>
          </w:p>
        </w:tc>
        <w:tc>
          <w:tcPr>
            <w:tcW w:w="4340" w:type="dxa"/>
            <w:vAlign w:val="bottom"/>
            <w:tcBorders>
              <w:top w:val="single" w:sz="8" w:color="0000FF"/>
            </w:tcBorders>
            <w:gridSpan w:val="9"/>
          </w:tcPr>
          <w:p>
            <w:pPr>
              <w:spacing w:after="0" w:line="155" w:lineRule="exact"/>
              <w:rPr>
                <w:sz w:val="20"/>
                <w:szCs w:val="20"/>
                <w:color w:val="auto"/>
              </w:rPr>
            </w:pPr>
            <w:r>
              <w:rPr>
                <w:rFonts w:ascii="Arial" w:cs="Arial" w:eastAsia="Arial" w:hAnsi="Arial"/>
                <w:sz w:val="16"/>
                <w:szCs w:val="16"/>
                <w:color w:val="0000FF"/>
                <w:w w:val="97"/>
              </w:rPr>
              <w:t>Adopted Pursuant to Section 302 of the Sarbanes-Oxley Act of</w:t>
            </w: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vMerge w:val="restart"/>
          </w:tcPr>
          <w:p>
            <w:pPr>
              <w:jc w:val="center"/>
              <w:ind w:right="19"/>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84"/>
              </w:rPr>
              <w:t>2002</w:t>
            </w:r>
          </w:p>
        </w:tc>
        <w:tc>
          <w:tcPr>
            <w:tcW w:w="7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10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6"/>
              </w:rPr>
              <w:t>31.2</w:t>
            </w:r>
          </w:p>
        </w:tc>
        <w:tc>
          <w:tcPr>
            <w:tcW w:w="4420" w:type="dxa"/>
            <w:vAlign w:val="bottom"/>
            <w:gridSpan w:val="12"/>
          </w:tcPr>
          <w:p>
            <w:pPr>
              <w:spacing w:after="0"/>
              <w:rPr>
                <w:sz w:val="20"/>
                <w:szCs w:val="20"/>
                <w:color w:val="auto"/>
              </w:rPr>
            </w:pPr>
            <w:r>
              <w:rPr>
                <w:rFonts w:ascii="Arial" w:cs="Arial" w:eastAsia="Arial" w:hAnsi="Arial"/>
                <w:sz w:val="16"/>
                <w:szCs w:val="16"/>
                <w:color w:val="0000FF"/>
                <w:w w:val="96"/>
              </w:rPr>
              <w:t>Certification of Principal Financial Officer Pursuant to Rules 13a-</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160" w:type="dxa"/>
            <w:vAlign w:val="bottom"/>
            <w:tcBorders>
              <w:left w:val="single" w:sz="8" w:color="0000FF"/>
            </w:tcBorders>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420" w:type="dxa"/>
            <w:vAlign w:val="bottom"/>
            <w:gridSpan w:val="12"/>
          </w:tcPr>
          <w:p>
            <w:pPr>
              <w:spacing w:after="0" w:line="169" w:lineRule="exact"/>
              <w:rPr>
                <w:sz w:val="20"/>
                <w:szCs w:val="20"/>
                <w:color w:val="auto"/>
              </w:rPr>
            </w:pPr>
            <w:r>
              <w:rPr>
                <w:rFonts w:ascii="Arial" w:cs="Arial" w:eastAsia="Arial" w:hAnsi="Arial"/>
                <w:sz w:val="16"/>
                <w:szCs w:val="16"/>
                <w:color w:val="0000FF"/>
                <w:w w:val="92"/>
              </w:rPr>
              <w:t>14(a) and 15d-14(a) under the Securities Exchange Act of 1934, as</w:t>
            </w:r>
          </w:p>
        </w:tc>
        <w:tc>
          <w:tcPr>
            <w:tcW w:w="9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4340" w:type="dxa"/>
            <w:vAlign w:val="bottom"/>
            <w:tcBorders>
              <w:top w:val="single" w:sz="8" w:color="0000FF"/>
            </w:tcBorders>
            <w:gridSpan w:val="9"/>
          </w:tcPr>
          <w:p>
            <w:pPr>
              <w:spacing w:after="0" w:line="155" w:lineRule="exact"/>
              <w:rPr>
                <w:sz w:val="20"/>
                <w:szCs w:val="20"/>
                <w:color w:val="auto"/>
              </w:rPr>
            </w:pPr>
            <w:r>
              <w:rPr>
                <w:rFonts w:ascii="Arial" w:cs="Arial" w:eastAsia="Arial" w:hAnsi="Arial"/>
                <w:sz w:val="16"/>
                <w:szCs w:val="16"/>
                <w:color w:val="0000FF"/>
                <w:w w:val="97"/>
              </w:rPr>
              <w:t>Adopted Pursuant to Section 302 of the Sarbanes-Oxley Act of</w:t>
            </w:r>
          </w:p>
        </w:tc>
        <w:tc>
          <w:tcPr>
            <w:tcW w:w="4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vMerge w:val="restart"/>
          </w:tcPr>
          <w:p>
            <w:pPr>
              <w:jc w:val="center"/>
              <w:ind w:right="19"/>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920" w:type="dxa"/>
            <w:vAlign w:val="bottom"/>
          </w:tcPr>
          <w:p>
            <w:pPr>
              <w:spacing w:after="0"/>
              <w:rPr>
                <w:sz w:val="14"/>
                <w:szCs w:val="14"/>
                <w:color w:val="auto"/>
              </w:rPr>
            </w:pPr>
          </w:p>
        </w:tc>
        <w:tc>
          <w:tcPr>
            <w:tcW w:w="320" w:type="dxa"/>
            <w:vAlign w:val="bottom"/>
            <w:tcBorders>
              <w:top w:val="single" w:sz="8" w:color="0000FF"/>
              <w:bottom w:val="single" w:sz="8" w:color="0000FF"/>
            </w:tcBorders>
          </w:tcPr>
          <w:p>
            <w:pPr>
              <w:spacing w:after="0" w:line="169" w:lineRule="exact"/>
              <w:rPr>
                <w:sz w:val="20"/>
                <w:szCs w:val="20"/>
                <w:color w:val="auto"/>
              </w:rPr>
            </w:pPr>
            <w:r>
              <w:rPr>
                <w:rFonts w:ascii="Arial" w:cs="Arial" w:eastAsia="Arial" w:hAnsi="Arial"/>
                <w:sz w:val="16"/>
                <w:szCs w:val="16"/>
                <w:color w:val="0000FF"/>
                <w:w w:val="84"/>
              </w:rPr>
              <w:t>2002</w:t>
            </w:r>
          </w:p>
        </w:tc>
        <w:tc>
          <w:tcPr>
            <w:tcW w:w="76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2100" w:type="dxa"/>
            <w:vAlign w:val="bottom"/>
            <w:tcBorders>
              <w:top w:val="single" w:sz="8" w:color="0000FF"/>
            </w:tcBorders>
          </w:tcPr>
          <w:p>
            <w:pPr>
              <w:spacing w:after="0"/>
              <w:rPr>
                <w:sz w:val="14"/>
                <w:szCs w:val="14"/>
                <w:color w:val="auto"/>
              </w:rPr>
            </w:pPr>
          </w:p>
        </w:tc>
        <w:tc>
          <w:tcPr>
            <w:tcW w:w="82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20" w:type="dxa"/>
            <w:vAlign w:val="bottom"/>
            <w:vMerge w:val="continue"/>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0" w:type="dxa"/>
            <w:vAlign w:val="bottom"/>
          </w:tcPr>
          <w:p>
            <w:pPr>
              <w:jc w:val="center"/>
              <w:ind w:right="59"/>
              <w:spacing w:after="0"/>
              <w:rPr>
                <w:sz w:val="20"/>
                <w:szCs w:val="20"/>
                <w:color w:val="auto"/>
              </w:rPr>
            </w:pPr>
            <w:r>
              <w:rPr>
                <w:rFonts w:ascii="Arial" w:cs="Arial" w:eastAsia="Arial" w:hAnsi="Arial"/>
                <w:sz w:val="16"/>
                <w:szCs w:val="16"/>
                <w:color w:val="auto"/>
              </w:rPr>
              <w:t>32.1*</w:t>
            </w:r>
          </w:p>
        </w:tc>
        <w:tc>
          <w:tcPr>
            <w:tcW w:w="4420" w:type="dxa"/>
            <w:vAlign w:val="bottom"/>
            <w:gridSpan w:val="12"/>
          </w:tcPr>
          <w:p>
            <w:pPr>
              <w:spacing w:after="0"/>
              <w:rPr>
                <w:sz w:val="20"/>
                <w:szCs w:val="20"/>
                <w:color w:val="auto"/>
              </w:rPr>
            </w:pPr>
            <w:r>
              <w:rPr>
                <w:rFonts w:ascii="Arial" w:cs="Arial" w:eastAsia="Arial" w:hAnsi="Arial"/>
                <w:sz w:val="16"/>
                <w:szCs w:val="16"/>
                <w:color w:val="0000FF"/>
                <w:w w:val="97"/>
              </w:rPr>
              <w:t>Certification of Principal Executive Officer Pursuant to 18 U.S.C.</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220" w:type="dxa"/>
            <w:vAlign w:val="bottom"/>
            <w:gridSpan w:val="3"/>
            <w:shd w:val="clear" w:color="auto" w:fill="0000FF"/>
          </w:tcPr>
          <w:p>
            <w:pPr>
              <w:spacing w:after="0" w:line="20" w:lineRule="exact"/>
              <w:rPr>
                <w:sz w:val="1"/>
                <w:szCs w:val="1"/>
                <w:color w:val="auto"/>
              </w:rPr>
            </w:pPr>
          </w:p>
        </w:tc>
        <w:tc>
          <w:tcPr>
            <w:tcW w:w="3000" w:type="dxa"/>
            <w:vAlign w:val="bottom"/>
            <w:gridSpan w:val="3"/>
            <w:shd w:val="clear" w:color="auto" w:fill="0000FF"/>
          </w:tcPr>
          <w:p>
            <w:pPr>
              <w:spacing w:after="0" w:line="20" w:lineRule="exact"/>
              <w:rPr>
                <w:sz w:val="1"/>
                <w:szCs w:val="1"/>
                <w:color w:val="auto"/>
              </w:rPr>
            </w:pPr>
          </w:p>
        </w:tc>
        <w:tc>
          <w:tcPr>
            <w:tcW w:w="16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420" w:type="dxa"/>
            <w:vAlign w:val="bottom"/>
            <w:gridSpan w:val="12"/>
          </w:tcPr>
          <w:p>
            <w:pPr>
              <w:spacing w:after="0" w:line="169" w:lineRule="exact"/>
              <w:rPr>
                <w:sz w:val="20"/>
                <w:szCs w:val="20"/>
                <w:color w:val="auto"/>
              </w:rPr>
            </w:pPr>
            <w:r>
              <w:rPr>
                <w:rFonts w:ascii="Arial" w:cs="Arial" w:eastAsia="Arial" w:hAnsi="Arial"/>
                <w:sz w:val="16"/>
                <w:szCs w:val="16"/>
                <w:color w:val="0000FF"/>
                <w:w w:val="91"/>
              </w:rPr>
              <w:t>Section 1350, as Adopted Pursuant to Section 906 of the Sarbanes-</w:t>
            </w:r>
          </w:p>
        </w:tc>
        <w:tc>
          <w:tcPr>
            <w:tcW w:w="920" w:type="dxa"/>
            <w:vAlign w:val="bottom"/>
            <w:vMerge w:val="restart"/>
          </w:tcPr>
          <w:p>
            <w:pPr>
              <w:jc w:val="center"/>
              <w:ind w:right="19"/>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3"/>
          </w:tcPr>
          <w:p>
            <w:pPr>
              <w:spacing w:after="0" w:line="155" w:lineRule="exact"/>
              <w:rPr>
                <w:sz w:val="20"/>
                <w:szCs w:val="20"/>
                <w:color w:val="auto"/>
              </w:rPr>
            </w:pPr>
            <w:r>
              <w:rPr>
                <w:rFonts w:ascii="Arial" w:cs="Arial" w:eastAsia="Arial" w:hAnsi="Arial"/>
                <w:sz w:val="16"/>
                <w:szCs w:val="16"/>
                <w:color w:val="0000FF"/>
                <w:w w:val="94"/>
              </w:rPr>
              <w:t>Oxley Act of 2002</w:t>
            </w:r>
          </w:p>
        </w:tc>
        <w:tc>
          <w:tcPr>
            <w:tcW w:w="316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920" w:type="dxa"/>
            <w:vAlign w:val="bottom"/>
          </w:tcPr>
          <w:p>
            <w:pPr>
              <w:jc w:val="center"/>
              <w:ind w:right="59"/>
              <w:spacing w:after="0"/>
              <w:rPr>
                <w:sz w:val="20"/>
                <w:szCs w:val="20"/>
                <w:color w:val="auto"/>
              </w:rPr>
            </w:pPr>
            <w:r>
              <w:rPr>
                <w:rFonts w:ascii="Arial" w:cs="Arial" w:eastAsia="Arial" w:hAnsi="Arial"/>
                <w:sz w:val="16"/>
                <w:szCs w:val="16"/>
                <w:color w:val="auto"/>
              </w:rPr>
              <w:t>32.2*</w:t>
            </w:r>
          </w:p>
        </w:tc>
        <w:tc>
          <w:tcPr>
            <w:tcW w:w="4420" w:type="dxa"/>
            <w:vAlign w:val="bottom"/>
            <w:gridSpan w:val="12"/>
          </w:tcPr>
          <w:p>
            <w:pPr>
              <w:spacing w:after="0"/>
              <w:rPr>
                <w:sz w:val="20"/>
                <w:szCs w:val="20"/>
                <w:color w:val="auto"/>
              </w:rPr>
            </w:pPr>
            <w:r>
              <w:rPr>
                <w:rFonts w:ascii="Arial" w:cs="Arial" w:eastAsia="Arial" w:hAnsi="Arial"/>
                <w:sz w:val="16"/>
                <w:szCs w:val="16"/>
                <w:color w:val="0000FF"/>
                <w:w w:val="98"/>
              </w:rPr>
              <w:t>Certification of Principal Financial Officer Pursuant to 18 U.S.C.</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4220" w:type="dxa"/>
            <w:vAlign w:val="bottom"/>
            <w:gridSpan w:val="6"/>
            <w:shd w:val="clear" w:color="auto" w:fill="0000FF"/>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920" w:type="dxa"/>
            <w:vAlign w:val="bottom"/>
          </w:tcPr>
          <w:p>
            <w:pPr>
              <w:spacing w:after="0"/>
              <w:rPr>
                <w:sz w:val="14"/>
                <w:szCs w:val="14"/>
                <w:color w:val="auto"/>
              </w:rPr>
            </w:pPr>
          </w:p>
        </w:tc>
        <w:tc>
          <w:tcPr>
            <w:tcW w:w="4420" w:type="dxa"/>
            <w:vAlign w:val="bottom"/>
            <w:gridSpan w:val="12"/>
          </w:tcPr>
          <w:p>
            <w:pPr>
              <w:spacing w:after="0" w:line="169" w:lineRule="exact"/>
              <w:rPr>
                <w:sz w:val="20"/>
                <w:szCs w:val="20"/>
                <w:color w:val="auto"/>
              </w:rPr>
            </w:pPr>
            <w:r>
              <w:rPr>
                <w:rFonts w:ascii="Arial" w:cs="Arial" w:eastAsia="Arial" w:hAnsi="Arial"/>
                <w:sz w:val="16"/>
                <w:szCs w:val="16"/>
                <w:color w:val="0000FF"/>
                <w:w w:val="91"/>
              </w:rPr>
              <w:t>Section 1350, as Adopted Pursuant to Section 906 of the Sarbanes-</w:t>
            </w:r>
          </w:p>
        </w:tc>
        <w:tc>
          <w:tcPr>
            <w:tcW w:w="920" w:type="dxa"/>
            <w:vAlign w:val="bottom"/>
            <w:vMerge w:val="restart"/>
          </w:tcPr>
          <w:p>
            <w:pPr>
              <w:jc w:val="center"/>
              <w:ind w:right="19"/>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920" w:type="dxa"/>
            <w:vAlign w:val="bottom"/>
          </w:tcPr>
          <w:p>
            <w:pPr>
              <w:spacing w:after="0"/>
              <w:rPr>
                <w:sz w:val="13"/>
                <w:szCs w:val="13"/>
                <w:color w:val="auto"/>
              </w:rPr>
            </w:pPr>
          </w:p>
        </w:tc>
        <w:tc>
          <w:tcPr>
            <w:tcW w:w="1220" w:type="dxa"/>
            <w:vAlign w:val="bottom"/>
            <w:tcBorders>
              <w:top w:val="single" w:sz="8" w:color="0000FF"/>
              <w:bottom w:val="single" w:sz="8" w:color="0000FF"/>
            </w:tcBorders>
            <w:gridSpan w:val="3"/>
          </w:tcPr>
          <w:p>
            <w:pPr>
              <w:spacing w:after="0" w:line="155" w:lineRule="exact"/>
              <w:rPr>
                <w:sz w:val="20"/>
                <w:szCs w:val="20"/>
                <w:color w:val="auto"/>
              </w:rPr>
            </w:pPr>
            <w:r>
              <w:rPr>
                <w:rFonts w:ascii="Arial" w:cs="Arial" w:eastAsia="Arial" w:hAnsi="Arial"/>
                <w:sz w:val="16"/>
                <w:szCs w:val="16"/>
                <w:color w:val="0000FF"/>
                <w:w w:val="94"/>
              </w:rPr>
              <w:t>Oxley Act of 2002</w:t>
            </w:r>
          </w:p>
        </w:tc>
        <w:tc>
          <w:tcPr>
            <w:tcW w:w="3160" w:type="dxa"/>
            <w:vAlign w:val="bottom"/>
            <w:tcBorders>
              <w:top w:val="single" w:sz="8" w:color="0000FF"/>
            </w:tcBorders>
            <w:gridSpan w:val="8"/>
          </w:tcPr>
          <w:p>
            <w:pPr>
              <w:spacing w:after="0"/>
              <w:rPr>
                <w:sz w:val="13"/>
                <w:szCs w:val="13"/>
                <w:color w:val="auto"/>
              </w:rPr>
            </w:pPr>
          </w:p>
        </w:tc>
        <w:tc>
          <w:tcPr>
            <w:tcW w:w="4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3"/>
              </w:rPr>
              <w:t>101.INS</w:t>
            </w:r>
          </w:p>
        </w:tc>
        <w:tc>
          <w:tcPr>
            <w:tcW w:w="4420" w:type="dxa"/>
            <w:vAlign w:val="bottom"/>
            <w:gridSpan w:val="12"/>
          </w:tcPr>
          <w:p>
            <w:pPr>
              <w:spacing w:after="0"/>
              <w:rPr>
                <w:sz w:val="20"/>
                <w:szCs w:val="20"/>
                <w:color w:val="auto"/>
              </w:rPr>
            </w:pPr>
            <w:r>
              <w:rPr>
                <w:rFonts w:ascii="Arial" w:cs="Arial" w:eastAsia="Arial" w:hAnsi="Arial"/>
                <w:sz w:val="16"/>
                <w:szCs w:val="16"/>
                <w:color w:val="auto"/>
                <w:w w:val="94"/>
              </w:rPr>
              <w:t>Inline XBRL Instance Document (the instance document does not</w:t>
            </w: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920" w:type="dxa"/>
            <w:vAlign w:val="bottom"/>
          </w:tcPr>
          <w:p>
            <w:pPr>
              <w:spacing w:after="0"/>
              <w:rPr>
                <w:sz w:val="15"/>
                <w:szCs w:val="15"/>
                <w:color w:val="auto"/>
              </w:rPr>
            </w:pPr>
          </w:p>
        </w:tc>
        <w:tc>
          <w:tcPr>
            <w:tcW w:w="4420" w:type="dxa"/>
            <w:vAlign w:val="bottom"/>
            <w:gridSpan w:val="12"/>
          </w:tcPr>
          <w:p>
            <w:pPr>
              <w:spacing w:after="0" w:line="175" w:lineRule="exact"/>
              <w:rPr>
                <w:sz w:val="20"/>
                <w:szCs w:val="20"/>
                <w:color w:val="auto"/>
              </w:rPr>
            </w:pPr>
            <w:r>
              <w:rPr>
                <w:rFonts w:ascii="Arial" w:cs="Arial" w:eastAsia="Arial" w:hAnsi="Arial"/>
                <w:sz w:val="16"/>
                <w:szCs w:val="16"/>
                <w:color w:val="auto"/>
              </w:rPr>
              <w:t>appear in the Interactive Data File because its XBRL tags are</w:t>
            </w:r>
          </w:p>
        </w:tc>
        <w:tc>
          <w:tcPr>
            <w:tcW w:w="9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4420" w:type="dxa"/>
            <w:vAlign w:val="bottom"/>
            <w:gridSpan w:val="12"/>
          </w:tcPr>
          <w:p>
            <w:pPr>
              <w:spacing w:after="0"/>
              <w:rPr>
                <w:sz w:val="20"/>
                <w:szCs w:val="20"/>
                <w:color w:val="auto"/>
              </w:rPr>
            </w:pPr>
            <w:r>
              <w:rPr>
                <w:rFonts w:ascii="Arial" w:cs="Arial" w:eastAsia="Arial" w:hAnsi="Arial"/>
                <w:sz w:val="16"/>
                <w:szCs w:val="16"/>
                <w:color w:val="auto"/>
              </w:rPr>
              <w:t>embedded within the Inline XBRL document).</w:t>
            </w:r>
          </w:p>
        </w:tc>
        <w:tc>
          <w:tcPr>
            <w:tcW w:w="920" w:type="dxa"/>
            <w:vAlign w:val="bottom"/>
          </w:tcPr>
          <w:p>
            <w:pPr>
              <w:jc w:val="center"/>
              <w:ind w:right="19"/>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89"/>
              </w:rPr>
              <w:t>101.SCH</w:t>
            </w:r>
          </w:p>
        </w:tc>
        <w:tc>
          <w:tcPr>
            <w:tcW w:w="4420" w:type="dxa"/>
            <w:vAlign w:val="bottom"/>
            <w:gridSpan w:val="12"/>
          </w:tcPr>
          <w:p>
            <w:pPr>
              <w:spacing w:after="0"/>
              <w:rPr>
                <w:sz w:val="20"/>
                <w:szCs w:val="20"/>
                <w:color w:val="auto"/>
              </w:rPr>
            </w:pPr>
            <w:r>
              <w:rPr>
                <w:rFonts w:ascii="Arial" w:cs="Arial" w:eastAsia="Arial" w:hAnsi="Arial"/>
                <w:sz w:val="16"/>
                <w:szCs w:val="16"/>
                <w:color w:val="auto"/>
              </w:rPr>
              <w:t>Inline XBRL Taxonomy Extension Schema Document.</w:t>
            </w:r>
          </w:p>
        </w:tc>
        <w:tc>
          <w:tcPr>
            <w:tcW w:w="920" w:type="dxa"/>
            <w:vAlign w:val="bottom"/>
          </w:tcPr>
          <w:p>
            <w:pPr>
              <w:jc w:val="center"/>
              <w:ind w:right="19"/>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9"/>
              </w:rPr>
              <w:t>101.CAL</w:t>
            </w:r>
          </w:p>
        </w:tc>
        <w:tc>
          <w:tcPr>
            <w:tcW w:w="4420" w:type="dxa"/>
            <w:vAlign w:val="bottom"/>
            <w:gridSpan w:val="12"/>
          </w:tcPr>
          <w:p>
            <w:pPr>
              <w:spacing w:after="0"/>
              <w:rPr>
                <w:sz w:val="20"/>
                <w:szCs w:val="20"/>
                <w:color w:val="auto"/>
              </w:rPr>
            </w:pPr>
            <w:r>
              <w:rPr>
                <w:rFonts w:ascii="Arial" w:cs="Arial" w:eastAsia="Arial" w:hAnsi="Arial"/>
                <w:sz w:val="16"/>
                <w:szCs w:val="16"/>
                <w:color w:val="auto"/>
              </w:rPr>
              <w:t>Inline XBRL Taxonomy Extension Calculation Linkbase</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442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920" w:type="dxa"/>
            <w:vAlign w:val="bottom"/>
          </w:tcPr>
          <w:p>
            <w:pPr>
              <w:jc w:val="center"/>
              <w:ind w:right="19"/>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1"/>
              </w:rPr>
              <w:t>101.DEF</w:t>
            </w:r>
          </w:p>
        </w:tc>
        <w:tc>
          <w:tcPr>
            <w:tcW w:w="4420" w:type="dxa"/>
            <w:vAlign w:val="bottom"/>
            <w:gridSpan w:val="12"/>
          </w:tcPr>
          <w:p>
            <w:pPr>
              <w:spacing w:after="0"/>
              <w:rPr>
                <w:sz w:val="20"/>
                <w:szCs w:val="20"/>
                <w:color w:val="auto"/>
              </w:rPr>
            </w:pPr>
            <w:r>
              <w:rPr>
                <w:rFonts w:ascii="Arial" w:cs="Arial" w:eastAsia="Arial" w:hAnsi="Arial"/>
                <w:sz w:val="16"/>
                <w:szCs w:val="16"/>
                <w:color w:val="auto"/>
              </w:rPr>
              <w:t>Inline XBRL Taxonomy Extension Definition Linkbase</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442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920" w:type="dxa"/>
            <w:vAlign w:val="bottom"/>
          </w:tcPr>
          <w:p>
            <w:pPr>
              <w:jc w:val="center"/>
              <w:ind w:right="19"/>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920" w:type="dxa"/>
            <w:vAlign w:val="bottom"/>
          </w:tcPr>
          <w:p>
            <w:pPr>
              <w:jc w:val="center"/>
              <w:ind w:right="59"/>
              <w:spacing w:after="0"/>
              <w:rPr>
                <w:sz w:val="20"/>
                <w:szCs w:val="20"/>
                <w:color w:val="auto"/>
              </w:rPr>
            </w:pPr>
            <w:r>
              <w:rPr>
                <w:rFonts w:ascii="Arial" w:cs="Arial" w:eastAsia="Arial" w:hAnsi="Arial"/>
                <w:sz w:val="16"/>
                <w:szCs w:val="16"/>
                <w:color w:val="auto"/>
              </w:rPr>
              <w:t>101.LAB</w:t>
            </w:r>
          </w:p>
        </w:tc>
        <w:tc>
          <w:tcPr>
            <w:tcW w:w="4420" w:type="dxa"/>
            <w:vAlign w:val="bottom"/>
            <w:gridSpan w:val="12"/>
          </w:tcPr>
          <w:p>
            <w:pPr>
              <w:spacing w:after="0"/>
              <w:rPr>
                <w:sz w:val="20"/>
                <w:szCs w:val="20"/>
                <w:color w:val="auto"/>
              </w:rPr>
            </w:pPr>
            <w:r>
              <w:rPr>
                <w:rFonts w:ascii="Arial" w:cs="Arial" w:eastAsia="Arial" w:hAnsi="Arial"/>
                <w:sz w:val="16"/>
                <w:szCs w:val="16"/>
                <w:color w:val="auto"/>
              </w:rPr>
              <w:t>Inline XBRL Taxonomy Extension Label Linkbase Document.</w:t>
            </w:r>
          </w:p>
        </w:tc>
        <w:tc>
          <w:tcPr>
            <w:tcW w:w="920" w:type="dxa"/>
            <w:vAlign w:val="bottom"/>
          </w:tcPr>
          <w:p>
            <w:pPr>
              <w:jc w:val="center"/>
              <w:ind w:right="19"/>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0"/>
              </w:rPr>
              <w:t>101.PRE</w:t>
            </w:r>
          </w:p>
        </w:tc>
        <w:tc>
          <w:tcPr>
            <w:tcW w:w="4420" w:type="dxa"/>
            <w:vAlign w:val="bottom"/>
            <w:gridSpan w:val="12"/>
          </w:tcPr>
          <w:p>
            <w:pPr>
              <w:spacing w:after="0"/>
              <w:rPr>
                <w:sz w:val="20"/>
                <w:szCs w:val="20"/>
                <w:color w:val="auto"/>
              </w:rPr>
            </w:pPr>
            <w:r>
              <w:rPr>
                <w:rFonts w:ascii="Arial" w:cs="Arial" w:eastAsia="Arial" w:hAnsi="Arial"/>
                <w:sz w:val="16"/>
                <w:szCs w:val="16"/>
                <w:color w:val="auto"/>
              </w:rPr>
              <w:t>Inline XBRL Taxonomy Extension Presentation Linkbase</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4420" w:type="dxa"/>
            <w:vAlign w:val="bottom"/>
            <w:gridSpan w:val="12"/>
          </w:tcPr>
          <w:p>
            <w:pPr>
              <w:spacing w:after="0"/>
              <w:rPr>
                <w:sz w:val="20"/>
                <w:szCs w:val="20"/>
                <w:color w:val="auto"/>
              </w:rPr>
            </w:pPr>
            <w:r>
              <w:rPr>
                <w:rFonts w:ascii="Arial" w:cs="Arial" w:eastAsia="Arial" w:hAnsi="Arial"/>
                <w:sz w:val="16"/>
                <w:szCs w:val="16"/>
                <w:color w:val="auto"/>
              </w:rPr>
              <w:t>Document.</w:t>
            </w:r>
          </w:p>
        </w:tc>
        <w:tc>
          <w:tcPr>
            <w:tcW w:w="920" w:type="dxa"/>
            <w:vAlign w:val="bottom"/>
          </w:tcPr>
          <w:p>
            <w:pPr>
              <w:jc w:val="center"/>
              <w:ind w:right="19"/>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920" w:type="dxa"/>
            <w:vAlign w:val="bottom"/>
          </w:tcPr>
          <w:p>
            <w:pPr>
              <w:jc w:val="center"/>
              <w:ind w:right="59"/>
              <w:spacing w:after="0"/>
              <w:rPr>
                <w:sz w:val="20"/>
                <w:szCs w:val="20"/>
                <w:color w:val="auto"/>
              </w:rPr>
            </w:pPr>
            <w:r>
              <w:rPr>
                <w:rFonts w:ascii="Arial" w:cs="Arial" w:eastAsia="Arial" w:hAnsi="Arial"/>
                <w:sz w:val="16"/>
                <w:szCs w:val="16"/>
                <w:color w:val="auto"/>
                <w:w w:val="97"/>
              </w:rPr>
              <w:t>104</w:t>
            </w:r>
          </w:p>
        </w:tc>
        <w:tc>
          <w:tcPr>
            <w:tcW w:w="4420" w:type="dxa"/>
            <w:vAlign w:val="bottom"/>
            <w:gridSpan w:val="12"/>
          </w:tcPr>
          <w:p>
            <w:pPr>
              <w:spacing w:after="0"/>
              <w:rPr>
                <w:sz w:val="20"/>
                <w:szCs w:val="20"/>
                <w:color w:val="auto"/>
              </w:rPr>
            </w:pPr>
            <w:r>
              <w:rPr>
                <w:rFonts w:ascii="Arial" w:cs="Arial" w:eastAsia="Arial" w:hAnsi="Arial"/>
                <w:sz w:val="16"/>
                <w:szCs w:val="16"/>
                <w:color w:val="auto"/>
                <w:w w:val="97"/>
              </w:rPr>
              <w:t>Cover Page Interactive Data File (formatted as inline XBRL and</w:t>
            </w:r>
          </w:p>
        </w:tc>
        <w:tc>
          <w:tcPr>
            <w:tcW w:w="9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920" w:type="dxa"/>
            <w:vAlign w:val="bottom"/>
          </w:tcPr>
          <w:p>
            <w:pPr>
              <w:spacing w:after="0"/>
              <w:rPr>
                <w:sz w:val="17"/>
                <w:szCs w:val="17"/>
                <w:color w:val="auto"/>
              </w:rPr>
            </w:pPr>
          </w:p>
        </w:tc>
        <w:tc>
          <w:tcPr>
            <w:tcW w:w="4420" w:type="dxa"/>
            <w:vAlign w:val="bottom"/>
            <w:gridSpan w:val="12"/>
          </w:tcPr>
          <w:p>
            <w:pPr>
              <w:spacing w:after="0"/>
              <w:rPr>
                <w:sz w:val="20"/>
                <w:szCs w:val="20"/>
                <w:color w:val="auto"/>
              </w:rPr>
            </w:pPr>
            <w:r>
              <w:rPr>
                <w:rFonts w:ascii="Arial" w:cs="Arial" w:eastAsia="Arial" w:hAnsi="Arial"/>
                <w:sz w:val="16"/>
                <w:szCs w:val="16"/>
                <w:color w:val="auto"/>
              </w:rPr>
              <w:t>contained in Exhibit 101).</w:t>
            </w:r>
          </w:p>
        </w:tc>
        <w:tc>
          <w:tcPr>
            <w:tcW w:w="920" w:type="dxa"/>
            <w:vAlign w:val="bottom"/>
          </w:tcPr>
          <w:p>
            <w:pPr>
              <w:jc w:val="center"/>
              <w:ind w:right="19"/>
              <w:spacing w:after="0"/>
              <w:rPr>
                <w:sz w:val="20"/>
                <w:szCs w:val="20"/>
                <w:color w:val="auto"/>
              </w:rPr>
            </w:pPr>
            <w:r>
              <w:rPr>
                <w:rFonts w:ascii="Arial" w:cs="Arial" w:eastAsia="Arial" w:hAnsi="Arial"/>
                <w:sz w:val="16"/>
                <w:szCs w:val="16"/>
                <w:color w:val="auto"/>
              </w:rPr>
              <w:t>x</w:t>
            </w:r>
          </w:p>
        </w:tc>
        <w:tc>
          <w:tcPr>
            <w:tcW w:w="7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66" w:lineRule="exact"/>
        <w:rPr>
          <w:sz w:val="20"/>
          <w:szCs w:val="20"/>
          <w:color w:val="auto"/>
        </w:rPr>
      </w:pPr>
    </w:p>
    <w:p>
      <w:pPr>
        <w:jc w:val="both"/>
        <w:ind w:firstLine="332"/>
        <w:spacing w:after="0" w:line="269" w:lineRule="auto"/>
        <w:tabs>
          <w:tab w:leader="none" w:pos="450" w:val="left"/>
        </w:tabs>
        <w:numPr>
          <w:ilvl w:val="0"/>
          <w:numId w:val="28"/>
        </w:numPr>
        <w:rPr>
          <w:rFonts w:ascii="Arial" w:cs="Arial" w:eastAsia="Arial" w:hAnsi="Arial"/>
          <w:sz w:val="16"/>
          <w:szCs w:val="16"/>
          <w:i w:val="1"/>
          <w:iCs w:val="1"/>
          <w:color w:val="auto"/>
        </w:rPr>
      </w:pPr>
      <w:r>
        <w:rPr>
          <w:rFonts w:ascii="Arial" w:cs="Arial" w:eastAsia="Arial" w:hAnsi="Arial"/>
          <w:sz w:val="16"/>
          <w:szCs w:val="16"/>
          <w:i w:val="1"/>
          <w:iCs w:val="1"/>
          <w:color w:val="auto"/>
        </w:rPr>
        <w:t>The certifications furnished in Exhibits 32.1 and 32.2 hereto are deemed to accompany this Form 10-Q and are not deemed “filed” for purposes of Section 18 of the Exchange Act, or otherwise subject to the liability of that section, nor shall they be deemed incorporated by reference into any filing under the Securities Act or the Exchange Act.</w:t>
      </w: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168275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60" w:right="339" w:bottom="1440" w:gutter="0" w:footer="0" w:header="0"/>
        </w:sectPr>
      </w:pPr>
    </w:p>
    <w:bookmarkStart w:id="40" w:name="page41"/>
    <w:bookmarkEnd w:id="40"/>
    <w:p>
      <w:pPr>
        <w:spacing w:after="0"/>
        <w:rPr>
          <w:sz w:val="20"/>
          <w:szCs w:val="20"/>
          <w:color w:val="auto"/>
        </w:rPr>
      </w:pPr>
      <w:r>
        <w:rPr>
          <w:rFonts w:ascii="Arial" w:cs="Arial" w:eastAsia="Arial" w:hAnsi="Arial"/>
          <w:sz w:val="16"/>
          <w:szCs w:val="16"/>
          <w:color w:val="auto"/>
        </w:rPr>
        <w:t>SIGNATURES</w:t>
      </w:r>
    </w:p>
    <w:p>
      <w:pPr>
        <w:spacing w:after="0" w:line="167"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363" w:lineRule="exact"/>
        <w:rPr>
          <w:sz w:val="20"/>
          <w:szCs w:val="20"/>
          <w:color w:val="auto"/>
        </w:rPr>
      </w:pPr>
    </w:p>
    <w:tbl>
      <w:tblPr>
        <w:tblLayout w:type="fixed"/>
        <w:tblInd w:w="20" w:type="dxa"/>
        <w:tblCellMar>
          <w:top w:w="0" w:type="dxa"/>
          <w:left w:w="0" w:type="dxa"/>
          <w:bottom w:w="0" w:type="dxa"/>
          <w:right w:w="0" w:type="dxa"/>
        </w:tblCellMar>
      </w:tblPr>
      <w:tr>
        <w:trPr>
          <w:trHeight w:val="206"/>
        </w:trPr>
        <w:tc>
          <w:tcPr>
            <w:tcW w:w="460" w:type="dxa"/>
            <w:vAlign w:val="bottom"/>
          </w:tcPr>
          <w:p>
            <w:pPr>
              <w:spacing w:after="0"/>
              <w:rPr>
                <w:sz w:val="17"/>
                <w:szCs w:val="17"/>
                <w:color w:val="auto"/>
              </w:rPr>
            </w:pPr>
          </w:p>
        </w:tc>
        <w:tc>
          <w:tcPr>
            <w:tcW w:w="2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Remitly Global Inc.</w:t>
            </w:r>
          </w:p>
        </w:tc>
      </w:tr>
      <w:tr>
        <w:trPr>
          <w:trHeight w:val="526"/>
        </w:trPr>
        <w:tc>
          <w:tcPr>
            <w:tcW w:w="460" w:type="dxa"/>
            <w:vAlign w:val="bottom"/>
          </w:tcPr>
          <w:p>
            <w:pPr>
              <w:spacing w:after="0"/>
              <w:rPr>
                <w:sz w:val="20"/>
                <w:szCs w:val="20"/>
                <w:color w:val="auto"/>
              </w:rPr>
            </w:pPr>
            <w:r>
              <w:rPr>
                <w:rFonts w:ascii="Arial" w:cs="Arial" w:eastAsia="Arial" w:hAnsi="Arial"/>
                <w:sz w:val="16"/>
                <w:szCs w:val="16"/>
                <w:color w:val="auto"/>
              </w:rPr>
              <w:t>Date:</w:t>
            </w:r>
          </w:p>
        </w:tc>
        <w:tc>
          <w:tcPr>
            <w:tcW w:w="2180" w:type="dxa"/>
            <w:vAlign w:val="bottom"/>
          </w:tcPr>
          <w:p>
            <w:pPr>
              <w:ind w:left="80"/>
              <w:spacing w:after="0"/>
              <w:rPr>
                <w:sz w:val="20"/>
                <w:szCs w:val="20"/>
                <w:color w:val="auto"/>
              </w:rPr>
            </w:pPr>
            <w:r>
              <w:rPr>
                <w:rFonts w:ascii="Arial" w:cs="Arial" w:eastAsia="Arial" w:hAnsi="Arial"/>
                <w:sz w:val="16"/>
                <w:szCs w:val="16"/>
                <w:color w:val="auto"/>
              </w:rPr>
              <w:t>November 09, 2022</w:t>
            </w:r>
          </w:p>
        </w:tc>
        <w:tc>
          <w:tcPr>
            <w:tcW w:w="1260" w:type="dxa"/>
            <w:vAlign w:val="bottom"/>
          </w:tcPr>
          <w:p>
            <w:pPr>
              <w:ind w:left="800"/>
              <w:spacing w:after="0"/>
              <w:rPr>
                <w:sz w:val="20"/>
                <w:szCs w:val="20"/>
                <w:color w:val="auto"/>
              </w:rPr>
            </w:pPr>
            <w:r>
              <w:rPr>
                <w:rFonts w:ascii="Arial" w:cs="Arial" w:eastAsia="Arial" w:hAnsi="Arial"/>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Matthew Oppenheimer</w:t>
            </w:r>
          </w:p>
        </w:tc>
      </w:tr>
      <w:tr>
        <w:trPr>
          <w:trHeight w:val="210"/>
        </w:trPr>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Matthew Oppenheimer</w:t>
            </w:r>
          </w:p>
        </w:tc>
      </w:tr>
      <w:tr>
        <w:trPr>
          <w:trHeight w:val="243"/>
        </w:trPr>
        <w:tc>
          <w:tcPr>
            <w:tcW w:w="4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Chief Executive Officer</w:t>
            </w:r>
          </w:p>
        </w:tc>
      </w:tr>
      <w:tr>
        <w:trPr>
          <w:trHeight w:val="243"/>
        </w:trPr>
        <w:tc>
          <w:tcPr>
            <w:tcW w:w="4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(Principal Executive Officer)</w:t>
            </w:r>
          </w:p>
        </w:tc>
      </w:tr>
      <w:tr>
        <w:trPr>
          <w:trHeight w:val="526"/>
        </w:trPr>
        <w:tc>
          <w:tcPr>
            <w:tcW w:w="460" w:type="dxa"/>
            <w:vAlign w:val="bottom"/>
          </w:tcPr>
          <w:p>
            <w:pPr>
              <w:spacing w:after="0"/>
              <w:rPr>
                <w:sz w:val="20"/>
                <w:szCs w:val="20"/>
                <w:color w:val="auto"/>
              </w:rPr>
            </w:pPr>
            <w:r>
              <w:rPr>
                <w:rFonts w:ascii="Arial" w:cs="Arial" w:eastAsia="Arial" w:hAnsi="Arial"/>
                <w:sz w:val="16"/>
                <w:szCs w:val="16"/>
                <w:color w:val="auto"/>
              </w:rPr>
              <w:t>Date:</w:t>
            </w:r>
          </w:p>
        </w:tc>
        <w:tc>
          <w:tcPr>
            <w:tcW w:w="2180" w:type="dxa"/>
            <w:vAlign w:val="bottom"/>
          </w:tcPr>
          <w:p>
            <w:pPr>
              <w:ind w:left="80"/>
              <w:spacing w:after="0"/>
              <w:rPr>
                <w:sz w:val="20"/>
                <w:szCs w:val="20"/>
                <w:color w:val="auto"/>
              </w:rPr>
            </w:pPr>
            <w:r>
              <w:rPr>
                <w:rFonts w:ascii="Arial" w:cs="Arial" w:eastAsia="Arial" w:hAnsi="Arial"/>
                <w:sz w:val="16"/>
                <w:szCs w:val="16"/>
                <w:color w:val="auto"/>
              </w:rPr>
              <w:t>November 09, 2022</w:t>
            </w:r>
          </w:p>
        </w:tc>
        <w:tc>
          <w:tcPr>
            <w:tcW w:w="1260" w:type="dxa"/>
            <w:vAlign w:val="bottom"/>
          </w:tcPr>
          <w:p>
            <w:pPr>
              <w:ind w:left="800"/>
              <w:spacing w:after="0"/>
              <w:rPr>
                <w:sz w:val="20"/>
                <w:szCs w:val="20"/>
                <w:color w:val="auto"/>
              </w:rPr>
            </w:pPr>
            <w:r>
              <w:rPr>
                <w:rFonts w:ascii="Arial" w:cs="Arial" w:eastAsia="Arial" w:hAnsi="Arial"/>
                <w:sz w:val="16"/>
                <w:szCs w:val="16"/>
                <w:color w:val="auto"/>
              </w:rPr>
              <w:t>By:</w:t>
            </w:r>
          </w:p>
        </w:tc>
        <w:tc>
          <w:tcPr>
            <w:tcW w:w="41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Hemanth Munipalli</w:t>
            </w:r>
          </w:p>
        </w:tc>
      </w:tr>
      <w:tr>
        <w:trPr>
          <w:trHeight w:val="210"/>
        </w:trPr>
        <w:tc>
          <w:tcPr>
            <w:tcW w:w="4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Hemanth Munipalli</w:t>
            </w:r>
          </w:p>
        </w:tc>
      </w:tr>
      <w:tr>
        <w:trPr>
          <w:trHeight w:val="243"/>
        </w:trPr>
        <w:tc>
          <w:tcPr>
            <w:tcW w:w="4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Chief Financial Officer</w:t>
            </w:r>
          </w:p>
        </w:tc>
      </w:tr>
      <w:tr>
        <w:trPr>
          <w:trHeight w:val="243"/>
        </w:trPr>
        <w:tc>
          <w:tcPr>
            <w:tcW w:w="46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4180" w:type="dxa"/>
            <w:vAlign w:val="bottom"/>
          </w:tcPr>
          <w:p>
            <w:pPr>
              <w:ind w:left="20"/>
              <w:spacing w:after="0"/>
              <w:rPr>
                <w:sz w:val="20"/>
                <w:szCs w:val="20"/>
                <w:color w:val="auto"/>
              </w:rPr>
            </w:pPr>
            <w:r>
              <w:rPr>
                <w:rFonts w:ascii="Arial" w:cs="Arial" w:eastAsia="Arial" w:hAnsi="Arial"/>
                <w:sz w:val="16"/>
                <w:szCs w:val="16"/>
                <w:color w:val="auto"/>
              </w:rPr>
              <w:t>(Principal Financial and Accounting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38</w:t>
      </w:r>
    </w:p>
    <w:p>
      <w:pPr>
        <w:sectPr>
          <w:pgSz w:w="11900" w:h="16838" w:orient="portrait"/>
          <w:cols w:equalWidth="0" w:num="1">
            <w:col w:w="11080"/>
          </w:cols>
          <w:pgMar w:left="320" w:top="1264" w:right="499" w:bottom="1440" w:gutter="0" w:footer="0" w:header="0"/>
        </w:sectPr>
      </w:pPr>
    </w:p>
    <w:bookmarkStart w:id="41" w:name="page42"/>
    <w:bookmarkEnd w:id="41"/>
    <w:p>
      <w:pPr>
        <w:ind w:left="10320"/>
        <w:spacing w:after="0"/>
        <w:rPr>
          <w:sz w:val="20"/>
          <w:szCs w:val="20"/>
          <w:color w:val="auto"/>
        </w:rPr>
      </w:pPr>
      <w:r>
        <w:rPr>
          <w:rFonts w:ascii="Arial" w:cs="Arial" w:eastAsia="Arial" w:hAnsi="Arial"/>
          <w:sz w:val="16"/>
          <w:szCs w:val="16"/>
          <w:b w:val="1"/>
          <w:bCs w:val="1"/>
          <w:color w:val="auto"/>
        </w:rPr>
        <w:t>Exhibit 31.1</w:t>
      </w:r>
    </w:p>
    <w:p>
      <w:pPr>
        <w:spacing w:after="0" w:line="289" w:lineRule="exact"/>
        <w:rPr>
          <w:sz w:val="20"/>
          <w:szCs w:val="20"/>
          <w:color w:val="auto"/>
        </w:rPr>
      </w:pPr>
    </w:p>
    <w:p>
      <w:pPr>
        <w:jc w:val="center"/>
        <w:spacing w:after="0" w:line="289"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Matthew Oppenheimer, certify that:</w:t>
      </w:r>
    </w:p>
    <w:p>
      <w:pPr>
        <w:spacing w:after="0" w:line="306" w:lineRule="exact"/>
        <w:rPr>
          <w:sz w:val="20"/>
          <w:szCs w:val="20"/>
          <w:color w:val="auto"/>
        </w:rPr>
      </w:pPr>
    </w:p>
    <w:p>
      <w:pPr>
        <w:ind w:left="640" w:hanging="308"/>
        <w:spacing w:after="0"/>
        <w:tabs>
          <w:tab w:leader="none" w:pos="6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Remitly Global, Inc.;</w:t>
      </w:r>
    </w:p>
    <w:p>
      <w:pPr>
        <w:spacing w:after="0" w:line="319" w:lineRule="exact"/>
        <w:rPr>
          <w:rFonts w:ascii="Arial" w:cs="Arial" w:eastAsia="Arial" w:hAnsi="Arial"/>
          <w:sz w:val="18"/>
          <w:szCs w:val="18"/>
          <w:color w:val="auto"/>
        </w:rPr>
      </w:pPr>
    </w:p>
    <w:p>
      <w:pPr>
        <w:jc w:val="both"/>
        <w:ind w:left="340" w:hanging="8"/>
        <w:spacing w:after="0" w:line="357" w:lineRule="auto"/>
        <w:tabs>
          <w:tab w:leader="none" w:pos="671"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8"/>
        <w:spacing w:after="0" w:line="387" w:lineRule="auto"/>
        <w:tabs>
          <w:tab w:leader="none" w:pos="668"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340" w:hanging="8"/>
        <w:spacing w:after="0" w:line="365" w:lineRule="auto"/>
        <w:tabs>
          <w:tab w:leader="none" w:pos="706"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660" w:hanging="4"/>
        <w:spacing w:after="0" w:line="357" w:lineRule="auto"/>
        <w:tabs>
          <w:tab w:leader="none" w:pos="989"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jc w:val="both"/>
        <w:ind w:left="660" w:hanging="4"/>
        <w:spacing w:after="0" w:line="357" w:lineRule="auto"/>
        <w:tabs>
          <w:tab w:leader="none" w:pos="106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 w:hanging="4"/>
        <w:spacing w:after="0" w:line="424" w:lineRule="auto"/>
        <w:tabs>
          <w:tab w:leader="none" w:pos="1080" w:val="left"/>
        </w:tabs>
        <w:numPr>
          <w:ilvl w:val="1"/>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2" w:lineRule="exact"/>
        <w:rPr>
          <w:rFonts w:ascii="Arial" w:cs="Arial" w:eastAsia="Arial" w:hAnsi="Arial"/>
          <w:sz w:val="17"/>
          <w:szCs w:val="17"/>
          <w:color w:val="auto"/>
        </w:rPr>
      </w:pPr>
    </w:p>
    <w:p>
      <w:pPr>
        <w:jc w:val="both"/>
        <w:ind w:left="660" w:hanging="4"/>
        <w:spacing w:after="0" w:line="357" w:lineRule="auto"/>
        <w:tabs>
          <w:tab w:leader="none" w:pos="997"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8"/>
          <w:szCs w:val="18"/>
          <w:color w:val="auto"/>
        </w:rPr>
      </w:pPr>
    </w:p>
    <w:p>
      <w:pPr>
        <w:ind w:left="340" w:hanging="8"/>
        <w:spacing w:after="0" w:line="407" w:lineRule="auto"/>
        <w:tabs>
          <w:tab w:leader="none" w:pos="654"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hanging="4"/>
        <w:spacing w:after="0" w:line="387" w:lineRule="auto"/>
        <w:tabs>
          <w:tab w:leader="none" w:pos="1112"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right="20" w:hanging="4"/>
        <w:spacing w:after="0" w:line="371" w:lineRule="auto"/>
        <w:tabs>
          <w:tab w:leader="none" w:pos="105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Date: November 9, 2022</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3485515</wp:posOffset>
            </wp:positionH>
            <wp:positionV relativeFrom="paragraph">
              <wp:posOffset>31750</wp:posOffset>
            </wp:positionV>
            <wp:extent cx="3651885"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3651885" cy="8890"/>
                    </a:xfrm>
                    <a:prstGeom prst="rect">
                      <a:avLst/>
                    </a:prstGeom>
                    <a:noFill/>
                  </pic:spPr>
                </pic:pic>
              </a:graphicData>
            </a:graphic>
          </wp:anchor>
        </w:drawing>
      </w:r>
    </w:p>
    <w:p>
      <w:pPr>
        <w:spacing w:after="0" w:line="42"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Matthew Oppenheimer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31" w:right="339" w:bottom="1440" w:gutter="0" w:footer="0" w:header="0"/>
        </w:sectPr>
      </w:pPr>
    </w:p>
    <w:bookmarkStart w:id="42" w:name="page43"/>
    <w:bookmarkEnd w:id="42"/>
    <w:p>
      <w:pPr>
        <w:ind w:left="10320"/>
        <w:spacing w:after="0"/>
        <w:rPr>
          <w:sz w:val="20"/>
          <w:szCs w:val="20"/>
          <w:color w:val="auto"/>
        </w:rPr>
      </w:pPr>
      <w:r>
        <w:rPr>
          <w:rFonts w:ascii="Arial" w:cs="Arial" w:eastAsia="Arial" w:hAnsi="Arial"/>
          <w:sz w:val="16"/>
          <w:szCs w:val="16"/>
          <w:b w:val="1"/>
          <w:bCs w:val="1"/>
          <w:color w:val="auto"/>
        </w:rPr>
        <w:t>Exhibit 31.2</w:t>
      </w:r>
    </w:p>
    <w:p>
      <w:pPr>
        <w:spacing w:after="0" w:line="289" w:lineRule="exact"/>
        <w:rPr>
          <w:sz w:val="20"/>
          <w:szCs w:val="20"/>
          <w:color w:val="auto"/>
        </w:rPr>
      </w:pPr>
    </w:p>
    <w:p>
      <w:pPr>
        <w:jc w:val="center"/>
        <w:spacing w:after="0" w:line="289" w:lineRule="auto"/>
        <w:rPr>
          <w:sz w:val="20"/>
          <w:szCs w:val="20"/>
          <w:color w:val="auto"/>
        </w:rPr>
      </w:pPr>
      <w:r>
        <w:rPr>
          <w:rFonts w:ascii="Arial" w:cs="Arial" w:eastAsia="Arial" w:hAnsi="Arial"/>
          <w:sz w:val="18"/>
          <w:szCs w:val="18"/>
          <w:b w:val="1"/>
          <w:bCs w:val="1"/>
          <w:color w:val="auto"/>
        </w:rPr>
        <w:t>CERTIFICATION PURSUANT TO RULE 13a-14(a) OR 15d-14(a) OF THE SECURITIES EXCHANGE ACT OF 1934, AS ADOPTED PURSUANT TO SECTION 302 OF</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I, Hemanth Munipalli, certify that:</w:t>
      </w:r>
    </w:p>
    <w:p>
      <w:pPr>
        <w:spacing w:after="0" w:line="306" w:lineRule="exact"/>
        <w:rPr>
          <w:sz w:val="20"/>
          <w:szCs w:val="20"/>
          <w:color w:val="auto"/>
        </w:rPr>
      </w:pPr>
    </w:p>
    <w:p>
      <w:pPr>
        <w:ind w:left="640" w:hanging="308"/>
        <w:spacing w:after="0"/>
        <w:tabs>
          <w:tab w:leader="none" w:pos="640" w:val="left"/>
        </w:tabs>
        <w:numPr>
          <w:ilvl w:val="1"/>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Remitly Global, Inc.;</w:t>
      </w:r>
    </w:p>
    <w:p>
      <w:pPr>
        <w:spacing w:after="0" w:line="319" w:lineRule="exact"/>
        <w:rPr>
          <w:rFonts w:ascii="Arial" w:cs="Arial" w:eastAsia="Arial" w:hAnsi="Arial"/>
          <w:sz w:val="18"/>
          <w:szCs w:val="18"/>
          <w:color w:val="auto"/>
        </w:rPr>
      </w:pPr>
    </w:p>
    <w:p>
      <w:pPr>
        <w:jc w:val="both"/>
        <w:ind w:left="340" w:hanging="8"/>
        <w:spacing w:after="0" w:line="357" w:lineRule="auto"/>
        <w:tabs>
          <w:tab w:leader="none" w:pos="671" w:val="left"/>
        </w:tabs>
        <w:numPr>
          <w:ilvl w:val="1"/>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340" w:hanging="8"/>
        <w:spacing w:after="0" w:line="387" w:lineRule="auto"/>
        <w:tabs>
          <w:tab w:leader="none" w:pos="668" w:val="left"/>
        </w:tabs>
        <w:numPr>
          <w:ilvl w:val="1"/>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jc w:val="both"/>
        <w:ind w:left="340" w:hanging="8"/>
        <w:spacing w:after="0" w:line="365" w:lineRule="auto"/>
        <w:tabs>
          <w:tab w:leader="none" w:pos="706" w:val="left"/>
        </w:tabs>
        <w:numPr>
          <w:ilvl w:val="1"/>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rFonts w:ascii="Arial" w:cs="Arial" w:eastAsia="Arial" w:hAnsi="Arial"/>
          <w:sz w:val="18"/>
          <w:szCs w:val="18"/>
          <w:color w:val="auto"/>
        </w:rPr>
      </w:pPr>
    </w:p>
    <w:p>
      <w:pPr>
        <w:jc w:val="both"/>
        <w:ind w:left="660" w:hanging="4"/>
        <w:spacing w:after="0" w:line="357" w:lineRule="auto"/>
        <w:tabs>
          <w:tab w:leader="none" w:pos="989"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jc w:val="both"/>
        <w:ind w:left="660" w:hanging="4"/>
        <w:spacing w:after="0" w:line="357" w:lineRule="auto"/>
        <w:tabs>
          <w:tab w:leader="none" w:pos="1065" w:val="left"/>
        </w:tabs>
        <w:numPr>
          <w:ilvl w:val="2"/>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660" w:right="20" w:hanging="4"/>
        <w:spacing w:after="0" w:line="424" w:lineRule="auto"/>
        <w:tabs>
          <w:tab w:leader="none" w:pos="1080" w:val="left"/>
        </w:tabs>
        <w:numPr>
          <w:ilvl w:val="2"/>
          <w:numId w:val="3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w:t>
      </w:r>
    </w:p>
    <w:p>
      <w:pPr>
        <w:spacing w:after="0" w:line="132" w:lineRule="exact"/>
        <w:rPr>
          <w:rFonts w:ascii="Arial" w:cs="Arial" w:eastAsia="Arial" w:hAnsi="Arial"/>
          <w:sz w:val="17"/>
          <w:szCs w:val="17"/>
          <w:color w:val="auto"/>
        </w:rPr>
      </w:pPr>
    </w:p>
    <w:p>
      <w:pPr>
        <w:jc w:val="both"/>
        <w:ind w:left="660" w:hanging="4"/>
        <w:spacing w:after="0" w:line="357" w:lineRule="auto"/>
        <w:tabs>
          <w:tab w:leader="none" w:pos="997" w:val="left"/>
        </w:tabs>
        <w:numPr>
          <w:ilvl w:val="2"/>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6" w:lineRule="exact"/>
        <w:rPr>
          <w:rFonts w:ascii="Arial" w:cs="Arial" w:eastAsia="Arial" w:hAnsi="Arial"/>
          <w:sz w:val="18"/>
          <w:szCs w:val="18"/>
          <w:color w:val="auto"/>
        </w:rPr>
      </w:pPr>
    </w:p>
    <w:p>
      <w:pPr>
        <w:ind w:firstLine="8"/>
        <w:spacing w:after="0" w:line="407" w:lineRule="auto"/>
        <w:tabs>
          <w:tab w:leader="none" w:pos="2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7"/>
          <w:szCs w:val="17"/>
          <w:color w:val="auto"/>
        </w:rPr>
      </w:pPr>
    </w:p>
    <w:p>
      <w:pPr>
        <w:ind w:left="660" w:hanging="4"/>
        <w:spacing w:after="0" w:line="387" w:lineRule="auto"/>
        <w:tabs>
          <w:tab w:leader="none" w:pos="1112" w:val="left"/>
        </w:tabs>
        <w:numPr>
          <w:ilvl w:val="2"/>
          <w:numId w:val="3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660" w:right="20" w:hanging="4"/>
        <w:spacing w:after="0" w:line="371" w:lineRule="auto"/>
        <w:tabs>
          <w:tab w:leader="none" w:pos="1056" w:val="left"/>
        </w:tabs>
        <w:numPr>
          <w:ilvl w:val="2"/>
          <w:numId w:val="3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Date: November 9, 2022</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/s/ Hemanth Munipalli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3399790</wp:posOffset>
            </wp:positionH>
            <wp:positionV relativeFrom="paragraph">
              <wp:posOffset>14605</wp:posOffset>
            </wp:positionV>
            <wp:extent cx="37376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spacing w:after="0" w:line="15"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Hemanth Munipalli</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38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240"/>
          </w:cols>
          <w:pgMar w:left="320" w:top="1431"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32.1</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70" w:lineRule="exact"/>
        <w:rPr>
          <w:sz w:val="20"/>
          <w:szCs w:val="20"/>
          <w:color w:val="auto"/>
        </w:rPr>
      </w:pPr>
    </w:p>
    <w:p>
      <w:pPr>
        <w:ind w:right="420"/>
        <w:spacing w:after="0" w:line="308" w:lineRule="auto"/>
        <w:rPr>
          <w:sz w:val="20"/>
          <w:szCs w:val="20"/>
          <w:color w:val="auto"/>
        </w:rPr>
      </w:pPr>
      <w:r>
        <w:rPr>
          <w:rFonts w:ascii="Arial" w:cs="Arial" w:eastAsia="Arial" w:hAnsi="Arial"/>
          <w:sz w:val="18"/>
          <w:szCs w:val="18"/>
          <w:color w:val="auto"/>
        </w:rPr>
        <w:t>I, Matthew Oppenheimer, Chief Executive Officer of Remitly Global, Inc. (the “Company”), do hereby certify, pursuant to 18 U.S.C. Section 1350, as adopted pursuant to Section 906 of the Sarbanes-Oxley Act of 2002, that to the best of my knowledge:</w:t>
      </w:r>
    </w:p>
    <w:p>
      <w:pPr>
        <w:spacing w:after="0" w:line="184" w:lineRule="exact"/>
        <w:rPr>
          <w:sz w:val="20"/>
          <w:szCs w:val="20"/>
          <w:color w:val="auto"/>
        </w:rPr>
      </w:pPr>
    </w:p>
    <w:p>
      <w:pPr>
        <w:ind w:left="660" w:right="560" w:hanging="328"/>
        <w:spacing w:after="0" w:line="30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2022 (the “Report”) fully complies with the requirements of Section 13(a) or 15(d) of the Securities Exchange Act of 1934, as amended; and</w:t>
      </w:r>
    </w:p>
    <w:p>
      <w:pPr>
        <w:spacing w:after="0" w:line="184" w:lineRule="exact"/>
        <w:rPr>
          <w:rFonts w:ascii="Arial" w:cs="Arial" w:eastAsia="Arial" w:hAnsi="Arial"/>
          <w:sz w:val="18"/>
          <w:szCs w:val="18"/>
          <w:color w:val="auto"/>
        </w:rPr>
      </w:pPr>
    </w:p>
    <w:p>
      <w:pPr>
        <w:ind w:left="660" w:right="240" w:hanging="328"/>
        <w:spacing w:after="0" w:line="308" w:lineRule="auto"/>
        <w:tabs>
          <w:tab w:leader="none" w:pos="6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Date: November 9, 2022</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Matthew Oppenheimer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31750</wp:posOffset>
            </wp:positionV>
            <wp:extent cx="375475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3754755" cy="8255"/>
                    </a:xfrm>
                    <a:prstGeom prst="rect">
                      <a:avLst/>
                    </a:prstGeom>
                    <a:noFill/>
                  </pic:spPr>
                </pic:pic>
              </a:graphicData>
            </a:graphic>
          </wp:anchor>
        </w:drawing>
      </w:r>
    </w:p>
    <w:p>
      <w:pPr>
        <w:spacing w:after="0" w:line="42"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Matthew Oppenheimer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Chief Executive Officer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240"/>
          </w:cols>
          <w:pgMar w:left="320" w:top="1431" w:right="3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32.2</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324" w:lineRule="exact"/>
        <w:rPr>
          <w:sz w:val="20"/>
          <w:szCs w:val="20"/>
          <w:color w:val="auto"/>
        </w:rPr>
      </w:pPr>
    </w:p>
    <w:p>
      <w:pPr>
        <w:ind w:right="20"/>
        <w:spacing w:after="0" w:line="371" w:lineRule="auto"/>
        <w:rPr>
          <w:sz w:val="20"/>
          <w:szCs w:val="20"/>
          <w:color w:val="auto"/>
        </w:rPr>
      </w:pPr>
      <w:r>
        <w:rPr>
          <w:rFonts w:ascii="Arial" w:cs="Arial" w:eastAsia="Arial" w:hAnsi="Arial"/>
          <w:sz w:val="18"/>
          <w:szCs w:val="18"/>
          <w:color w:val="auto"/>
        </w:rPr>
        <w:t>I, Hemanth Munipalli, Chief Financial Officer of Remitly Global, Inc. (the “Company”), do hereby certify, pursuant to 18 U.S.C. Section 1350, as adopted pursuant to Section 906 of the Sarbanes-Oxley Act of 2002, that to the best of my knowledge:</w:t>
      </w:r>
    </w:p>
    <w:p>
      <w:pPr>
        <w:spacing w:after="0" w:line="143" w:lineRule="exact"/>
        <w:rPr>
          <w:sz w:val="20"/>
          <w:szCs w:val="20"/>
          <w:color w:val="auto"/>
        </w:rPr>
      </w:pPr>
    </w:p>
    <w:p>
      <w:pPr>
        <w:ind w:left="660" w:right="560" w:hanging="328"/>
        <w:spacing w:after="0" w:line="32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Quarterly Report on Form 10-Q of the Company for the fiscal quarter ended September 30, 2022 (the “Report”) fully complies with the requirements of Section 13(a) or 15(d) of the Securities Exchange Act of 1934, as amended; and</w:t>
      </w:r>
    </w:p>
    <w:p>
      <w:pPr>
        <w:spacing w:after="0" w:line="156" w:lineRule="exact"/>
        <w:rPr>
          <w:rFonts w:ascii="Arial" w:cs="Arial" w:eastAsia="Arial" w:hAnsi="Arial"/>
          <w:sz w:val="18"/>
          <w:szCs w:val="18"/>
          <w:color w:val="auto"/>
        </w:rPr>
      </w:pPr>
    </w:p>
    <w:p>
      <w:pPr>
        <w:ind w:left="660" w:right="240" w:hanging="328"/>
        <w:spacing w:after="0" w:line="324" w:lineRule="auto"/>
        <w:tabs>
          <w:tab w:leader="none" w:pos="655"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 for the periods presented therein.</w:t>
      </w:r>
    </w:p>
    <w:p>
      <w:pPr>
        <w:spacing w:after="0" w:line="18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Date: November 9, 2022</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/s/ Hemanth Munipalli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3373755</wp:posOffset>
            </wp:positionH>
            <wp:positionV relativeFrom="paragraph">
              <wp:posOffset>14605</wp:posOffset>
            </wp:positionV>
            <wp:extent cx="376301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3763010" cy="8255"/>
                    </a:xfrm>
                    <a:prstGeom prst="rect">
                      <a:avLst/>
                    </a:prstGeom>
                    <a:noFill/>
                  </pic:spPr>
                </pic:pic>
              </a:graphicData>
            </a:graphic>
          </wp:anchor>
        </w:drawing>
      </w:r>
    </w:p>
    <w:p>
      <w:pPr>
        <w:spacing w:after="0" w:line="15"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Hemanth Munipalli</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i w:val="1"/>
          <w:iCs w:val="1"/>
          <w:color w:val="auto"/>
        </w:rPr>
        <w:t>Chief Financial Officer</w:t>
      </w:r>
    </w:p>
    <w:p>
      <w:pPr>
        <w:spacing w:after="0" w:line="23" w:lineRule="exact"/>
        <w:rPr>
          <w:sz w:val="20"/>
          <w:szCs w:val="20"/>
          <w:color w:val="auto"/>
        </w:rPr>
      </w:pPr>
    </w:p>
    <w:p>
      <w:pPr>
        <w:ind w:left="5340"/>
        <w:spacing w:after="0"/>
        <w:rPr>
          <w:sz w:val="20"/>
          <w:szCs w:val="20"/>
          <w:color w:val="auto"/>
        </w:rPr>
      </w:pPr>
      <w:r>
        <w:rPr>
          <w:rFonts w:ascii="Arial" w:cs="Arial" w:eastAsia="Arial" w:hAnsi="Arial"/>
          <w:sz w:val="18"/>
          <w:szCs w:val="18"/>
          <w:color w:val="auto"/>
        </w:rPr>
        <w:t>(Principal Financial and Accounting Officer)</w:t>
      </w:r>
    </w:p>
    <w:sectPr>
      <w:pgSz w:w="11900" w:h="16838" w:orient="portrait"/>
      <w:cols w:equalWidth="0" w:num="1">
        <w:col w:w="11240"/>
      </w:cols>
      <w:pgMar w:left="320" w:top="143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5E45D32"/>
    <w:multiLevelType w:val="hybridMultilevel"/>
    <w:lvl w:ilvl="0">
      <w:lvlJc w:val="left"/>
      <w:lvlText w:val="☒"/>
      <w:numFmt w:val="bullet"/>
      <w:start w:val="1"/>
    </w:lvl>
  </w:abstractNum>
  <w:abstractNum w:abstractNumId="1">
    <w:nsid w:val="519B500D"/>
    <w:multiLevelType w:val="hybridMultilevel"/>
    <w:lvl w:ilvl="0">
      <w:lvlJc w:val="left"/>
      <w:lvlText w:val="☐"/>
      <w:numFmt w:val="bullet"/>
      <w:start w:val="1"/>
    </w:lvl>
  </w:abstractNum>
  <w:abstractNum w:abstractNumId="2">
    <w:nsid w:val="431BD7B7"/>
    <w:multiLevelType w:val="hybridMultilevel"/>
    <w:lvl w:ilvl="0">
      <w:lvlJc w:val="left"/>
      <w:lvlText w:val="•"/>
      <w:numFmt w:val="bullet"/>
      <w:start w:val="1"/>
    </w:lvl>
  </w:abstractNum>
  <w:abstractNum w:abstractNumId="3">
    <w:nsid w:val="3F2DBA31"/>
    <w:multiLevelType w:val="hybridMultilevel"/>
    <w:lvl w:ilvl="0">
      <w:lvlJc w:val="left"/>
      <w:lvlText w:val="%1."/>
      <w:numFmt w:val="decimal"/>
      <w:start w:val="1"/>
    </w:lvl>
  </w:abstractNum>
  <w:abstractNum w:abstractNumId="4">
    <w:nsid w:val="7C83E458"/>
    <w:multiLevelType w:val="hybridMultilevel"/>
    <w:lvl w:ilvl="0">
      <w:lvlJc w:val="left"/>
      <w:lvlText w:val="%1."/>
      <w:numFmt w:val="decimal"/>
      <w:start w:val="2"/>
    </w:lvl>
  </w:abstractNum>
  <w:abstractNum w:abstractNumId="5">
    <w:nsid w:val="257130A3"/>
    <w:multiLevelType w:val="hybridMultilevel"/>
    <w:lvl w:ilvl="0">
      <w:lvlJc w:val="left"/>
      <w:lvlText w:val="%1."/>
      <w:numFmt w:val="decimal"/>
      <w:start w:val="3"/>
    </w:lvl>
  </w:abstractNum>
  <w:abstractNum w:abstractNumId="6">
    <w:nsid w:val="62BBD95A"/>
    <w:multiLevelType w:val="hybridMultilevel"/>
    <w:lvl w:ilvl="0">
      <w:lvlJc w:val="left"/>
      <w:lvlText w:val="(%1)"/>
      <w:numFmt w:val="decimal"/>
      <w:start w:val="1"/>
    </w:lvl>
  </w:abstractNum>
  <w:abstractNum w:abstractNumId="7">
    <w:nsid w:val="436C6125"/>
    <w:multiLevelType w:val="hybridMultilevel"/>
    <w:lvl w:ilvl="0">
      <w:lvlJc w:val="left"/>
      <w:lvlText w:val="%1."/>
      <w:numFmt w:val="decimal"/>
      <w:start w:val="5"/>
    </w:lvl>
  </w:abstractNum>
  <w:abstractNum w:abstractNumId="8">
    <w:nsid w:val="628C895D"/>
    <w:multiLevelType w:val="hybridMultilevel"/>
    <w:lvl w:ilvl="0">
      <w:lvlJc w:val="left"/>
      <w:lvlText w:val="%1."/>
      <w:numFmt w:val="decimal"/>
      <w:start w:val="6"/>
    </w:lvl>
  </w:abstractNum>
  <w:abstractNum w:abstractNumId="9">
    <w:nsid w:val="333AB105"/>
    <w:multiLevelType w:val="hybridMultilevel"/>
    <w:lvl w:ilvl="0">
      <w:lvlJc w:val="left"/>
      <w:lvlText w:val="%1."/>
      <w:numFmt w:val="decimal"/>
      <w:start w:val="7"/>
    </w:lvl>
  </w:abstractNum>
  <w:abstractNum w:abstractNumId="10">
    <w:nsid w:val="721DA317"/>
    <w:multiLevelType w:val="hybridMultilevel"/>
    <w:lvl w:ilvl="0">
      <w:lvlJc w:val="left"/>
      <w:lvlText w:val="(%1)"/>
      <w:numFmt w:val="decimal"/>
      <w:start w:val="1"/>
    </w:lvl>
  </w:abstractNum>
  <w:abstractNum w:abstractNumId="11">
    <w:nsid w:val="2443A858"/>
    <w:multiLevelType w:val="hybridMultilevel"/>
    <w:lvl w:ilvl="0">
      <w:lvlJc w:val="left"/>
      <w:lvlText w:val="%1."/>
      <w:numFmt w:val="decimal"/>
      <w:start w:val="8"/>
    </w:lvl>
  </w:abstractNum>
  <w:abstractNum w:abstractNumId="12">
    <w:nsid w:val="2D1D5AE9"/>
    <w:multiLevelType w:val="hybridMultilevel"/>
    <w:lvl w:ilvl="0">
      <w:lvlJc w:val="left"/>
      <w:lvlText w:val="%1."/>
      <w:numFmt w:val="decimal"/>
      <w:start w:val="9"/>
    </w:lvl>
  </w:abstractNum>
  <w:abstractNum w:abstractNumId="13">
    <w:nsid w:val="6763845E"/>
    <w:multiLevelType w:val="hybridMultilevel"/>
    <w:lvl w:ilvl="0">
      <w:lvlJc w:val="left"/>
      <w:lvlText w:val="(%1)"/>
      <w:numFmt w:val="decimal"/>
      <w:start w:val="1"/>
    </w:lvl>
  </w:abstractNum>
  <w:abstractNum w:abstractNumId="14">
    <w:nsid w:val="75A2A8D4"/>
    <w:multiLevelType w:val="hybridMultilevel"/>
    <w:lvl w:ilvl="0">
      <w:lvlJc w:val="left"/>
      <w:lvlText w:val="%1."/>
      <w:numFmt w:val="decimal"/>
      <w:start w:val="11"/>
    </w:lvl>
  </w:abstractNum>
  <w:abstractNum w:abstractNumId="15">
    <w:nsid w:val="8EDBDAB"/>
    <w:multiLevelType w:val="hybridMultilevel"/>
    <w:lvl w:ilvl="0">
      <w:lvlJc w:val="left"/>
      <w:lvlText w:val="%1."/>
      <w:numFmt w:val="decimal"/>
      <w:start w:val="14"/>
    </w:lvl>
  </w:abstractNum>
  <w:abstractNum w:abstractNumId="16">
    <w:nsid w:val="79838CB2"/>
    <w:multiLevelType w:val="hybridMultilevel"/>
    <w:lvl w:ilvl="0">
      <w:lvlJc w:val="left"/>
      <w:lvlText w:val="%1"/>
      <w:numFmt w:val="decimal"/>
      <w:start w:val="1"/>
    </w:lvl>
    <w:lvl w:ilvl="1">
      <w:lvlJc w:val="left"/>
      <w:lvlText w:val="(%2)"/>
      <w:numFmt w:val="decimal"/>
      <w:start w:val="1"/>
    </w:lvl>
  </w:abstractNum>
  <w:abstractNum w:abstractNumId="17">
    <w:nsid w:val="4353D0CD"/>
    <w:multiLevelType w:val="hybridMultilevel"/>
    <w:lvl w:ilvl="0">
      <w:lvlJc w:val="left"/>
      <w:lvlText w:val="%1."/>
      <w:numFmt w:val="decimal"/>
      <w:start w:val="16"/>
    </w:lvl>
    <w:lvl w:ilvl="1">
      <w:lvlJc w:val="left"/>
      <w:lvlText w:val="%2"/>
      <w:numFmt w:val="decimal"/>
      <w:start w:val="1"/>
    </w:lvl>
  </w:abstractNum>
  <w:abstractNum w:abstractNumId="18">
    <w:nsid w:val="B03E0C6"/>
    <w:multiLevelType w:val="hybridMultilevel"/>
    <w:lvl w:ilvl="0">
      <w:lvlJc w:val="left"/>
      <w:lvlText w:val="•"/>
      <w:numFmt w:val="bullet"/>
      <w:start w:val="1"/>
    </w:lvl>
  </w:abstractNum>
  <w:abstractNum w:abstractNumId="19">
    <w:nsid w:val="189A769B"/>
    <w:multiLevelType w:val="hybridMultilevel"/>
    <w:lvl w:ilvl="0">
      <w:lvlJc w:val="left"/>
      <w:lvlText w:val="•"/>
      <w:numFmt w:val="bullet"/>
      <w:start w:val="1"/>
    </w:lvl>
  </w:abstractNum>
  <w:abstractNum w:abstractNumId="20">
    <w:nsid w:val="54E49EB4"/>
    <w:multiLevelType w:val="hybridMultilevel"/>
    <w:lvl w:ilvl="0">
      <w:lvlJc w:val="left"/>
      <w:lvlText w:val="•"/>
      <w:numFmt w:val="bullet"/>
      <w:start w:val="1"/>
    </w:lvl>
  </w:abstractNum>
  <w:abstractNum w:abstractNumId="21">
    <w:nsid w:val="71F32454"/>
    <w:multiLevelType w:val="hybridMultilevel"/>
    <w:lvl w:ilvl="0">
      <w:lvlJc w:val="left"/>
      <w:lvlText w:val="•"/>
      <w:numFmt w:val="bullet"/>
      <w:start w:val="1"/>
    </w:lvl>
  </w:abstractNum>
  <w:abstractNum w:abstractNumId="22">
    <w:nsid w:val="2CA88611"/>
    <w:multiLevelType w:val="hybridMultilevel"/>
    <w:lvl w:ilvl="0">
      <w:lvlJc w:val="left"/>
      <w:lvlText w:val="(%1)"/>
      <w:numFmt w:val="decimal"/>
      <w:start w:val="1"/>
    </w:lvl>
  </w:abstractNum>
  <w:abstractNum w:abstractNumId="23">
    <w:nsid w:val="836C40E"/>
    <w:multiLevelType w:val="hybridMultilevel"/>
    <w:lvl w:ilvl="0">
      <w:lvlJc w:val="left"/>
      <w:lvlText w:val="•"/>
      <w:numFmt w:val="bullet"/>
      <w:start w:val="1"/>
    </w:lvl>
  </w:abstractNum>
  <w:abstractNum w:abstractNumId="24">
    <w:nsid w:val="2901D82"/>
    <w:multiLevelType w:val="hybridMultilevel"/>
    <w:lvl w:ilvl="0">
      <w:lvlJc w:val="left"/>
      <w:lvlText w:val="•"/>
      <w:numFmt w:val="bullet"/>
      <w:start w:val="1"/>
    </w:lvl>
  </w:abstractNum>
  <w:abstractNum w:abstractNumId="25">
    <w:nsid w:val="3A95F874"/>
    <w:multiLevelType w:val="hybridMultilevel"/>
    <w:lvl w:ilvl="0">
      <w:lvlJc w:val="left"/>
      <w:lvlText w:val="•"/>
      <w:numFmt w:val="bullet"/>
      <w:start w:val="1"/>
    </w:lvl>
  </w:abstractNum>
  <w:abstractNum w:abstractNumId="26">
    <w:nsid w:val="8138641"/>
    <w:multiLevelType w:val="hybridMultilevel"/>
    <w:lvl w:ilvl="0">
      <w:lvlJc w:val="left"/>
      <w:lvlText w:val="•"/>
      <w:numFmt w:val="bullet"/>
      <w:start w:val="1"/>
    </w:lvl>
  </w:abstractNum>
  <w:abstractNum w:abstractNumId="27">
    <w:nsid w:val="1E7FF521"/>
    <w:multiLevelType w:val="hybridMultilevel"/>
    <w:lvl w:ilvl="0">
      <w:lvlJc w:val="left"/>
      <w:lvlText w:val="*"/>
      <w:numFmt w:val="bullet"/>
      <w:start w:val="1"/>
    </w:lvl>
  </w:abstractNum>
  <w:abstractNum w:abstractNumId="28">
    <w:nsid w:val="7C3DBD3D"/>
    <w:multiLevelType w:val="hybridMultilevel"/>
    <w:lvl w:ilvl="0">
      <w:lvlJc w:val="left"/>
      <w:lvlText w:val="%1."/>
      <w:numFmt w:val="decimal"/>
      <w:start w:val="1"/>
    </w:lvl>
    <w:lvl w:ilvl="1">
      <w:lvlJc w:val="left"/>
      <w:lvlText w:val="%2)"/>
      <w:numFmt w:val="lowerLetter"/>
      <w:start w:val="1"/>
    </w:lvl>
  </w:abstractNum>
  <w:abstractNum w:abstractNumId="29">
    <w:nsid w:val="737B8DDC"/>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30">
    <w:nsid w:val="6CEAF087"/>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1">
    <w:nsid w:val="22221A70"/>
    <w:multiLevelType w:val="hybridMultilevel"/>
    <w:lvl w:ilvl="0">
      <w:lvlJc w:val="left"/>
      <w:lvlText w:val="•"/>
      <w:numFmt w:val="bullet"/>
      <w:start w:val="1"/>
    </w:lvl>
  </w:abstractNum>
  <w:abstractNum w:abstractNumId="32">
    <w:nsid w:val="4516DDE9"/>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58" Type="http://schemas.openxmlformats.org/officeDocument/2006/relationships/hyperlink" Target="https://www.sec.gov/Archives/edgar/data/1782170/000162828022022987/exhibit21-8xk.htm" TargetMode="External"/><Relationship Id="rId59" Type="http://schemas.openxmlformats.org/officeDocument/2006/relationships/hyperlink" Target="https://www.sec.gov/Archives/edgar/data/0001782170/000178217021000011/exhibit33-remitlyglobalxpu.htm" TargetMode="External"/><Relationship Id="rId60" Type="http://schemas.openxmlformats.org/officeDocument/2006/relationships/hyperlink" Target="https://www.sec.gov/Archives/edgar/data/0001782170/000178217021000011/exhibit34-remitlyglobalxpu.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2022-11-10T09:16:36Z</dcterms:created>
  <dcterms:modified xsi:type="dcterms:W3CDTF">2022-11-10T09:16:36Z</dcterms:modified>
</cp:coreProperties>
</file>