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60325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right="2800" w:firstLine="8"/>
        <w:spacing w:after="0" w:line="469" w:lineRule="auto"/>
        <w:tabs>
          <w:tab w:leader="none" w:pos="18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rPr>
          <w:sz w:val="20"/>
          <w:szCs w:val="20"/>
          <w:color w:val="auto"/>
        </w:rPr>
      </w:pPr>
      <w:r>
        <w:rPr>
          <w:rFonts w:ascii="Arial" w:cs="Arial" w:eastAsia="Arial" w:hAnsi="Arial"/>
          <w:sz w:val="16"/>
          <w:szCs w:val="16"/>
          <w:color w:val="auto"/>
        </w:rPr>
        <w:t>OR</w:t>
      </w:r>
    </w:p>
    <w:p>
      <w:pPr>
        <w:spacing w:after="0" w:line="16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001-40822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Remitly Global, Inc.</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103505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32"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32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9"/>
              </w:rPr>
              <w:t>7372</w:t>
            </w:r>
          </w:p>
        </w:tc>
        <w:tc>
          <w:tcPr>
            <w:tcW w:w="880" w:type="dxa"/>
            <w:vAlign w:val="bottom"/>
          </w:tcPr>
          <w:p>
            <w:pPr>
              <w:spacing w:after="0"/>
              <w:rPr>
                <w:sz w:val="18"/>
                <w:szCs w:val="18"/>
                <w:color w:val="auto"/>
              </w:rPr>
            </w:pPr>
          </w:p>
        </w:tc>
        <w:tc>
          <w:tcPr>
            <w:tcW w:w="3180" w:type="dxa"/>
            <w:vAlign w:val="bottom"/>
          </w:tcPr>
          <w:p>
            <w:pPr>
              <w:jc w:val="center"/>
              <w:ind w:left="361"/>
              <w:spacing w:after="0"/>
              <w:rPr>
                <w:sz w:val="20"/>
                <w:szCs w:val="20"/>
                <w:color w:val="auto"/>
              </w:rPr>
            </w:pPr>
            <w:r>
              <w:rPr>
                <w:rFonts w:ascii="Arial" w:cs="Arial" w:eastAsia="Arial" w:hAnsi="Arial"/>
                <w:sz w:val="16"/>
                <w:szCs w:val="16"/>
                <w:b w:val="1"/>
                <w:bCs w:val="1"/>
                <w:color w:val="auto"/>
                <w:w w:val="91"/>
              </w:rPr>
              <w:t>83-2301143</w:t>
            </w:r>
          </w:p>
        </w:tc>
      </w:tr>
      <w:tr>
        <w:trPr>
          <w:trHeight w:val="239"/>
        </w:trPr>
        <w:tc>
          <w:tcPr>
            <w:tcW w:w="3260" w:type="dxa"/>
            <w:vAlign w:val="bottom"/>
            <w:gridSpan w:val="2"/>
          </w:tcPr>
          <w:p>
            <w:pPr>
              <w:jc w:val="center"/>
              <w:ind w:right="580"/>
              <w:spacing w:after="0"/>
              <w:rPr>
                <w:sz w:val="20"/>
                <w:szCs w:val="20"/>
                <w:color w:val="auto"/>
              </w:rPr>
            </w:pPr>
            <w:r>
              <w:rPr>
                <w:rFonts w:ascii="Arial" w:cs="Arial" w:eastAsia="Arial" w:hAnsi="Arial"/>
                <w:sz w:val="16"/>
                <w:szCs w:val="16"/>
                <w:color w:val="auto"/>
                <w:w w:val="93"/>
              </w:rPr>
              <w:t>(State or other jurisdiction of</w:t>
            </w:r>
          </w:p>
        </w:tc>
        <w:tc>
          <w:tcPr>
            <w:tcW w:w="21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(Primary Standard Industrial</w:t>
            </w:r>
          </w:p>
        </w:tc>
        <w:tc>
          <w:tcPr>
            <w:tcW w:w="3180" w:type="dxa"/>
            <w:vAlign w:val="bottom"/>
          </w:tcPr>
          <w:p>
            <w:pPr>
              <w:jc w:val="center"/>
              <w:ind w:left="361"/>
              <w:spacing w:after="0"/>
              <w:rPr>
                <w:sz w:val="20"/>
                <w:szCs w:val="20"/>
                <w:color w:val="auto"/>
              </w:rPr>
            </w:pPr>
            <w:r>
              <w:rPr>
                <w:rFonts w:ascii="Arial" w:cs="Arial" w:eastAsia="Arial" w:hAnsi="Arial"/>
                <w:sz w:val="16"/>
                <w:szCs w:val="16"/>
                <w:color w:val="auto"/>
                <w:w w:val="93"/>
              </w:rPr>
              <w:t>(I.R.S. Employer</w:t>
            </w:r>
          </w:p>
        </w:tc>
      </w:tr>
      <w:tr>
        <w:trPr>
          <w:trHeight w:val="206"/>
        </w:trPr>
        <w:tc>
          <w:tcPr>
            <w:tcW w:w="3260" w:type="dxa"/>
            <w:vAlign w:val="bottom"/>
            <w:gridSpan w:val="2"/>
          </w:tcPr>
          <w:p>
            <w:pPr>
              <w:jc w:val="center"/>
              <w:ind w:right="560"/>
              <w:spacing w:after="0"/>
              <w:rPr>
                <w:sz w:val="20"/>
                <w:szCs w:val="20"/>
                <w:color w:val="auto"/>
              </w:rPr>
            </w:pPr>
            <w:r>
              <w:rPr>
                <w:rFonts w:ascii="Arial" w:cs="Arial" w:eastAsia="Arial" w:hAnsi="Arial"/>
                <w:sz w:val="16"/>
                <w:szCs w:val="16"/>
                <w:color w:val="auto"/>
                <w:w w:val="93"/>
              </w:rPr>
              <w:t>incorporation or organization)</w:t>
            </w:r>
          </w:p>
        </w:tc>
        <w:tc>
          <w:tcPr>
            <w:tcW w:w="210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Classification Code Number)</w:t>
            </w:r>
          </w:p>
        </w:tc>
        <w:tc>
          <w:tcPr>
            <w:tcW w:w="3180" w:type="dxa"/>
            <w:vAlign w:val="bottom"/>
          </w:tcPr>
          <w:p>
            <w:pPr>
              <w:jc w:val="center"/>
              <w:ind w:left="361"/>
              <w:spacing w:after="0"/>
              <w:rPr>
                <w:sz w:val="20"/>
                <w:szCs w:val="20"/>
                <w:color w:val="auto"/>
              </w:rPr>
            </w:pPr>
            <w:r>
              <w:rPr>
                <w:rFonts w:ascii="Arial" w:cs="Arial" w:eastAsia="Arial" w:hAnsi="Arial"/>
                <w:sz w:val="16"/>
                <w:szCs w:val="16"/>
                <w:color w:val="auto"/>
                <w:w w:val="95"/>
              </w:rPr>
              <w:t>Identification Number)</w:t>
            </w:r>
          </w:p>
        </w:tc>
      </w:tr>
      <w:tr>
        <w:trPr>
          <w:trHeight w:val="195"/>
        </w:trPr>
        <w:tc>
          <w:tcPr>
            <w:tcW w:w="3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r>
      <w:tr>
        <w:trPr>
          <w:trHeight w:val="405"/>
        </w:trPr>
        <w:tc>
          <w:tcPr>
            <w:tcW w:w="326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w w:val="93"/>
              </w:rPr>
              <w:t>1111 Third Avenue, Suite 2100  Seattle,</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WA</w:t>
            </w: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761"/>
              <w:spacing w:after="0"/>
              <w:rPr>
                <w:sz w:val="20"/>
                <w:szCs w:val="20"/>
                <w:color w:val="auto"/>
              </w:rPr>
            </w:pPr>
            <w:r>
              <w:rPr>
                <w:rFonts w:ascii="Arial" w:cs="Arial" w:eastAsia="Arial" w:hAnsi="Arial"/>
                <w:sz w:val="16"/>
                <w:szCs w:val="16"/>
                <w:b w:val="1"/>
                <w:bCs w:val="1"/>
                <w:color w:val="auto"/>
              </w:rPr>
              <w:t>98101</w:t>
            </w:r>
          </w:p>
        </w:tc>
      </w:tr>
      <w:tr>
        <w:trPr>
          <w:trHeight w:val="191"/>
        </w:trPr>
        <w:tc>
          <w:tcPr>
            <w:tcW w:w="5360" w:type="dxa"/>
            <w:vAlign w:val="bottom"/>
            <w:gridSpan w:val="5"/>
          </w:tcPr>
          <w:p>
            <w:pPr>
              <w:ind w:left="980"/>
              <w:spacing w:after="0"/>
              <w:rPr>
                <w:sz w:val="20"/>
                <w:szCs w:val="20"/>
                <w:color w:val="auto"/>
              </w:rPr>
            </w:pPr>
            <w:r>
              <w:rPr>
                <w:rFonts w:ascii="Arial" w:cs="Arial" w:eastAsia="Arial" w:hAnsi="Arial"/>
                <w:sz w:val="14"/>
                <w:szCs w:val="14"/>
                <w:color w:val="auto"/>
              </w:rPr>
              <w:t>(Address of Principal Executive Offices)</w:t>
            </w:r>
          </w:p>
        </w:tc>
        <w:tc>
          <w:tcPr>
            <w:tcW w:w="3180" w:type="dxa"/>
            <w:vAlign w:val="bottom"/>
          </w:tcPr>
          <w:p>
            <w:pPr>
              <w:jc w:val="center"/>
              <w:ind w:right="821"/>
              <w:spacing w:after="0"/>
              <w:rPr>
                <w:sz w:val="20"/>
                <w:szCs w:val="20"/>
                <w:color w:val="auto"/>
              </w:rPr>
            </w:pPr>
            <w:r>
              <w:rPr>
                <w:rFonts w:ascii="Arial" w:cs="Arial" w:eastAsia="Arial" w:hAnsi="Arial"/>
                <w:sz w:val="14"/>
                <w:szCs w:val="14"/>
                <w:color w:val="auto"/>
                <w:w w:val="96"/>
              </w:rPr>
              <w:t>(Zip Code)</w:t>
            </w:r>
          </w:p>
        </w:tc>
      </w:tr>
    </w:tbl>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(888) 736-4859</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4480" w:type="dxa"/>
            <w:vAlign w:val="bottom"/>
            <w:gridSpan w:val="5"/>
          </w:tcPr>
          <w:p>
            <w:pPr>
              <w:jc w:val="center"/>
              <w:ind w:left="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440" w:type="dxa"/>
            <w:vAlign w:val="bottom"/>
          </w:tcPr>
          <w:p>
            <w:pPr>
              <w:spacing w:after="0"/>
              <w:rPr>
                <w:sz w:val="18"/>
                <w:szCs w:val="18"/>
                <w:color w:val="auto"/>
              </w:rPr>
            </w:pPr>
          </w:p>
        </w:tc>
      </w:tr>
      <w:tr>
        <w:trPr>
          <w:trHeight w:val="256"/>
        </w:trPr>
        <w:tc>
          <w:tcPr>
            <w:tcW w:w="32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3280" w:type="dxa"/>
            <w:vAlign w:val="bottom"/>
          </w:tcPr>
          <w:p>
            <w:pPr>
              <w:jc w:val="center"/>
              <w:ind w:left="259"/>
              <w:spacing w:after="0"/>
              <w:rPr>
                <w:sz w:val="20"/>
                <w:szCs w:val="20"/>
                <w:color w:val="auto"/>
              </w:rPr>
            </w:pPr>
            <w:r>
              <w:rPr>
                <w:rFonts w:ascii="Arial" w:cs="Arial" w:eastAsia="Arial" w:hAnsi="Arial"/>
                <w:sz w:val="16"/>
                <w:szCs w:val="16"/>
                <w:color w:val="auto"/>
                <w:w w:val="91"/>
              </w:rPr>
              <w:t>Common Stock, $0.0001 par value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Arial" w:cs="Arial" w:eastAsia="Arial" w:hAnsi="Arial"/>
                <w:sz w:val="16"/>
                <w:szCs w:val="16"/>
                <w:color w:val="auto"/>
              </w:rPr>
              <w:t>RELY</w:t>
            </w:r>
          </w:p>
        </w:tc>
        <w:tc>
          <w:tcPr>
            <w:tcW w:w="3440" w:type="dxa"/>
            <w:vAlign w:val="bottom"/>
          </w:tcPr>
          <w:p>
            <w:pPr>
              <w:jc w:val="center"/>
              <w:ind w:right="119"/>
              <w:spacing w:after="0"/>
              <w:rPr>
                <w:sz w:val="20"/>
                <w:szCs w:val="20"/>
                <w:color w:val="auto"/>
              </w:rPr>
            </w:pPr>
            <w:r>
              <w:rPr>
                <w:rFonts w:ascii="Arial" w:cs="Arial" w:eastAsia="Arial" w:hAnsi="Arial"/>
                <w:sz w:val="16"/>
                <w:szCs w:val="16"/>
                <w:color w:val="auto"/>
                <w:w w:val="91"/>
              </w:rPr>
              <w:t>The Nasdaq Global Select Market</w:t>
            </w:r>
          </w:p>
        </w:tc>
      </w:tr>
    </w:tbl>
    <w:p>
      <w:pPr>
        <w:spacing w:after="0" w:line="212" w:lineRule="exact"/>
        <w:rPr>
          <w:sz w:val="24"/>
          <w:szCs w:val="24"/>
          <w:color w:val="auto"/>
        </w:rPr>
      </w:pPr>
    </w:p>
    <w:p>
      <w:pPr>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1140" w:type="dxa"/>
        <w:tblCellMar>
          <w:top w:w="0" w:type="dxa"/>
          <w:left w:w="0" w:type="dxa"/>
          <w:bottom w:w="0" w:type="dxa"/>
          <w:right w:w="0" w:type="dxa"/>
        </w:tblCellMar>
      </w:tblPr>
      <w:tr>
        <w:trPr>
          <w:trHeight w:val="254"/>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45"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of May 4, 2023, the registrant had 177,948,491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520" w:type="dxa"/>
            <w:vAlign w:val="bottom"/>
            <w:gridSpan w:val="19"/>
          </w:tcPr>
          <w:p>
            <w:pPr>
              <w:spacing w:after="0"/>
              <w:rPr>
                <w:sz w:val="20"/>
                <w:szCs w:val="20"/>
                <w:color w:val="auto"/>
              </w:rPr>
            </w:pPr>
            <w:r>
              <w:rPr>
                <w:rFonts w:ascii="Arial" w:cs="Arial" w:eastAsia="Arial" w:hAnsi="Arial"/>
                <w:sz w:val="16"/>
                <w:szCs w:val="16"/>
                <w:b w:val="1"/>
                <w:bCs w:val="1"/>
                <w:color w:val="auto"/>
              </w:rPr>
              <w:t>TABLE OF CONTENTS</w:t>
            </w:r>
          </w:p>
        </w:tc>
        <w:tc>
          <w:tcPr>
            <w:tcW w:w="1560" w:type="dxa"/>
            <w:vAlign w:val="bottom"/>
          </w:tcPr>
          <w:p>
            <w:pPr>
              <w:jc w:val="center"/>
              <w:ind w:left="1019"/>
              <w:spacing w:after="0"/>
              <w:rPr>
                <w:sz w:val="20"/>
                <w:szCs w:val="20"/>
                <w:color w:val="auto"/>
              </w:rPr>
            </w:pPr>
            <w:r>
              <w:rPr>
                <w:rFonts w:ascii="Arial" w:cs="Arial" w:eastAsia="Arial" w:hAnsi="Arial"/>
                <w:sz w:val="14"/>
                <w:szCs w:val="14"/>
                <w:b w:val="1"/>
                <w:bCs w:val="1"/>
                <w:color w:val="auto"/>
                <w:w w:val="90"/>
              </w:rPr>
              <w:t>Page(s)</w:t>
            </w:r>
          </w:p>
        </w:tc>
        <w:tc>
          <w:tcPr>
            <w:tcW w:w="0" w:type="dxa"/>
            <w:vAlign w:val="bottom"/>
          </w:tcPr>
          <w:p>
            <w:pPr>
              <w:spacing w:after="0"/>
              <w:rPr>
                <w:sz w:val="1"/>
                <w:szCs w:val="1"/>
                <w:color w:val="auto"/>
              </w:rPr>
            </w:pPr>
          </w:p>
        </w:tc>
      </w:tr>
      <w:tr>
        <w:trPr>
          <w:trHeight w:val="243"/>
        </w:trPr>
        <w:tc>
          <w:tcPr>
            <w:tcW w:w="9520" w:type="dxa"/>
            <w:vAlign w:val="bottom"/>
            <w:gridSpan w:val="19"/>
          </w:tcPr>
          <w:p>
            <w:pPr>
              <w:spacing w:after="0"/>
              <w:rPr>
                <w:sz w:val="20"/>
                <w:szCs w:val="20"/>
                <w:color w:val="auto"/>
              </w:rPr>
            </w:pPr>
            <w:r>
              <w:rPr>
                <w:rFonts w:ascii="Arial" w:cs="Arial" w:eastAsia="Arial" w:hAnsi="Arial"/>
                <w:sz w:val="16"/>
                <w:szCs w:val="16"/>
                <w:b w:val="1"/>
                <w:bCs w:val="1"/>
                <w:color w:val="auto"/>
              </w:rPr>
              <w:t>Special Note Regarding Forward-Looking Statements</w:t>
            </w:r>
          </w:p>
        </w:tc>
        <w:tc>
          <w:tcPr>
            <w:tcW w:w="1560" w:type="dxa"/>
            <w:vAlign w:val="bottom"/>
          </w:tcPr>
          <w:p>
            <w:pPr>
              <w:jc w:val="center"/>
              <w:ind w:left="1019"/>
              <w:spacing w:after="0"/>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513"/>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8540" w:type="dxa"/>
            <w:vAlign w:val="bottom"/>
            <w:gridSpan w:val="18"/>
          </w:tcPr>
          <w:p>
            <w:pPr>
              <w:spacing w:after="0"/>
              <w:rPr>
                <w:sz w:val="20"/>
                <w:szCs w:val="20"/>
                <w:color w:val="auto"/>
              </w:rPr>
            </w:pPr>
            <w:r>
              <w:rPr>
                <w:rFonts w:ascii="Arial" w:cs="Arial" w:eastAsia="Arial" w:hAnsi="Arial"/>
                <w:sz w:val="16"/>
                <w:szCs w:val="16"/>
                <w:b w:val="1"/>
                <w:bCs w:val="1"/>
                <w:color w:val="auto"/>
              </w:rPr>
              <w:t>Financial Information</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Arial" w:cs="Arial" w:eastAsia="Arial" w:hAnsi="Arial"/>
                <w:sz w:val="16"/>
                <w:szCs w:val="16"/>
                <w:color w:val="3051F2"/>
                <w:w w:val="89"/>
              </w:rPr>
              <w:t>Financial Statements</w:t>
            </w:r>
          </w:p>
        </w:tc>
        <w:tc>
          <w:tcPr>
            <w:tcW w:w="7180" w:type="dxa"/>
            <w:vAlign w:val="bottom"/>
            <w:gridSpan w:val="13"/>
          </w:tcPr>
          <w:p>
            <w:pPr>
              <w:spacing w:after="0"/>
              <w:rPr>
                <w:sz w:val="18"/>
                <w:szCs w:val="18"/>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540" w:type="dxa"/>
            <w:vAlign w:val="bottom"/>
            <w:gridSpan w:val="18"/>
          </w:tcPr>
          <w:p>
            <w:pPr>
              <w:spacing w:after="0"/>
              <w:rPr>
                <w:sz w:val="20"/>
                <w:szCs w:val="20"/>
                <w:color w:val="auto"/>
              </w:rPr>
            </w:pPr>
            <w:r>
              <w:rPr>
                <w:rFonts w:ascii="Arial" w:cs="Arial" w:eastAsia="Arial" w:hAnsi="Arial"/>
                <w:sz w:val="16"/>
                <w:szCs w:val="16"/>
                <w:color w:val="3051F2"/>
              </w:rPr>
              <w:t>Condensed Consolidated Balance Sheets as of March 31, 2023 and December 31, 2022</w:t>
            </w: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72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6780" w:type="dxa"/>
            <w:vAlign w:val="bottom"/>
            <w:tcBorders>
              <w:bottom w:val="single" w:sz="8" w:color="3051F2"/>
            </w:tcBorders>
            <w:gridSpan w:val="14"/>
          </w:tcPr>
          <w:p>
            <w:pPr>
              <w:spacing w:after="0"/>
              <w:rPr>
                <w:sz w:val="20"/>
                <w:szCs w:val="20"/>
                <w:color w:val="auto"/>
              </w:rPr>
            </w:pPr>
            <w:r>
              <w:rPr>
                <w:rFonts w:ascii="Arial" w:cs="Arial" w:eastAsia="Arial" w:hAnsi="Arial"/>
                <w:sz w:val="16"/>
                <w:szCs w:val="16"/>
                <w:color w:val="3051F2"/>
                <w:w w:val="90"/>
              </w:rPr>
              <w:t>Condensed Consolidated Statements of Operations for the three months ended March 31, 2023 and 2022</w:t>
            </w:r>
          </w:p>
        </w:tc>
        <w:tc>
          <w:tcPr>
            <w:tcW w:w="1760" w:type="dxa"/>
            <w:vAlign w:val="bottom"/>
            <w:gridSpan w:val="4"/>
          </w:tcPr>
          <w:p>
            <w:pPr>
              <w:spacing w:after="0"/>
              <w:rPr>
                <w:sz w:val="19"/>
                <w:szCs w:val="19"/>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540" w:type="dxa"/>
            <w:vAlign w:val="bottom"/>
            <w:gridSpan w:val="18"/>
          </w:tcPr>
          <w:p>
            <w:pPr>
              <w:spacing w:after="0"/>
              <w:rPr>
                <w:sz w:val="20"/>
                <w:szCs w:val="20"/>
                <w:color w:val="auto"/>
              </w:rPr>
            </w:pPr>
            <w:r>
              <w:rPr>
                <w:rFonts w:ascii="Arial" w:cs="Arial" w:eastAsia="Arial" w:hAnsi="Arial"/>
                <w:sz w:val="16"/>
                <w:szCs w:val="16"/>
                <w:color w:val="3051F2"/>
              </w:rPr>
              <w:t>Condensed Consolidated Statements of Comprehensive Loss for the three months ended March 31, 2023 and 2022</w:t>
            </w: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500" w:type="dxa"/>
            <w:vAlign w:val="bottom"/>
            <w:gridSpan w:val="3"/>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0" w:type="dxa"/>
            <w:vAlign w:val="bottom"/>
            <w:gridSpan w:val="2"/>
            <w:shd w:val="clear" w:color="auto" w:fill="3051F2"/>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7440" w:type="dxa"/>
            <w:vAlign w:val="bottom"/>
            <w:tcBorders>
              <w:bottom w:val="single" w:sz="8" w:color="3051F2"/>
            </w:tcBorders>
            <w:gridSpan w:val="17"/>
          </w:tcPr>
          <w:p>
            <w:pPr>
              <w:spacing w:after="0"/>
              <w:rPr>
                <w:sz w:val="20"/>
                <w:szCs w:val="20"/>
                <w:color w:val="auto"/>
              </w:rPr>
            </w:pPr>
            <w:r>
              <w:rPr>
                <w:rFonts w:ascii="Arial" w:cs="Arial" w:eastAsia="Arial" w:hAnsi="Arial"/>
                <w:sz w:val="16"/>
                <w:szCs w:val="16"/>
                <w:color w:val="3051F2"/>
                <w:w w:val="90"/>
              </w:rPr>
              <w:t>Condensed Consolidated Statements of Stockholders’ Equity for the three months ended March 31, 2023 and 2022</w:t>
            </w:r>
          </w:p>
        </w:tc>
        <w:tc>
          <w:tcPr>
            <w:tcW w:w="1100" w:type="dxa"/>
            <w:vAlign w:val="bottom"/>
          </w:tcPr>
          <w:p>
            <w:pPr>
              <w:spacing w:after="0"/>
              <w:rPr>
                <w:sz w:val="19"/>
                <w:szCs w:val="19"/>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540" w:type="dxa"/>
            <w:vAlign w:val="bottom"/>
            <w:gridSpan w:val="18"/>
          </w:tcPr>
          <w:p>
            <w:pPr>
              <w:spacing w:after="0"/>
              <w:rPr>
                <w:sz w:val="20"/>
                <w:szCs w:val="20"/>
                <w:color w:val="auto"/>
              </w:rPr>
            </w:pPr>
            <w:r>
              <w:rPr>
                <w:rFonts w:ascii="Arial" w:cs="Arial" w:eastAsia="Arial" w:hAnsi="Arial"/>
                <w:sz w:val="16"/>
                <w:szCs w:val="16"/>
                <w:color w:val="3051F2"/>
              </w:rPr>
              <w:t>Condensed Consolidated Statements of Cash Flows for the three months ended March 31, 2023 and 2022</w:t>
            </w: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00" w:type="dxa"/>
            <w:vAlign w:val="bottom"/>
            <w:tcBorders>
              <w:top w:val="single" w:sz="8" w:color="3051F2"/>
              <w:bottom w:val="single" w:sz="8" w:color="3051F2"/>
            </w:tcBorders>
            <w:gridSpan w:val="10"/>
          </w:tcPr>
          <w:p>
            <w:pPr>
              <w:spacing w:after="0"/>
              <w:rPr>
                <w:sz w:val="20"/>
                <w:szCs w:val="20"/>
                <w:color w:val="auto"/>
              </w:rPr>
            </w:pPr>
            <w:r>
              <w:rPr>
                <w:rFonts w:ascii="Arial" w:cs="Arial" w:eastAsia="Arial" w:hAnsi="Arial"/>
                <w:sz w:val="16"/>
                <w:szCs w:val="16"/>
                <w:color w:val="3051F2"/>
                <w:w w:val="90"/>
              </w:rPr>
              <w:t>Notes to Condensed Consolidated Financial Statements</w:t>
            </w:r>
          </w:p>
        </w:tc>
        <w:tc>
          <w:tcPr>
            <w:tcW w:w="3220" w:type="dxa"/>
            <w:vAlign w:val="bottom"/>
            <w:tcBorders>
              <w:top w:val="single" w:sz="8" w:color="3051F2"/>
            </w:tcBorders>
            <w:gridSpan w:val="5"/>
          </w:tcPr>
          <w:p>
            <w:pPr>
              <w:spacing w:after="0"/>
              <w:rPr>
                <w:sz w:val="19"/>
                <w:szCs w:val="19"/>
                <w:color w:val="auto"/>
              </w:rPr>
            </w:pPr>
          </w:p>
        </w:tc>
        <w:tc>
          <w:tcPr>
            <w:tcW w:w="1720" w:type="dxa"/>
            <w:vAlign w:val="bottom"/>
            <w:gridSpan w:val="3"/>
          </w:tcPr>
          <w:p>
            <w:pPr>
              <w:spacing w:after="0"/>
              <w:rPr>
                <w:sz w:val="19"/>
                <w:szCs w:val="19"/>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3051F2"/>
            </w:tcBorders>
            <w:gridSpan w:val="13"/>
          </w:tcPr>
          <w:p>
            <w:pPr>
              <w:spacing w:after="0"/>
              <w:rPr>
                <w:sz w:val="20"/>
                <w:szCs w:val="20"/>
                <w:color w:val="auto"/>
              </w:rPr>
            </w:pPr>
            <w:r>
              <w:rPr>
                <w:rFonts w:ascii="Arial" w:cs="Arial" w:eastAsia="Arial" w:hAnsi="Arial"/>
                <w:sz w:val="16"/>
                <w:szCs w:val="16"/>
                <w:color w:val="3051F2"/>
                <w:w w:val="92"/>
              </w:rPr>
              <w:t>Management’s Discussion and Analysis of Financial Condition and Results of Operations</w:t>
            </w:r>
          </w:p>
        </w:tc>
        <w:tc>
          <w:tcPr>
            <w:tcW w:w="2720" w:type="dxa"/>
            <w:vAlign w:val="bottom"/>
            <w:gridSpan w:val="5"/>
          </w:tcPr>
          <w:p>
            <w:pPr>
              <w:spacing w:after="0"/>
              <w:rPr>
                <w:sz w:val="19"/>
                <w:szCs w:val="19"/>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8540" w:type="dxa"/>
            <w:vAlign w:val="bottom"/>
            <w:gridSpan w:val="18"/>
            <w:vMerge w:val="restart"/>
          </w:tcPr>
          <w:p>
            <w:pPr>
              <w:spacing w:after="0"/>
              <w:rPr>
                <w:sz w:val="20"/>
                <w:szCs w:val="20"/>
                <w:color w:val="auto"/>
              </w:rPr>
            </w:pPr>
            <w:r>
              <w:rPr>
                <w:rFonts w:ascii="Arial" w:cs="Arial" w:eastAsia="Arial" w:hAnsi="Arial"/>
                <w:sz w:val="16"/>
                <w:szCs w:val="16"/>
                <w:color w:val="3051F2"/>
              </w:rPr>
              <w:t>Quantitative and Qualitative Disclosures About Market Risk</w:t>
            </w: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127"/>
        </w:trPr>
        <w:tc>
          <w:tcPr>
            <w:tcW w:w="980" w:type="dxa"/>
            <w:vAlign w:val="bottom"/>
            <w:vMerge w:val="continue"/>
          </w:tcPr>
          <w:p>
            <w:pPr>
              <w:spacing w:after="0"/>
              <w:rPr>
                <w:sz w:val="11"/>
                <w:szCs w:val="11"/>
                <w:color w:val="auto"/>
              </w:rPr>
            </w:pPr>
          </w:p>
        </w:tc>
        <w:tc>
          <w:tcPr>
            <w:tcW w:w="8540" w:type="dxa"/>
            <w:vAlign w:val="bottom"/>
            <w:gridSpan w:val="18"/>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tcBorders>
              <w:top w:val="single" w:sz="8" w:color="3051F2"/>
            </w:tcBorders>
            <w:gridSpan w:val="6"/>
            <w:vMerge w:val="restart"/>
          </w:tcPr>
          <w:p>
            <w:pPr>
              <w:spacing w:after="0"/>
              <w:rPr>
                <w:sz w:val="20"/>
                <w:szCs w:val="20"/>
                <w:color w:val="auto"/>
              </w:rPr>
            </w:pPr>
            <w:r>
              <w:rPr>
                <w:rFonts w:ascii="Arial" w:cs="Arial" w:eastAsia="Arial" w:hAnsi="Arial"/>
                <w:sz w:val="16"/>
                <w:szCs w:val="16"/>
                <w:color w:val="3051F2"/>
                <w:w w:val="89"/>
              </w:rPr>
              <w:t>Controls and Procedures</w:t>
            </w:r>
          </w:p>
        </w:tc>
        <w:tc>
          <w:tcPr>
            <w:tcW w:w="2320" w:type="dxa"/>
            <w:vAlign w:val="bottom"/>
            <w:tcBorders>
              <w:top w:val="single" w:sz="8" w:color="3051F2"/>
            </w:tcBorders>
            <w:gridSpan w:val="5"/>
            <w:vMerge w:val="restart"/>
          </w:tcPr>
          <w:p>
            <w:pPr>
              <w:spacing w:after="0"/>
              <w:rPr>
                <w:sz w:val="22"/>
                <w:szCs w:val="22"/>
                <w:color w:val="auto"/>
              </w:rPr>
            </w:pPr>
          </w:p>
        </w:tc>
        <w:tc>
          <w:tcPr>
            <w:tcW w:w="4620" w:type="dxa"/>
            <w:vAlign w:val="bottom"/>
            <w:gridSpan w:val="7"/>
            <w:vMerge w:val="restart"/>
          </w:tcPr>
          <w:p>
            <w:pPr>
              <w:spacing w:after="0"/>
              <w:rPr>
                <w:sz w:val="22"/>
                <w:szCs w:val="22"/>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4620" w:type="dxa"/>
            <w:vAlign w:val="bottom"/>
            <w:gridSpan w:val="7"/>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8"/>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Part II</w:t>
            </w:r>
          </w:p>
        </w:tc>
        <w:tc>
          <w:tcPr>
            <w:tcW w:w="8540" w:type="dxa"/>
            <w:vAlign w:val="bottom"/>
            <w:gridSpan w:val="18"/>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8540" w:type="dxa"/>
            <w:vAlign w:val="bottom"/>
            <w:gridSpan w:val="18"/>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80" w:type="dxa"/>
            <w:vAlign w:val="bottom"/>
            <w:vMerge w:val="restart"/>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4"/>
            <w:vMerge w:val="restart"/>
          </w:tcPr>
          <w:p>
            <w:pPr>
              <w:spacing w:after="0"/>
              <w:rPr>
                <w:sz w:val="20"/>
                <w:szCs w:val="20"/>
                <w:color w:val="auto"/>
              </w:rPr>
            </w:pPr>
            <w:r>
              <w:rPr>
                <w:rFonts w:ascii="Arial" w:cs="Arial" w:eastAsia="Arial" w:hAnsi="Arial"/>
                <w:sz w:val="16"/>
                <w:szCs w:val="16"/>
                <w:color w:val="3051F2"/>
                <w:w w:val="89"/>
              </w:rPr>
              <w:t>Legal Proceedings</w:t>
            </w:r>
          </w:p>
        </w:tc>
        <w:tc>
          <w:tcPr>
            <w:tcW w:w="7340" w:type="dxa"/>
            <w:vAlign w:val="bottom"/>
            <w:gridSpan w:val="14"/>
            <w:vMerge w:val="restart"/>
          </w:tcPr>
          <w:p>
            <w:pPr>
              <w:spacing w:after="0"/>
              <w:rPr>
                <w:sz w:val="21"/>
                <w:szCs w:val="21"/>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32"/>
        </w:trPr>
        <w:tc>
          <w:tcPr>
            <w:tcW w:w="980" w:type="dxa"/>
            <w:vAlign w:val="bottom"/>
            <w:vMerge w:val="continue"/>
          </w:tcPr>
          <w:p>
            <w:pPr>
              <w:spacing w:after="0"/>
              <w:rPr>
                <w:sz w:val="11"/>
                <w:szCs w:val="11"/>
                <w:color w:val="auto"/>
              </w:rPr>
            </w:pPr>
          </w:p>
        </w:tc>
        <w:tc>
          <w:tcPr>
            <w:tcW w:w="1200" w:type="dxa"/>
            <w:vAlign w:val="bottom"/>
            <w:tcBorders>
              <w:bottom w:val="single" w:sz="8" w:color="3051F2"/>
            </w:tcBorders>
            <w:gridSpan w:val="4"/>
            <w:vMerge w:val="continue"/>
          </w:tcPr>
          <w:p>
            <w:pPr>
              <w:spacing w:after="0"/>
              <w:rPr>
                <w:sz w:val="11"/>
                <w:szCs w:val="11"/>
                <w:color w:val="auto"/>
              </w:rPr>
            </w:pPr>
          </w:p>
        </w:tc>
        <w:tc>
          <w:tcPr>
            <w:tcW w:w="7340" w:type="dxa"/>
            <w:vAlign w:val="bottom"/>
            <w:gridSpan w:val="14"/>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1A.</w:t>
            </w:r>
          </w:p>
        </w:tc>
        <w:tc>
          <w:tcPr>
            <w:tcW w:w="820" w:type="dxa"/>
            <w:vAlign w:val="bottom"/>
            <w:gridSpan w:val="2"/>
            <w:vMerge w:val="restart"/>
          </w:tcPr>
          <w:p>
            <w:pPr>
              <w:spacing w:after="0"/>
              <w:rPr>
                <w:sz w:val="20"/>
                <w:szCs w:val="20"/>
                <w:color w:val="auto"/>
              </w:rPr>
            </w:pPr>
            <w:r>
              <w:rPr>
                <w:rFonts w:ascii="Arial" w:cs="Arial" w:eastAsia="Arial" w:hAnsi="Arial"/>
                <w:sz w:val="16"/>
                <w:szCs w:val="16"/>
                <w:color w:val="3051F2"/>
                <w:w w:val="89"/>
              </w:rPr>
              <w:t>Risk Factors</w:t>
            </w:r>
          </w:p>
        </w:tc>
        <w:tc>
          <w:tcPr>
            <w:tcW w:w="7720" w:type="dxa"/>
            <w:vAlign w:val="bottom"/>
            <w:gridSpan w:val="16"/>
            <w:vMerge w:val="restart"/>
          </w:tcPr>
          <w:p>
            <w:pPr>
              <w:spacing w:after="0"/>
              <w:rPr>
                <w:sz w:val="22"/>
                <w:szCs w:val="22"/>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32"/>
        </w:trPr>
        <w:tc>
          <w:tcPr>
            <w:tcW w:w="980" w:type="dxa"/>
            <w:vAlign w:val="bottom"/>
            <w:vMerge w:val="continue"/>
          </w:tcPr>
          <w:p>
            <w:pPr>
              <w:spacing w:after="0"/>
              <w:rPr>
                <w:sz w:val="11"/>
                <w:szCs w:val="11"/>
                <w:color w:val="auto"/>
              </w:rPr>
            </w:pPr>
          </w:p>
        </w:tc>
        <w:tc>
          <w:tcPr>
            <w:tcW w:w="820" w:type="dxa"/>
            <w:vAlign w:val="bottom"/>
            <w:tcBorders>
              <w:bottom w:val="single" w:sz="8" w:color="3051F2"/>
            </w:tcBorders>
            <w:gridSpan w:val="2"/>
            <w:vMerge w:val="continue"/>
          </w:tcPr>
          <w:p>
            <w:pPr>
              <w:spacing w:after="0"/>
              <w:rPr>
                <w:sz w:val="11"/>
                <w:szCs w:val="11"/>
                <w:color w:val="auto"/>
              </w:rPr>
            </w:pPr>
          </w:p>
        </w:tc>
        <w:tc>
          <w:tcPr>
            <w:tcW w:w="7720" w:type="dxa"/>
            <w:vAlign w:val="bottom"/>
            <w:gridSpan w:val="16"/>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11"/>
            <w:vMerge w:val="restart"/>
          </w:tcPr>
          <w:p>
            <w:pPr>
              <w:spacing w:after="0"/>
              <w:rPr>
                <w:sz w:val="20"/>
                <w:szCs w:val="20"/>
                <w:color w:val="auto"/>
              </w:rPr>
            </w:pPr>
            <w:r>
              <w:rPr>
                <w:rFonts w:ascii="Arial" w:cs="Arial" w:eastAsia="Arial" w:hAnsi="Arial"/>
                <w:sz w:val="16"/>
                <w:szCs w:val="16"/>
                <w:color w:val="3051F2"/>
                <w:w w:val="90"/>
              </w:rPr>
              <w:t>Unregistered Sales of Equity Securities and Use of Proceeds</w:t>
            </w:r>
          </w:p>
        </w:tc>
        <w:tc>
          <w:tcPr>
            <w:tcW w:w="4620" w:type="dxa"/>
            <w:vAlign w:val="bottom"/>
            <w:gridSpan w:val="7"/>
            <w:vMerge w:val="restart"/>
          </w:tcPr>
          <w:p>
            <w:pPr>
              <w:spacing w:after="0"/>
              <w:rPr>
                <w:sz w:val="22"/>
                <w:szCs w:val="22"/>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3920" w:type="dxa"/>
            <w:vAlign w:val="bottom"/>
            <w:tcBorders>
              <w:bottom w:val="single" w:sz="8" w:color="3051F2"/>
            </w:tcBorders>
            <w:gridSpan w:val="11"/>
            <w:vMerge w:val="continue"/>
          </w:tcPr>
          <w:p>
            <w:pPr>
              <w:spacing w:after="0"/>
              <w:rPr>
                <w:sz w:val="11"/>
                <w:szCs w:val="11"/>
                <w:color w:val="auto"/>
              </w:rPr>
            </w:pPr>
          </w:p>
        </w:tc>
        <w:tc>
          <w:tcPr>
            <w:tcW w:w="4620" w:type="dxa"/>
            <w:vAlign w:val="bottom"/>
            <w:gridSpan w:val="7"/>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2100" w:type="dxa"/>
            <w:vAlign w:val="bottom"/>
            <w:gridSpan w:val="7"/>
            <w:vMerge w:val="restart"/>
          </w:tcPr>
          <w:p>
            <w:pPr>
              <w:spacing w:after="0"/>
              <w:rPr>
                <w:sz w:val="20"/>
                <w:szCs w:val="20"/>
                <w:color w:val="auto"/>
              </w:rPr>
            </w:pPr>
            <w:r>
              <w:rPr>
                <w:rFonts w:ascii="Arial" w:cs="Arial" w:eastAsia="Arial" w:hAnsi="Arial"/>
                <w:sz w:val="16"/>
                <w:szCs w:val="16"/>
                <w:color w:val="3051F2"/>
                <w:w w:val="91"/>
              </w:rPr>
              <w:t>Defaults Upon Senior Securities</w:t>
            </w:r>
          </w:p>
        </w:tc>
        <w:tc>
          <w:tcPr>
            <w:tcW w:w="6440" w:type="dxa"/>
            <w:vAlign w:val="bottom"/>
            <w:gridSpan w:val="11"/>
            <w:vMerge w:val="restart"/>
          </w:tcPr>
          <w:p>
            <w:pPr>
              <w:spacing w:after="0"/>
              <w:rPr>
                <w:sz w:val="22"/>
                <w:szCs w:val="22"/>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2100" w:type="dxa"/>
            <w:vAlign w:val="bottom"/>
            <w:tcBorders>
              <w:bottom w:val="single" w:sz="8" w:color="3051F2"/>
            </w:tcBorders>
            <w:gridSpan w:val="7"/>
            <w:vMerge w:val="continue"/>
          </w:tcPr>
          <w:p>
            <w:pPr>
              <w:spacing w:after="0"/>
              <w:rPr>
                <w:sz w:val="11"/>
                <w:szCs w:val="11"/>
                <w:color w:val="auto"/>
              </w:rPr>
            </w:pPr>
          </w:p>
        </w:tc>
        <w:tc>
          <w:tcPr>
            <w:tcW w:w="6440" w:type="dxa"/>
            <w:vAlign w:val="bottom"/>
            <w:gridSpan w:val="11"/>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98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gridSpan w:val="6"/>
            <w:vMerge w:val="restart"/>
          </w:tcPr>
          <w:p>
            <w:pPr>
              <w:spacing w:after="0"/>
              <w:rPr>
                <w:sz w:val="20"/>
                <w:szCs w:val="20"/>
                <w:color w:val="auto"/>
              </w:rPr>
            </w:pPr>
            <w:r>
              <w:rPr>
                <w:rFonts w:ascii="Arial" w:cs="Arial" w:eastAsia="Arial" w:hAnsi="Arial"/>
                <w:sz w:val="16"/>
                <w:szCs w:val="16"/>
                <w:color w:val="3051F2"/>
                <w:w w:val="92"/>
              </w:rPr>
              <w:t>Mine Safety Disclosures</w:t>
            </w:r>
          </w:p>
        </w:tc>
        <w:tc>
          <w:tcPr>
            <w:tcW w:w="6940" w:type="dxa"/>
            <w:vAlign w:val="bottom"/>
            <w:gridSpan w:val="12"/>
            <w:vMerge w:val="restart"/>
          </w:tcPr>
          <w:p>
            <w:pPr>
              <w:spacing w:after="0"/>
              <w:rPr>
                <w:sz w:val="22"/>
                <w:szCs w:val="22"/>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6940" w:type="dxa"/>
            <w:vAlign w:val="bottom"/>
            <w:gridSpan w:val="12"/>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980" w:type="dxa"/>
            <w:vAlign w:val="bottom"/>
            <w:vMerge w:val="restart"/>
          </w:tcPr>
          <w:p>
            <w:pPr>
              <w:spacing w:after="0"/>
              <w:rPr>
                <w:sz w:val="20"/>
                <w:szCs w:val="20"/>
                <w:color w:val="auto"/>
              </w:rPr>
            </w:pPr>
            <w:r>
              <w:rPr>
                <w:rFonts w:ascii="Arial" w:cs="Arial" w:eastAsia="Arial" w:hAnsi="Arial"/>
                <w:sz w:val="16"/>
                <w:szCs w:val="16"/>
                <w:color w:val="auto"/>
              </w:rPr>
              <w:t>Item 5.</w:t>
            </w:r>
          </w:p>
        </w:tc>
        <w:tc>
          <w:tcPr>
            <w:tcW w:w="8540" w:type="dxa"/>
            <w:vAlign w:val="bottom"/>
            <w:gridSpan w:val="18"/>
            <w:vMerge w:val="restart"/>
          </w:tcPr>
          <w:p>
            <w:pPr>
              <w:spacing w:after="0"/>
              <w:rPr>
                <w:sz w:val="20"/>
                <w:szCs w:val="20"/>
                <w:color w:val="auto"/>
              </w:rPr>
            </w:pPr>
            <w:r>
              <w:rPr>
                <w:rFonts w:ascii="Arial" w:cs="Arial" w:eastAsia="Arial" w:hAnsi="Arial"/>
                <w:sz w:val="16"/>
                <w:szCs w:val="16"/>
                <w:color w:val="3051F2"/>
              </w:rPr>
              <w:t>Other Information</w:t>
            </w: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8540" w:type="dxa"/>
            <w:vAlign w:val="bottom"/>
            <w:gridSpan w:val="18"/>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980" w:type="dxa"/>
            <w:vAlign w:val="bottom"/>
            <w:vMerge w:val="restart"/>
          </w:tcPr>
          <w:p>
            <w:pPr>
              <w:spacing w:after="0"/>
              <w:rPr>
                <w:sz w:val="20"/>
                <w:szCs w:val="20"/>
                <w:color w:val="auto"/>
              </w:rPr>
            </w:pPr>
            <w:r>
              <w:rPr>
                <w:rFonts w:ascii="Arial" w:cs="Arial" w:eastAsia="Arial" w:hAnsi="Arial"/>
                <w:sz w:val="16"/>
                <w:szCs w:val="16"/>
                <w:color w:val="auto"/>
              </w:rPr>
              <w:t>Item 6.</w:t>
            </w:r>
          </w:p>
        </w:tc>
        <w:tc>
          <w:tcPr>
            <w:tcW w:w="1180" w:type="dxa"/>
            <w:vAlign w:val="bottom"/>
            <w:tcBorders>
              <w:top w:val="single" w:sz="8" w:color="3051F2"/>
            </w:tcBorders>
            <w:gridSpan w:val="3"/>
            <w:vMerge w:val="restart"/>
          </w:tcPr>
          <w:p>
            <w:pPr>
              <w:spacing w:after="0"/>
              <w:rPr>
                <w:sz w:val="20"/>
                <w:szCs w:val="20"/>
                <w:color w:val="auto"/>
              </w:rPr>
            </w:pPr>
            <w:r>
              <w:rPr>
                <w:rFonts w:ascii="Arial" w:cs="Arial" w:eastAsia="Arial" w:hAnsi="Arial"/>
                <w:sz w:val="16"/>
                <w:szCs w:val="16"/>
                <w:color w:val="3051F2"/>
              </w:rPr>
              <w:t>Exhibits</w:t>
            </w:r>
          </w:p>
        </w:tc>
        <w:tc>
          <w:tcPr>
            <w:tcW w:w="7360" w:type="dxa"/>
            <w:vAlign w:val="bottom"/>
            <w:gridSpan w:val="15"/>
            <w:vMerge w:val="restart"/>
          </w:tcPr>
          <w:p>
            <w:pPr>
              <w:spacing w:after="0"/>
              <w:rPr>
                <w:sz w:val="22"/>
                <w:szCs w:val="22"/>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7360" w:type="dxa"/>
            <w:vAlign w:val="bottom"/>
            <w:gridSpan w:val="15"/>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8"/>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jc w:val="center"/>
              <w:ind w:left="99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-4118610</wp:posOffset>
            </wp:positionV>
            <wp:extent cx="2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5" w:lineRule="exact"/>
        <w:rPr>
          <w:sz w:val="20"/>
          <w:szCs w:val="20"/>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and other operating results;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new customers and successfully retain existing customers;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or sustain our profitability;</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our strategic relationships with third parties;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 opportunity, including our total addressable market;</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59" w:lineRule="exact"/>
        <w:rPr>
          <w:rFonts w:ascii="Arial" w:cs="Arial" w:eastAsia="Arial" w:hAnsi="Arial"/>
          <w:sz w:val="16"/>
          <w:szCs w:val="16"/>
          <w:color w:val="auto"/>
        </w:rPr>
      </w:pPr>
    </w:p>
    <w:p>
      <w:pPr>
        <w:ind w:left="660" w:right="520" w:hanging="328"/>
        <w:spacing w:after="0" w:line="290" w:lineRule="auto"/>
        <w:tabs>
          <w:tab w:leader="none" w:pos="55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uncertainties regarding the impact of general economic and market conditions, including as a result of currency fluctuations, inflation, or regional and global conflicts or related government sanctions;</w:t>
      </w: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solutions;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money transmission licenses and other regulatory approvals;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internationally; and</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anticipated technology needs and developments and our ability to address those needs and developments with our solutions.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25"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12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Part 1. Financial Information</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 (Unaudited)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6860" w:type="dxa"/>
            <w:vAlign w:val="bottom"/>
          </w:tcPr>
          <w:p>
            <w:pPr>
              <w:jc w:val="center"/>
              <w:ind w:left="1979"/>
              <w:spacing w:after="0"/>
              <w:rPr>
                <w:sz w:val="20"/>
                <w:szCs w:val="20"/>
                <w:color w:val="auto"/>
              </w:rPr>
            </w:pPr>
            <w:r>
              <w:rPr>
                <w:rFonts w:ascii="Arial" w:cs="Arial" w:eastAsia="Arial" w:hAnsi="Arial"/>
                <w:sz w:val="16"/>
                <w:szCs w:val="16"/>
                <w:b w:val="1"/>
                <w:bCs w:val="1"/>
                <w:color w:val="auto"/>
              </w:rPr>
              <w:t>REMITLY GLOBAL, INC.</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3"/>
        </w:trPr>
        <w:tc>
          <w:tcPr>
            <w:tcW w:w="1160" w:type="dxa"/>
            <w:vAlign w:val="bottom"/>
          </w:tcPr>
          <w:p>
            <w:pPr>
              <w:spacing w:after="0"/>
              <w:rPr>
                <w:sz w:val="16"/>
                <w:szCs w:val="16"/>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b w:val="1"/>
                <w:bCs w:val="1"/>
                <w:color w:val="auto"/>
                <w:w w:val="88"/>
              </w:rPr>
              <w:t>Condensed Consolidated Balance Sheets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1160" w:type="dxa"/>
            <w:vAlign w:val="bottom"/>
          </w:tcPr>
          <w:p>
            <w:pPr>
              <w:spacing w:after="0"/>
              <w:rPr>
                <w:sz w:val="17"/>
                <w:szCs w:val="17"/>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color w:val="auto"/>
                <w:w w:val="91"/>
              </w:rPr>
              <w:t>(unaudited)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3"/>
        </w:trPr>
        <w:tc>
          <w:tcPr>
            <w:tcW w:w="1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1"/>
                <w:szCs w:val="21"/>
                <w:color w:val="auto"/>
              </w:rPr>
            </w:pPr>
          </w:p>
        </w:tc>
        <w:tc>
          <w:tcPr>
            <w:tcW w:w="1360" w:type="dxa"/>
            <w:vAlign w:val="bottom"/>
          </w:tcPr>
          <w:p>
            <w:pPr>
              <w:jc w:val="right"/>
              <w:ind w:right="238"/>
              <w:spacing w:after="0"/>
              <w:rPr>
                <w:sz w:val="20"/>
                <w:szCs w:val="20"/>
                <w:color w:val="auto"/>
              </w:rPr>
            </w:pPr>
            <w:r>
              <w:rPr>
                <w:rFonts w:ascii="Arial" w:cs="Arial" w:eastAsia="Arial" w:hAnsi="Arial"/>
                <w:sz w:val="16"/>
                <w:szCs w:val="16"/>
                <w:b w:val="1"/>
                <w:bCs w:val="1"/>
                <w:color w:val="auto"/>
                <w:w w:val="97"/>
              </w:rPr>
              <w:t>December 31,</w:t>
            </w:r>
          </w:p>
        </w:tc>
      </w:tr>
      <w:tr>
        <w:trPr>
          <w:trHeight w:val="256"/>
        </w:trPr>
        <w:tc>
          <w:tcPr>
            <w:tcW w:w="1160" w:type="dxa"/>
            <w:vAlign w:val="bottom"/>
            <w:tcBorders>
              <w:bottom w:val="single" w:sz="8" w:color="CCEEFF"/>
            </w:tcBorders>
          </w:tcPr>
          <w:p>
            <w:pPr>
              <w:spacing w:after="0"/>
              <w:rPr>
                <w:sz w:val="22"/>
                <w:szCs w:val="22"/>
                <w:color w:val="auto"/>
              </w:rPr>
            </w:pPr>
          </w:p>
        </w:tc>
        <w:tc>
          <w:tcPr>
            <w:tcW w:w="6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2022</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244,159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300,635</w:t>
            </w: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Disbursement prefunding</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208,228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158,055</w:t>
            </w: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Customer funds receivable, net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191,402</w:t>
            </w:r>
          </w:p>
        </w:tc>
      </w:tr>
      <w:tr>
        <w:trPr>
          <w:trHeight w:val="237"/>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19,327</w:t>
            </w:r>
          </w:p>
        </w:tc>
      </w:tr>
      <w:tr>
        <w:trPr>
          <w:trHeight w:val="243"/>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669,419</w:t>
            </w: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5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11,546</w:t>
            </w: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8,675</w:t>
            </w:r>
          </w:p>
        </w:tc>
      </w:tr>
      <w:tr>
        <w:trPr>
          <w:trHeight w:val="28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20,285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6,214</w:t>
            </w:r>
          </w:p>
        </w:tc>
      </w:tr>
      <w:tr>
        <w:trPr>
          <w:trHeight w:val="243"/>
        </w:trPr>
        <w:tc>
          <w:tcPr>
            <w:tcW w:w="80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715,185</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695,953</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w:t>
            </w: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Customer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106,947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111,075</w:t>
            </w:r>
          </w:p>
        </w:tc>
      </w:tr>
      <w:tr>
        <w:trPr>
          <w:trHeight w:val="280"/>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Short-term debt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79,479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87,752</w:t>
            </w:r>
          </w:p>
        </w:tc>
      </w:tr>
      <w:tr>
        <w:trPr>
          <w:trHeight w:val="246"/>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r>
      <w:tr>
        <w:trPr>
          <w:trHeight w:val="233"/>
        </w:trPr>
        <w:tc>
          <w:tcPr>
            <w:tcW w:w="8020" w:type="dxa"/>
            <w:vAlign w:val="bottom"/>
            <w:gridSpan w:val="2"/>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197,467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209,142</w:t>
            </w:r>
          </w:p>
        </w:tc>
      </w:tr>
      <w:tr>
        <w:trPr>
          <w:trHeight w:val="25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w:t>
            </w:r>
          </w:p>
        </w:tc>
      </w:tr>
      <w:tr>
        <w:trPr>
          <w:trHeight w:val="236"/>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w:t>
            </w:r>
          </w:p>
        </w:tc>
      </w:tr>
      <w:tr>
        <w:trPr>
          <w:trHeight w:val="243"/>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219,764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215,866</w:t>
            </w: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14)</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06"/>
        </w:trPr>
        <w:tc>
          <w:tcPr>
            <w:tcW w:w="8020" w:type="dxa"/>
            <w:vAlign w:val="bottom"/>
            <w:gridSpan w:val="2"/>
          </w:tcPr>
          <w:p>
            <w:pPr>
              <w:ind w:left="260"/>
              <w:spacing w:after="0"/>
              <w:rPr>
                <w:sz w:val="20"/>
                <w:szCs w:val="20"/>
                <w:color w:val="auto"/>
              </w:rPr>
            </w:pPr>
            <w:r>
              <w:rPr>
                <w:rFonts w:ascii="Arial" w:cs="Arial" w:eastAsia="Arial" w:hAnsi="Arial"/>
                <w:sz w:val="16"/>
                <w:szCs w:val="16"/>
                <w:color w:val="auto"/>
                <w:w w:val="91"/>
              </w:rPr>
              <w:t>Common stock, $0.0001 par value; 725,000,000 shares authorized as of March 31, 2023 and December 31, 2022 both;</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020" w:type="dxa"/>
            <w:vAlign w:val="bottom"/>
            <w:gridSpan w:val="2"/>
          </w:tcPr>
          <w:p>
            <w:pPr>
              <w:ind w:left="440"/>
              <w:spacing w:after="0"/>
              <w:rPr>
                <w:sz w:val="20"/>
                <w:szCs w:val="20"/>
                <w:color w:val="auto"/>
              </w:rPr>
            </w:pPr>
            <w:r>
              <w:rPr>
                <w:rFonts w:ascii="Arial" w:cs="Arial" w:eastAsia="Arial" w:hAnsi="Arial"/>
                <w:sz w:val="16"/>
                <w:szCs w:val="16"/>
                <w:color w:val="auto"/>
                <w:w w:val="97"/>
              </w:rPr>
              <w:t>177,733,293 and 173,250,865 shares issued and outstanding, as of March 31, 2023 and December 31, 2022,</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897,575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854,276</w:t>
            </w: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46"/>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(401,777)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(373,463)</w:t>
            </w:r>
          </w:p>
        </w:tc>
      </w:tr>
      <w:tr>
        <w:trPr>
          <w:trHeight w:val="237"/>
        </w:trPr>
        <w:tc>
          <w:tcPr>
            <w:tcW w:w="80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480,087</w:t>
            </w:r>
          </w:p>
        </w:tc>
      </w:tr>
      <w:tr>
        <w:trPr>
          <w:trHeight w:val="268"/>
        </w:trPr>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715,185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695,953</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and per share data</w:t>
      </w:r>
      <w:r>
        <w:rPr>
          <w:rFonts w:ascii="Arial" w:cs="Arial" w:eastAsia="Arial" w:hAnsi="Arial"/>
          <w:sz w:val="16"/>
          <w:szCs w:val="16"/>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8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203,865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136,014</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56,263</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color w:val="auto"/>
              </w:rPr>
              <w:t>Customer support and operations</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13,870</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40,621</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49,376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23,575</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23,342</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r>
      <w:tr>
        <w:trPr>
          <w:trHeight w:val="237"/>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231,933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159,188</w:t>
            </w:r>
          </w:p>
        </w:tc>
      </w:tr>
      <w:tr>
        <w:trPr>
          <w:trHeight w:val="233"/>
        </w:trPr>
        <w:tc>
          <w:tcPr>
            <w:tcW w:w="8020" w:type="dxa"/>
            <w:vAlign w:val="bottom"/>
          </w:tcPr>
          <w:p>
            <w:pPr>
              <w:ind w:left="68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(23,174)</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33"/>
        </w:trPr>
        <w:tc>
          <w:tcPr>
            <w:tcW w:w="8020" w:type="dxa"/>
            <w:vAlign w:val="bottom"/>
          </w:tcPr>
          <w:p>
            <w:pPr>
              <w:ind w:left="68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(22,782)</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43"/>
        </w:trPr>
        <w:tc>
          <w:tcPr>
            <w:tcW w:w="8020" w:type="dxa"/>
            <w:vAlign w:val="bottom"/>
          </w:tcPr>
          <w:p>
            <w:pPr>
              <w:ind w:left="68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used in computing net loss per share attributable to common stockholders: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020" w:type="dxa"/>
            <w:vAlign w:val="bottom"/>
          </w:tcPr>
          <w:p>
            <w:pPr>
              <w:ind w:left="68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175,113,904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164,391,753</w:t>
            </w:r>
          </w:p>
        </w:tc>
      </w:tr>
      <w:tr>
        <w:trPr>
          <w:trHeight w:val="268"/>
        </w:trPr>
        <w:tc>
          <w:tcPr>
            <w:tcW w:w="8020" w:type="dxa"/>
            <w:vAlign w:val="bottom"/>
          </w:tcPr>
          <w:p>
            <w:pPr>
              <w:spacing w:after="0"/>
              <w:rPr>
                <w:sz w:val="20"/>
                <w:szCs w:val="20"/>
                <w:color w:val="auto"/>
              </w:rPr>
            </w:pPr>
            <w:r>
              <w:rPr>
                <w:rFonts w:ascii="Arial" w:cs="Arial" w:eastAsia="Arial" w:hAnsi="Arial"/>
                <w:sz w:val="16"/>
                <w:szCs w:val="16"/>
                <w:color w:val="auto"/>
              </w:rPr>
              <w:t>__________________</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ind w:left="140" w:hanging="132"/>
        <w:spacing w:after="0" w:line="233"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Exclusive of depreciation and amortization, shown separately, above</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1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4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27"/>
        </w:trPr>
        <w:tc>
          <w:tcPr>
            <w:tcW w:w="116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5900" w:type="dxa"/>
            <w:vAlign w:val="bottom"/>
            <w:gridSpan w:val="2"/>
          </w:tcPr>
          <w:p>
            <w:pPr>
              <w:jc w:val="center"/>
              <w:ind w:right="779"/>
              <w:spacing w:after="0"/>
              <w:rPr>
                <w:sz w:val="20"/>
                <w:szCs w:val="20"/>
                <w:color w:val="auto"/>
              </w:rPr>
            </w:pPr>
            <w:r>
              <w:rPr>
                <w:rFonts w:ascii="Arial" w:cs="Arial" w:eastAsia="Arial" w:hAnsi="Arial"/>
                <w:sz w:val="16"/>
                <w:szCs w:val="16"/>
                <w:b w:val="1"/>
                <w:bCs w:val="1"/>
                <w:color w:val="auto"/>
              </w:rPr>
              <w:t>REMITLY GLOBAL, INC.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900" w:type="dxa"/>
            <w:vAlign w:val="bottom"/>
            <w:gridSpan w:val="2"/>
          </w:tcPr>
          <w:p>
            <w:pPr>
              <w:jc w:val="center"/>
              <w:ind w:right="779"/>
              <w:spacing w:after="0"/>
              <w:rPr>
                <w:sz w:val="20"/>
                <w:szCs w:val="20"/>
                <w:color w:val="auto"/>
              </w:rPr>
            </w:pPr>
            <w:r>
              <w:rPr>
                <w:rFonts w:ascii="Arial" w:cs="Arial" w:eastAsia="Arial" w:hAnsi="Arial"/>
                <w:sz w:val="16"/>
                <w:szCs w:val="16"/>
                <w:b w:val="1"/>
                <w:bCs w:val="1"/>
                <w:color w:val="auto"/>
                <w:w w:val="88"/>
              </w:rPr>
              <w:t>Condensed Consolidated Statements of Comprehensive Loss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9"/>
        </w:trPr>
        <w:tc>
          <w:tcPr>
            <w:tcW w:w="1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900" w:type="dxa"/>
            <w:vAlign w:val="bottom"/>
            <w:gridSpan w:val="2"/>
          </w:tcPr>
          <w:p>
            <w:pPr>
              <w:jc w:val="center"/>
              <w:ind w:right="759"/>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i w:val="1"/>
                <w:iCs w:val="1"/>
                <w:color w:val="auto"/>
                <w:w w:val="91"/>
              </w:rPr>
              <w:t>In thousands</w:t>
            </w:r>
            <w:r>
              <w:rPr>
                <w:rFonts w:ascii="Arial" w:cs="Arial" w:eastAsia="Arial" w:hAnsi="Arial"/>
                <w:sz w:val="16"/>
                <w:szCs w:val="16"/>
                <w:color w:val="auto"/>
                <w:w w:val="91"/>
              </w:rPr>
              <w:t>)</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900" w:type="dxa"/>
            <w:vAlign w:val="bottom"/>
            <w:gridSpan w:val="2"/>
          </w:tcPr>
          <w:p>
            <w:pPr>
              <w:jc w:val="center"/>
              <w:ind w:right="759"/>
              <w:spacing w:after="0"/>
              <w:rPr>
                <w:sz w:val="20"/>
                <w:szCs w:val="20"/>
                <w:color w:val="auto"/>
              </w:rPr>
            </w:pPr>
            <w:r>
              <w:rPr>
                <w:rFonts w:ascii="Arial" w:cs="Arial" w:eastAsia="Arial" w:hAnsi="Arial"/>
                <w:sz w:val="16"/>
                <w:szCs w:val="16"/>
                <w:color w:val="auto"/>
                <w:w w:val="91"/>
              </w:rPr>
              <w:t>(unaudited)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31"/>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116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9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90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(28,314)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(23,310)</w:t>
            </w: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49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4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9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Comprehensive loss</w:t>
            </w:r>
          </w:p>
        </w:tc>
        <w:tc>
          <w:tcPr>
            <w:tcW w:w="590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0"/>
              </w:rPr>
              <w:t>(27,966)</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(23,306)</w:t>
            </w:r>
          </w:p>
        </w:tc>
      </w:tr>
      <w:tr>
        <w:trPr>
          <w:trHeight w:val="20"/>
        </w:trPr>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2023 and 2022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data</w:t>
      </w:r>
      <w:r>
        <w:rPr>
          <w:rFonts w:ascii="Arial" w:cs="Arial" w:eastAsia="Arial" w:hAnsi="Arial"/>
          <w:sz w:val="16"/>
          <w:szCs w:val="16"/>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8"/>
          </w:tcPr>
          <w:p>
            <w:pPr>
              <w:jc w:val="center"/>
              <w:ind w:left="68"/>
              <w:spacing w:after="0"/>
              <w:rPr>
                <w:sz w:val="20"/>
                <w:szCs w:val="20"/>
                <w:color w:val="auto"/>
              </w:rPr>
            </w:pPr>
            <w:r>
              <w:rPr>
                <w:rFonts w:ascii="Arial" w:cs="Arial" w:eastAsia="Arial" w:hAnsi="Arial"/>
                <w:sz w:val="14"/>
                <w:szCs w:val="14"/>
                <w:b w:val="1"/>
                <w:bCs w:val="1"/>
                <w:color w:val="auto"/>
                <w:w w:val="94"/>
              </w:rPr>
              <w:t>Three Months Ended March 31, 2023</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5"/>
                <w:szCs w:val="15"/>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518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04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5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2023</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173,250,865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854,276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(373,463)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480,087</w:t>
            </w:r>
          </w:p>
        </w:tc>
        <w:tc>
          <w:tcPr>
            <w:tcW w:w="0" w:type="dxa"/>
            <w:vAlign w:val="bottom"/>
          </w:tcPr>
          <w:p>
            <w:pPr>
              <w:spacing w:after="0"/>
              <w:rPr>
                <w:sz w:val="1"/>
                <w:szCs w:val="1"/>
                <w:color w:val="auto"/>
              </w:rPr>
            </w:pPr>
          </w:p>
        </w:tc>
      </w:tr>
      <w:tr>
        <w:trPr>
          <w:trHeight w:val="190"/>
        </w:trPr>
        <w:tc>
          <w:tcPr>
            <w:tcW w:w="5180" w:type="dxa"/>
            <w:vAlign w:val="bottom"/>
          </w:tcPr>
          <w:p>
            <w:pPr>
              <w:ind w:left="20"/>
              <w:spacing w:after="0"/>
              <w:rPr>
                <w:sz w:val="20"/>
                <w:szCs w:val="20"/>
                <w:color w:val="auto"/>
              </w:rPr>
            </w:pPr>
            <w:r>
              <w:rPr>
                <w:rFonts w:ascii="Arial" w:cs="Arial" w:eastAsia="Arial" w:hAnsi="Arial"/>
                <w:sz w:val="14"/>
                <w:szCs w:val="14"/>
                <w:color w:val="auto"/>
              </w:rPr>
              <w:t>Issuance of common stock in connection with ESPP</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297,095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stock options, including early</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exercised options, and vesting of restricted stock units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3,589,965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0" w:type="dxa"/>
            <w:vAlign w:val="bottom"/>
          </w:tcPr>
          <w:p>
            <w:pPr>
              <w:spacing w:after="0"/>
              <w:rPr>
                <w:sz w:val="1"/>
                <w:szCs w:val="1"/>
                <w:color w:val="auto"/>
              </w:rPr>
            </w:pPr>
          </w:p>
        </w:tc>
      </w:tr>
      <w:tr>
        <w:trPr>
          <w:trHeight w:val="190"/>
        </w:trPr>
        <w:tc>
          <w:tcPr>
            <w:tcW w:w="518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 consideration</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590,838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6,635</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subject to service-based vesting conditions, in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connection with acquisition</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104,080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90"/>
        </w:trPr>
        <w:tc>
          <w:tcPr>
            <w:tcW w:w="518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940" w:type="dxa"/>
            <w:vAlign w:val="bottom"/>
          </w:tcPr>
          <w:p>
            <w:pPr>
              <w:jc w:val="right"/>
              <w:spacing w:after="0"/>
              <w:rPr>
                <w:sz w:val="20"/>
                <w:szCs w:val="20"/>
                <w:color w:val="auto"/>
              </w:rPr>
            </w:pPr>
            <w:r>
              <w:rPr>
                <w:rFonts w:ascii="Arial" w:cs="Arial" w:eastAsia="Arial" w:hAnsi="Arial"/>
                <w:sz w:val="14"/>
                <w:szCs w:val="14"/>
                <w:color w:val="auto"/>
              </w:rPr>
              <w:t>(99,550)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center"/>
              <w:ind w:left="268"/>
              <w:spacing w:after="0"/>
              <w:rPr>
                <w:sz w:val="20"/>
                <w:szCs w:val="20"/>
                <w:color w:val="auto"/>
              </w:rPr>
            </w:pPr>
            <w:r>
              <w:rPr>
                <w:rFonts w:ascii="Arial" w:cs="Arial" w:eastAsia="Arial" w:hAnsi="Arial"/>
                <w:sz w:val="14"/>
                <w:szCs w:val="14"/>
                <w:color w:val="auto"/>
                <w:w w:val="94"/>
              </w:rPr>
              <w:t>(1,413)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29,775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29,775</w:t>
            </w:r>
          </w:p>
        </w:tc>
        <w:tc>
          <w:tcPr>
            <w:tcW w:w="0" w:type="dxa"/>
            <w:vAlign w:val="bottom"/>
          </w:tcPr>
          <w:p>
            <w:pPr>
              <w:spacing w:after="0"/>
              <w:rPr>
                <w:sz w:val="1"/>
                <w:szCs w:val="1"/>
                <w:color w:val="auto"/>
              </w:rPr>
            </w:pPr>
          </w:p>
        </w:tc>
      </w:tr>
      <w:tr>
        <w:trPr>
          <w:trHeight w:val="190"/>
        </w:trPr>
        <w:tc>
          <w:tcPr>
            <w:tcW w:w="51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(28,314)</w:t>
            </w: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4"/>
                <w:szCs w:val="14"/>
                <w:color w:val="auto"/>
              </w:rPr>
              <w:t>Balance as of March 31, 2023</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177,733,293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897,575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(401,777)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495,421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9"/>
        </w:trPr>
        <w:tc>
          <w:tcPr>
            <w:tcW w:w="5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8"/>
          </w:tcPr>
          <w:p>
            <w:pPr>
              <w:jc w:val="center"/>
              <w:ind w:left="68"/>
              <w:spacing w:after="0"/>
              <w:rPr>
                <w:sz w:val="20"/>
                <w:szCs w:val="20"/>
                <w:color w:val="auto"/>
              </w:rPr>
            </w:pPr>
            <w:r>
              <w:rPr>
                <w:rFonts w:ascii="Arial" w:cs="Arial" w:eastAsia="Arial" w:hAnsi="Arial"/>
                <w:sz w:val="14"/>
                <w:szCs w:val="14"/>
                <w:b w:val="1"/>
                <w:bCs w:val="1"/>
                <w:color w:val="auto"/>
                <w:w w:val="94"/>
              </w:rPr>
              <w:t>Three Months Ended March 31, 2022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5"/>
                <w:szCs w:val="15"/>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518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8"/>
              </w:rPr>
              <w:t>Comprehensive</w:t>
            </w:r>
          </w:p>
        </w:tc>
        <w:tc>
          <w:tcPr>
            <w:tcW w:w="104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
        </w:trPr>
        <w:tc>
          <w:tcPr>
            <w:tcW w:w="5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2022</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164,239,555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739,503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480,328</w:t>
            </w:r>
          </w:p>
        </w:tc>
        <w:tc>
          <w:tcPr>
            <w:tcW w:w="0" w:type="dxa"/>
            <w:vAlign w:val="bottom"/>
          </w:tcPr>
          <w:p>
            <w:pPr>
              <w:spacing w:after="0"/>
              <w:rPr>
                <w:sz w:val="1"/>
                <w:szCs w:val="1"/>
                <w:color w:val="auto"/>
              </w:rPr>
            </w:pPr>
          </w:p>
        </w:tc>
      </w:tr>
      <w:tr>
        <w:trPr>
          <w:trHeight w:val="190"/>
        </w:trPr>
        <w:tc>
          <w:tcPr>
            <w:tcW w:w="5180" w:type="dxa"/>
            <w:vAlign w:val="bottom"/>
          </w:tcPr>
          <w:p>
            <w:pPr>
              <w:ind w:left="20"/>
              <w:spacing w:after="0"/>
              <w:rPr>
                <w:sz w:val="20"/>
                <w:szCs w:val="20"/>
                <w:color w:val="auto"/>
              </w:rPr>
            </w:pPr>
            <w:r>
              <w:rPr>
                <w:rFonts w:ascii="Arial" w:cs="Arial" w:eastAsia="Arial" w:hAnsi="Arial"/>
                <w:sz w:val="14"/>
                <w:szCs w:val="14"/>
                <w:color w:val="auto"/>
              </w:rPr>
              <w:t>Issuance of common stock in connection with ESPP</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202,213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stock options, including early</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exercised options, and vesting of restricted stock units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1,696,601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90"/>
        </w:trPr>
        <w:tc>
          <w:tcPr>
            <w:tcW w:w="51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9,921</w:t>
            </w:r>
          </w:p>
        </w:tc>
        <w:tc>
          <w:tcPr>
            <w:tcW w:w="0" w:type="dxa"/>
            <w:vAlign w:val="bottom"/>
          </w:tcPr>
          <w:p>
            <w:pPr>
              <w:spacing w:after="0"/>
              <w:rPr>
                <w:sz w:val="1"/>
                <w:szCs w:val="1"/>
                <w:color w:val="auto"/>
              </w:rPr>
            </w:pPr>
          </w:p>
        </w:tc>
      </w:tr>
      <w:tr>
        <w:trPr>
          <w:trHeight w:val="39"/>
        </w:trPr>
        <w:tc>
          <w:tcPr>
            <w:tcW w:w="5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1"/>
        </w:trPr>
        <w:tc>
          <w:tcPr>
            <w:tcW w:w="51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(23,310)</w:t>
            </w:r>
          </w:p>
        </w:tc>
        <w:tc>
          <w:tcPr>
            <w:tcW w:w="0" w:type="dxa"/>
            <w:vAlign w:val="bottom"/>
          </w:tcPr>
          <w:p>
            <w:pPr>
              <w:spacing w:after="0"/>
              <w:rPr>
                <w:sz w:val="1"/>
                <w:szCs w:val="1"/>
                <w:color w:val="auto"/>
              </w:rPr>
            </w:pPr>
          </w:p>
        </w:tc>
      </w:tr>
      <w:tr>
        <w:trPr>
          <w:trHeight w:val="39"/>
        </w:trPr>
        <w:tc>
          <w:tcPr>
            <w:tcW w:w="5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166,138,369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753,983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(282,754)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471,503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REMITLY GLOBAL, INC.</w:t>
      </w:r>
    </w:p>
    <w:p>
      <w:pPr>
        <w:spacing w:after="0" w:line="25"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4"/>
          <w:szCs w:val="14"/>
          <w:i w:val="1"/>
          <w:i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4"/>
        </w:trPr>
        <w:tc>
          <w:tcPr>
            <w:tcW w:w="8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(23,310)</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91"/>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3,029</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1,517</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 net</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9,594</w:t>
            </w:r>
          </w:p>
        </w:tc>
      </w:tr>
      <w:tr>
        <w:trPr>
          <w:trHeight w:val="190"/>
        </w:trPr>
        <w:tc>
          <w:tcPr>
            <w:tcW w:w="8020" w:type="dxa"/>
            <w:vAlign w:val="bottom"/>
          </w:tcPr>
          <w:p>
            <w:pPr>
              <w:ind w:left="240"/>
              <w:spacing w:after="0"/>
              <w:rPr>
                <w:sz w:val="20"/>
                <w:szCs w:val="20"/>
                <w:color w:val="auto"/>
              </w:rPr>
            </w:pPr>
            <w:r>
              <w:rPr>
                <w:rFonts w:ascii="Arial" w:cs="Arial" w:eastAsia="Arial" w:hAnsi="Arial"/>
                <w:sz w:val="14"/>
                <w:szCs w:val="14"/>
                <w:color w:val="auto"/>
              </w:rPr>
              <w:t>Other</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Disbursement prefunding</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(44,157)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62,450</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Customer funds receivable</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69,608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(14,453)</w:t>
            </w: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(12,078)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(6,221)</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right-of-use assets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w:t>
            </w:r>
          </w:p>
        </w:tc>
      </w:tr>
      <w:tr>
        <w:trPr>
          <w:trHeight w:val="191"/>
        </w:trPr>
        <w:tc>
          <w:tcPr>
            <w:tcW w:w="802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(4,512)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4,857</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Customer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10,257</w:t>
            </w: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(6,841)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(4,362)</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w:t>
            </w:r>
          </w:p>
        </w:tc>
      </w:tr>
      <w:tr>
        <w:trPr>
          <w:trHeight w:val="184"/>
        </w:trPr>
        <w:tc>
          <w:tcPr>
            <w:tcW w:w="8020" w:type="dxa"/>
            <w:vAlign w:val="bottom"/>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40,250</w:t>
            </w: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 costs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Cash paid for acquisition, net of acquired cash, cash equivalents, and restricted cash</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(40,933)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23"/>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investing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(43,093)</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r>
      <w:tr>
        <w:trPr>
          <w:trHeight w:val="171"/>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2,601</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assumed indebtedness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(17,068)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020" w:type="dxa"/>
            <w:vAlign w:val="bottom"/>
          </w:tcPr>
          <w:p>
            <w:pPr>
              <w:ind w:left="68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(13,637)</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2,601</w:t>
            </w: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(56,078)</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41,343</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300,735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403,313</w:t>
            </w:r>
          </w:p>
        </w:tc>
      </w:tr>
      <w:tr>
        <w:trPr>
          <w:trHeight w:val="217"/>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244,657</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444,656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2,830</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Vesting of early exercised options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issuance of common stock in connection with ESPP</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w:t>
            </w: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Stock-based compensation expense capitalized to internal-use software</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for acquisition consideration</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Issuance of unvested common stock, subject to service-based vesting conditions, in connection with acquisition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Amounts held back for acquisition consideration</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11,899</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Settlement of preexisting net receivable in exchange for net assets acquired in business combination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2,401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244,159</w:t>
            </w:r>
          </w:p>
        </w:tc>
        <w:tc>
          <w:tcPr>
            <w:tcW w:w="8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444,605</w:t>
            </w: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17"/>
        </w:trPr>
        <w:tc>
          <w:tcPr>
            <w:tcW w:w="802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244,657</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444,656</w:t>
            </w:r>
          </w:p>
        </w:tc>
      </w:tr>
      <w:tr>
        <w:trPr>
          <w:trHeight w:val="26"/>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p>
      <w:pPr>
        <w:ind w:right="8040" w:firstLine="8"/>
        <w:spacing w:after="0" w:line="469" w:lineRule="auto"/>
        <w:tabs>
          <w:tab w:leader="none" w:pos="28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Description of Business</w:t>
      </w:r>
    </w:p>
    <w:p>
      <w:pPr>
        <w:ind w:right="200"/>
        <w:spacing w:after="0" w:line="275" w:lineRule="auto"/>
        <w:rPr>
          <w:sz w:val="20"/>
          <w:szCs w:val="20"/>
          <w:color w:val="auto"/>
        </w:rPr>
      </w:pPr>
      <w:r>
        <w:rPr>
          <w:rFonts w:ascii="Arial" w:cs="Arial" w:eastAsia="Arial" w:hAnsi="Arial"/>
          <w:sz w:val="16"/>
          <w:szCs w:val="16"/>
          <w:color w:val="auto"/>
        </w:rPr>
        <w:t>Remitly Global, Inc. (the “Company” or “Remitly”) was incorporated in the State of Delaware in October 2018 and is headquartered in Seattle, Washington, with various other global office locations.</w:t>
      </w:r>
    </w:p>
    <w:p>
      <w:pPr>
        <w:spacing w:after="0" w:line="132" w:lineRule="exact"/>
        <w:rPr>
          <w:sz w:val="20"/>
          <w:szCs w:val="20"/>
          <w:color w:val="auto"/>
        </w:rPr>
      </w:pPr>
    </w:p>
    <w:p>
      <w:pPr>
        <w:ind w:right="300"/>
        <w:spacing w:after="0" w:line="310"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170 countries, helping customers send money internationally in a quick, reliable, and more cost-effective manner, by leveraging digital channels and supporting cross-border transmissions across the globe.</w:t>
      </w:r>
    </w:p>
    <w:p>
      <w:pPr>
        <w:spacing w:after="0" w:line="10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Unless otherwise expressly stated or the context otherwise requires, the terms “Remitly” and the “Company” within these notes to the Condensed Consolidated Financial Statements refer to Remitly Global, Inc. and its wholly-owned subsidiaries.</w:t>
      </w:r>
    </w:p>
    <w:p>
      <w:pPr>
        <w:spacing w:after="0" w:line="114" w:lineRule="exact"/>
        <w:rPr>
          <w:sz w:val="20"/>
          <w:szCs w:val="20"/>
          <w:color w:val="auto"/>
        </w:rPr>
      </w:pPr>
    </w:p>
    <w:p>
      <w:pPr>
        <w:ind w:right="6080" w:firstLine="8"/>
        <w:spacing w:after="0" w:line="469" w:lineRule="auto"/>
        <w:tabs>
          <w:tab w:leader="none" w:pos="28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Basis of Presentation</w:t>
      </w:r>
    </w:p>
    <w:p>
      <w:pPr>
        <w:spacing w:after="0" w:line="284"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condensed balance sheet data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2022.</w:t>
      </w:r>
    </w:p>
    <w:p>
      <w:pPr>
        <w:spacing w:after="0" w:line="113"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months ended March 31, 2023 are not necessarily indicative of the results that may be expected for the year ending December 31, 2023, or for any other future annual or interim period.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71"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The Condensed Consolidated Financial Statements include the accounts of Remitly Global, Inc. and its wholly-owned subsidiaries. All intercompany transactions and balances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preparation of the accompanying Condensed Consolidated Financial Statements in conformity with GAAP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the recoverability of deferred tax assets, capitalization of software development costs, goodwill, and the recoverability of intangible assets. The key assumptions applied for the intangible assets include forecasted revenue and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months ended March 31, 2023 and 2022.</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the three months ended March 31, 2023 and 2022, no individual customer represented 10% or more of the Company’s total revenues. For the three months ended March 31, 2023 and 2022, no individual customer represented 10% or more of the Company’s customer funds receivable.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Expense</w:t>
      </w:r>
    </w:p>
    <w:p>
      <w:pPr>
        <w:spacing w:after="0" w:line="17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Advertising expenses are charged to operations as incurred and are included as a component of ‘</w:t>
      </w:r>
      <w:r>
        <w:rPr>
          <w:rFonts w:ascii="Arial" w:cs="Arial" w:eastAsia="Arial" w:hAnsi="Arial"/>
          <w:sz w:val="16"/>
          <w:szCs w:val="16"/>
          <w:i w:val="1"/>
          <w:iCs w:val="1"/>
          <w:color w:val="auto"/>
        </w:rPr>
        <w:t>Marketing expenses</w:t>
      </w:r>
      <w:r>
        <w:rPr>
          <w:rFonts w:ascii="Arial" w:cs="Arial" w:eastAsia="Arial" w:hAnsi="Arial"/>
          <w:sz w:val="16"/>
          <w:szCs w:val="16"/>
          <w:color w:val="auto"/>
        </w:rPr>
        <w:t>’ within the Condensed Consolidated Statements of Operations. Advertising expenses are used primarily to attract new customers. Advertising expenses totaled $34.6 million and $34.5 million during the three months ended March 31, 2023 and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Goodwill represents the excess of the purchase price over the acquisition date fair value of net assets, including the amount assigned to identifiable intangible assets, acquired in a business combination. The Company evaluates goodwill for impairment annually and whenever events or circumstances make it more likely than not that impairment may have occurred. The Company has the option to first assess qualitative factors to determine whether events or circumstances indicate it is more likely than not that the fair value of a reporting unit is greater than its carrying amount. The Company considers factors in performing a qualitative assessment, including, but not limited to, general macroeconomic conditions, industry and market conditions, company financial performance, changes in strategy, and other relevant entity-specific events. If the Company elects to bypass the qualitative assessment or does not pass the qualitative assessment, a quantitative assessment is performed. The quantitative assessment compares the carrying value to the fair value of goodwill, with the difference representing an impairment loss.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71"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Intangible assets with finite lives primarily consist of developed technology, customer relationships, and trade names acquired through business combinations or asset acquisitions. Intangible assets acquired through business combination are recorded at their respective estimated acquisition date fair value and amortized over their estimated useful lives. Other intangible assets acquired through asset acquisitions are recorded at their respective cost. Intangible assets are amortized using a method that reflects the pattern in which the economic benefits of the intangible asset are expected to be realized over their estimated useful lives, or straight lined if not materially different.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Long-Lived Assets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 assesses potential impairments to its long-lived assets when events or changes in circumstances indicate the carrying amount of the asset may not be recoverable. If any indicators of impairment are present, the Company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Costs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Transaction costs related to business combinations are expensed as incurred and are included in ‘</w:t>
      </w: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within the Condensed Consolidated Statements of Operations. Transaction costs include acquisition and integration costs, as well as other amounts directly attributable to business combinations. These primarily include external legal, accounting, valuation, and due diligence costs, as well as advisory and other professional services fees necessary to integrate acquired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Accounting Policies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The Company’s significant accounting policies are discussed in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within the Notes to Consolidated Financial Statements included in the Company’s Annual Report on Form 10-K for the year ended December 31, 2022. There have been no significant changes to these policies during the three months ended March 31, 2023, except as noted above.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i w:val="1"/>
          <w:iCs w:val="1"/>
          <w:color w:val="auto"/>
        </w:rPr>
        <w:t>(“ASU”)</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for public entities and December 15, 2023 for all other entities, with early adoption permitted. The Company assessed the impact of the guidance to its Condensed Consolidated Financial Statements for the three months ended March 31, 2023 and concluded that the standard did not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color w:val="auto"/>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pacing w:after="0" w:line="7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includes the following steps:</w:t>
      </w:r>
    </w:p>
    <w:p>
      <w:pPr>
        <w:spacing w:after="0" w:line="1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Customers engage the Company to perform one integrated service — collect the customer’s money and deliver funds to the intended recipient in the currency requested.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Payment is generally due from the customer upfront upon initiation of a transaction, when the customer simultaneously agrees to the Company’s terms and conditions.</w:t>
      </w:r>
    </w:p>
    <w:p>
      <w:pPr>
        <w:spacing w:after="0" w:line="175" w:lineRule="exact"/>
        <w:rPr>
          <w:sz w:val="20"/>
          <w:szCs w:val="20"/>
          <w:color w:val="auto"/>
        </w:rPr>
      </w:pPr>
    </w:p>
    <w:p>
      <w:pPr>
        <w:jc w:val="both"/>
        <w:ind w:right="600"/>
        <w:spacing w:after="0" w:line="310" w:lineRule="auto"/>
        <w:rPr>
          <w:sz w:val="20"/>
          <w:szCs w:val="20"/>
          <w:color w:val="auto"/>
        </w:rPr>
      </w:pPr>
      <w:r>
        <w:rPr>
          <w:rFonts w:ascii="Arial" w:cs="Arial" w:eastAsia="Arial" w:hAnsi="Arial"/>
          <w:sz w:val="14"/>
          <w:szCs w:val="14"/>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13"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1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within the Condensed Consolidated Statements of Operations. The Company does not have any capitalized contract acquisition costs.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deferred revenue balances from contracts with customers were as follows:</w:t>
      </w:r>
    </w:p>
    <w:p>
      <w:pPr>
        <w:spacing w:after="0" w:line="217"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204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beginning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Deferred revenue, end of the period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1,068</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revenue during the period</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bl>
    <w:p>
      <w:pPr>
        <w:spacing w:after="0" w:line="24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Revenue recognized during the three months ended March 31, 2023 and 2022 from amounts included in deferred revenue at the beginning of the period were $0.6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Deferred revenue represents amounts received from customers for which the performance obligations are not yet fulfilled. Deferred revenue is primarily included within</w:t>
      </w:r>
    </w:p>
    <w:p>
      <w:pPr>
        <w:spacing w:after="0" w:line="3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Condensed Consolidated Balance Sheets, as the performance obligations are expected to be fulfilled within the next year.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8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During the three months ended March 31, 2023 and 2022, payments made to customers resulted in reductions to revenue of $7.6 million and $4.9 million, respectively, and charges to sales and marketing expense of $4.2 million and $3.7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by Geography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primary geographical location:</w:t>
      </w:r>
    </w:p>
    <w:p>
      <w:pPr>
        <w:spacing w:after="0" w:line="217"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2040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139,092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Canada</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24,859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 of world</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203,865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020" w:type="dxa"/>
            <w:vAlign w:val="bottom"/>
            <w:gridSpan w:val="2"/>
            <w:vMerge w:val="restart"/>
          </w:tcPr>
          <w:p>
            <w:pPr>
              <w:spacing w:after="0"/>
              <w:rPr>
                <w:sz w:val="20"/>
                <w:szCs w:val="20"/>
                <w:color w:val="auto"/>
              </w:rPr>
            </w:pPr>
            <w:r>
              <w:rPr>
                <w:rFonts w:ascii="Arial" w:cs="Arial" w:eastAsia="Arial" w:hAnsi="Arial"/>
                <w:sz w:val="16"/>
                <w:szCs w:val="16"/>
                <w:color w:val="auto"/>
              </w:rPr>
              <w:t>Revenue is attributed to the country in which the sending customer is located.</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8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4.  Property and Equipment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20" w:type="dxa"/>
            <w:vAlign w:val="bottom"/>
            <w:gridSpan w:val="2"/>
          </w:tcPr>
          <w:p>
            <w:pPr>
              <w:spacing w:after="0"/>
              <w:rPr>
                <w:sz w:val="20"/>
                <w:szCs w:val="20"/>
                <w:color w:val="auto"/>
              </w:rPr>
            </w:pPr>
            <w:r>
              <w:rPr>
                <w:rFonts w:ascii="Arial" w:cs="Arial" w:eastAsia="Arial" w:hAnsi="Arial"/>
                <w:sz w:val="16"/>
                <w:szCs w:val="16"/>
                <w:color w:val="auto"/>
              </w:rPr>
              <w:t>Property and equipment, net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Capitalized internal-use software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Computer and office equipment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7,098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7,879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Projects in process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12,658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11,546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Depreciation and amortization expense related to property and equipment was $1.8 million and $1.5 million for the three months ended March 31, 2023 and March 31, 2022,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8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There has been an inconsequential amount of impairment of previously capitalized costs during the three months ended March 31, 2023. There has been no impairment of previously capitalized costs during the three months ended March 31, 2022.</w:t>
      </w:r>
    </w:p>
    <w:p>
      <w:pPr>
        <w:spacing w:after="0" w:line="13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Company capitalized $1.6 million and $1.1 million for internal-use software costs for three month periods ended March 31, 2023 and 2022, respectively. The Company capitalized $0.5 million and $0.3 million of stock-based compensation costs to internal-use software for the three months ended March 31, 2023 and 2022, respectively. The Company recorded amortization expense of $0.9 million and $0.7 million for the three months ended March 31, 2023 and 2022, respectively, which is included in depreciation and amortization expense disclosed above.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185"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The Company capitalized $0.9 million and $0.4 million related to the implementation of cloud computing arrangements during the three months ended March 31, 2023 and 2022, respectively and recorded amortization expense of $0.4 million and $0.1 million during the three months ended March 31, 2023 and 2022, respectively.</w:t>
      </w:r>
    </w:p>
    <w:p>
      <w:pPr>
        <w:spacing w:after="0" w:line="94"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As of March 31, 2023 and December 31, 2022, capitalized costs, net of accumulated amortization, were approximately $3.0 million and $2.5 million, respectively of which $1.5 million and $1.3 million, respectively was recorded within ‘</w:t>
      </w:r>
      <w:r>
        <w:rPr>
          <w:rFonts w:ascii="Arial" w:cs="Arial" w:eastAsia="Arial" w:hAnsi="Arial"/>
          <w:sz w:val="16"/>
          <w:szCs w:val="16"/>
          <w:i w:val="1"/>
          <w:iCs w:val="1"/>
          <w:color w:val="auto"/>
        </w:rPr>
        <w:t>Prepaid expenses and other current assets</w:t>
      </w:r>
      <w:r>
        <w:rPr>
          <w:rFonts w:ascii="Arial" w:cs="Arial" w:eastAsia="Arial" w:hAnsi="Arial"/>
          <w:sz w:val="16"/>
          <w:szCs w:val="16"/>
          <w:color w:val="auto"/>
        </w:rPr>
        <w:t>’ and $1.5 million and $1.2 million, respectively was recorded within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on the Company's Condensed Consolidated Balance Sheets.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cloud computing arrangements for the three months ended March 31, 2023 and 2022 were as follows:</w:t>
      </w:r>
    </w:p>
    <w:p>
      <w:pPr>
        <w:spacing w:after="0" w:line="217"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29210</wp:posOffset>
            </wp:positionV>
            <wp:extent cx="2186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6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amortization</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spacing w:after="0" w:line="123"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auto"/>
        </w:rPr>
        <w:t>The acquisition meets the criteria to be accounted for as a business combination in accordance with ASC 805, Business Combinations (“ASC 805”). This method requires,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Consideration Transferred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acquisition date fair value of consideration transferred for the acquisition totaled $77.9 million,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to selling shareholders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56,398</w:t>
            </w:r>
          </w:p>
        </w:tc>
      </w:tr>
      <w:tr>
        <w:trPr>
          <w:trHeight w:val="233"/>
        </w:trPr>
        <w:tc>
          <w:tcPr>
            <w:tcW w:w="9560" w:type="dxa"/>
            <w:vAlign w:val="bottom"/>
          </w:tcPr>
          <w:p>
            <w:pPr>
              <w:ind w:left="20"/>
              <w:spacing w:after="0"/>
              <w:rPr>
                <w:sz w:val="20"/>
                <w:szCs w:val="20"/>
                <w:color w:val="auto"/>
              </w:rPr>
            </w:pPr>
            <w:r>
              <w:rPr>
                <w:rFonts w:ascii="Arial" w:cs="Arial" w:eastAsia="Arial" w:hAnsi="Arial"/>
                <w:sz w:val="16"/>
                <w:szCs w:val="16"/>
                <w:color w:val="auto"/>
              </w:rPr>
              <w:t>Equity issued to selling shareholders, including replacement of equity awards attributable to pre-combination services</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7,216</w:t>
            </w:r>
          </w:p>
        </w:tc>
      </w:tr>
      <w:tr>
        <w:trPr>
          <w:trHeight w:val="253"/>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Holdback liability to be settled in cash and Company equity</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11,899</w:t>
            </w:r>
          </w:p>
        </w:tc>
      </w:tr>
      <w:tr>
        <w:trPr>
          <w:trHeight w:val="237"/>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Effective settlement of pre-existing net receivable owed to the Company</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r>
      <w:tr>
        <w:trPr>
          <w:trHeight w:val="26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consideration transferred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77,914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 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excludes 133,309 shares and restricted stock units held back and not legally issued at acquisition date, as further discussed below.</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Approximately $11.9 million of the cash and equity proceeds were held back to satisfy any necessary adjustments, including without limitation, indemnification claims related to general representations and warranties, and any net working capital adjustments. The majority of this holdback is expected to be settled in cash, and the remainder in Company common stock and restricted stock units, which approximated 133,309 shares held back and not legally issued at acquisition date. Such amounts will be settled after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Company common stock, subject to the aforementioned adjustments.</w:t>
      </w:r>
    </w:p>
    <w:p>
      <w:pPr>
        <w:spacing w:after="0" w:line="132"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Holdback Liability</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 holdback of cash and equity proceeds discussed above was recorded at its acquisition date fair value and is classified as a liability within ‘</w:t>
      </w:r>
      <w:r>
        <w:rPr>
          <w:rFonts w:ascii="Arial" w:cs="Arial" w:eastAsia="Arial" w:hAnsi="Arial"/>
          <w:sz w:val="15"/>
          <w:szCs w:val="15"/>
          <w:i w:val="1"/>
          <w:iCs w:val="1"/>
          <w:color w:val="auto"/>
        </w:rPr>
        <w:t>Other noncurrent liabilities</w:t>
      </w:r>
      <w:r>
        <w:rPr>
          <w:rFonts w:ascii="Arial" w:cs="Arial" w:eastAsia="Arial" w:hAnsi="Arial"/>
          <w:sz w:val="15"/>
          <w:szCs w:val="15"/>
          <w:color w:val="auto"/>
        </w:rPr>
        <w:t>’ on the Company’s Condensed Consolidated Balance Sheets. The portion of the holdback to be settled in Company shares continues to be recorded at its fair value through its settlement date, with changes recorded to earnings. The estimated fair value of the portion of the holdback liability that will be settled in equity uses both observable and unobservable inputs, specifically considering the price of the Company’s common stock, as well as the probability of payout at the end of the holdback period, and is considered a Level 3 measurement, as defined in ASC 820, Fair Value Measurement (“ASC 820”).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Assets Acquired and Liabilities Assumed</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For the preliminary fair values of the assets acquired and liabilities assumed, the Company predominantly applied the cost and income approaches, including market participant assumptions. The following table summarizes the preliminary allocation of the purchase consideration to the fair value of the assets acquired and liabilities assumed: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Amount</w:t>
            </w:r>
          </w:p>
        </w:tc>
      </w:tr>
      <w:tr>
        <w:trPr>
          <w:trHeight w:val="243"/>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15,465</w:t>
            </w:r>
          </w:p>
        </w:tc>
      </w:tr>
      <w:tr>
        <w:trPr>
          <w:trHeight w:val="233"/>
        </w:trPr>
        <w:tc>
          <w:tcPr>
            <w:tcW w:w="8980" w:type="dxa"/>
            <w:vAlign w:val="bottom"/>
          </w:tcPr>
          <w:p>
            <w:pPr>
              <w:ind w:left="20"/>
              <w:spacing w:after="0"/>
              <w:rPr>
                <w:sz w:val="20"/>
                <w:szCs w:val="20"/>
                <w:color w:val="auto"/>
              </w:rPr>
            </w:pPr>
            <w:r>
              <w:rPr>
                <w:rFonts w:ascii="Arial" w:cs="Arial" w:eastAsia="Arial" w:hAnsi="Arial"/>
                <w:sz w:val="16"/>
                <w:szCs w:val="16"/>
                <w:color w:val="auto"/>
              </w:rPr>
              <w:t>Disbursement prefunding</w:t>
            </w:r>
          </w:p>
        </w:tc>
        <w:tc>
          <w:tcPr>
            <w:tcW w:w="4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6,016</w:t>
            </w:r>
          </w:p>
        </w:tc>
      </w:tr>
      <w:tr>
        <w:trPr>
          <w:trHeight w:val="253"/>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funds receivable, net</w:t>
            </w:r>
          </w:p>
        </w:tc>
        <w:tc>
          <w:tcPr>
            <w:tcW w:w="4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w:t>
            </w:r>
          </w:p>
        </w:tc>
      </w:tr>
      <w:tr>
        <w:trPr>
          <w:trHeight w:val="233"/>
        </w:trPr>
        <w:tc>
          <w:tcPr>
            <w:tcW w:w="8980" w:type="dxa"/>
            <w:vAlign w:val="bottom"/>
          </w:tcPr>
          <w:p>
            <w:pPr>
              <w:ind w:left="20"/>
              <w:spacing w:after="0"/>
              <w:rPr>
                <w:sz w:val="20"/>
                <w:szCs w:val="20"/>
                <w:color w:val="auto"/>
              </w:rPr>
            </w:pPr>
            <w:r>
              <w:rPr>
                <w:rFonts w:ascii="Arial" w:cs="Arial" w:eastAsia="Arial" w:hAnsi="Arial"/>
                <w:sz w:val="16"/>
                <w:szCs w:val="16"/>
                <w:color w:val="auto"/>
              </w:rPr>
              <w:t>Prepaid expenses and other assets, net</w:t>
            </w:r>
          </w:p>
        </w:tc>
        <w:tc>
          <w:tcPr>
            <w:tcW w:w="4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53"/>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4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33"/>
        </w:trPr>
        <w:tc>
          <w:tcPr>
            <w:tcW w:w="8980" w:type="dxa"/>
            <w:vAlign w:val="bottom"/>
          </w:tcPr>
          <w:p>
            <w:pPr>
              <w:ind w:left="360"/>
              <w:spacing w:after="0"/>
              <w:rPr>
                <w:sz w:val="20"/>
                <w:szCs w:val="20"/>
                <w:color w:val="auto"/>
              </w:rPr>
            </w:pPr>
            <w:r>
              <w:rPr>
                <w:rFonts w:ascii="Arial" w:cs="Arial" w:eastAsia="Arial" w:hAnsi="Arial"/>
                <w:sz w:val="16"/>
                <w:szCs w:val="16"/>
                <w:color w:val="auto"/>
              </w:rPr>
              <w:t>Trade name</w:t>
            </w:r>
          </w:p>
        </w:tc>
        <w:tc>
          <w:tcPr>
            <w:tcW w:w="4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3"/>
        </w:trPr>
        <w:tc>
          <w:tcPr>
            <w:tcW w:w="8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relationships</w:t>
            </w:r>
          </w:p>
        </w:tc>
        <w:tc>
          <w:tcPr>
            <w:tcW w:w="4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r>
      <w:tr>
        <w:trPr>
          <w:trHeight w:val="233"/>
        </w:trPr>
        <w:tc>
          <w:tcPr>
            <w:tcW w:w="8980" w:type="dxa"/>
            <w:vAlign w:val="bottom"/>
          </w:tcPr>
          <w:p>
            <w:pPr>
              <w:ind w:left="360"/>
              <w:spacing w:after="0"/>
              <w:rPr>
                <w:sz w:val="20"/>
                <w:szCs w:val="20"/>
                <w:color w:val="auto"/>
              </w:rPr>
            </w:pPr>
            <w:r>
              <w:rPr>
                <w:rFonts w:ascii="Arial" w:cs="Arial" w:eastAsia="Arial" w:hAnsi="Arial"/>
                <w:sz w:val="16"/>
                <w:szCs w:val="16"/>
                <w:color w:val="auto"/>
              </w:rPr>
              <w:t>Developed technology</w:t>
            </w:r>
          </w:p>
        </w:tc>
        <w:tc>
          <w:tcPr>
            <w:tcW w:w="4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53"/>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54,989</w:t>
            </w:r>
          </w:p>
        </w:tc>
      </w:tr>
      <w:tr>
        <w:trPr>
          <w:trHeight w:val="233"/>
        </w:trPr>
        <w:tc>
          <w:tcPr>
            <w:tcW w:w="8980" w:type="dxa"/>
            <w:vAlign w:val="bottom"/>
          </w:tcPr>
          <w:p>
            <w:pPr>
              <w:ind w:left="20"/>
              <w:spacing w:after="0"/>
              <w:rPr>
                <w:sz w:val="20"/>
                <w:szCs w:val="20"/>
                <w:color w:val="auto"/>
              </w:rPr>
            </w:pPr>
            <w:r>
              <w:rPr>
                <w:rFonts w:ascii="Arial" w:cs="Arial" w:eastAsia="Arial" w:hAnsi="Arial"/>
                <w:sz w:val="16"/>
                <w:szCs w:val="16"/>
                <w:color w:val="auto"/>
              </w:rPr>
              <w:t>Customer liabilities</w:t>
            </w:r>
          </w:p>
        </w:tc>
        <w:tc>
          <w:tcPr>
            <w:tcW w:w="4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(3,075)</w:t>
            </w:r>
          </w:p>
        </w:tc>
      </w:tr>
      <w:tr>
        <w:trPr>
          <w:trHeight w:val="253"/>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Assumed indebtedness</w:t>
            </w:r>
          </w:p>
        </w:tc>
        <w:tc>
          <w:tcPr>
            <w:tcW w:w="4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(18,784)</w:t>
            </w:r>
          </w:p>
        </w:tc>
      </w:tr>
      <w:tr>
        <w:trPr>
          <w:trHeight w:val="237"/>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net</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w:t>
            </w:r>
          </w:p>
        </w:tc>
      </w:tr>
      <w:tr>
        <w:trPr>
          <w:trHeight w:val="268"/>
        </w:trPr>
        <w:tc>
          <w:tcPr>
            <w:tcW w:w="8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purchase price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77,914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The Company is in the process of finalizing the valuation of assets acquired and liabilities assumed of Rewire with respect to fair value of net assets acquired, their estimated useful lives, and the tax impacts of the acquisition. These amounts may be adjusted as management continues to gather and evaluate information about circumstances that existed as of the acquisition date and as the resulting fair values of net assets acquired are finalized. Measurement period adjustments will be recognized prospectively and such adjustments could be significant. The measurement period will not exceed 12 months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 including Goodwill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acquired identified intangible assets have preliminary estimated useful lives ranging from three to five years.</w:t>
      </w:r>
    </w:p>
    <w:p>
      <w:pPr>
        <w:spacing w:after="0" w:line="167"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The fair value measurement is based on significant inputs not observable in the market and, therefore, represents a Level 3 measurement as defined in ASC 820. The key assumptions in applying the income approach used in valuing the identified intangible assets include forecasted revenue and growth rates for a hypothetical market participant, selected discount rates, as well as migration curves for developed technology.</w:t>
      </w:r>
    </w:p>
    <w:p>
      <w:pPr>
        <w:spacing w:after="0" w:line="137"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auto"/>
        </w:rPr>
        <w:t>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expected to be deductible for income tax purposes. The acquisition did not change the Company’s one operating segment.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Receivables</w:t>
      </w:r>
    </w:p>
    <w:p>
      <w:pPr>
        <w:spacing w:after="0" w:line="16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fair value of the financial assets acquired include “</w:t>
      </w:r>
      <w:r>
        <w:rPr>
          <w:rFonts w:ascii="Arial" w:cs="Arial" w:eastAsia="Arial" w:hAnsi="Arial"/>
          <w:sz w:val="16"/>
          <w:szCs w:val="16"/>
          <w:i w:val="1"/>
          <w:iCs w:val="1"/>
          <w:color w:val="auto"/>
        </w:rPr>
        <w:t>Disbursement prefunding</w:t>
      </w:r>
      <w:r>
        <w:rPr>
          <w:rFonts w:ascii="Arial" w:cs="Arial" w:eastAsia="Arial" w:hAnsi="Arial"/>
          <w:sz w:val="16"/>
          <w:szCs w:val="16"/>
          <w:color w:val="auto"/>
        </w:rPr>
        <w:t>” and “</w:t>
      </w:r>
      <w:r>
        <w:rPr>
          <w:rFonts w:ascii="Arial" w:cs="Arial" w:eastAsia="Arial" w:hAnsi="Arial"/>
          <w:sz w:val="16"/>
          <w:szCs w:val="16"/>
          <w:i w:val="1"/>
          <w:iCs w:val="1"/>
          <w:color w:val="auto"/>
        </w:rPr>
        <w:t>Customer funds receivable, ne</w:t>
      </w:r>
      <w:r>
        <w:rPr>
          <w:rFonts w:ascii="Arial" w:cs="Arial" w:eastAsia="Arial" w:hAnsi="Arial"/>
          <w:sz w:val="16"/>
          <w:szCs w:val="16"/>
          <w:color w:val="auto"/>
        </w:rPr>
        <w:t>t”, with a fair value of $6.0 million and $3.4 million, respectively, as disclosed above. The Company expects to collect substantially all of these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Transaction costs totaled $1.2 million for the three months ended March 31, 2023. Such costs are primarily related to the Company’s aforementioned acquisition of Rewire.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transaction costs incurred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Disclosures</w:t>
      </w:r>
    </w:p>
    <w:p>
      <w:pPr>
        <w:spacing w:after="0" w:line="167" w:lineRule="exact"/>
        <w:rPr>
          <w:sz w:val="20"/>
          <w:szCs w:val="20"/>
          <w:color w:val="auto"/>
        </w:rPr>
      </w:pPr>
    </w:p>
    <w:p>
      <w:pPr>
        <w:ind w:right="260"/>
        <w:spacing w:after="0" w:line="328" w:lineRule="auto"/>
        <w:rPr>
          <w:sz w:val="20"/>
          <w:szCs w:val="20"/>
          <w:color w:val="auto"/>
        </w:rPr>
      </w:pPr>
      <w:r>
        <w:rPr>
          <w:rFonts w:ascii="Arial" w:cs="Arial" w:eastAsia="Arial" w:hAnsi="Arial"/>
          <w:sz w:val="15"/>
          <w:szCs w:val="15"/>
          <w:color w:val="auto"/>
        </w:rPr>
        <w:t>The results of Rewire have been included within the Condensed Consolidated Financial Statements since the date of the acquisition. Rewire’s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and “</w:t>
      </w:r>
      <w:r>
        <w:rPr>
          <w:rFonts w:ascii="Arial" w:cs="Arial" w:eastAsia="Arial" w:hAnsi="Arial"/>
          <w:sz w:val="15"/>
          <w:szCs w:val="15"/>
          <w:i w:val="1"/>
          <w:iCs w:val="1"/>
          <w:color w:val="auto"/>
        </w:rPr>
        <w:t>Net Loss”</w:t>
      </w:r>
      <w:r>
        <w:rPr>
          <w:rFonts w:ascii="Arial" w:cs="Arial" w:eastAsia="Arial" w:hAnsi="Arial"/>
          <w:sz w:val="15"/>
          <w:szCs w:val="15"/>
          <w:color w:val="auto"/>
        </w:rPr>
        <w:t xml:space="preserve"> included within the Condensed Consolidated Financial Statements since the acquisition date was $3.2 million and $(8.5) million, respectively.</w:t>
      </w:r>
    </w:p>
    <w:p>
      <w:pPr>
        <w:spacing w:after="0" w:line="82"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Pro forma financial information has not been presented, as revenue and expenses related to the acquisition do not have a material impact on the Company’s unaudited Condensed Consolidated Financial Statements. Had Rewire been acquired on January 1, 2022, the Company's revenue and expenses would not have been materially impacted; however, the Company’s net loss would have increased during 2022. Significant pro forma adjustments include transaction costs and amortization of acquired intangibles, as discussed further above.</w:t>
      </w:r>
    </w:p>
    <w:p>
      <w:pPr>
        <w:spacing w:after="0" w:line="138"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81" w:lineRule="exact"/>
        <w:rPr>
          <w:sz w:val="20"/>
          <w:szCs w:val="20"/>
          <w:color w:val="auto"/>
        </w:rPr>
      </w:pPr>
    </w:p>
    <w:p>
      <w:pPr>
        <w:ind w:right="160"/>
        <w:spacing w:after="0" w:line="349" w:lineRule="auto"/>
        <w:rPr>
          <w:sz w:val="20"/>
          <w:szCs w:val="20"/>
          <w:color w:val="auto"/>
        </w:rPr>
      </w:pPr>
      <w:r>
        <w:rPr>
          <w:rFonts w:ascii="Arial" w:cs="Arial" w:eastAsia="Arial" w:hAnsi="Arial"/>
          <w:sz w:val="14"/>
          <w:szCs w:val="14"/>
          <w:color w:val="auto"/>
        </w:rPr>
        <w:t xml:space="preserve">The goodwill recorded on the Condensed Consolidated Balance Sheets for the three months ended March 31, 2023 was attributable to the acquisition of Rewire completed within the period, as described further in Note 5.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There were no adjustments to goodwill during the three months ended March 31, 2023.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identifiable intangible assets as of March 31, 2023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189"/>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Gross Carrying</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Estimated Remaining</w:t>
            </w:r>
          </w:p>
        </w:tc>
      </w:tr>
      <w:tr>
        <w:trPr>
          <w:trHeight w:val="23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Net Carrying Amount</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Useful Life (in years)</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7,969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4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432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21,500</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1"/>
                <w:szCs w:val="21"/>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20,285</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intangible assets was $1.2 million for the three months ended March 31, 2023.</w:t>
      </w:r>
    </w:p>
    <w:p>
      <w:pPr>
        <w:spacing w:after="0" w:line="16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Identifiable intangible asset balances as of December 31, 2022 were immaterial. Amortization expense for intangible assets for the three months ended March 31, 2022 was immaterial.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intangible asset amortization as of March 31, 2023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2024</w:t>
            </w:r>
          </w:p>
        </w:tc>
        <w:tc>
          <w:tcPr>
            <w:tcW w:w="76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4,858</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60" w:type="dxa"/>
            <w:vAlign w:val="bottom"/>
            <w:shd w:val="clear" w:color="auto" w:fill="CCEEFF"/>
          </w:tcPr>
          <w:p>
            <w:pPr>
              <w:spacing w:after="0"/>
              <w:rPr>
                <w:sz w:val="21"/>
                <w:szCs w:val="21"/>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2026</w:t>
            </w:r>
          </w:p>
        </w:tc>
        <w:tc>
          <w:tcPr>
            <w:tcW w:w="76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4,525</w:t>
            </w:r>
          </w:p>
        </w:tc>
      </w:tr>
      <w:tr>
        <w:trPr>
          <w:trHeight w:val="24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760" w:type="dxa"/>
            <w:vAlign w:val="bottom"/>
            <w:tcBorders>
              <w:bottom w:val="single" w:sz="8" w:color="auto"/>
            </w:tcBorders>
            <w:shd w:val="clear" w:color="auto" w:fill="CCEEFF"/>
          </w:tcPr>
          <w:p>
            <w:pPr>
              <w:spacing w:after="0"/>
              <w:rPr>
                <w:sz w:val="21"/>
                <w:szCs w:val="21"/>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43"/>
        </w:trPr>
        <w:tc>
          <w:tcPr>
            <w:tcW w:w="7860" w:type="dxa"/>
            <w:vAlign w:val="bottom"/>
          </w:tcPr>
          <w:p>
            <w:pPr>
              <w:ind w:left="2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20,285</w:t>
            </w:r>
          </w:p>
        </w:tc>
      </w:tr>
      <w:tr>
        <w:trPr>
          <w:trHeight w:val="20"/>
        </w:trPr>
        <w:tc>
          <w:tcPr>
            <w:tcW w:w="7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71"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 xml:space="preserve">Except for the holdback liability related to the Rewire acquisition discussed in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there were no financial assets and liabilities that were measured at fair value on a recurring basis as of March 31, 2023 and December 31, 2022.</w:t>
      </w:r>
    </w:p>
    <w:p>
      <w:pPr>
        <w:spacing w:after="0" w:line="104"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The carrying values of certain financial instruments, including disbursement prefunding, customer funds receivable, accounts payable, accrued expenses and other current liabilities, customer liabilities, short-term debt, and borrowings approximate their respective fair values due to their relative short maturities. If these financial instruments were measured at fair value in the financial statements, they would be classified as Level 2.</w:t>
      </w:r>
    </w:p>
    <w:p>
      <w:pPr>
        <w:spacing w:after="0" w:line="12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Company previously invested approximately $80.0 million of its cash and cash equivalents into a Level 2 term deposit during the three months ended March 31, 2022, which had an original maturity of three months or less at the time of purchase. There were no other transfers between Level 1 and Level 2 during the three months ended March 31, 2023 and 2022.</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Revolving Credit Facility</w:t>
      </w:r>
    </w:p>
    <w:p>
      <w:pPr>
        <w:spacing w:after="0" w:line="16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On September 13, 2021, Remitly Global, Inc. and Remitly, Inc., a wholly-owned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Proceeds under the New Revolving Credit Facility are available for working capital and general corporate purposes.</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Such interest is payable (a) with respect to Alternate Base Rate loans, the last day of each March, June, September and December and (b) with respect to Adjusted LIBO Rate loans,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March 31, 2023 and December 31, 2022, financial covenants in the New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New Revolving Credit Facility as of March 31, 2023 and December 31, 2022.</w:t>
      </w:r>
    </w:p>
    <w:p>
      <w:pPr>
        <w:spacing w:after="0" w:line="145"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124"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As of March 31, 2023 and December 31, 2022, the Company had no outstanding borrowings under the New Revolving Credit Facility. As of March 31, 2023 and December 31, 2022, the Company had $27.3 million and $22.3 million, respectively, in issued, but undrawn, standby letters of credit. As of March 31, 2023 and December 31, 2022, the Company had unused borrowing capacity of $222.7 million and $227.7 million, respectively, under the New Revolving Credit Facility.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for Future Deposits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part of the acquisition of Rewire, the Company assumed short-term indebtedness of Rewire that represents an advance for future deposits from Rewire’s amended agreement with one of its financial partners (the “Amendment” and the “Depositor”, respectively). The Amendment has a maturity date of October 2023. The Depositor made an advance payment to Rewire with respect to future deposits (the “Advance for Future Deposits”). The original amount of approximately $2.8 million was transferred as an advance under the Amendment. As of March 31, 2023, the Company had $2.5 million outstanding under the Amendment and was included within ‘</w:t>
      </w:r>
      <w:r>
        <w:rPr>
          <w:rFonts w:ascii="Arial" w:cs="Arial" w:eastAsia="Arial" w:hAnsi="Arial"/>
          <w:sz w:val="16"/>
          <w:szCs w:val="16"/>
          <w:i w:val="1"/>
          <w:iCs w:val="1"/>
          <w:color w:val="auto"/>
        </w:rPr>
        <w:t>Short-term debt</w:t>
      </w:r>
      <w:r>
        <w:rPr>
          <w:rFonts w:ascii="Arial" w:cs="Arial" w:eastAsia="Arial" w:hAnsi="Arial"/>
          <w:sz w:val="16"/>
          <w:szCs w:val="16"/>
          <w:color w:val="auto"/>
        </w:rPr>
        <w:t>’ on the Condensed Consolidated Balance Sheets. The Advance for Future Deposits bears a floating interest rate of 1.4%+ Prime per annum, paid on a monthly basis. The weighted-average effective interest rate as of March 31, 2023 was 5.3%. In the three months ended March 31, 2023, the Company recognized an inconsequential amount of interest expense with respect to the Advance for Future Deposits.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Assumed Short-term Debt of Rewire</w:t>
      </w:r>
    </w:p>
    <w:p>
      <w:pPr>
        <w:spacing w:after="0" w:line="185" w:lineRule="exact"/>
        <w:rPr>
          <w:sz w:val="20"/>
          <w:szCs w:val="20"/>
          <w:color w:val="auto"/>
        </w:rPr>
      </w:pPr>
    </w:p>
    <w:p>
      <w:pPr>
        <w:ind w:right="40"/>
        <w:spacing w:after="0" w:line="315" w:lineRule="auto"/>
        <w:rPr>
          <w:sz w:val="20"/>
          <w:szCs w:val="20"/>
          <w:color w:val="auto"/>
        </w:rPr>
      </w:pPr>
      <w:r>
        <w:rPr>
          <w:rFonts w:ascii="Arial" w:cs="Arial" w:eastAsia="Arial" w:hAnsi="Arial"/>
          <w:sz w:val="14"/>
          <w:szCs w:val="14"/>
          <w:color w:val="auto"/>
        </w:rPr>
        <w:t>As part of the acquisition of Rewire, the Company assumed the amounts due on a revolving credit line that Rewire had entered into in 2021 and the amounts due on a bridge loan that Rewire had entered into in 2022. The total outstanding amounts were repaid during the three months ended March 31, 2023, along with certain other acquired indebtedness, subsequent to the Company’s acquisition of Rewire and was included within the Condensed Consolidated Statements of Cash Flows as a financing activity.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Common Share</w:t>
      </w:r>
    </w:p>
    <w:p>
      <w:pPr>
        <w:spacing w:after="0" w:line="171" w:lineRule="exact"/>
        <w:rPr>
          <w:sz w:val="20"/>
          <w:szCs w:val="20"/>
          <w:color w:val="auto"/>
        </w:rPr>
      </w:pPr>
    </w:p>
    <w:p>
      <w:pPr>
        <w:ind w:right="20"/>
        <w:spacing w:after="0" w:line="369" w:lineRule="auto"/>
        <w:rPr>
          <w:sz w:val="20"/>
          <w:szCs w:val="20"/>
          <w:color w:val="auto"/>
        </w:rPr>
      </w:pPr>
      <w:r>
        <w:rPr>
          <w:rFonts w:ascii="Arial" w:cs="Arial" w:eastAsia="Arial" w:hAnsi="Arial"/>
          <w:sz w:val="14"/>
          <w:szCs w:val="14"/>
          <w:color w:val="auto"/>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p>
      <w:pPr>
        <w:spacing w:after="0" w:line="108"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2040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180"/>
              <w:spacing w:after="0"/>
              <w:rPr>
                <w:sz w:val="20"/>
                <w:szCs w:val="20"/>
                <w:color w:val="auto"/>
              </w:rPr>
            </w:pPr>
            <w:r>
              <w:rPr>
                <w:rFonts w:ascii="Arial" w:cs="Arial" w:eastAsia="Arial" w:hAnsi="Arial"/>
                <w:sz w:val="16"/>
                <w:szCs w:val="16"/>
                <w:color w:val="auto"/>
              </w:rPr>
              <w:t>Weighted-average shares used in computing net loss per share attributable to common stockholders: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175,113,904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164,391,753</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r>
    </w:tbl>
    <w:p>
      <w:pPr>
        <w:spacing w:after="0" w:line="24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222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w w:val="96"/>
              </w:rPr>
              <w:t>As of March 31,</w:t>
            </w:r>
          </w:p>
        </w:tc>
        <w:tc>
          <w:tcPr>
            <w:tcW w:w="1000" w:type="dxa"/>
            <w:vAlign w:val="bottom"/>
            <w:tcBorders>
              <w:bottom w:val="single" w:sz="8" w:color="auto"/>
            </w:tcBorders>
          </w:tcPr>
          <w:p>
            <w:pPr>
              <w:spacing w:after="0"/>
              <w:rPr>
                <w:sz w:val="19"/>
                <w:szCs w:val="19"/>
                <w:color w:val="auto"/>
              </w:rPr>
            </w:pPr>
          </w:p>
        </w:tc>
      </w:tr>
      <w:tr>
        <w:trPr>
          <w:trHeight w:val="236"/>
        </w:trPr>
        <w:tc>
          <w:tcPr>
            <w:tcW w:w="80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14,074,783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21,596,404</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RSUs outstanding</w:t>
            </w:r>
          </w:p>
        </w:tc>
        <w:tc>
          <w:tcPr>
            <w:tcW w:w="1580" w:type="dxa"/>
            <w:vAlign w:val="bottom"/>
          </w:tcPr>
          <w:p>
            <w:pPr>
              <w:jc w:val="right"/>
              <w:spacing w:after="0"/>
              <w:rPr>
                <w:sz w:val="20"/>
                <w:szCs w:val="20"/>
                <w:color w:val="auto"/>
              </w:rPr>
            </w:pPr>
            <w:r>
              <w:rPr>
                <w:rFonts w:ascii="Arial" w:cs="Arial" w:eastAsia="Arial" w:hAnsi="Arial"/>
                <w:sz w:val="16"/>
                <w:szCs w:val="16"/>
                <w:color w:val="auto"/>
              </w:rPr>
              <w:t>23,910,861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5,476,101</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1,175,687</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1,379,019</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Shares subject to repurchase</w:t>
            </w:r>
          </w:p>
        </w:tc>
        <w:tc>
          <w:tcPr>
            <w:tcW w:w="1580" w:type="dxa"/>
            <w:vAlign w:val="bottom"/>
          </w:tcPr>
          <w:p>
            <w:pPr>
              <w:jc w:val="right"/>
              <w:spacing w:after="0"/>
              <w:rPr>
                <w:sz w:val="20"/>
                <w:szCs w:val="20"/>
                <w:color w:val="auto"/>
              </w:rPr>
            </w:pPr>
            <w:r>
              <w:rPr>
                <w:rFonts w:ascii="Arial" w:cs="Arial" w:eastAsia="Arial" w:hAnsi="Arial"/>
                <w:sz w:val="16"/>
                <w:szCs w:val="16"/>
                <w:color w:val="auto"/>
              </w:rPr>
              <w:t>61,683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363,384</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common stock, subject to service-based vesting conditions, issued in connection with acquisition</w:t>
            </w:r>
            <w:r>
              <w:rPr>
                <w:rFonts w:ascii="Arial" w:cs="Arial" w:eastAsia="Arial" w:hAnsi="Arial"/>
                <w:sz w:val="21"/>
                <w:szCs w:val="21"/>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issuable in connection with acquisition</w:t>
            </w:r>
            <w:r>
              <w:rPr>
                <w:rFonts w:ascii="Arial" w:cs="Arial" w:eastAsia="Arial" w:hAnsi="Arial"/>
                <w:sz w:val="21"/>
                <w:szCs w:val="21"/>
                <w:color w:val="auto"/>
                <w:vertAlign w:val="superscript"/>
              </w:rPr>
              <w:t>(1)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133,309</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39,460,403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28,814,908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8"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 xml:space="preserve">Refer to Note 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for further discussion of equity issued or to be issued in connection with the Rewire acquisition.</w:t>
      </w:r>
    </w:p>
    <w:p>
      <w:pPr>
        <w:spacing w:after="0" w:line="14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Common Stock</w:t>
      </w:r>
    </w:p>
    <w:p>
      <w:pPr>
        <w:spacing w:after="0" w:line="185"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As of March 31, 2023,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March 31, 2023 and March 31, 2022, no dividends have been declared or paid by the Company.</w:t>
      </w:r>
    </w:p>
    <w:p>
      <w:pPr>
        <w:spacing w:after="0" w:line="102" w:lineRule="exact"/>
        <w:rPr>
          <w:sz w:val="20"/>
          <w:szCs w:val="20"/>
          <w:color w:val="auto"/>
        </w:rPr>
      </w:pPr>
    </w:p>
    <w:p>
      <w:pPr>
        <w:ind w:right="8980" w:firstLine="8"/>
        <w:spacing w:after="0" w:line="536" w:lineRule="auto"/>
        <w:tabs>
          <w:tab w:leader="none" w:pos="356"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Shares Available for Issuance</w:t>
      </w:r>
    </w:p>
    <w:p>
      <w:pPr>
        <w:spacing w:after="0"/>
        <w:rPr>
          <w:sz w:val="20"/>
          <w:szCs w:val="20"/>
          <w:color w:val="auto"/>
        </w:rPr>
      </w:pPr>
      <w:r>
        <w:rPr>
          <w:rFonts w:ascii="Arial" w:cs="Arial" w:eastAsia="Arial" w:hAnsi="Arial"/>
          <w:sz w:val="15"/>
          <w:szCs w:val="15"/>
          <w:color w:val="auto"/>
        </w:rPr>
        <w:t>As of March 31, 2023 and December 31, 2022, 17,353,843 and 10,890,112 equity incentive awards remain available for issuance under the 2021 Plan,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and December 31, 2022, 6,198,134 and 4,762,721 shares of common stock remain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stock option activity during the three months ended March 31,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2"/>
          </w:tcPr>
          <w:p>
            <w:pPr>
              <w:jc w:val="right"/>
              <w:ind w:right="1143"/>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5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Number of Options</w:t>
            </w:r>
          </w:p>
        </w:tc>
        <w:tc>
          <w:tcPr>
            <w:tcW w:w="240" w:type="dxa"/>
            <w:vAlign w:val="bottom"/>
          </w:tcPr>
          <w:p>
            <w:pPr>
              <w:spacing w:after="0"/>
              <w:rPr>
                <w:sz w:val="15"/>
                <w:szCs w:val="15"/>
                <w:color w:val="auto"/>
              </w:rPr>
            </w:pPr>
          </w:p>
        </w:tc>
        <w:tc>
          <w:tcPr>
            <w:tcW w:w="14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4"/>
              </w:rPr>
              <w:t>Weighted-Average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5"/>
                <w:szCs w:val="15"/>
                <w:color w:val="auto"/>
              </w:rPr>
            </w:pPr>
          </w:p>
        </w:tc>
        <w:tc>
          <w:tcPr>
            <w:tcW w:w="14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January 1,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15,988,268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4.11</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119,467</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tcPr>
          <w:p>
            <w:pPr>
              <w:jc w:val="right"/>
              <w:spacing w:after="0"/>
              <w:rPr>
                <w:sz w:val="20"/>
                <w:szCs w:val="20"/>
                <w:color w:val="auto"/>
              </w:rPr>
            </w:pPr>
            <w:r>
              <w:rPr>
                <w:rFonts w:ascii="Arial" w:cs="Arial" w:eastAsia="Arial" w:hAnsi="Arial"/>
                <w:sz w:val="16"/>
                <w:szCs w:val="16"/>
                <w:color w:val="auto"/>
              </w:rPr>
              <w:t>(1,659,193)</w:t>
            </w:r>
          </w:p>
        </w:tc>
        <w:tc>
          <w:tcPr>
            <w:tcW w:w="240" w:type="dxa"/>
            <w:vAlign w:val="bottom"/>
          </w:tcPr>
          <w:p>
            <w:pPr>
              <w:spacing w:after="0"/>
              <w:rPr>
                <w:sz w:val="20"/>
                <w:szCs w:val="20"/>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2.87</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19,007</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(254,292)</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5.60</w:t>
            </w:r>
          </w:p>
        </w:tc>
        <w:tc>
          <w:tcPr>
            <w:tcW w:w="1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as of March 31,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14,074,783</w:t>
            </w: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4.23</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6.56</w:t>
            </w:r>
          </w:p>
        </w:tc>
        <w:tc>
          <w:tcPr>
            <w:tcW w:w="1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179,001</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as of March 31,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9,237,232</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6"/>
                <w:szCs w:val="16"/>
                <w:color w:val="auto"/>
              </w:rPr>
              <w:t>Vested and expected to vest as of March 31, 2023</w:t>
            </w:r>
          </w:p>
        </w:tc>
        <w:tc>
          <w:tcPr>
            <w:tcW w:w="1560" w:type="dxa"/>
            <w:vAlign w:val="bottom"/>
          </w:tcPr>
          <w:p>
            <w:pPr>
              <w:jc w:val="right"/>
              <w:spacing w:after="0"/>
              <w:rPr>
                <w:sz w:val="20"/>
                <w:szCs w:val="20"/>
                <w:color w:val="auto"/>
              </w:rPr>
            </w:pPr>
            <w:r>
              <w:rPr>
                <w:rFonts w:ascii="Arial" w:cs="Arial" w:eastAsia="Arial" w:hAnsi="Arial"/>
                <w:sz w:val="16"/>
                <w:szCs w:val="16"/>
                <w:color w:val="auto"/>
              </w:rPr>
              <w:t>14,091,466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4.24</w:t>
            </w:r>
          </w:p>
        </w:tc>
        <w:tc>
          <w:tcPr>
            <w:tcW w:w="1660" w:type="dxa"/>
            <w:vAlign w:val="bottom"/>
          </w:tcPr>
          <w:p>
            <w:pPr>
              <w:jc w:val="right"/>
              <w:spacing w:after="0"/>
              <w:rPr>
                <w:sz w:val="20"/>
                <w:szCs w:val="20"/>
                <w:color w:val="auto"/>
              </w:rPr>
            </w:pPr>
            <w:r>
              <w:rPr>
                <w:rFonts w:ascii="Arial" w:cs="Arial" w:eastAsia="Arial" w:hAnsi="Arial"/>
                <w:sz w:val="16"/>
                <w:szCs w:val="16"/>
                <w:color w:val="auto"/>
              </w:rPr>
              <w:t>6.57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179,038</w:t>
            </w: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0"/>
                <w:szCs w:val="20"/>
                <w:color w:val="auto"/>
              </w:rPr>
            </w:pPr>
            <w:r>
              <w:rPr>
                <w:rFonts w:ascii="Arial" w:cs="Arial" w:eastAsia="Arial" w:hAnsi="Arial"/>
                <w:sz w:val="16"/>
                <w:szCs w:val="16"/>
                <w:color w:val="auto"/>
              </w:rPr>
              <w:t>_________________</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60" w:hanging="152"/>
        <w:spacing w:after="0" w:line="220"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The aggregate intrinsic value is calculated as the difference between the exercise price of the underlying stock options and the estimated fair value of the Company’s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 stock options were granted during the three months ended March 31, 2023 and March 31, 2022.</w:t>
      </w:r>
    </w:p>
    <w:p>
      <w:pPr>
        <w:spacing w:after="0" w:line="167" w:lineRule="exact"/>
        <w:rPr>
          <w:sz w:val="20"/>
          <w:szCs w:val="20"/>
          <w:color w:val="auto"/>
        </w:rPr>
      </w:pPr>
    </w:p>
    <w:p>
      <w:pPr>
        <w:ind w:right="340"/>
        <w:spacing w:after="0" w:line="310" w:lineRule="auto"/>
        <w:rPr>
          <w:sz w:val="20"/>
          <w:szCs w:val="20"/>
          <w:color w:val="auto"/>
        </w:rPr>
      </w:pPr>
      <w:r>
        <w:rPr>
          <w:rFonts w:ascii="Arial" w:cs="Arial" w:eastAsia="Arial" w:hAnsi="Arial"/>
          <w:sz w:val="15"/>
          <w:szCs w:val="15"/>
          <w:color w:val="auto"/>
        </w:rPr>
        <w:t>The aggregate grant-date fair value of options vested for the three months ended March 31, 2023 and 2022 was $2.2 million and $2.9 million, respectively. The intrinsic value of options exercised for the three months ended March 31, 2023 and 2022 was $19.0 million and $12.6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activity during the three months ended March 31, 2023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Weighted-Average</w:t>
            </w:r>
          </w:p>
        </w:tc>
      </w:tr>
      <w:tr>
        <w:trPr>
          <w:trHeight w:val="175"/>
        </w:trPr>
        <w:tc>
          <w:tcPr>
            <w:tcW w:w="8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4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7"/>
              </w:rPr>
              <w:t>Grant-Date Fair Value</w:t>
            </w:r>
          </w:p>
        </w:tc>
      </w:tr>
      <w:tr>
        <w:trPr>
          <w:trHeight w:val="186"/>
        </w:trPr>
        <w:tc>
          <w:tcPr>
            <w:tcW w:w="8020" w:type="dxa"/>
            <w:vAlign w:val="bottom"/>
          </w:tcPr>
          <w:p>
            <w:pPr>
              <w:spacing w:after="0"/>
              <w:rPr>
                <w:sz w:val="16"/>
                <w:szCs w:val="16"/>
                <w:color w:val="auto"/>
              </w:rPr>
            </w:pPr>
          </w:p>
        </w:tc>
        <w:tc>
          <w:tcPr>
            <w:tcW w:w="1580" w:type="dxa"/>
            <w:vAlign w:val="bottom"/>
          </w:tcPr>
          <w:p>
            <w:pPr>
              <w:jc w:val="right"/>
              <w:ind w:right="161"/>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Per Share</w:t>
            </w:r>
          </w:p>
        </w:tc>
      </w:tr>
      <w:tr>
        <w:trPr>
          <w:trHeight w:val="39"/>
        </w:trPr>
        <w:tc>
          <w:tcPr>
            <w:tcW w:w="80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January 1, 2023</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23,366,355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3,425,404</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(1,930,772)</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(950,126)</w:t>
            </w:r>
          </w:p>
        </w:tc>
        <w:tc>
          <w:tcPr>
            <w:tcW w:w="24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14.10</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March 31, 2023</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23,910,861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ind w:right="180"/>
        <w:spacing w:after="0" w:line="328" w:lineRule="auto"/>
        <w:rPr>
          <w:sz w:val="20"/>
          <w:szCs w:val="20"/>
          <w:color w:val="auto"/>
        </w:rPr>
      </w:pPr>
      <w:r>
        <w:rPr>
          <w:rFonts w:ascii="Arial" w:cs="Arial" w:eastAsia="Arial" w:hAnsi="Arial"/>
          <w:sz w:val="15"/>
          <w:szCs w:val="15"/>
          <w:color w:val="auto"/>
        </w:rPr>
        <w:t>The weighted-average grant date fair value of RSUs, granted during the three months ended March 31, 2023 and 2022 was $12.41 and $13.06, respectively. The aggregate grant-date fair value of RSUs, vested for the three months ended March 31, 2023 and 2022 was $24.2 million and $0.5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 (“ESPP”)</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offering period that commenced on September 22, 2021, for which the accounting grant date was met in October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U.S. GAAP in the first quarter of 2022, whereby the fair value of the ESPP offering was measured immediately before and after modification, resulting in incremental stock-based compensation expense of $3.6 million, which is being recognized over the new offering period, which is deemed to be the requisite service period. A new subsequent 24-month offering period commences on March 1 and September 1 of each fiscal year.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20"/>
        <w:spacing w:after="0" w:line="325" w:lineRule="auto"/>
        <w:rPr>
          <w:sz w:val="20"/>
          <w:szCs w:val="20"/>
          <w:color w:val="auto"/>
        </w:rPr>
      </w:pPr>
      <w:r>
        <w:rPr>
          <w:rFonts w:ascii="Arial" w:cs="Arial" w:eastAsia="Arial" w:hAnsi="Arial"/>
          <w:sz w:val="14"/>
          <w:szCs w:val="14"/>
          <w:color w:val="auto"/>
        </w:rPr>
        <w:t>The fair value of the ESPP offerings described above were estimated using the Black-Scholes option-pricing model as of the respective offering dates, using the following assumptions. These assumptions represent the grant date fair value inputs for new offerings which commenced during the three months ended March 31, 2023 and 2022, as well as updated valuation information as of the modification date for any offerings for which a modification occurred during the periods presented herein: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8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24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4.83% to 5.13%</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 to 1.31%</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0.5 to 2.0 years</w:t>
            </w:r>
          </w:p>
        </w:tc>
        <w:tc>
          <w:tcPr>
            <w:tcW w:w="1680" w:type="dxa"/>
            <w:vAlign w:val="bottom"/>
          </w:tcPr>
          <w:p>
            <w:pPr>
              <w:jc w:val="right"/>
              <w:spacing w:after="0"/>
              <w:rPr>
                <w:sz w:val="20"/>
                <w:szCs w:val="20"/>
                <w:color w:val="auto"/>
              </w:rPr>
            </w:pPr>
            <w:r>
              <w:rPr>
                <w:rFonts w:ascii="Arial" w:cs="Arial" w:eastAsia="Arial" w:hAnsi="Arial"/>
                <w:sz w:val="16"/>
                <w:szCs w:val="16"/>
                <w:color w:val="auto"/>
              </w:rPr>
              <w:t>0.5 to 2.0 years</w:t>
            </w:r>
          </w:p>
        </w:tc>
      </w:tr>
      <w:tr>
        <w:trPr>
          <w:trHeight w:val="25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 to 59.5%</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to 73.0%</w:t>
            </w: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66" w:lineRule="exact"/>
        <w:rPr>
          <w:sz w:val="20"/>
          <w:szCs w:val="20"/>
          <w:color w:val="auto"/>
        </w:rPr>
      </w:pPr>
    </w:p>
    <w:p>
      <w:pPr>
        <w:ind w:right="300"/>
        <w:spacing w:after="0" w:line="349" w:lineRule="auto"/>
        <w:rPr>
          <w:sz w:val="20"/>
          <w:szCs w:val="20"/>
          <w:color w:val="auto"/>
        </w:rPr>
      </w:pPr>
      <w:r>
        <w:rPr>
          <w:rFonts w:ascii="Arial" w:cs="Arial" w:eastAsia="Arial" w:hAnsi="Arial"/>
          <w:sz w:val="14"/>
          <w:szCs w:val="14"/>
          <w:color w:val="auto"/>
        </w:rPr>
        <w:t>As the March 1, 2022 offering was accounted for as a modification to the October 2021 offering, the ESPP was fair valued immediately before and after modification on March 1, 2022 to assess the incremental fair value provided as a result of the modification. The inputs to the incremental fair value are included in the table above.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71"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 xml:space="preserve">Stock-based compensation expense for stock options, RSUs, and the ESPP, included within the Condensed Consolidated Statements of Operations, net of amounts capitalized to internal-use software, as described in Note 4. </w:t>
      </w:r>
      <w:r>
        <w:rPr>
          <w:rFonts w:ascii="Arial" w:cs="Arial" w:eastAsia="Arial" w:hAnsi="Arial"/>
          <w:sz w:val="16"/>
          <w:szCs w:val="16"/>
          <w:i w:val="1"/>
          <w:iCs w:val="1"/>
          <w:color w:val="auto"/>
        </w:rPr>
        <w:t>Property and Equipment</w:t>
      </w:r>
      <w:r>
        <w:rPr>
          <w:rFonts w:ascii="Arial" w:cs="Arial" w:eastAsia="Arial" w:hAnsi="Arial"/>
          <w:sz w:val="16"/>
          <w:szCs w:val="16"/>
          <w:color w:val="auto"/>
        </w:rPr>
        <w:t>, was as follows:</w:t>
      </w:r>
    </w:p>
    <w:p>
      <w:pPr>
        <w:spacing w:after="0" w:line="182"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2057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Marketing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5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w:t>
            </w:r>
          </w:p>
        </w:tc>
      </w:tr>
      <w:tr>
        <w:trPr>
          <w:trHeight w:val="23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w:t>
            </w:r>
          </w:p>
        </w:tc>
      </w:tr>
      <w:tr>
        <w:trPr>
          <w:trHeight w:val="26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360"/>
        <w:spacing w:after="0" w:line="269" w:lineRule="auto"/>
        <w:rPr>
          <w:sz w:val="20"/>
          <w:szCs w:val="20"/>
          <w:color w:val="auto"/>
        </w:rPr>
      </w:pPr>
      <w:r>
        <w:rPr>
          <w:rFonts w:ascii="Arial" w:cs="Arial" w:eastAsia="Arial" w:hAnsi="Arial"/>
          <w:sz w:val="16"/>
          <w:szCs w:val="16"/>
          <w:color w:val="auto"/>
        </w:rPr>
        <w:t>As of March 31, 2023, the total unamortized compensation cost related to all non-vested equity awards, including options and RSUs, was $258.7 million, which will be amortized over a weighted-average remaining requisite service period of approximately 2.9 years. As of March 31, 2023, the total unrecognized compensation expense related to the ESPP was $5.8 million, which is expected to be amortized over the next 1.9 years.</w:t>
      </w:r>
    </w:p>
    <w:p>
      <w:pPr>
        <w:spacing w:after="0" w:line="137"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Company did not record a material income tax benefit related to stock-based compensation expense and stock option exercises, during the three months ended March 31, 2023 and 2022, since the Company currently maintains a full valuation allowance against its net deferred tax assets in the jurisdictions where material stock-based compensation expense charges are incurred, and stock option exercises occurred.</w:t>
      </w:r>
    </w:p>
    <w:p>
      <w:pPr>
        <w:spacing w:after="0" w:line="13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Related Party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new significant related party transactions for the three months ended March 31, 2023.</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Income Taxes</w:t>
      </w:r>
    </w:p>
    <w:p>
      <w:pPr>
        <w:spacing w:after="0" w:line="171"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pacing w:after="0" w:line="132"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The Company’s effective tax rates on pre-tax income were (1.3)% and (2.3)% for the three months ended March 31, 2023 and 2022, respectively. The difference between the effective tax rate and the U.S. federal statutory rate of 21% in both periods was primarily the result of foreign income taxed at different rates and changes in the U.S. valuation allowance.</w:t>
      </w:r>
    </w:p>
    <w:p>
      <w:pPr>
        <w:spacing w:after="0" w:line="12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Company maintains a full valuation allowance against the U.S. net deferred tax assets, as it believes that these deferred tax assets do not meet the more likely than not threshold.</w:t>
      </w:r>
    </w:p>
    <w:p>
      <w:pPr>
        <w:spacing w:after="0" w:line="13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internationally. As of March 31, 2023, tax years 2012 through 2022 remain open for examination by taxing authorities.</w:t>
      </w:r>
    </w:p>
    <w:p>
      <w:pPr>
        <w:spacing w:after="0" w:line="11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Company has applied ASC 740, Income Taxes (“ASC 740”)</w:t>
      </w:r>
      <w:r>
        <w:rPr>
          <w:rFonts w:ascii="Arial" w:cs="Arial" w:eastAsia="Arial" w:hAnsi="Arial"/>
          <w:sz w:val="16"/>
          <w:szCs w:val="16"/>
          <w:i w:val="1"/>
          <w:iCs w:val="1"/>
          <w:color w:val="auto"/>
        </w:rPr>
        <w:t>,</w:t>
      </w:r>
      <w:r>
        <w:rPr>
          <w:rFonts w:ascii="Arial" w:cs="Arial" w:eastAsia="Arial" w:hAnsi="Arial"/>
          <w:sz w:val="16"/>
          <w:szCs w:val="16"/>
          <w:color w:val="auto"/>
        </w:rPr>
        <w:t xml:space="preserve"> and has determined that it has no uncertain tax positions both during the three months ended March 31, 2023 and 2022. The Company recognizes interest and, if applicable, penalties for any uncertain tax positions. Interest and penalties are recorded as a component of income tax expense.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580" w:firstLine="8"/>
        <w:spacing w:after="0" w:line="536" w:lineRule="auto"/>
        <w:tabs>
          <w:tab w:leader="none" w:pos="364"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Guarantees and Indemnification</w:t>
      </w:r>
    </w:p>
    <w:p>
      <w:pPr>
        <w:ind w:right="40"/>
        <w:spacing w:after="0" w:line="262" w:lineRule="auto"/>
        <w:rPr>
          <w:sz w:val="20"/>
          <w:szCs w:val="20"/>
          <w:color w:val="auto"/>
        </w:rPr>
      </w:pPr>
      <w:r>
        <w:rPr>
          <w:rFonts w:ascii="Arial" w:cs="Arial" w:eastAsia="Arial" w:hAnsi="Arial"/>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March 31, 2023 and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Loss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167"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March 31, 2023 and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 taxes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U.S.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potential or actual self-disclosure, and applicability of tax rules. As a result of this assessment, management accrued an estimated liability of approximately $8.3 million and $6.0 million as of March 31, 2023 and December 31, 2022, respectively, reflecting the amount that the Company believes is probable and estimable. The estimated liability is recorded within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on the Company’s Condensed Consolidated Balance Sheets. Although the Company believes its indirect tax estimates and associated liabilities are reasonable, the final determination of indirect tax audits or settlements could be materially different than the amounts recorded.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Company’s reserve for transaction losses for the three months ended March 31, 2023 and 2022:</w:t>
      </w:r>
    </w:p>
    <w:p>
      <w:pPr>
        <w:spacing w:after="0" w:line="231"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2040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Provisions for transaction losses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10,108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10,590</w:t>
            </w:r>
          </w:p>
        </w:tc>
      </w:tr>
      <w:tr>
        <w:trPr>
          <w:trHeight w:val="246"/>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Losses incurred, net of recoveries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(9,905)</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3,819</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15.  Accrued Expenses &amp; Other 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spacing w:after="0"/>
              <w:rPr>
                <w:sz w:val="20"/>
                <w:szCs w:val="20"/>
                <w:color w:val="auto"/>
              </w:rPr>
            </w:pPr>
            <w:r>
              <w:rPr>
                <w:rFonts w:ascii="Arial" w:cs="Arial" w:eastAsia="Arial" w:hAnsi="Arial"/>
                <w:sz w:val="16"/>
                <w:szCs w:val="16"/>
                <w:color w:val="auto"/>
              </w:rPr>
              <w:t>Accrued expenses and other current liabilities consisted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settlement liability</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ESPP employee contributions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transaction expense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15,878</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Accrued marketing expense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11,394</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transaction losses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Accrued salaries and benefits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4,026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and taxes payable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8,288</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16,212</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79,479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0" w:lineRule="exact"/>
        <w:rPr>
          <w:sz w:val="20"/>
          <w:szCs w:val="20"/>
          <w:color w:val="auto"/>
        </w:rPr>
      </w:pPr>
    </w:p>
    <w:p>
      <w:pPr>
        <w:ind w:left="340" w:right="160" w:hanging="332"/>
        <w:spacing w:after="0" w:line="241" w:lineRule="auto"/>
        <w:tabs>
          <w:tab w:leader="none" w:pos="165"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 xml:space="preserve">The trade settlement liability amount represents the total of book overdrafts and disbursement postfunding liabilities owed to the Company’s disbursement partners. Refer to Note 2. </w:t>
      </w:r>
      <w:r>
        <w:rPr>
          <w:rFonts w:ascii="Arial" w:cs="Arial" w:eastAsia="Arial" w:hAnsi="Arial"/>
          <w:sz w:val="13"/>
          <w:szCs w:val="13"/>
          <w:i w:val="1"/>
          <w:iCs w:val="1"/>
          <w:color w:val="auto"/>
        </w:rPr>
        <w:t>Basis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Presentation and Summary of Significant Accounting Policies </w:t>
      </w:r>
      <w:r>
        <w:rPr>
          <w:rFonts w:ascii="Arial" w:cs="Arial" w:eastAsia="Arial" w:hAnsi="Arial"/>
          <w:sz w:val="13"/>
          <w:szCs w:val="13"/>
          <w:color w:val="auto"/>
        </w:rPr>
        <w:t>within the Notes to Consolidated Financial Statements included in the Company’s Annual Report on Form 10-K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2022 for further discussion.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You should read the following discussion and analysis of our financial condition and results of operations together with our Condensed Consolidated Financial Statements and the related notes, appearing elsewhere in this Quarterly Report on Form 10-Q and our audited Consolidated Financial Statements and the related notes and the discussion under the heading </w:t>
      </w:r>
      <w:r>
        <w:rPr>
          <w:rFonts w:ascii="Arial" w:cs="Arial" w:eastAsia="Arial" w:hAnsi="Arial"/>
          <w:sz w:val="17"/>
          <w:szCs w:val="17"/>
          <w:i w:val="1"/>
          <w:iCs w:val="1"/>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included in the Annual Report on Form 10-K for the year ended December 31, 2022.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ind w:right="460"/>
        <w:spacing w:after="0" w:line="295"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170 countries around the world. 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10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brand promise is to bring “peace of mind” into everything we do. We focus on bringing trust, reliability, and a fair and transparent price to cross-border remittances and complementary financial services.</w:t>
      </w:r>
    </w:p>
    <w:p>
      <w:pPr>
        <w:spacing w:after="0" w:line="13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To deliver on our brand promise, we have a differentiated approach that aligns with the specific needs and interests of our customers and solves the problems immigrant communities often face in making remittances. There are four core elements to our differentiated approach:</w:t>
      </w:r>
    </w:p>
    <w:p>
      <w:pPr>
        <w:spacing w:after="0" w:line="128" w:lineRule="exact"/>
        <w:rPr>
          <w:sz w:val="20"/>
          <w:szCs w:val="20"/>
          <w:color w:val="auto"/>
        </w:rPr>
      </w:pPr>
    </w:p>
    <w:p>
      <w:pPr>
        <w:ind w:left="660" w:right="100" w:hanging="328"/>
        <w:spacing w:after="0" w:line="26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Providing a Simple and Reliable Way of Sending Money with Our Mobile-Centric Suite of Products. </w:t>
      </w:r>
      <w:r>
        <w:rPr>
          <w:rFonts w:ascii="Arial" w:cs="Arial" w:eastAsia="Arial" w:hAnsi="Arial"/>
          <w:sz w:val="16"/>
          <w:szCs w:val="16"/>
          <w:color w:val="auto"/>
        </w:rPr>
        <w:t>As of March 31, 2023, our mobile app had a 4.9 iOS</w:t>
      </w:r>
      <w:r>
        <w:rPr>
          <w:rFonts w:ascii="Arial" w:cs="Arial" w:eastAsia="Arial" w:hAnsi="Arial"/>
          <w:sz w:val="16"/>
          <w:szCs w:val="16"/>
          <w:b w:val="1"/>
          <w:bCs w:val="1"/>
          <w:color w:val="auto"/>
        </w:rPr>
        <w:t xml:space="preserve"> </w:t>
      </w:r>
      <w:r>
        <w:rPr>
          <w:rFonts w:ascii="Arial" w:cs="Arial" w:eastAsia="Arial" w:hAnsi="Arial"/>
          <w:sz w:val="16"/>
          <w:szCs w:val="16"/>
          <w:color w:val="auto"/>
        </w:rPr>
        <w:t>App Store rating with approximately 1 million reviewers and a 4.8 Android Google Play rating with more than 580,000 reviewers. We have achieved this level of engagement and these high ratings by designing mobile-centric products that make the customer experience simple and convenient and give our customers complete peace of mind.</w:t>
      </w:r>
    </w:p>
    <w:p>
      <w:pPr>
        <w:spacing w:after="0" w:line="129" w:lineRule="exact"/>
        <w:rPr>
          <w:rFonts w:ascii="Arial" w:cs="Arial" w:eastAsia="Arial" w:hAnsi="Arial"/>
          <w:sz w:val="16"/>
          <w:szCs w:val="16"/>
          <w:color w:val="auto"/>
        </w:rPr>
      </w:pPr>
    </w:p>
    <w:p>
      <w:pPr>
        <w:ind w:left="660" w:right="180"/>
        <w:spacing w:after="0" w:line="262" w:lineRule="auto"/>
        <w:rPr>
          <w:rFonts w:ascii="Arial" w:cs="Arial" w:eastAsia="Arial" w:hAnsi="Arial"/>
          <w:sz w:val="16"/>
          <w:szCs w:val="16"/>
          <w:color w:val="auto"/>
        </w:rPr>
      </w:pPr>
      <w:r>
        <w:rPr>
          <w:rFonts w:ascii="Arial" w:cs="Arial" w:eastAsia="Arial" w:hAnsi="Arial"/>
          <w:sz w:val="16"/>
          <w:szCs w:val="16"/>
          <w:color w:val="auto"/>
        </w:rPr>
        <w:t>Our mobile app for cross-border remittances provides an easy-to-use, end-to-end process. In just a few minutes, customers are able to set up and send money for the first time with Remitly, and repeat transactions become easier with just a few taps. Our customers and their families can also track the status of their transactions in real time. This mobile-centric experience enables us to engage beyond the initial transaction, generating strong repeat usage and high customer loyalty.</w:t>
      </w:r>
    </w:p>
    <w:p>
      <w:pPr>
        <w:spacing w:after="0" w:line="137" w:lineRule="exact"/>
        <w:rPr>
          <w:rFonts w:ascii="Arial" w:cs="Arial" w:eastAsia="Arial" w:hAnsi="Arial"/>
          <w:sz w:val="16"/>
          <w:szCs w:val="16"/>
          <w:color w:val="auto"/>
        </w:rPr>
      </w:pPr>
    </w:p>
    <w:p>
      <w:pPr>
        <w:ind w:left="660" w:right="200" w:hanging="328"/>
        <w:spacing w:after="0" w:line="281" w:lineRule="auto"/>
        <w:tabs>
          <w:tab w:leader="none" w:pos="649"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Conveniently Putting Money Safely in the Hands of Our Customers’ Families, Wherever They Are, by Relying on Our Global Network</w:t>
      </w:r>
      <w:r>
        <w:rPr>
          <w:rFonts w:ascii="Arial" w:cs="Arial" w:eastAsia="Arial" w:hAnsi="Arial"/>
          <w:sz w:val="15"/>
          <w:szCs w:val="15"/>
          <w:color w:val="auto"/>
        </w:rPr>
        <w:t>. Our global</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of funding and disbursement partnerships enables us to complete money transfers in over 4,500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w:t>
      </w:r>
    </w:p>
    <w:p>
      <w:pPr>
        <w:spacing w:after="0" w:line="115" w:lineRule="exact"/>
        <w:rPr>
          <w:rFonts w:ascii="Arial" w:cs="Arial" w:eastAsia="Arial" w:hAnsi="Arial"/>
          <w:sz w:val="15"/>
          <w:szCs w:val="15"/>
          <w:b w:val="1"/>
          <w:bCs w:val="1"/>
          <w:color w:val="auto"/>
        </w:rPr>
      </w:pPr>
    </w:p>
    <w:p>
      <w:pPr>
        <w:ind w:left="660" w:right="40"/>
        <w:spacing w:after="0" w:line="299" w:lineRule="auto"/>
        <w:rPr>
          <w:rFonts w:ascii="Arial" w:cs="Arial" w:eastAsia="Arial" w:hAnsi="Arial"/>
          <w:sz w:val="15"/>
          <w:szCs w:val="15"/>
          <w:b w:val="1"/>
          <w:bCs w:val="1"/>
          <w:color w:val="auto"/>
        </w:rPr>
      </w:pPr>
      <w:r>
        <w:rPr>
          <w:rFonts w:ascii="Arial" w:cs="Arial" w:eastAsia="Arial" w:hAnsi="Arial"/>
          <w:sz w:val="14"/>
          <w:szCs w:val="14"/>
          <w:color w:val="auto"/>
        </w:rPr>
        <w:t>Our disbursement options within our global network continue to grow and remain an important driver of customer loyalty. 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to approximately 4.0 billion bank accounts, approximately 1.2 billion mobile wallets, and over 445,000 cash pickup locations.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 We continue to believe the quality of our network and our focus on customer preference in disbursement options remains a competitive differentiator.</w:t>
      </w:r>
    </w:p>
    <w:p>
      <w:pPr>
        <w:spacing w:after="0" w:line="117" w:lineRule="exact"/>
        <w:rPr>
          <w:rFonts w:ascii="Arial" w:cs="Arial" w:eastAsia="Arial" w:hAnsi="Arial"/>
          <w:sz w:val="15"/>
          <w:szCs w:val="15"/>
          <w:b w:val="1"/>
          <w:bCs w:val="1"/>
          <w:color w:val="auto"/>
        </w:rPr>
      </w:pPr>
    </w:p>
    <w:p>
      <w:pPr>
        <w:ind w:left="660" w:right="20" w:hanging="328"/>
        <w:spacing w:after="0" w:line="300" w:lineRule="auto"/>
        <w:tabs>
          <w:tab w:leader="none" w:pos="649"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Creating Trusted and Personalized Experiences with Our Localization Expertise at Scale</w:t>
      </w:r>
      <w:r>
        <w:rPr>
          <w:rFonts w:ascii="Arial" w:cs="Arial" w:eastAsia="Arial" w:hAnsi="Arial"/>
          <w:sz w:val="14"/>
          <w:szCs w:val="14"/>
          <w:color w:val="auto"/>
        </w:rPr>
        <w:t>. We believe our expertise in localizing our marketing, products, and</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15 native languages, and we provide peace of mind with our global customer support team. Additionally, for disbursement of funds, we partner with local brands that are among the most trusted and recognized by our customers and their families.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ind w:left="660" w:right="80" w:hanging="328"/>
        <w:spacing w:after="0" w:line="26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Using Our Data-Driven Approach to Better Serve Our Customers and Provide More Value</w:t>
      </w:r>
      <w:r>
        <w:rPr>
          <w:rFonts w:ascii="Arial" w:cs="Arial" w:eastAsia="Arial" w:hAnsi="Arial"/>
          <w:sz w:val="16"/>
          <w:szCs w:val="16"/>
          <w:color w:val="auto"/>
        </w:rPr>
        <w:t>. We have a data-driven approach to how we grow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Rewire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On January 5, 2023, we acquired 100% of the outstanding equity interests of Rewire (O.S.G) Research and Development Ltd., a company organized under the laws of the State of Israel (“Rewire”), for approximately $77.9 million of aggregate consideration, the majority of which was or will be settled in cash, with the remaining consideration settled or to be settled in Remitly equity. The acquisition of Rewire allows us to accelerate our opportunity to differentiate the remittance experience with complementary products, by bringing together our remittance businesses in new geographies, along with a strong team that is culturally aligned with Remitly.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 Model</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104"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10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spacing w:after="0" w:line="129" w:lineRule="exact"/>
        <w:rPr>
          <w:sz w:val="20"/>
          <w:szCs w:val="20"/>
          <w:color w:val="auto"/>
        </w:rPr>
      </w:pPr>
    </w:p>
    <w:p>
      <w:pPr>
        <w:ind w:left="660" w:right="60" w:hanging="328"/>
        <w:spacing w:after="0" w:line="27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“Active customers” is defined as the number of distinct customers that have successfully completed at least one transaction using Remitly during a given calendar quarter. We identify customers through unique account numbers.</w:t>
      </w:r>
    </w:p>
    <w:p>
      <w:pPr>
        <w:spacing w:after="0" w:line="118" w:lineRule="exact"/>
        <w:rPr>
          <w:rFonts w:ascii="Arial" w:cs="Arial" w:eastAsia="Arial" w:hAnsi="Arial"/>
          <w:sz w:val="16"/>
          <w:szCs w:val="16"/>
          <w:color w:val="auto"/>
        </w:rPr>
      </w:pPr>
    </w:p>
    <w:p>
      <w:pPr>
        <w:ind w:left="660" w:right="100" w:hanging="328"/>
        <w:spacing w:after="0" w:line="26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spacing w:after="0" w:line="13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active customers are measured on a quarterly basis, the data for the full-year periods for active customers is not meaningful, and therefore this metric is only presented on a quarterly basis herein.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Active Customers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24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7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Active customers</w:t>
            </w:r>
          </w:p>
        </w:tc>
        <w:tc>
          <w:tcPr>
            <w:tcW w:w="1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4,559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number of our active customers is an important indicator of customer engagement and the overall growth of our business.</w:t>
      </w:r>
    </w:p>
    <w:p>
      <w:pPr>
        <w:spacing w:after="0" w:line="18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Active customers increased to approximately 4.6 million, or 50% growth, for the three months ended March 31, 2023, compared to the three months ended March 31, 2022. This increase was primarily due to an increase in new customers, driven by investments in our mobile platform and efficient marketing spend, our focus on customer experience, expansion of our global disbursement network, including the Rewire acquisition,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w:t>
      </w:r>
    </w:p>
    <w:p>
      <w:pPr>
        <w:sectPr>
          <w:pgSz w:w="11900" w:h="16838" w:orient="portrait"/>
          <w:cols w:equalWidth="0" w:num="1">
            <w:col w:w="11220"/>
          </w:cols>
          <w:pgMar w:left="320" w:top="12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0"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Send Volume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720" w:type="dxa"/>
            <w:vAlign w:val="bottom"/>
            <w:gridSpan w:val="4"/>
          </w:tcPr>
          <w:p>
            <w:pPr>
              <w:ind w:left="640"/>
              <w:spacing w:after="0"/>
              <w:rPr>
                <w:sz w:val="20"/>
                <w:szCs w:val="20"/>
                <w:color w:val="auto"/>
              </w:rPr>
            </w:pPr>
            <w:r>
              <w:rPr>
                <w:rFonts w:ascii="Arial" w:cs="Arial" w:eastAsia="Arial" w:hAnsi="Arial"/>
                <w:sz w:val="14"/>
                <w:szCs w:val="14"/>
                <w:b w:val="1"/>
                <w:bCs w:val="1"/>
                <w:color w:val="auto"/>
                <w:w w:val="99"/>
              </w:rPr>
              <w:t>Three Months Ended March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vMerge w:val="continue"/>
          </w:tcPr>
          <w:p>
            <w:pPr>
              <w:spacing w:after="0"/>
              <w:rPr>
                <w:sz w:val="18"/>
                <w:szCs w:val="18"/>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Send volume</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380"/>
        <w:spacing w:after="0" w:line="269" w:lineRule="auto"/>
        <w:rPr>
          <w:sz w:val="20"/>
          <w:szCs w:val="20"/>
          <w:color w:val="auto"/>
        </w:rPr>
      </w:pPr>
      <w:r>
        <w:rPr>
          <w:rFonts w:ascii="Arial" w:cs="Arial" w:eastAsia="Arial" w:hAnsi="Arial"/>
          <w:sz w:val="16"/>
          <w:szCs w:val="16"/>
          <w:color w:val="auto"/>
        </w:rPr>
        <w:t>We measure send volume to assess the scale of remittances sent using our platform. Our customers mostly send from the United States, Canada, and other countries in Europe. Our customers and their recipients are located in over 170 countries and territories across the globe; the largest receive countries by send volume include India, Mexico, and the Philippines.</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Send volume increased 40% to $8.5 billion for the three months ended March 31, 2023, compared to $6.1 billion for the three months ended March 31, 2022, driven by the increase in active customers.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Retention and High Customer Engagement</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send volume is primarily driven by existing customers who regularly use our remittance product to send money home. We believe our mobile-first products and superior customer experience encourage high retention and repeat usage, which are significant though not the only drivers of our performance.</w:t>
      </w:r>
    </w:p>
    <w:p>
      <w:pPr>
        <w:spacing w:after="0" w:line="132" w:lineRule="exact"/>
        <w:rPr>
          <w:sz w:val="20"/>
          <w:szCs w:val="20"/>
          <w:color w:val="auto"/>
        </w:rPr>
      </w:pPr>
    </w:p>
    <w:p>
      <w:pPr>
        <w:ind w:right="780"/>
        <w:spacing w:after="0" w:line="275" w:lineRule="auto"/>
        <w:rPr>
          <w:sz w:val="20"/>
          <w:szCs w:val="20"/>
          <w:color w:val="auto"/>
        </w:rPr>
      </w:pPr>
      <w:r>
        <w:rPr>
          <w:rFonts w:ascii="Arial" w:cs="Arial" w:eastAsia="Arial" w:hAnsi="Arial"/>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visibility and predictability.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Attracting New Customers</w:t>
      </w:r>
    </w:p>
    <w:p>
      <w:pPr>
        <w:spacing w:after="0" w:line="181" w:lineRule="exact"/>
        <w:rPr>
          <w:sz w:val="20"/>
          <w:szCs w:val="20"/>
          <w:color w:val="auto"/>
        </w:rPr>
      </w:pPr>
    </w:p>
    <w:p>
      <w:pPr>
        <w:jc w:val="both"/>
        <w:ind w:right="200"/>
        <w:spacing w:after="0" w:line="295" w:lineRule="auto"/>
        <w:rPr>
          <w:sz w:val="20"/>
          <w:szCs w:val="20"/>
          <w:color w:val="auto"/>
        </w:rPr>
      </w:pPr>
      <w:r>
        <w:rPr>
          <w:rFonts w:ascii="Arial" w:cs="Arial" w:eastAsia="Arial" w:hAnsi="Arial"/>
          <w:sz w:val="14"/>
          <w:szCs w:val="14"/>
          <w:color w:val="auto"/>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immigrants. We plan to continue to acquire new customers through digital marketing channels and word-of-mouth referrals from existing customers, and by exploring new customer acquisition channels.</w:t>
      </w:r>
    </w:p>
    <w:p>
      <w:pPr>
        <w:spacing w:after="0" w:line="1" w:lineRule="exact"/>
        <w:rPr>
          <w:sz w:val="20"/>
          <w:szCs w:val="20"/>
          <w:color w:val="auto"/>
        </w:rPr>
      </w:pPr>
    </w:p>
    <w:p>
      <w:pPr>
        <w:jc w:val="both"/>
        <w:ind w:right="200"/>
        <w:spacing w:after="0" w:line="257" w:lineRule="auto"/>
        <w:rPr>
          <w:sz w:val="20"/>
          <w:szCs w:val="20"/>
          <w:color w:val="auto"/>
        </w:rPr>
      </w:pPr>
      <w:r>
        <w:rPr>
          <w:rFonts w:ascii="Arial" w:cs="Arial" w:eastAsia="Arial" w:hAnsi="Arial"/>
          <w:sz w:val="16"/>
          <w:szCs w:val="16"/>
          <w:color w:val="auto"/>
        </w:rPr>
        <w:t>Given the nature of our business, new customer acquisition may negatively impact net loss and Adjusted EBITDA in the initial period, while positively impacting net loss and Adjusted EBITDA in subsequent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Acquisition</w:t>
      </w:r>
    </w:p>
    <w:p>
      <w:pPr>
        <w:spacing w:after="0" w:line="167"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Efficiently acquiring customers is critical to our growth and maintaining of attractive customer economics, which are impacted by online marketing competition, our ability to effectively target the right demographic, and competitor pricing.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 digital advertising costs. As we look ahead, we remain focused on driving efficiencies across the marketing funnel.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Corridor Mix</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w:t>
      </w:r>
    </w:p>
    <w:p>
      <w:pPr>
        <w:spacing w:after="0" w:line="167"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Conversely, we typically observe lower customer acquisition and existing customer activity through most of the first quarter, especially in regions that experience favorable seasonality in the fourth quarter.The number of business days in a quarter and the day of week that the last day of the quarter falls on may also introduce variability in our results, working capital balances, or cash flows period over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of Risk and Fraud</w:t>
      </w:r>
    </w:p>
    <w:p>
      <w:pPr>
        <w:spacing w:after="0" w:line="167" w:lineRule="exact"/>
        <w:rPr>
          <w:sz w:val="20"/>
          <w:szCs w:val="20"/>
          <w:color w:val="auto"/>
        </w:rPr>
      </w:pPr>
    </w:p>
    <w:p>
      <w:pPr>
        <w:ind w:right="140"/>
        <w:spacing w:after="0" w:line="308" w:lineRule="auto"/>
        <w:rPr>
          <w:sz w:val="20"/>
          <w:szCs w:val="20"/>
          <w:color w:val="auto"/>
        </w:rPr>
      </w:pPr>
      <w:r>
        <w:rPr>
          <w:rFonts w:ascii="Arial" w:cs="Arial" w:eastAsia="Arial" w:hAnsi="Arial"/>
          <w:sz w:val="14"/>
          <w:szCs w:val="14"/>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tailor our risk models to target other illegitimate activity.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Macroeconomic and Geopolitical Changes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 xml:space="preserve">Global macroeconomic and geopolitical factors, including inflation, currency fluctuations, immigration, trade and regulatory policies, the conflict in Ukraine,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do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Arial" w:cs="Arial" w:eastAsia="Arial" w:hAnsi="Arial"/>
          <w:sz w:val="15"/>
          <w:szCs w:val="15"/>
          <w:i w:val="1"/>
          <w:iCs w:val="1"/>
          <w:color w:val="auto"/>
        </w:rPr>
        <w:t>Basis of Presentation and Summary of Significant Accounting Policies</w:t>
      </w:r>
      <w:r>
        <w:rPr>
          <w:rFonts w:ascii="Arial" w:cs="Arial" w:eastAsia="Arial" w:hAnsi="Arial"/>
          <w:sz w:val="15"/>
          <w:szCs w:val="15"/>
          <w:color w:val="auto"/>
        </w:rPr>
        <w:t xml:space="preserve"> in the Notes to the Company’s Condensed Consolidated Financial Statements included in Part I, Item 1 of this Quarterly Report on Form 10-Q for a more comprehensive description of current business concentrations.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6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18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Over the long term we expect to continue to benefit from increasing scale and improvements in our proprietary fraud models, although we expect some variability in transaction expense from quarter to quarter.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Reserve for Transaction Losses</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on the Condensed Consolidated Balance Sheets. The provision for transaction losses is included as a component of ‘</w:t>
      </w:r>
      <w:r>
        <w:rPr>
          <w:rFonts w:ascii="Arial" w:cs="Arial" w:eastAsia="Arial" w:hAnsi="Arial"/>
          <w:sz w:val="16"/>
          <w:szCs w:val="16"/>
          <w:i w:val="1"/>
          <w:iCs w:val="1"/>
          <w:color w:val="auto"/>
        </w:rPr>
        <w:t>Transaction expenses</w:t>
      </w:r>
      <w:r>
        <w:rPr>
          <w:rFonts w:ascii="Arial" w:cs="Arial" w:eastAsia="Arial" w:hAnsi="Arial"/>
          <w:sz w:val="16"/>
          <w:szCs w:val="16"/>
          <w:color w:val="auto"/>
        </w:rPr>
        <w:t>’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Customer Support and Operations</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181"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67"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Technology and development expenses consist primarily of personnel-related expenses for employees involved in the research, design, development, and maintenance of both new and existing products and services, including salaries, benefits, stock-based compensation expense, and legal fees. Technology and development expenses also include professional services fees and costs for software subscription services, dedicated for use by the Company’s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invest in and expand our technology and development team to develop new solutions and enhancements to existing solutions.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General and administrative expenses consist primarily of personnel-related expenses for the Company’s finance, legal, corporate and business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in the Notes to the Condensed Consolidated Financial Statements included in Part I, Item 1 of this Quarterly Report on Form 10-Q for further details.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6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consists primarily of interest income earned on our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the interest expense on our borrowings.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primarily consists of foreign exchange gains and losses.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67" w:lineRule="exact"/>
        <w:rPr>
          <w:sz w:val="20"/>
          <w:szCs w:val="20"/>
          <w:color w:val="auto"/>
        </w:rPr>
      </w:pPr>
    </w:p>
    <w:p>
      <w:pPr>
        <w:jc w:val="both"/>
        <w:ind w:right="80"/>
        <w:spacing w:after="0" w:line="295" w:lineRule="auto"/>
        <w:rPr>
          <w:sz w:val="20"/>
          <w:szCs w:val="20"/>
          <w:color w:val="auto"/>
        </w:rPr>
      </w:pPr>
      <w:r>
        <w:rPr>
          <w:rFonts w:ascii="Arial" w:cs="Arial" w:eastAsia="Arial" w:hAnsi="Arial"/>
          <w:sz w:val="15"/>
          <w:szCs w:val="15"/>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4" w:right="39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76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39"/>
        </w:trPr>
        <w:tc>
          <w:tcPr>
            <w:tcW w:w="4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6"/>
                <w:szCs w:val="16"/>
                <w:color w:val="auto"/>
              </w:rPr>
            </w:pPr>
          </w:p>
        </w:tc>
        <w:tc>
          <w:tcPr>
            <w:tcW w:w="1200" w:type="dxa"/>
            <w:vAlign w:val="bottom"/>
          </w:tcPr>
          <w:p>
            <w:pPr>
              <w:jc w:val="right"/>
              <w:ind w:right="54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52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6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203,865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136,014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67,851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bl>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Revenue increased $67.9 million, or 50%, to $203.9 million for the three months ended March 31, 2023. This increase was primarily driven by growth in send volume, which increased 40%, to $8.5 billion for the three months ended March 31, 2023, compared to $6.1 billion for the three months ended March 31, 2022, reflecting an increase in active customers period over period and continued strength in the retention of existing customers. Rewire contributed approximately 2% to the year over year revenue growth rate.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39"/>
        </w:trPr>
        <w:tc>
          <w:tcPr>
            <w:tcW w:w="4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50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74,066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56,263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17,803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20"/>
        <w:spacing w:after="0" w:line="317" w:lineRule="auto"/>
        <w:rPr>
          <w:sz w:val="20"/>
          <w:szCs w:val="20"/>
          <w:color w:val="auto"/>
        </w:rPr>
      </w:pPr>
      <w:r>
        <w:rPr>
          <w:rFonts w:ascii="Arial" w:cs="Arial" w:eastAsia="Arial" w:hAnsi="Arial"/>
          <w:sz w:val="14"/>
          <w:szCs w:val="14"/>
          <w:color w:val="auto"/>
        </w:rPr>
        <w:t>Transaction expenses increased $17.8 million, or 32%, to $74.1 million for the three months ended March 31, 2023, compared to $56.3 million, for the three months ended March 31, 2022. The increase was primarily due to a $17.0 million increase in direct costs associated with processing a higher volume of our customers’ remittance transactions and the disbursement of our customers’ funds to their recipients and a $1.5 million increase in other transaction expenses, primarily related to software and tools that support our compliance and risk operations. These increases were partially offset by a $0.7 million decrease in our provision for fraud and other losses.</w:t>
      </w:r>
    </w:p>
    <w:p>
      <w:pPr>
        <w:spacing w:after="0" w:line="94"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As a percentage of revenue, transaction expenses declined to 36% for the three months ended March 31, 2023 as compared to 41% for the three months ended March 31, 2022, primarily due to better economics with partners as we are able to secure better terms with our payment and disbursement partners as a result of increasing scale, and also due to improvements in our ability to prevent fraud and other losses.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Support and Operations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39"/>
        </w:trPr>
        <w:tc>
          <w:tcPr>
            <w:tcW w:w="4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50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19,931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13,870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6,061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Customer support and operations expenses increased $6.1 million, or 44%, for the three months ended March 31, 2023, compared to the three months ended March 31,</w:t>
      </w:r>
    </w:p>
    <w:p>
      <w:pPr>
        <w:spacing w:after="0" w:line="3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2022. The increase was primarily driven by a $2.7 million increase in third-party customer support costs, a $2.1 million increase in internal personnel costs at our sites in the Philippines, Nicaragua, Ireland, and Israel that support customer operations, and a $1.3 million increase in software and telephony costs as we supported an increased volume of active customers.</w:t>
      </w:r>
    </w:p>
    <w:p>
      <w:pPr>
        <w:spacing w:after="0" w:line="145"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As a percentage of revenue, customer support and operations expenses remained flat at 10% for the three months ended March 31, 2023, as compared to the three months ended March 31, 2022.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39"/>
        </w:trPr>
        <w:tc>
          <w:tcPr>
            <w:tcW w:w="4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50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44,123</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40,621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3,502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jc w:val="both"/>
        <w:ind w:right="240"/>
        <w:spacing w:after="0" w:line="286" w:lineRule="auto"/>
        <w:rPr>
          <w:sz w:val="20"/>
          <w:szCs w:val="20"/>
          <w:color w:val="auto"/>
        </w:rPr>
      </w:pPr>
      <w:r>
        <w:rPr>
          <w:rFonts w:ascii="Arial" w:cs="Arial" w:eastAsia="Arial" w:hAnsi="Arial"/>
          <w:sz w:val="15"/>
          <w:szCs w:val="15"/>
          <w:color w:val="auto"/>
        </w:rPr>
        <w:t>Marketing expenses increased $3.5 million, or 9%, for the three months ended March 31, 2023, compared to the three months ended March 31, 2022, due primarily to an increase of $3.5 million in personnel-related costs driven by a 47% increase in marketing headcount compared to the same period in 2022, and inclusive of a $2.0 million increase in stock-based compensation expense. Contributing to the increase in our marketing headcount expense is the acquisition of Rewire.</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27" w:name="page28"/>
    <w:bookmarkEnd w:id="27"/>
    <w:p>
      <w:pPr>
        <w:ind w:right="240"/>
        <w:spacing w:after="0" w:line="295" w:lineRule="auto"/>
        <w:rPr>
          <w:sz w:val="20"/>
          <w:szCs w:val="20"/>
          <w:color w:val="auto"/>
        </w:rPr>
      </w:pPr>
      <w:r>
        <w:rPr>
          <w:rFonts w:ascii="Arial" w:cs="Arial" w:eastAsia="Arial" w:hAnsi="Arial"/>
          <w:sz w:val="15"/>
          <w:szCs w:val="15"/>
          <w:color w:val="auto"/>
        </w:rPr>
        <w:t>As a percentage of revenue, marketing expenses decreased to 22% for the three months ended March 31, 2023, from 30% for the three months ended March 31, 2022. Although we have continued to experience revenue growth, our direct marketing spend, including online and offline marketing spend and promotion costs to acquire new customers, has remained relatively flat due to continued channel optimizations and momentum from a larger customer base.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39"/>
        </w:trPr>
        <w:tc>
          <w:tcPr>
            <w:tcW w:w="4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50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49,376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23,575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25,801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Technology and development expenses increased $25.8 million, or 109% for the three months ended March 31, 2023, compared to the three months ended March 31, 2022. The increase was driven by $23.0 million in personnel-related expenses resulting from a 58% increase in headcount compared to the same period in 2022, as part of our continued investment in our technology platform, and included a $12.6 million increase in stock-based compensation expense. The increase in technology and development expense was also driven by a $1.9 million increase in software costs for cloud services to support incremental transaction volume, and $0.9 million in other costs, including professional fees and other employee costs. Contributing to the increase in our technology and development headcount expense is the acquisition of Rewire.</w:t>
      </w:r>
    </w:p>
    <w:p>
      <w:pPr>
        <w:spacing w:after="0" w:line="101"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As a percentage of revenue, technology and development expenses increased to 24% for the three months ended March 31, 2023, from 17% for the three months ended March 31, 2022, driven by an increase in stock-based compensation expense and headcount due to hiring additional personnel and contractors who are directly engaged in developing our platform, developing complementary new products, enabling increasing automation, and providing technology support and security.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39"/>
        </w:trPr>
        <w:tc>
          <w:tcPr>
            <w:tcW w:w="4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50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5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41,408</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23,342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18,066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color w:val="auto"/>
        </w:rPr>
        <w:t>General and administrative expenses increased $18.1 million, or 77%, for the three months ended March 31, 2023, compared to the three months ended March 31, 2022. This increase was primarily driven by $9.6 million in personnel-related costs due to a 53% increase in general and administrative headcount compared to the same period in 2022 and inclusive of a $5.0 million increase in stock-based compensation expense. We also experienced an increase in other operating expenses, primarily related to the growth of the business as well as public company costs, including the company-wide implementation of our first year Sarbanes-Oxley Act of 2022 (“SOX”) as a public company. The largest components of this increase included a $2.5 million increase in indirect taxes, a $2.1 million increase in professional fees, a $1.1 million increase in facilities costs, a $1.0 million increase in employee-related costs, and a $0.6 million net increase in software and other operating costs. Additionally, we incurred approximately $1.2 million in expenses related to the acquisition and integration of Rewire. Contributing to the increase in our general and administrative expenses in the quarter were additional headcount, employee-related, and facility costs as a result of the acquisition of Rewire.</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a percentage of revenue, general and administrative expenses increased to 20% for the three months ended March 31, 2023, from 17% for the three months ended March 31, 2022, due to an increase in headcount to support growth initiatives and stock-based compensation and additional headcount expense and other operating costs resulting from the acquisition of Rewire.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60" w:type="dxa"/>
            <w:vAlign w:val="bottom"/>
            <w:gridSpan w:val="4"/>
          </w:tcPr>
          <w:p>
            <w:pPr>
              <w:jc w:val="right"/>
              <w:ind w:right="4"/>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39"/>
        </w:trPr>
        <w:tc>
          <w:tcPr>
            <w:tcW w:w="45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50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5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3,029</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1,517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1,512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revenue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380"/>
        <w:spacing w:after="0" w:line="310" w:lineRule="auto"/>
        <w:rPr>
          <w:sz w:val="20"/>
          <w:szCs w:val="20"/>
          <w:color w:val="auto"/>
        </w:rPr>
      </w:pPr>
      <w:r>
        <w:rPr>
          <w:rFonts w:ascii="Arial" w:cs="Arial" w:eastAsia="Arial" w:hAnsi="Arial"/>
          <w:sz w:val="15"/>
          <w:szCs w:val="15"/>
          <w:color w:val="auto"/>
        </w:rPr>
        <w:t>Depreciation and amortization increased $1.5 million, or 100%, for the three months ended March 31, 2023, compared to the three months ended March 31, 2022. This increase is primarily driven by the amortization of acquired intangible assets, as part of the acquisition of Rewire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260" w:type="dxa"/>
            <w:vAlign w:val="bottom"/>
            <w:gridSpan w:val="3"/>
          </w:tcPr>
          <w:p>
            <w:pPr>
              <w:ind w:left="60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Pr>
          <w:p>
            <w:pPr>
              <w:spacing w:after="0"/>
              <w:rPr>
                <w:sz w:val="16"/>
                <w:szCs w:val="16"/>
                <w:color w:val="auto"/>
              </w:rPr>
            </w:pP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rPr>
              <w:t>Change</w:t>
            </w:r>
          </w:p>
        </w:tc>
      </w:tr>
      <w:tr>
        <w:trPr>
          <w:trHeight w:val="39"/>
        </w:trPr>
        <w:tc>
          <w:tcPr>
            <w:tcW w:w="474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r>
        <w:trPr>
          <w:trHeight w:val="184"/>
        </w:trPr>
        <w:tc>
          <w:tcPr>
            <w:tcW w:w="47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5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200" w:type="dxa"/>
            <w:vAlign w:val="bottom"/>
          </w:tcPr>
          <w:p>
            <w:pPr>
              <w:ind w:left="540"/>
              <w:spacing w:after="0"/>
              <w:rPr>
                <w:sz w:val="20"/>
                <w:szCs w:val="20"/>
                <w:color w:val="auto"/>
              </w:rPr>
            </w:pPr>
            <w:r>
              <w:rPr>
                <w:rFonts w:ascii="Arial" w:cs="Arial" w:eastAsia="Arial" w:hAnsi="Arial"/>
                <w:sz w:val="14"/>
                <w:szCs w:val="14"/>
                <w:b w:val="1"/>
                <w:bCs w:val="1"/>
                <w:color w:val="auto"/>
              </w:rPr>
              <w:t>Amount</w:t>
            </w:r>
          </w:p>
        </w:tc>
        <w:tc>
          <w:tcPr>
            <w:tcW w:w="2020" w:type="dxa"/>
            <w:vAlign w:val="bottom"/>
          </w:tcPr>
          <w:p>
            <w:pPr>
              <w:ind w:left="1000"/>
              <w:spacing w:after="0"/>
              <w:rPr>
                <w:sz w:val="20"/>
                <w:szCs w:val="20"/>
                <w:color w:val="auto"/>
              </w:rPr>
            </w:pPr>
            <w:r>
              <w:rPr>
                <w:rFonts w:ascii="Arial" w:cs="Arial" w:eastAsia="Arial" w:hAnsi="Arial"/>
                <w:sz w:val="14"/>
                <w:szCs w:val="14"/>
                <w:b w:val="1"/>
                <w:bCs w:val="1"/>
                <w:color w:val="auto"/>
              </w:rPr>
              <w:t>Percent</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8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6"/>
                <w:szCs w:val="16"/>
                <w:color w:val="auto"/>
                <w:w w:val="98"/>
              </w:rPr>
              <w:t>nm*</w:t>
            </w:r>
          </w:p>
        </w:tc>
      </w:tr>
      <w:tr>
        <w:trPr>
          <w:trHeight w:val="190"/>
        </w:trPr>
        <w:tc>
          <w:tcPr>
            <w:tcW w:w="4760" w:type="dxa"/>
            <w:vAlign w:val="bottom"/>
          </w:tcPr>
          <w:p>
            <w:pPr>
              <w:ind w:left="200"/>
              <w:spacing w:after="0"/>
              <w:rPr>
                <w:sz w:val="20"/>
                <w:szCs w:val="20"/>
                <w:color w:val="auto"/>
              </w:rPr>
            </w:pPr>
            <w:r>
              <w:rPr>
                <w:rFonts w:ascii="Arial" w:cs="Arial" w:eastAsia="Arial" w:hAnsi="Arial"/>
                <w:sz w:val="14"/>
                <w:szCs w:val="14"/>
                <w:color w:val="auto"/>
              </w:rPr>
              <w:t>*not meaningful</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28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Interest income increased $2.0 million for the three months ended March 31, 2023, as compared to the three months ended March 31, 2022 due to an increase in yield on interest-bearing accounts driven by the increase in the U.S. federal funds interest rate.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680" w:type="dxa"/>
            <w:vAlign w:val="bottom"/>
            <w:gridSpan w:val="4"/>
          </w:tcPr>
          <w:p>
            <w:pPr>
              <w:jc w:val="right"/>
              <w:ind w:right="44"/>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39"/>
        </w:trPr>
        <w:tc>
          <w:tcPr>
            <w:tcW w:w="46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4"/>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52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6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bl>
    <w:p>
      <w:pPr>
        <w:spacing w:after="0" w:line="247" w:lineRule="exact"/>
        <w:rPr>
          <w:sz w:val="20"/>
          <w:szCs w:val="20"/>
          <w:color w:val="auto"/>
        </w:rPr>
      </w:pPr>
    </w:p>
    <w:p>
      <w:pPr>
        <w:ind w:right="1300"/>
        <w:spacing w:after="0" w:line="487" w:lineRule="auto"/>
        <w:rPr>
          <w:sz w:val="20"/>
          <w:szCs w:val="20"/>
          <w:color w:val="auto"/>
        </w:rPr>
      </w:pPr>
      <w:r>
        <w:rPr>
          <w:rFonts w:ascii="Arial" w:cs="Arial" w:eastAsia="Arial" w:hAnsi="Arial"/>
          <w:sz w:val="16"/>
          <w:szCs w:val="16"/>
          <w:color w:val="auto"/>
        </w:rPr>
        <w:t xml:space="preserve">Interest expense increased by an immaterial amount for the three months ended March 31, 2023, as compared to the three months ended March 31, 2022. </w:t>
      </w:r>
      <w:r>
        <w:rPr>
          <w:rFonts w:ascii="Arial" w:cs="Arial" w:eastAsia="Arial" w:hAnsi="Arial"/>
          <w:sz w:val="16"/>
          <w:szCs w:val="16"/>
          <w:b w:val="1"/>
          <w:bCs w:val="1"/>
          <w:i w:val="1"/>
          <w:iCs w:val="1"/>
          <w:color w:val="auto"/>
        </w:rPr>
        <w:t>Other (expense) income, net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700" w:type="dxa"/>
            <w:vAlign w:val="bottom"/>
            <w:gridSpan w:val="4"/>
          </w:tcPr>
          <w:p>
            <w:pPr>
              <w:jc w:val="right"/>
              <w:ind w:right="64"/>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39"/>
        </w:trPr>
        <w:tc>
          <w:tcPr>
            <w:tcW w:w="47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ind w:right="5"/>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52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7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(1,511)</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bl>
    <w:p>
      <w:pPr>
        <w:spacing w:after="0" w:line="233"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color w:val="auto"/>
        </w:rPr>
        <w:t>Other (expense) income, net, was a $1.5 million loss for the three months ended March 31, 2023, as compared to a $0.7 million gain for the three months ended March 31, 2022, primarily due to unrealized losses and gains on foreign exchange remeasurements related to transactions associated with high-volume balance sheet amounts.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700" w:type="dxa"/>
            <w:vAlign w:val="bottom"/>
            <w:gridSpan w:val="4"/>
          </w:tcPr>
          <w:p>
            <w:pPr>
              <w:jc w:val="right"/>
              <w:ind w:right="64"/>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39"/>
        </w:trPr>
        <w:tc>
          <w:tcPr>
            <w:tcW w:w="47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Pr>
          <w:p>
            <w:pPr>
              <w:jc w:val="right"/>
              <w:ind w:right="85"/>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524"/>
              <w:spacing w:after="0"/>
              <w:rPr>
                <w:sz w:val="20"/>
                <w:szCs w:val="20"/>
                <w:color w:val="auto"/>
              </w:rPr>
            </w:pPr>
            <w:r>
              <w:rPr>
                <w:rFonts w:ascii="Arial" w:cs="Arial" w:eastAsia="Arial" w:hAnsi="Arial"/>
                <w:sz w:val="14"/>
                <w:szCs w:val="14"/>
                <w:b w:val="1"/>
                <w:bCs w:val="1"/>
                <w:color w:val="auto"/>
              </w:rPr>
              <w:t>Percent</w:t>
            </w:r>
          </w:p>
        </w:tc>
      </w:tr>
      <w:tr>
        <w:trPr>
          <w:trHeight w:val="39"/>
        </w:trPr>
        <w:tc>
          <w:tcPr>
            <w:tcW w:w="47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bl>
    <w:p>
      <w:pPr>
        <w:spacing w:after="0" w:line="24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provision for income taxes decreased by $0.2 million, or (30)%, for the three months ended March 31, 2023, as compared to the three months ended March 31, 2022, primarily due to a decrease in foreign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We use Adjusted EBITDA, a non-GAAP financial measure to supplement net loss. Adjusted EBITDA is calculated as net loss adjusted by (i) interest (income) expense, net;</w:t>
      </w:r>
    </w:p>
    <w:p>
      <w:pPr>
        <w:spacing w:after="0" w:line="42" w:lineRule="exact"/>
        <w:rPr>
          <w:sz w:val="20"/>
          <w:szCs w:val="20"/>
          <w:color w:val="auto"/>
        </w:rPr>
      </w:pPr>
    </w:p>
    <w:p>
      <w:pPr>
        <w:jc w:val="both"/>
        <w:ind w:right="80" w:firstLine="8"/>
        <w:spacing w:after="0" w:line="260" w:lineRule="auto"/>
        <w:tabs>
          <w:tab w:leader="none" w:pos="238"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transaction and integration costs associated with acquisitions.</w:t>
      </w:r>
    </w:p>
    <w:p>
      <w:pPr>
        <w:spacing w:after="0" w:line="13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04" w:lineRule="exact"/>
        <w:rPr>
          <w:sz w:val="20"/>
          <w:szCs w:val="20"/>
          <w:color w:val="auto"/>
        </w:rPr>
      </w:pPr>
    </w:p>
    <w:p>
      <w:pPr>
        <w:ind w:right="760"/>
        <w:spacing w:after="0" w:line="293" w:lineRule="auto"/>
        <w:rPr>
          <w:sz w:val="20"/>
          <w:szCs w:val="20"/>
          <w:color w:val="auto"/>
        </w:rPr>
      </w:pPr>
      <w:r>
        <w:rPr>
          <w:rFonts w:ascii="Arial" w:cs="Arial" w:eastAsia="Arial" w:hAnsi="Arial"/>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04" w:lineRule="exact"/>
        <w:rPr>
          <w:sz w:val="20"/>
          <w:szCs w:val="20"/>
          <w:color w:val="auto"/>
        </w:rPr>
      </w:pPr>
    </w:p>
    <w:p>
      <w:pPr>
        <w:ind w:left="660" w:right="480" w:hanging="328"/>
        <w:spacing w:after="0" w:line="332" w:lineRule="auto"/>
        <w:tabs>
          <w:tab w:leader="none" w:pos="649"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the effect of income taxes that may represent a reduction in cash available to us;</w:t>
      </w: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29" w:name="page30"/>
    <w:bookmarkEnd w:id="29"/>
    <w:p>
      <w:pPr>
        <w:ind w:left="640" w:hanging="308"/>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Adjusted EBITDA does not reflect the effect of gains and losses from the remeasurement of foreign currency assets and liabilities into their functional currency;</w:t>
      </w:r>
    </w:p>
    <w:p>
      <w:pPr>
        <w:spacing w:after="0" w:line="70" w:lineRule="exact"/>
        <w:rPr>
          <w:rFonts w:ascii="Arial" w:cs="Arial" w:eastAsia="Arial" w:hAnsi="Arial"/>
          <w:sz w:val="15"/>
          <w:szCs w:val="15"/>
          <w:color w:val="auto"/>
        </w:rPr>
      </w:pPr>
    </w:p>
    <w:p>
      <w:pPr>
        <w:ind w:left="660" w:right="20" w:hanging="328"/>
        <w:spacing w:after="0" w:line="29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excludes noncash charges associated with the donation of our common stock in connection with our Pledge 1% commitment, which is recorded in general and administrative expenses;</w:t>
      </w:r>
    </w:p>
    <w:p>
      <w:pPr>
        <w:ind w:left="660" w:right="60" w:hanging="328"/>
        <w:spacing w:after="0" w:line="29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jc w:val="both"/>
        <w:ind w:left="660" w:right="60" w:hanging="328"/>
        <w:spacing w:after="0" w:line="269"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EBITDA excludes certain transaction costs, primarily acquisition and integration expenses related to the Rewire acquisition. Transaction costs primarily include external legal, accounting, valuation, and due diligence costs, advisory and other professional services fees necessary to integrate acquired businesses, and the change in the fair value of the holdback liability as part of the acquisition of Rewire; and</w:t>
      </w:r>
    </w:p>
    <w:p>
      <w:pPr>
        <w:spacing w:after="0" w:line="15" w:lineRule="exact"/>
        <w:rPr>
          <w:rFonts w:ascii="Arial" w:cs="Arial" w:eastAsia="Arial" w:hAnsi="Arial"/>
          <w:sz w:val="16"/>
          <w:szCs w:val="16"/>
          <w:color w:val="auto"/>
        </w:rPr>
      </w:pPr>
    </w:p>
    <w:p>
      <w:pPr>
        <w:ind w:left="660" w:right="520" w:hanging="328"/>
        <w:spacing w:after="0" w:line="29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(23,310)</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Add:</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 expense, net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33"/>
        </w:trPr>
        <w:tc>
          <w:tcPr>
            <w:tcW w:w="800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53"/>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r>
      <w:tr>
        <w:trPr>
          <w:trHeight w:val="233"/>
        </w:trPr>
        <w:tc>
          <w:tcPr>
            <w:tcW w:w="8000" w:type="dxa"/>
            <w:vAlign w:val="bottom"/>
          </w:tcPr>
          <w:p>
            <w:pPr>
              <w:ind w:left="140"/>
              <w:spacing w:after="0"/>
              <w:rPr>
                <w:sz w:val="20"/>
                <w:szCs w:val="20"/>
                <w:color w:val="auto"/>
              </w:rPr>
            </w:pPr>
            <w:r>
              <w:rPr>
                <w:rFonts w:ascii="Arial" w:cs="Arial" w:eastAsia="Arial" w:hAnsi="Arial"/>
                <w:sz w:val="16"/>
                <w:szCs w:val="16"/>
                <w:color w:val="auto"/>
              </w:rPr>
              <w:t>Foreign exchange (gain) loss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53"/>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 net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w:t>
            </w:r>
          </w:p>
        </w:tc>
      </w:tr>
      <w:tr>
        <w:trPr>
          <w:trHeight w:val="237"/>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Transaction costs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Adjusted EBITDA increased to $5.4 million for the three months ended March 31, 2023, compared to $(12.1) million for the three months ended March 31, 2022. We have benefited from revenue growth and increasing scale efficiencies in transaction expenses and marketing, partially offset by investments in our technology platform and other general and administrative expenses to support growth initiatives, including our acquisition of Rewire.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of Liquidity and Material Future Cash Requirements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of March 31, 2023 and December 31, 2022, our principal sources of liquidity were cash and cash equivalents of $244.2 million and $300.6 million, respectively, as well as funds available under the New Revolving Credit Facility. We have historically financed our operations and capital expenditures primarily through cash generated from operations including transaction fees and foreign exchange spreads. In addition, in September 2021, we entered into our $250.0 million New Revolving Credit Facility. During the three months ended March 31, 2023, we borrowed against part of this credit facility which we repaid in full. Operations continue to be substantially funded by the existing cash we have on hand, and then utilizing the line of credit and letter of credit sub-facility, on an as-needed basis. As of March 31, 2023, we have unused borrowing capacity of $222.7 million.</w:t>
      </w:r>
    </w:p>
    <w:p>
      <w:pPr>
        <w:spacing w:after="0" w:line="14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on January 5, 2023, we acquired 100% of the outstanding equity interests of Rewire (as defined herein) for approximately $77.9 million, which includes the fair value of cash and equity issued, or to be issued, to selling shareholders. A portion of these proceeds were held back at closing for any potential indemnity claims, which will be released after a 15-month holdback period, subject to any deductions, the majority of which will be settled in cash, with a portion in Company common stock. As of March 31, 2023, the fair value of the liability held back that will be settled in cash and Company common stock was $12.7 million.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0" w:name="page31"/>
    <w:bookmarkEnd w:id="30"/>
    <w:p>
      <w:pPr>
        <w:spacing w:after="0" w:line="258" w:lineRule="auto"/>
        <w:rPr>
          <w:sz w:val="20"/>
          <w:szCs w:val="20"/>
          <w:color w:val="auto"/>
        </w:rPr>
      </w:pPr>
      <w:r>
        <w:rPr>
          <w:rFonts w:ascii="Arial" w:cs="Arial" w:eastAsia="Arial" w:hAnsi="Arial"/>
          <w:sz w:val="16"/>
          <w:szCs w:val="16"/>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w:t>
      </w:r>
    </w:p>
    <w:p>
      <w:pPr>
        <w:spacing w:after="0" w:line="13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our Condensed Consolidated Statements of Cash Flows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1220" w:type="dxa"/>
            <w:vAlign w:val="bottom"/>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r>
      <w:tr>
        <w:trPr>
          <w:trHeight w:val="39"/>
        </w:trPr>
        <w:tc>
          <w:tcPr>
            <w:tcW w:w="8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40,250</w:t>
            </w:r>
          </w:p>
        </w:tc>
      </w:tr>
      <w:tr>
        <w:trPr>
          <w:trHeight w:val="25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r>
      <w:tr>
        <w:trPr>
          <w:trHeight w:val="224"/>
        </w:trPr>
        <w:tc>
          <w:tcPr>
            <w:tcW w:w="8020" w:type="dxa"/>
            <w:vAlign w:val="bottom"/>
          </w:tcPr>
          <w:p>
            <w:pPr>
              <w:ind w:left="24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2,601</w:t>
            </w:r>
          </w:p>
        </w:tc>
      </w:tr>
    </w:tbl>
    <w:p>
      <w:pPr>
        <w:spacing w:after="0" w:line="26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year over year change in our cash, cash equivalents, and restricted cash balances is primarily driven by timing of customer transaction-related balances to fund the weekend, as the March 31, 2023 quarter closed on a Friday, as opposed to a Thursday in prior year, as well as activity related to our acquisition of Rewire, further discussed below.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book overdrafts, and disbursement postfunding liabilities, which are included within the line item ‘</w:t>
      </w:r>
      <w:r>
        <w:rPr>
          <w:rFonts w:ascii="Arial" w:cs="Arial" w:eastAsia="Arial" w:hAnsi="Arial"/>
          <w:sz w:val="14"/>
          <w:szCs w:val="14"/>
          <w:i w:val="1"/>
          <w:iCs w:val="1"/>
          <w:color w:val="auto"/>
        </w:rPr>
        <w:t>Accrued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 and other liabilities</w:t>
      </w:r>
      <w:r>
        <w:rPr>
          <w:rFonts w:ascii="Arial" w:cs="Arial" w:eastAsia="Arial" w:hAnsi="Arial"/>
          <w:sz w:val="16"/>
          <w:szCs w:val="16"/>
          <w:color w:val="auto"/>
        </w:rPr>
        <w:t>’.</w:t>
      </w:r>
    </w:p>
    <w:p>
      <w:pPr>
        <w:spacing w:after="0" w:line="163"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color w:val="auto"/>
        </w:rPr>
        <w:t>For the three months ended March 31, 2023, net cash provided by operating activities was $0.4 million, which was primarily driven by a net loss of $28.3 million, excluding $33.3 million of noncash charges included within net loss for the period, and unfavorable changes in our operating assets and liabilities of $4.6 million.</w:t>
      </w:r>
    </w:p>
    <w:p>
      <w:pPr>
        <w:spacing w:after="0" w:line="82"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For the three months ended March 31, 2022, net cash provided by operating activities was $40.3 million, which primarily consisted of favorable changes in our operating assets and liabilities of $52.4 million, partially offset by a net loss of $23.3 million, and excluding $11.2 million of noncash charges included within net loss for the period. The main driver for the favorable change in operating assets and liabilities was a decrease in disbursement prefunding of $62.5 million, which related to a higher than average balance as of the prior year end to fund disbursement partners for expected send volume over a long holiday weekend. This was partially offset by an increase of $14.5 million in customer funds receivable due to timing of cash receipts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67"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Cash used in investing activities consists primarily of purchases of property and equipment, capitalization of internal-use software, and cash paid for acquisitions of businesses, net of acquired cash, cash equivalents, and restricted cash.</w:t>
      </w:r>
    </w:p>
    <w:p>
      <w:pPr>
        <w:spacing w:after="0" w:line="10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Net cash used in investing activities was $43.1 million for the three months ended March 31, 2023, primarily related to the acquisition of Rewire, purchases of property and equipment to support the increase in headcount, and capitalization of internal-use software costs.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1" w:name="page32"/>
    <w:bookmarkEnd w:id="31"/>
    <w:p>
      <w:pPr>
        <w:ind w:right="220"/>
        <w:spacing w:after="0" w:line="275" w:lineRule="auto"/>
        <w:rPr>
          <w:sz w:val="20"/>
          <w:szCs w:val="20"/>
          <w:color w:val="auto"/>
        </w:rPr>
      </w:pPr>
      <w:r>
        <w:rPr>
          <w:rFonts w:ascii="Arial" w:cs="Arial" w:eastAsia="Arial" w:hAnsi="Arial"/>
          <w:sz w:val="16"/>
          <w:szCs w:val="16"/>
          <w:color w:val="auto"/>
        </w:rPr>
        <w:t>Net cash used in investing activities was $1.6 million for the three months ended March 31, 2022, primarily related to purchases of property and equipment to support the increase in headcount and capitalization of internal-use software costs.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Cash used in financing activities consists primarily of proceeds from the exercise of stock options, offset by the repayment of assumed indebtedness from the acquisition of Rewire.</w:t>
      </w:r>
    </w:p>
    <w:p>
      <w:pPr>
        <w:spacing w:after="0" w:line="104" w:lineRule="exact"/>
        <w:rPr>
          <w:sz w:val="20"/>
          <w:szCs w:val="20"/>
          <w:color w:val="auto"/>
        </w:rPr>
      </w:pPr>
    </w:p>
    <w:p>
      <w:pPr>
        <w:ind w:right="800"/>
        <w:spacing w:after="0" w:line="275" w:lineRule="auto"/>
        <w:rPr>
          <w:sz w:val="20"/>
          <w:szCs w:val="20"/>
          <w:color w:val="auto"/>
        </w:rPr>
      </w:pPr>
      <w:r>
        <w:rPr>
          <w:rFonts w:ascii="Arial" w:cs="Arial" w:eastAsia="Arial" w:hAnsi="Arial"/>
          <w:sz w:val="16"/>
          <w:szCs w:val="16"/>
          <w:color w:val="auto"/>
        </w:rPr>
        <w:t>Net cash used in financing activities for the three months ended March 31, 2023 of $13.6 million was primarily driven by repayment of assumed indebtedness of $17.1 million, partially offset by proceeds from the exercise of stock options of $4.8 million.</w:t>
      </w:r>
    </w:p>
    <w:p>
      <w:pPr>
        <w:spacing w:after="0" w:line="13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Net cash provided by financing activities for the three months ended March 31, 2022 of $2.6 million was driven by proceeds from the exercise of stock options of $2.6 million.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71"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Our principal commitments consist of standby letters of credits, long-term leases, and other purchase commitments entered into in the normal course of business. In addition, we routinely enter into marketing and advertising contracts, software subscriptions or other service arrangements, including cloud infrastructure arrangements, that contractually obligate us to purchase services, including minimum service quantities, unless we give notice of cancellation based on the applicable terms of the agreements. Most contracts are typically cancelable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 In addition, we have entered into the following commitments during 2023:</w:t>
      </w:r>
    </w:p>
    <w:p>
      <w:pPr>
        <w:spacing w:after="0" w:line="103" w:lineRule="exact"/>
        <w:rPr>
          <w:sz w:val="20"/>
          <w:szCs w:val="20"/>
          <w:color w:val="auto"/>
        </w:rPr>
      </w:pPr>
    </w:p>
    <w:p>
      <w:pPr>
        <w:ind w:left="660" w:right="260" w:hanging="328"/>
        <w:spacing w:after="0" w:line="26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February 19, 2023, we entered into a lease for an office in Israel. This lease commenced in 2023 and will expire in 2027. Total incremental estimated cash payments that will be made over the course of the lease agreement total approximately $6.0 million. This lease has been recorded in accordance with ASC 842, Leases, on the Company’s Condensed Consolidated Balance Sheets as of March 31, 2023.</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 xml:space="preserve">During the three months ended March 31, 2023, there were no other material changes outside of the ordinary course of business to the contractual obligations and contingencies as disclosed in “Management’s Discussion and Analysis of Financial Condition and Results of Operations” set forth in our Annual Report on Form 10-K for the year ended December 31, 2022. For further discussion of commitments and contingencies, also refer to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Condensed Consolidated Financial Statements included in Part I, Item 1 of this Quarterly Report on Form 10-Q.</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As of March 31, 2023, we had no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Condensed Consolidated Financial Statements, we elected not to record leases on our Condensed Consolidated Balance Sheets if the lease term is 12 months or less. For further information on our lease arrangements, refer to our Annual Report on Form 10-K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5" w:lineRule="exact"/>
        <w:rPr>
          <w:sz w:val="20"/>
          <w:szCs w:val="20"/>
          <w:color w:val="auto"/>
        </w:rPr>
      </w:pPr>
    </w:p>
    <w:p>
      <w:pPr>
        <w:ind w:right="80"/>
        <w:spacing w:after="0" w:line="303" w:lineRule="auto"/>
        <w:rPr>
          <w:sz w:val="20"/>
          <w:szCs w:val="20"/>
          <w:color w:val="auto"/>
        </w:rPr>
      </w:pPr>
      <w:r>
        <w:rPr>
          <w:rFonts w:ascii="Arial" w:cs="Arial" w:eastAsia="Arial" w:hAnsi="Arial"/>
          <w:sz w:val="14"/>
          <w:szCs w:val="14"/>
          <w:color w:val="auto"/>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There have been no material changes, other than as described in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to the Company’s critical accounting policies and estimates as compared to those described in “Management’s Discussion and Analysis of Financial Condition and Results of Operations” set forth in our Annual Report on Form 10-K for the year ended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in the notes to the Company’s Condensed Consolidated Financial Statements included in Part I, Item 1 of this Quarterly Report on Form 10-Q for a discussion of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71" w:lineRule="exact"/>
        <w:rPr>
          <w:sz w:val="20"/>
          <w:szCs w:val="20"/>
          <w:color w:val="auto"/>
        </w:rPr>
      </w:pPr>
    </w:p>
    <w:p>
      <w:pPr>
        <w:jc w:val="both"/>
        <w:ind w:right="320"/>
        <w:spacing w:after="0" w:line="269" w:lineRule="auto"/>
        <w:rPr>
          <w:sz w:val="20"/>
          <w:szCs w:val="20"/>
          <w:color w:val="auto"/>
        </w:rPr>
      </w:pPr>
      <w:r>
        <w:rPr>
          <w:rFonts w:ascii="Arial" w:cs="Arial" w:eastAsia="Arial" w:hAnsi="Arial"/>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Credit Risk</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Given the nature of our business, we are exposed to foreign exchange rate risk in a number of ways. Our principal exposure to foreign exchange rate risk includes:</w:t>
      </w:r>
    </w:p>
    <w:p>
      <w:pPr>
        <w:spacing w:after="0" w:line="179" w:lineRule="exact"/>
        <w:rPr>
          <w:sz w:val="20"/>
          <w:szCs w:val="20"/>
          <w:color w:val="auto"/>
        </w:rPr>
      </w:pPr>
    </w:p>
    <w:p>
      <w:pPr>
        <w:ind w:left="660" w:hanging="328"/>
        <w:spacing w:after="0" w:line="25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45" w:lineRule="exact"/>
        <w:rPr>
          <w:rFonts w:ascii="Arial" w:cs="Arial" w:eastAsia="Arial" w:hAnsi="Arial"/>
          <w:sz w:val="16"/>
          <w:szCs w:val="16"/>
          <w:color w:val="auto"/>
        </w:rPr>
      </w:pPr>
    </w:p>
    <w:p>
      <w:pPr>
        <w:ind w:left="660" w:right="120" w:hanging="328"/>
        <w:spacing w:after="0" w:line="25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As of March 31, 2023 and December 31, 2022,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$12.7 million and $10.2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3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67" w:lineRule="exact"/>
        <w:rPr>
          <w:sz w:val="20"/>
          <w:szCs w:val="20"/>
          <w:color w:val="auto"/>
        </w:rPr>
      </w:pPr>
    </w:p>
    <w:p>
      <w:pPr>
        <w:jc w:val="both"/>
        <w:ind w:right="300"/>
        <w:spacing w:after="0" w:line="269" w:lineRule="auto"/>
        <w:rPr>
          <w:sz w:val="20"/>
          <w:szCs w:val="20"/>
          <w:color w:val="auto"/>
        </w:rPr>
      </w:pPr>
      <w:r>
        <w:rPr>
          <w:rFonts w:ascii="Arial" w:cs="Arial" w:eastAsia="Arial" w:hAnsi="Arial"/>
          <w:sz w:val="16"/>
          <w:szCs w:val="16"/>
          <w:color w:val="auto"/>
        </w:rPr>
        <w:t>Based on their evaluation as of March 31, 2023,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our internal control over financial reporting during the quarter ended March 31,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5"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addition to the other information set forth in this Quarterly Report on Form 10-Q, you should carefully consider the factors discussed in Part I, Item 1A, “Risk Factors,” in our Annual Report on Form 10-K for the year ended December 31, 2022,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16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On January 5, 2023, we completed the acquisition of Rewire and issued 617,542 shares of our common stock to former shareholders of Rewire in connection with the acquisition. The shares were issued to former shareholders that were not a “U.S. person,” as defined in Rule 902 of Regulation S under the Securities Act, or were an “accredited investor,” and the issuances exempt from the registration requirements of the Securities Act under Regulation S and Rule 506 of Regulation D, respectively. The shares bear a restrictive Securities Act legend.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September 2021, we completed our initial public offering (the “IPO”), in which we issued and sold 7,000,000 shares of our common stock at $43.00 per share. Concurrently, 5,162,777 shares were sold by certain of our existing stockholders. In addition, we concurrently issued 581,395 shares of common stock in a private placement at the same offering price as the IPO. We received net proceeds of $305.2 million for the IPO and private placement, after deducting underwriting discounts and other fees of $20.8 million. There has been no material change in the planned use of proceeds from our IPO as described in our final prospectus filed with the SEC on September 24, 2021 pursuant to Rule 424(b) under the Securities Act.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6. Exhibits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0" w:type="dxa"/>
            <w:vAlign w:val="bottom"/>
            <w:gridSpan w:val="3"/>
          </w:tcPr>
          <w:p>
            <w:pPr>
              <w:ind w:left="5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Exhibit</w:t>
            </w:r>
          </w:p>
        </w:tc>
        <w:tc>
          <w:tcPr>
            <w:tcW w:w="4420" w:type="dxa"/>
            <w:vAlign w:val="bottom"/>
            <w:gridSpan w:val="15"/>
          </w:tcPr>
          <w:p>
            <w:pPr>
              <w:spacing w:after="0"/>
              <w:rPr>
                <w:sz w:val="20"/>
                <w:szCs w:val="20"/>
                <w:color w:val="auto"/>
              </w:rPr>
            </w:pPr>
            <w:r>
              <w:rPr>
                <w:rFonts w:ascii="Arial" w:cs="Arial" w:eastAsia="Arial" w:hAnsi="Arial"/>
                <w:sz w:val="16"/>
                <w:szCs w:val="16"/>
                <w:color w:val="auto"/>
              </w:rPr>
              <w:t>Description</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Filed</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Herewith</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140" w:type="dxa"/>
            <w:vAlign w:val="bottom"/>
          </w:tcPr>
          <w:p>
            <w:pPr>
              <w:ind w:left="300"/>
              <w:spacing w:after="0"/>
              <w:rPr>
                <w:sz w:val="20"/>
                <w:szCs w:val="20"/>
                <w:color w:val="auto"/>
              </w:rPr>
            </w:pPr>
            <w:r>
              <w:rPr>
                <w:rFonts w:ascii="Arial" w:cs="Arial" w:eastAsia="Arial" w:hAnsi="Arial"/>
                <w:sz w:val="16"/>
                <w:szCs w:val="16"/>
                <w:b w:val="1"/>
                <w:bCs w:val="1"/>
                <w:color w:val="auto"/>
              </w:rPr>
              <w:t>File No.</w:t>
            </w:r>
          </w:p>
        </w:tc>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1540" w:type="dxa"/>
            <w:vAlign w:val="bottom"/>
          </w:tcPr>
          <w:p>
            <w:pPr>
              <w:jc w:val="center"/>
              <w:ind w:left="139"/>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195"/>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3.1</w:t>
            </w:r>
          </w:p>
        </w:tc>
        <w:tc>
          <w:tcPr>
            <w:tcW w:w="4420" w:type="dxa"/>
            <w:vAlign w:val="bottom"/>
            <w:gridSpan w:val="15"/>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Amended and Restated Certificate of Incorporation</w:t>
              </w:r>
            </w:hyperlink>
          </w:p>
        </w:tc>
        <w:tc>
          <w:tcPr>
            <w:tcW w:w="9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540" w:type="dxa"/>
            <w:vAlign w:val="bottom"/>
          </w:tcPr>
          <w:p>
            <w:pPr>
              <w:jc w:val="center"/>
              <w:ind w:left="159"/>
              <w:spacing w:after="0"/>
              <w:rPr>
                <w:sz w:val="20"/>
                <w:szCs w:val="20"/>
                <w:color w:val="auto"/>
              </w:rPr>
            </w:pPr>
            <w:r>
              <w:rPr>
                <w:rFonts w:ascii="Arial" w:cs="Arial" w:eastAsia="Arial" w:hAnsi="Arial"/>
                <w:sz w:val="16"/>
                <w:szCs w:val="16"/>
                <w:color w:val="auto"/>
                <w:w w:val="92"/>
              </w:rPr>
              <w:t>November 12, 2021</w:t>
            </w:r>
          </w:p>
        </w:tc>
        <w:tc>
          <w:tcPr>
            <w:tcW w:w="0" w:type="dxa"/>
            <w:vAlign w:val="bottom"/>
          </w:tcPr>
          <w:p>
            <w:pPr>
              <w:spacing w:after="0"/>
              <w:rPr>
                <w:sz w:val="1"/>
                <w:szCs w:val="1"/>
                <w:color w:val="auto"/>
              </w:rPr>
            </w:pPr>
          </w:p>
        </w:tc>
      </w:tr>
      <w:tr>
        <w:trPr>
          <w:trHeight w:val="210"/>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3.2</w:t>
            </w:r>
          </w:p>
        </w:tc>
        <w:tc>
          <w:tcPr>
            <w:tcW w:w="3320" w:type="dxa"/>
            <w:vAlign w:val="bottom"/>
            <w:tcBorders>
              <w:top w:val="single" w:sz="8" w:color="0000FF"/>
            </w:tcBorders>
            <w:gridSpan w:val="7"/>
          </w:tcPr>
          <w:p>
            <w:pPr>
              <w:spacing w:after="0"/>
              <w:rPr>
                <w:rFonts w:ascii="Arial" w:cs="Arial" w:eastAsia="Arial" w:hAnsi="Arial"/>
                <w:sz w:val="16"/>
                <w:szCs w:val="16"/>
                <w:color w:val="0000FF"/>
              </w:rPr>
            </w:pPr>
            <w:hyperlink r:id="rId55">
              <w:r>
                <w:rPr>
                  <w:rFonts w:ascii="Arial" w:cs="Arial" w:eastAsia="Arial" w:hAnsi="Arial"/>
                  <w:sz w:val="16"/>
                  <w:szCs w:val="16"/>
                  <w:color w:val="0000FF"/>
                </w:rPr>
                <w:t>Restated Bylaws</w:t>
              </w:r>
            </w:hyperlink>
          </w:p>
        </w:tc>
        <w:tc>
          <w:tcPr>
            <w:tcW w:w="1100" w:type="dxa"/>
            <w:vAlign w:val="bottom"/>
            <w:gridSpan w:val="8"/>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540" w:type="dxa"/>
            <w:vAlign w:val="bottom"/>
          </w:tcPr>
          <w:p>
            <w:pPr>
              <w:jc w:val="center"/>
              <w:ind w:left="159"/>
              <w:spacing w:after="0"/>
              <w:rPr>
                <w:sz w:val="20"/>
                <w:szCs w:val="20"/>
                <w:color w:val="auto"/>
              </w:rPr>
            </w:pPr>
            <w:r>
              <w:rPr>
                <w:rFonts w:ascii="Arial" w:cs="Arial" w:eastAsia="Arial" w:hAnsi="Arial"/>
                <w:sz w:val="16"/>
                <w:szCs w:val="16"/>
                <w:color w:val="auto"/>
                <w:w w:val="92"/>
              </w:rPr>
              <w:t>November 12, 2021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10.1</w:t>
            </w:r>
          </w:p>
        </w:tc>
        <w:tc>
          <w:tcPr>
            <w:tcW w:w="3800" w:type="dxa"/>
            <w:vAlign w:val="bottom"/>
            <w:tcBorders>
              <w:bottom w:val="single" w:sz="8" w:color="0000FF"/>
            </w:tcBorders>
            <w:gridSpan w:val="8"/>
          </w:tcPr>
          <w:p>
            <w:pPr>
              <w:spacing w:after="0"/>
              <w:rPr>
                <w:rFonts w:ascii="Arial" w:cs="Arial" w:eastAsia="Arial" w:hAnsi="Arial"/>
                <w:sz w:val="16"/>
                <w:szCs w:val="16"/>
                <w:color w:val="0000FF"/>
                <w:w w:val="91"/>
              </w:rPr>
            </w:pPr>
            <w:hyperlink r:id="rId56">
              <w:r>
                <w:rPr>
                  <w:rFonts w:ascii="Arial" w:cs="Arial" w:eastAsia="Arial" w:hAnsi="Arial"/>
                  <w:sz w:val="16"/>
                  <w:szCs w:val="16"/>
                  <w:color w:val="0000FF"/>
                  <w:w w:val="91"/>
                </w:rPr>
                <w:t>Forms of Change in Control and Severance Agreement for</w:t>
              </w:r>
            </w:hyperlink>
          </w:p>
        </w:tc>
        <w:tc>
          <w:tcPr>
            <w:tcW w:w="62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4"/>
              </w:rPr>
              <w:t>S-1/A</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1"/>
              </w:rPr>
              <w:t>333-259167</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10.6</w:t>
            </w:r>
          </w:p>
        </w:tc>
        <w:tc>
          <w:tcPr>
            <w:tcW w:w="1540" w:type="dxa"/>
            <w:vAlign w:val="bottom"/>
            <w:vMerge w:val="restart"/>
          </w:tcPr>
          <w:p>
            <w:pPr>
              <w:jc w:val="center"/>
              <w:ind w:left="159"/>
              <w:spacing w:after="0"/>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160" w:type="dxa"/>
            <w:vAlign w:val="bottom"/>
            <w:tcBorders>
              <w:bottom w:val="single" w:sz="8" w:color="0000FF"/>
            </w:tcBorders>
            <w:gridSpan w:val="3"/>
          </w:tcPr>
          <w:p>
            <w:pPr>
              <w:spacing w:after="0" w:line="169" w:lineRule="exact"/>
              <w:rPr>
                <w:rFonts w:ascii="Arial" w:cs="Arial" w:eastAsia="Arial" w:hAnsi="Arial"/>
                <w:sz w:val="16"/>
                <w:szCs w:val="16"/>
                <w:color w:val="0000FF"/>
                <w:w w:val="92"/>
              </w:rPr>
            </w:pPr>
            <w:hyperlink r:id="rId56">
              <w:r>
                <w:rPr>
                  <w:rFonts w:ascii="Arial" w:cs="Arial" w:eastAsia="Arial" w:hAnsi="Arial"/>
                  <w:sz w:val="16"/>
                  <w:szCs w:val="16"/>
                  <w:color w:val="0000FF"/>
                  <w:w w:val="92"/>
                </w:rPr>
                <w:t>executive officers</w:t>
              </w:r>
            </w:hyperlink>
          </w:p>
        </w:tc>
        <w:tc>
          <w:tcPr>
            <w:tcW w:w="3260" w:type="dxa"/>
            <w:vAlign w:val="bottom"/>
            <w:gridSpan w:val="12"/>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10.2</w:t>
            </w:r>
          </w:p>
        </w:tc>
        <w:tc>
          <w:tcPr>
            <w:tcW w:w="4420" w:type="dxa"/>
            <w:vAlign w:val="bottom"/>
            <w:gridSpan w:val="15"/>
          </w:tcPr>
          <w:p>
            <w:pPr>
              <w:spacing w:after="0"/>
              <w:rPr>
                <w:sz w:val="20"/>
                <w:szCs w:val="20"/>
                <w:color w:val="auto"/>
              </w:rPr>
            </w:pPr>
            <w:r>
              <w:rPr>
                <w:rFonts w:ascii="Arial" w:cs="Arial" w:eastAsia="Arial" w:hAnsi="Arial"/>
                <w:sz w:val="16"/>
                <w:szCs w:val="16"/>
                <w:color w:val="0000FF"/>
                <w:w w:val="95"/>
              </w:rPr>
              <w:t>Amended and Restated Offer Letter, dated as of April 6, 2023, by</w:t>
            </w: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4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and between the Registrant and Rene Yoakum</w:t>
            </w:r>
          </w:p>
        </w:tc>
        <w:tc>
          <w:tcPr>
            <w:tcW w:w="180" w:type="dxa"/>
            <w:vAlign w:val="bottom"/>
            <w:gridSpan w:val="4"/>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10.3</w:t>
            </w:r>
          </w:p>
        </w:tc>
        <w:tc>
          <w:tcPr>
            <w:tcW w:w="4420" w:type="dxa"/>
            <w:vAlign w:val="bottom"/>
            <w:gridSpan w:val="15"/>
          </w:tcPr>
          <w:p>
            <w:pPr>
              <w:spacing w:after="0"/>
              <w:rPr>
                <w:sz w:val="20"/>
                <w:szCs w:val="20"/>
                <w:color w:val="auto"/>
              </w:rPr>
            </w:pPr>
            <w:r>
              <w:rPr>
                <w:rFonts w:ascii="Arial" w:cs="Arial" w:eastAsia="Arial" w:hAnsi="Arial"/>
                <w:sz w:val="16"/>
                <w:szCs w:val="16"/>
                <w:color w:val="0000FF"/>
                <w:w w:val="95"/>
              </w:rPr>
              <w:t>Amended and Restated Offer Letter, dated as of April 6, 2023, by</w:t>
            </w: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9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w w:val="90"/>
              </w:rPr>
              <w:t>and between the Registrant and Ankur Sinha</w:t>
            </w:r>
          </w:p>
        </w:tc>
        <w:tc>
          <w:tcPr>
            <w:tcW w:w="1340" w:type="dxa"/>
            <w:vAlign w:val="bottom"/>
            <w:tcBorders>
              <w:top w:val="single" w:sz="8" w:color="0000FF"/>
            </w:tcBorders>
            <w:gridSpan w:val="6"/>
          </w:tcPr>
          <w:p>
            <w:pPr>
              <w:spacing w:after="0"/>
              <w:rPr>
                <w:sz w:val="14"/>
                <w:szCs w:val="14"/>
                <w:color w:val="auto"/>
              </w:rPr>
            </w:pPr>
          </w:p>
        </w:tc>
        <w:tc>
          <w:tcPr>
            <w:tcW w:w="180" w:type="dxa"/>
            <w:vAlign w:val="bottom"/>
            <w:gridSpan w:val="4"/>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31.1</w:t>
            </w:r>
          </w:p>
        </w:tc>
        <w:tc>
          <w:tcPr>
            <w:tcW w:w="4420" w:type="dxa"/>
            <w:vAlign w:val="bottom"/>
            <w:gridSpan w:val="15"/>
          </w:tcPr>
          <w:p>
            <w:pPr>
              <w:spacing w:after="0"/>
              <w:rPr>
                <w:sz w:val="20"/>
                <w:szCs w:val="20"/>
                <w:color w:val="auto"/>
              </w:rPr>
            </w:pPr>
            <w:r>
              <w:rPr>
                <w:rFonts w:ascii="Arial" w:cs="Arial" w:eastAsia="Arial" w:hAnsi="Arial"/>
                <w:sz w:val="16"/>
                <w:szCs w:val="16"/>
                <w:color w:val="0000FF"/>
                <w:w w:val="95"/>
              </w:rPr>
              <w:t>Certification of Principal Executive Officer Pursuant to Rules 13a-</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5"/>
          </w:tcPr>
          <w:p>
            <w:pPr>
              <w:spacing w:after="0" w:line="169" w:lineRule="exact"/>
              <w:rPr>
                <w:sz w:val="20"/>
                <w:szCs w:val="20"/>
                <w:color w:val="auto"/>
              </w:rPr>
            </w:pPr>
            <w:r>
              <w:rPr>
                <w:rFonts w:ascii="Arial" w:cs="Arial" w:eastAsia="Arial" w:hAnsi="Arial"/>
                <w:sz w:val="16"/>
                <w:szCs w:val="16"/>
                <w:color w:val="0000FF"/>
                <w:w w:val="92"/>
              </w:rPr>
              <w:t>14(a) and 15d-14(a) under the Securities Exchange Act of 1934, as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2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6"/>
                <w:szCs w:val="16"/>
                <w:color w:val="0000FF"/>
                <w:w w:val="96"/>
              </w:rPr>
              <w:t>Adopted Pursuant to Section 302 of the Sarbanes-Oxley Act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31.2</w:t>
            </w:r>
          </w:p>
        </w:tc>
        <w:tc>
          <w:tcPr>
            <w:tcW w:w="432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3"/>
              </w:rPr>
              <w:t>Certification of Principal Financial Officer Pursuant to Rules 13a-</w:t>
            </w:r>
          </w:p>
        </w:tc>
        <w:tc>
          <w:tcPr>
            <w:tcW w:w="1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5"/>
          </w:tcPr>
          <w:p>
            <w:pPr>
              <w:spacing w:after="0" w:line="169" w:lineRule="exact"/>
              <w:rPr>
                <w:sz w:val="20"/>
                <w:szCs w:val="20"/>
                <w:color w:val="auto"/>
              </w:rPr>
            </w:pPr>
            <w:r>
              <w:rPr>
                <w:rFonts w:ascii="Arial" w:cs="Arial" w:eastAsia="Arial" w:hAnsi="Arial"/>
                <w:sz w:val="16"/>
                <w:szCs w:val="16"/>
                <w:color w:val="0000FF"/>
                <w:w w:val="92"/>
              </w:rPr>
              <w:t>14(a) and 15d-14(a) under the Securities Exchange Act of 1934, as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32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6"/>
                <w:szCs w:val="16"/>
                <w:color w:val="0000FF"/>
                <w:w w:val="96"/>
              </w:rPr>
              <w:t>Adopted Pursuant to Section 302 of the Sarbanes-Oxley Act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96"/>
              </w:rPr>
              <w:t>32.1*</w:t>
            </w:r>
          </w:p>
        </w:tc>
        <w:tc>
          <w:tcPr>
            <w:tcW w:w="4420" w:type="dxa"/>
            <w:vAlign w:val="bottom"/>
            <w:gridSpan w:val="15"/>
          </w:tcPr>
          <w:p>
            <w:pPr>
              <w:spacing w:after="0"/>
              <w:rPr>
                <w:sz w:val="20"/>
                <w:szCs w:val="20"/>
                <w:color w:val="auto"/>
              </w:rPr>
            </w:pPr>
            <w:r>
              <w:rPr>
                <w:rFonts w:ascii="Arial" w:cs="Arial" w:eastAsia="Arial" w:hAnsi="Arial"/>
                <w:sz w:val="16"/>
                <w:szCs w:val="16"/>
                <w:color w:val="0000FF"/>
                <w:w w:val="97"/>
              </w:rPr>
              <w:t>Certification of Principal Executive Officer Pursuant to 18 U.S.C.</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5"/>
          </w:tcPr>
          <w:p>
            <w:pPr>
              <w:spacing w:after="0" w:line="169" w:lineRule="exact"/>
              <w:rPr>
                <w:sz w:val="20"/>
                <w:szCs w:val="20"/>
                <w:color w:val="auto"/>
              </w:rPr>
            </w:pPr>
            <w:r>
              <w:rPr>
                <w:rFonts w:ascii="Arial" w:cs="Arial" w:eastAsia="Arial" w:hAnsi="Arial"/>
                <w:sz w:val="16"/>
                <w:szCs w:val="16"/>
                <w:color w:val="0000FF"/>
                <w:w w:val="91"/>
              </w:rPr>
              <w:t>Section 1350, as Adopted Pursuant to Section 906 of the Sarbanes-</w:t>
            </w: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4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6"/>
                <w:szCs w:val="16"/>
                <w:color w:val="0000FF"/>
              </w:rPr>
              <w:t>Oxley Act of 2002</w:t>
            </w: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96"/>
              </w:rPr>
              <w:t>32.2*</w:t>
            </w:r>
          </w:p>
        </w:tc>
        <w:tc>
          <w:tcPr>
            <w:tcW w:w="42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3"/>
              </w:rPr>
              <w:t>Certification of Principal Financial Officer Pursuant to 18 U.S.C.</w:t>
            </w:r>
          </w:p>
        </w:tc>
        <w:tc>
          <w:tcPr>
            <w:tcW w:w="200" w:type="dxa"/>
            <w:vAlign w:val="bottom"/>
            <w:gridSpan w:val="5"/>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5"/>
          </w:tcPr>
          <w:p>
            <w:pPr>
              <w:spacing w:after="0" w:line="169" w:lineRule="exact"/>
              <w:rPr>
                <w:sz w:val="20"/>
                <w:szCs w:val="20"/>
                <w:color w:val="auto"/>
              </w:rPr>
            </w:pPr>
            <w:r>
              <w:rPr>
                <w:rFonts w:ascii="Arial" w:cs="Arial" w:eastAsia="Arial" w:hAnsi="Arial"/>
                <w:sz w:val="16"/>
                <w:szCs w:val="16"/>
                <w:color w:val="0000FF"/>
                <w:w w:val="91"/>
              </w:rPr>
              <w:t>Section 1350, as Adopted Pursuant to Section 906 of the Sarbanes-</w:t>
            </w: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34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6"/>
                <w:szCs w:val="16"/>
                <w:color w:val="0000FF"/>
              </w:rPr>
              <w:t>Oxley Act of 2002</w:t>
            </w: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22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940" w:type="dxa"/>
            <w:vAlign w:val="bottom"/>
          </w:tcPr>
          <w:p>
            <w:pPr>
              <w:jc w:val="center"/>
              <w:ind w:right="39"/>
              <w:spacing w:after="0"/>
              <w:rPr>
                <w:sz w:val="20"/>
                <w:szCs w:val="20"/>
                <w:color w:val="auto"/>
              </w:rPr>
            </w:pPr>
            <w:r>
              <w:rPr>
                <w:rFonts w:ascii="Arial" w:cs="Arial" w:eastAsia="Arial" w:hAnsi="Arial"/>
                <w:sz w:val="16"/>
                <w:szCs w:val="16"/>
                <w:color w:val="auto"/>
                <w:w w:val="93"/>
              </w:rPr>
              <w:t>101.INS</w:t>
            </w:r>
          </w:p>
        </w:tc>
        <w:tc>
          <w:tcPr>
            <w:tcW w:w="4420" w:type="dxa"/>
            <w:vAlign w:val="bottom"/>
            <w:gridSpan w:val="15"/>
          </w:tcPr>
          <w:p>
            <w:pPr>
              <w:spacing w:after="0"/>
              <w:rPr>
                <w:sz w:val="20"/>
                <w:szCs w:val="20"/>
                <w:color w:val="auto"/>
              </w:rPr>
            </w:pPr>
            <w:r>
              <w:rPr>
                <w:rFonts w:ascii="Arial" w:cs="Arial" w:eastAsia="Arial" w:hAnsi="Arial"/>
                <w:sz w:val="16"/>
                <w:szCs w:val="16"/>
                <w:color w:val="auto"/>
                <w:w w:val="94"/>
              </w:rPr>
              <w:t>Inline XBRL Instance Document (the instance document does not</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4420" w:type="dxa"/>
            <w:vAlign w:val="bottom"/>
            <w:gridSpan w:val="15"/>
          </w:tcPr>
          <w:p>
            <w:pPr>
              <w:spacing w:after="0" w:line="175" w:lineRule="exact"/>
              <w:rPr>
                <w:sz w:val="20"/>
                <w:szCs w:val="20"/>
                <w:color w:val="auto"/>
              </w:rPr>
            </w:pPr>
            <w:r>
              <w:rPr>
                <w:rFonts w:ascii="Arial" w:cs="Arial" w:eastAsia="Arial" w:hAnsi="Arial"/>
                <w:sz w:val="16"/>
                <w:szCs w:val="16"/>
                <w:color w:val="auto"/>
              </w:rPr>
              <w:t>appear in the Interactive Data File because its XBRL tags are</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4420" w:type="dxa"/>
            <w:vAlign w:val="bottom"/>
            <w:gridSpan w:val="15"/>
          </w:tcPr>
          <w:p>
            <w:pPr>
              <w:spacing w:after="0"/>
              <w:rPr>
                <w:sz w:val="20"/>
                <w:szCs w:val="20"/>
                <w:color w:val="auto"/>
              </w:rPr>
            </w:pPr>
            <w:r>
              <w:rPr>
                <w:rFonts w:ascii="Arial" w:cs="Arial" w:eastAsia="Arial" w:hAnsi="Arial"/>
                <w:sz w:val="16"/>
                <w:szCs w:val="16"/>
                <w:color w:val="auto"/>
              </w:rPr>
              <w:t>embedded within the Inline XBRL document).</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92"/>
              </w:rPr>
              <w:t>101.SCH</w:t>
            </w:r>
          </w:p>
        </w:tc>
        <w:tc>
          <w:tcPr>
            <w:tcW w:w="4420" w:type="dxa"/>
            <w:vAlign w:val="bottom"/>
            <w:gridSpan w:val="15"/>
          </w:tcPr>
          <w:p>
            <w:pPr>
              <w:spacing w:after="0"/>
              <w:rPr>
                <w:sz w:val="20"/>
                <w:szCs w:val="20"/>
                <w:color w:val="auto"/>
              </w:rPr>
            </w:pPr>
            <w:r>
              <w:rPr>
                <w:rFonts w:ascii="Arial" w:cs="Arial" w:eastAsia="Arial" w:hAnsi="Arial"/>
                <w:sz w:val="16"/>
                <w:szCs w:val="16"/>
                <w:color w:val="auto"/>
              </w:rPr>
              <w:t>Inline XBRL Taxonomy Extension Schema Document.</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40" w:type="dxa"/>
            <w:vAlign w:val="bottom"/>
          </w:tcPr>
          <w:p>
            <w:pPr>
              <w:jc w:val="center"/>
              <w:ind w:right="39"/>
              <w:spacing w:after="0"/>
              <w:rPr>
                <w:sz w:val="20"/>
                <w:szCs w:val="20"/>
                <w:color w:val="auto"/>
              </w:rPr>
            </w:pPr>
            <w:r>
              <w:rPr>
                <w:rFonts w:ascii="Arial" w:cs="Arial" w:eastAsia="Arial" w:hAnsi="Arial"/>
                <w:sz w:val="16"/>
                <w:szCs w:val="16"/>
                <w:color w:val="auto"/>
                <w:w w:val="99"/>
              </w:rPr>
              <w:t>101.CAL</w:t>
            </w:r>
          </w:p>
        </w:tc>
        <w:tc>
          <w:tcPr>
            <w:tcW w:w="4420" w:type="dxa"/>
            <w:vAlign w:val="bottom"/>
            <w:gridSpan w:val="15"/>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442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0" w:type="dxa"/>
            <w:vAlign w:val="bottom"/>
          </w:tcPr>
          <w:p>
            <w:pPr>
              <w:jc w:val="center"/>
              <w:ind w:right="39"/>
              <w:spacing w:after="0"/>
              <w:rPr>
                <w:sz w:val="20"/>
                <w:szCs w:val="20"/>
                <w:color w:val="auto"/>
              </w:rPr>
            </w:pPr>
            <w:r>
              <w:rPr>
                <w:rFonts w:ascii="Arial" w:cs="Arial" w:eastAsia="Arial" w:hAnsi="Arial"/>
                <w:sz w:val="16"/>
                <w:szCs w:val="16"/>
                <w:color w:val="auto"/>
                <w:w w:val="91"/>
              </w:rPr>
              <w:t>101.DEF</w:t>
            </w:r>
          </w:p>
        </w:tc>
        <w:tc>
          <w:tcPr>
            <w:tcW w:w="4420" w:type="dxa"/>
            <w:vAlign w:val="bottom"/>
            <w:gridSpan w:val="15"/>
          </w:tcPr>
          <w:p>
            <w:pPr>
              <w:spacing w:after="0"/>
              <w:rPr>
                <w:sz w:val="20"/>
                <w:szCs w:val="20"/>
                <w:color w:val="auto"/>
              </w:rPr>
            </w:pPr>
            <w:r>
              <w:rPr>
                <w:rFonts w:ascii="Arial" w:cs="Arial" w:eastAsia="Arial" w:hAnsi="Arial"/>
                <w:sz w:val="16"/>
                <w:szCs w:val="16"/>
                <w:color w:val="auto"/>
              </w:rPr>
              <w:t>Inline XBRL Taxonomy Extension Definition Linkbase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442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39"/>
              <w:spacing w:after="0"/>
              <w:rPr>
                <w:sz w:val="20"/>
                <w:szCs w:val="20"/>
                <w:color w:val="auto"/>
              </w:rPr>
            </w:pPr>
            <w:r>
              <w:rPr>
                <w:rFonts w:ascii="Arial" w:cs="Arial" w:eastAsia="Arial" w:hAnsi="Arial"/>
                <w:sz w:val="16"/>
                <w:szCs w:val="16"/>
                <w:color w:val="auto"/>
              </w:rPr>
              <w:t>101.LAB</w:t>
            </w:r>
          </w:p>
        </w:tc>
        <w:tc>
          <w:tcPr>
            <w:tcW w:w="4420" w:type="dxa"/>
            <w:vAlign w:val="bottom"/>
            <w:gridSpan w:val="15"/>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40" w:type="dxa"/>
            <w:vAlign w:val="bottom"/>
          </w:tcPr>
          <w:p>
            <w:pPr>
              <w:jc w:val="center"/>
              <w:ind w:right="39"/>
              <w:spacing w:after="0"/>
              <w:rPr>
                <w:sz w:val="20"/>
                <w:szCs w:val="20"/>
                <w:color w:val="auto"/>
              </w:rPr>
            </w:pPr>
            <w:r>
              <w:rPr>
                <w:rFonts w:ascii="Arial" w:cs="Arial" w:eastAsia="Arial" w:hAnsi="Arial"/>
                <w:sz w:val="16"/>
                <w:szCs w:val="16"/>
                <w:color w:val="auto"/>
                <w:w w:val="90"/>
              </w:rPr>
              <w:t>101.PRE</w:t>
            </w:r>
          </w:p>
        </w:tc>
        <w:tc>
          <w:tcPr>
            <w:tcW w:w="4420" w:type="dxa"/>
            <w:vAlign w:val="bottom"/>
            <w:gridSpan w:val="15"/>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442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0" w:type="dxa"/>
            <w:vAlign w:val="bottom"/>
          </w:tcPr>
          <w:p>
            <w:pPr>
              <w:jc w:val="center"/>
              <w:ind w:right="59"/>
              <w:spacing w:after="0"/>
              <w:rPr>
                <w:sz w:val="20"/>
                <w:szCs w:val="20"/>
                <w:color w:val="auto"/>
              </w:rPr>
            </w:pPr>
            <w:r>
              <w:rPr>
                <w:rFonts w:ascii="Arial" w:cs="Arial" w:eastAsia="Arial" w:hAnsi="Arial"/>
                <w:sz w:val="16"/>
                <w:szCs w:val="16"/>
                <w:color w:val="auto"/>
                <w:w w:val="89"/>
              </w:rPr>
              <w:t>104</w:t>
            </w:r>
          </w:p>
        </w:tc>
        <w:tc>
          <w:tcPr>
            <w:tcW w:w="4420" w:type="dxa"/>
            <w:vAlign w:val="bottom"/>
            <w:gridSpan w:val="15"/>
          </w:tcPr>
          <w:p>
            <w:pPr>
              <w:spacing w:after="0"/>
              <w:rPr>
                <w:sz w:val="20"/>
                <w:szCs w:val="20"/>
                <w:color w:val="auto"/>
              </w:rPr>
            </w:pPr>
            <w:r>
              <w:rPr>
                <w:rFonts w:ascii="Arial" w:cs="Arial" w:eastAsia="Arial" w:hAnsi="Arial"/>
                <w:sz w:val="16"/>
                <w:szCs w:val="16"/>
                <w:color w:val="auto"/>
                <w:w w:val="97"/>
              </w:rPr>
              <w:t>Cover Page Interactive Data File (formatted as inline XBRL and</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4420" w:type="dxa"/>
            <w:vAlign w:val="bottom"/>
            <w:gridSpan w:val="15"/>
          </w:tcPr>
          <w:p>
            <w:pPr>
              <w:spacing w:after="0"/>
              <w:rPr>
                <w:sz w:val="20"/>
                <w:szCs w:val="20"/>
                <w:color w:val="auto"/>
              </w:rPr>
            </w:pPr>
            <w:r>
              <w:rPr>
                <w:rFonts w:ascii="Arial" w:cs="Arial" w:eastAsia="Arial" w:hAnsi="Arial"/>
                <w:sz w:val="16"/>
                <w:szCs w:val="16"/>
                <w:color w:val="auto"/>
              </w:rPr>
              <w:t>contained in Exhibit 101).</w:t>
            </w:r>
          </w:p>
        </w:tc>
        <w:tc>
          <w:tcPr>
            <w:tcW w:w="920" w:type="dxa"/>
            <w:vAlign w:val="bottom"/>
          </w:tcPr>
          <w:p>
            <w:pPr>
              <w:jc w:val="center"/>
              <w:ind w:right="39"/>
              <w:spacing w:after="0"/>
              <w:rPr>
                <w:sz w:val="20"/>
                <w:szCs w:val="20"/>
                <w:color w:val="auto"/>
              </w:rPr>
            </w:pPr>
            <w:r>
              <w:rPr>
                <w:rFonts w:ascii="Arial" w:cs="Arial" w:eastAsia="Arial" w:hAnsi="Arial"/>
                <w:sz w:val="16"/>
                <w:szCs w:val="16"/>
                <w:color w:val="auto"/>
                <w:w w:val="99"/>
              </w:rPr>
              <w:t>x</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8"/>
        <w:spacing w:after="0" w:line="269" w:lineRule="auto"/>
        <w:tabs>
          <w:tab w:leader="none" w:pos="137"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SIGNATURES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Remitly Global, Inc.</w:t>
            </w:r>
          </w:p>
        </w:tc>
      </w:tr>
      <w:tr>
        <w:trPr>
          <w:trHeight w:val="526"/>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1940" w:type="dxa"/>
            <w:vAlign w:val="bottom"/>
          </w:tcPr>
          <w:p>
            <w:pPr>
              <w:ind w:left="80"/>
              <w:spacing w:after="0"/>
              <w:rPr>
                <w:sz w:val="20"/>
                <w:szCs w:val="20"/>
                <w:color w:val="auto"/>
              </w:rPr>
            </w:pPr>
            <w:r>
              <w:rPr>
                <w:rFonts w:ascii="Arial" w:cs="Arial" w:eastAsia="Arial" w:hAnsi="Arial"/>
                <w:sz w:val="16"/>
                <w:szCs w:val="16"/>
                <w:color w:val="auto"/>
              </w:rPr>
              <w:t>May 8, 2023</w:t>
            </w:r>
          </w:p>
        </w:tc>
        <w:tc>
          <w:tcPr>
            <w:tcW w:w="1500" w:type="dxa"/>
            <w:vAlign w:val="bottom"/>
          </w:tcPr>
          <w:p>
            <w:pPr>
              <w:ind w:left="104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Oppenheimer</w:t>
            </w:r>
          </w:p>
        </w:tc>
      </w:tr>
      <w:tr>
        <w:trPr>
          <w:trHeight w:val="210"/>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Matthew Oppenheimer</w:t>
            </w:r>
          </w:p>
        </w:tc>
      </w:tr>
      <w:tr>
        <w:trPr>
          <w:trHeight w:val="243"/>
        </w:trPr>
        <w:tc>
          <w:tcPr>
            <w:tcW w:w="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26"/>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1940" w:type="dxa"/>
            <w:vAlign w:val="bottom"/>
          </w:tcPr>
          <w:p>
            <w:pPr>
              <w:ind w:left="80"/>
              <w:spacing w:after="0"/>
              <w:rPr>
                <w:sz w:val="20"/>
                <w:szCs w:val="20"/>
                <w:color w:val="auto"/>
              </w:rPr>
            </w:pPr>
            <w:r>
              <w:rPr>
                <w:rFonts w:ascii="Arial" w:cs="Arial" w:eastAsia="Arial" w:hAnsi="Arial"/>
                <w:sz w:val="16"/>
                <w:szCs w:val="16"/>
                <w:color w:val="auto"/>
              </w:rPr>
              <w:t>May 8, 2023</w:t>
            </w:r>
          </w:p>
        </w:tc>
        <w:tc>
          <w:tcPr>
            <w:tcW w:w="1500" w:type="dxa"/>
            <w:vAlign w:val="bottom"/>
          </w:tcPr>
          <w:p>
            <w:pPr>
              <w:ind w:left="104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Hemanth Munipalli</w:t>
            </w:r>
          </w:p>
        </w:tc>
      </w:tr>
      <w:tr>
        <w:trPr>
          <w:trHeight w:val="210"/>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Hemanth Munipalli</w:t>
            </w:r>
          </w:p>
        </w:tc>
      </w:tr>
      <w:tr>
        <w:trPr>
          <w:trHeight w:val="243"/>
        </w:trPr>
        <w:tc>
          <w:tcPr>
            <w:tcW w:w="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80"/>
          </w:cols>
          <w:pgMar w:left="320" w:top="1264" w:right="49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Date: April 6, 2023</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Rene:</w:t>
      </w:r>
    </w:p>
    <w:p>
      <w:pPr>
        <w:spacing w:after="0" w:line="237" w:lineRule="exact"/>
        <w:rPr>
          <w:sz w:val="20"/>
          <w:szCs w:val="20"/>
          <w:color w:val="auto"/>
        </w:rPr>
      </w:pPr>
    </w:p>
    <w:p>
      <w:pPr>
        <w:ind w:firstLine="324"/>
        <w:spacing w:after="0" w:line="247" w:lineRule="auto"/>
        <w:rPr>
          <w:sz w:val="20"/>
          <w:szCs w:val="20"/>
          <w:color w:val="auto"/>
        </w:rPr>
      </w:pPr>
      <w:r>
        <w:rPr>
          <w:rFonts w:ascii="Arial" w:cs="Arial" w:eastAsia="Arial" w:hAnsi="Arial"/>
          <w:sz w:val="20"/>
          <w:szCs w:val="20"/>
          <w:color w:val="auto"/>
        </w:rPr>
        <w:t>This letter agreement amends and restates the existing offer letter between you and Remitly Global, Inc.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5"/>
          <w:szCs w:val="25"/>
          <w:color w:val="auto"/>
          <w:vertAlign w:val="superscript"/>
        </w:rPr>
        <w:t>1</w:t>
      </w:r>
      <w:r>
        <w:rPr>
          <w:rFonts w:ascii="Arial" w:cs="Arial" w:eastAsia="Arial" w:hAnsi="Arial"/>
          <w:sz w:val="20"/>
          <w:szCs w:val="20"/>
          <w:color w:val="auto"/>
        </w:rPr>
        <w:t>, (the “</w:t>
      </w:r>
      <w:r>
        <w:rPr>
          <w:rFonts w:ascii="Arial" w:cs="Arial" w:eastAsia="Arial" w:hAnsi="Arial"/>
          <w:sz w:val="20"/>
          <w:szCs w:val="20"/>
          <w:b w:val="1"/>
          <w:bCs w:val="1"/>
          <w:color w:val="auto"/>
        </w:rPr>
        <w:t>Prior</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You will continue to work in the role of EVP, Customer and Culture, reporting to the Company’s Chief Executive Officer.</w:t>
      </w:r>
    </w:p>
    <w:p>
      <w:pPr>
        <w:spacing w:after="0" w:line="250" w:lineRule="exact"/>
        <w:rPr>
          <w:sz w:val="20"/>
          <w:szCs w:val="20"/>
          <w:color w:val="auto"/>
        </w:rPr>
      </w:pPr>
    </w:p>
    <w:p>
      <w:pPr>
        <w:ind w:firstLine="332"/>
        <w:spacing w:after="0" w:line="354" w:lineRule="auto"/>
        <w:tabs>
          <w:tab w:leader="none" w:pos="535" w:val="left"/>
        </w:tabs>
        <w:numPr>
          <w:ilvl w:val="0"/>
          <w:numId w:val="2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 In this position, the Company will pay you an annual base salary payable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payroll schedule. Your pay will be periodically reviewed as a part of the Company’s regular reviews of compensation.</w:t>
      </w:r>
    </w:p>
    <w:p>
      <w:pPr>
        <w:spacing w:after="0" w:line="131" w:lineRule="exact"/>
        <w:rPr>
          <w:rFonts w:ascii="Arial" w:cs="Arial" w:eastAsia="Arial" w:hAnsi="Arial"/>
          <w:sz w:val="18"/>
          <w:szCs w:val="18"/>
          <w:b w:val="1"/>
          <w:bCs w:val="1"/>
          <w:color w:val="010000"/>
        </w:rPr>
      </w:pPr>
    </w:p>
    <w:p>
      <w:pPr>
        <w:jc w:val="both"/>
        <w:ind w:firstLine="332"/>
        <w:spacing w:after="0" w:line="308" w:lineRule="auto"/>
        <w:tabs>
          <w:tab w:leader="none" w:pos="522" w:val="left"/>
        </w:tabs>
        <w:numPr>
          <w:ilvl w:val="0"/>
          <w:numId w:val="2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 You will continue to be eligible to participate in a number of Company-sponsored benefits to the extent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eligibility requirements of each such benefit plan. The Company, in its sole discretion, may amend, suspend or terminate its</w:t>
      </w:r>
    </w:p>
    <w:p>
      <w:pPr>
        <w:spacing w:after="0" w:line="1" w:lineRule="exact"/>
        <w:rPr>
          <w:rFonts w:ascii="Arial" w:cs="Arial" w:eastAsia="Arial" w:hAnsi="Arial"/>
          <w:sz w:val="18"/>
          <w:szCs w:val="18"/>
          <w:b w:val="1"/>
          <w:bCs w:val="1"/>
          <w:color w:val="010000"/>
        </w:rPr>
      </w:pPr>
    </w:p>
    <w:p>
      <w:pPr>
        <w:spacing w:after="0" w:line="288" w:lineRule="auto"/>
        <w:rPr>
          <w:rFonts w:ascii="Arial" w:cs="Arial" w:eastAsia="Arial" w:hAnsi="Arial"/>
          <w:sz w:val="18"/>
          <w:szCs w:val="18"/>
          <w:b w:val="1"/>
          <w:bCs w:val="1"/>
          <w:color w:val="010000"/>
        </w:rPr>
      </w:pPr>
      <w:r>
        <w:rPr>
          <w:rFonts w:ascii="Arial" w:cs="Arial" w:eastAsia="Arial" w:hAnsi="Arial"/>
          <w:sz w:val="20"/>
          <w:szCs w:val="20"/>
          <w:color w:val="auto"/>
        </w:rPr>
        <w:t>employee benefits at any time, with or without notice. In addition, you will be entitled to paid vacation in accordance with the Company’s vacation policy, as in effect from time to time.</w:t>
      </w:r>
    </w:p>
    <w:p>
      <w:pPr>
        <w:spacing w:after="0" w:line="184" w:lineRule="exact"/>
        <w:rPr>
          <w:rFonts w:ascii="Arial" w:cs="Arial" w:eastAsia="Arial" w:hAnsi="Arial"/>
          <w:sz w:val="18"/>
          <w:szCs w:val="18"/>
          <w:b w:val="1"/>
          <w:bCs w:val="1"/>
          <w:color w:val="010000"/>
        </w:rPr>
      </w:pPr>
    </w:p>
    <w:p>
      <w:pPr>
        <w:ind w:firstLine="332"/>
        <w:spacing w:after="0" w:line="354" w:lineRule="auto"/>
        <w:tabs>
          <w:tab w:leader="none" w:pos="535" w:val="left"/>
        </w:tabs>
        <w:numPr>
          <w:ilvl w:val="0"/>
          <w:numId w:val="2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Termination Benefits</w:t>
      </w:r>
      <w:r>
        <w:rPr>
          <w:rFonts w:ascii="Arial" w:cs="Arial" w:eastAsia="Arial" w:hAnsi="Arial"/>
          <w:sz w:val="18"/>
          <w:szCs w:val="18"/>
          <w:color w:val="auto"/>
        </w:rPr>
        <w:t>. You will be eligible to receive change in control and severance payments and benefits under the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and Severance Agreement (the “</w:t>
      </w:r>
      <w:r>
        <w:rPr>
          <w:rFonts w:ascii="Arial" w:cs="Arial" w:eastAsia="Arial" w:hAnsi="Arial"/>
          <w:sz w:val="18"/>
          <w:szCs w:val="18"/>
          <w:b w:val="1"/>
          <w:bCs w:val="1"/>
          <w:color w:val="auto"/>
        </w:rPr>
        <w:t>Severance Agreement</w:t>
      </w:r>
      <w:r>
        <w:rPr>
          <w:rFonts w:ascii="Arial" w:cs="Arial" w:eastAsia="Arial" w:hAnsi="Arial"/>
          <w:sz w:val="18"/>
          <w:szCs w:val="18"/>
          <w:color w:val="auto"/>
        </w:rPr>
        <w:t xml:space="preserve">”) between you and the Company, attached to this offer letter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31" w:lineRule="exact"/>
        <w:rPr>
          <w:rFonts w:ascii="Arial" w:cs="Arial" w:eastAsia="Arial" w:hAnsi="Arial"/>
          <w:sz w:val="18"/>
          <w:szCs w:val="18"/>
          <w:b w:val="1"/>
          <w:bCs w:val="1"/>
          <w:color w:val="010000"/>
        </w:rPr>
      </w:pPr>
    </w:p>
    <w:p>
      <w:pPr>
        <w:ind w:firstLine="332"/>
        <w:spacing w:after="0" w:line="295" w:lineRule="auto"/>
        <w:tabs>
          <w:tab w:leader="none" w:pos="535" w:val="left"/>
        </w:tabs>
        <w:numPr>
          <w:ilvl w:val="0"/>
          <w:numId w:val="2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By signing this letter agreement, you reaffirm the terms and conditions of the Employee Proprietary</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Inventions and Arbitration Agreement by and between you and the Company.</w:t>
      </w:r>
    </w:p>
    <w:p>
      <w:pPr>
        <w:spacing w:after="0" w:line="177" w:lineRule="exact"/>
        <w:rPr>
          <w:rFonts w:ascii="Arial" w:cs="Arial" w:eastAsia="Arial" w:hAnsi="Arial"/>
          <w:sz w:val="20"/>
          <w:szCs w:val="20"/>
          <w:b w:val="1"/>
          <w:bCs w:val="1"/>
          <w:color w:val="010000"/>
        </w:rPr>
      </w:pPr>
    </w:p>
    <w:p>
      <w:pPr>
        <w:jc w:val="both"/>
        <w:ind w:firstLine="332"/>
        <w:spacing w:after="0" w:line="308" w:lineRule="auto"/>
        <w:tabs>
          <w:tab w:leader="none" w:pos="522" w:val="left"/>
        </w:tabs>
        <w:numPr>
          <w:ilvl w:val="0"/>
          <w:numId w:val="2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Conflicting Obligations</w:t>
      </w:r>
      <w:r>
        <w:rPr>
          <w:rFonts w:ascii="Arial" w:cs="Arial" w:eastAsia="Arial" w:hAnsi="Arial"/>
          <w:sz w:val="18"/>
          <w:szCs w:val="18"/>
          <w:color w:val="auto"/>
        </w:rPr>
        <w:t>. You understand and agree that by signing this letter agreement, you represent to the Company that your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will not breach any other agreement to which you are a party and that you have not, and will not during the term of your</w:t>
      </w:r>
    </w:p>
    <w:p>
      <w:pPr>
        <w:spacing w:after="0" w:line="1" w:lineRule="exact"/>
        <w:rPr>
          <w:rFonts w:ascii="Arial" w:cs="Arial" w:eastAsia="Arial" w:hAnsi="Arial"/>
          <w:sz w:val="18"/>
          <w:szCs w:val="18"/>
          <w:b w:val="1"/>
          <w:bCs w:val="1"/>
          <w:color w:val="010000"/>
        </w:rPr>
      </w:pP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employment with the Company, enter into any oral or written agreement in conflict with any of the provisions of this letter or the Company’s policies. You are not to bring with you to the Company, or use or disclose to any person associated with the Company, any confidential or</w:t>
      </w: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proprietary information belonging to any former employer or other person or entity with respect to which you owe an obligation of confidentiality under any agreement or otherwise. The Company does not need and will not use such information and we will assist you in</w:t>
      </w:r>
    </w:p>
    <w:p>
      <w:pPr>
        <w:jc w:val="both"/>
        <w:ind w:right="20"/>
        <w:spacing w:after="0" w:line="306" w:lineRule="auto"/>
        <w:rPr>
          <w:rFonts w:ascii="Arial" w:cs="Arial" w:eastAsia="Arial" w:hAnsi="Arial"/>
          <w:sz w:val="18"/>
          <w:szCs w:val="18"/>
          <w:b w:val="1"/>
          <w:bCs w:val="1"/>
          <w:color w:val="010000"/>
        </w:rPr>
      </w:pPr>
      <w:r>
        <w:rPr>
          <w:rFonts w:ascii="Arial" w:cs="Arial" w:eastAsia="Arial" w:hAnsi="Arial"/>
          <w:sz w:val="19"/>
          <w:szCs w:val="19"/>
          <w:color w:val="auto"/>
        </w:rPr>
        <w:t>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57" w:lineRule="exact"/>
        <w:rPr>
          <w:rFonts w:ascii="Arial" w:cs="Arial" w:eastAsia="Arial" w:hAnsi="Arial"/>
          <w:sz w:val="18"/>
          <w:szCs w:val="18"/>
          <w:b w:val="1"/>
          <w:bCs w:val="1"/>
          <w:color w:val="010000"/>
        </w:rPr>
      </w:pPr>
    </w:p>
    <w:p>
      <w:pPr>
        <w:ind w:left="580" w:hanging="248"/>
        <w:spacing w:after="0"/>
        <w:tabs>
          <w:tab w:leader="none" w:pos="580" w:val="left"/>
        </w:tabs>
        <w:numPr>
          <w:ilvl w:val="0"/>
          <w:numId w:val="28"/>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Outside Activities</w:t>
      </w:r>
      <w:r>
        <w:rPr>
          <w:rFonts w:ascii="Arial" w:cs="Arial" w:eastAsia="Arial" w:hAnsi="Arial"/>
          <w:sz w:val="19"/>
          <w:szCs w:val="19"/>
          <w:color w:val="auto"/>
        </w:rPr>
        <w:t>. While you render services to the Company, you agree that you will not engage in any other employment,</w:t>
      </w:r>
    </w:p>
    <w:p>
      <w:pPr>
        <w:spacing w:after="0" w:line="57" w:lineRule="exact"/>
        <w:rPr>
          <w:rFonts w:ascii="Arial" w:cs="Arial" w:eastAsia="Arial" w:hAnsi="Arial"/>
          <w:sz w:val="19"/>
          <w:szCs w:val="19"/>
          <w:b w:val="1"/>
          <w:bCs w:val="1"/>
          <w:color w:val="010000"/>
        </w:rPr>
      </w:pPr>
    </w:p>
    <w:p>
      <w:pPr>
        <w:spacing w:after="0" w:line="288" w:lineRule="auto"/>
        <w:rPr>
          <w:rFonts w:ascii="Arial" w:cs="Arial" w:eastAsia="Arial" w:hAnsi="Arial"/>
          <w:sz w:val="19"/>
          <w:szCs w:val="19"/>
          <w:b w:val="1"/>
          <w:bCs w:val="1"/>
          <w:color w:val="010000"/>
        </w:rPr>
      </w:pPr>
      <w:r>
        <w:rPr>
          <w:rFonts w:ascii="Arial" w:cs="Arial" w:eastAsia="Arial" w:hAnsi="Arial"/>
          <w:sz w:val="20"/>
          <w:szCs w:val="20"/>
          <w:color w:val="auto"/>
        </w:rPr>
        <w:t>consulting or other business activity without the written consent of the Company. In addition, while you render services to the Company, you will not assist any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8"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Any reference to the Company will be understood to include any direct or indirect subsidiary of the Company that employs you, including Remitly, Inc.</w:t>
      </w:r>
    </w:p>
    <w:p>
      <w:pPr>
        <w:sectPr>
          <w:pgSz w:w="11900" w:h="16838" w:orient="portrait"/>
          <w:cols w:equalWidth="0" w:num="1">
            <w:col w:w="11240"/>
          </w:cols>
          <w:pgMar w:left="320" w:top="143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competing with the Company, in preparing to compete with the Company or in hiring any employees or consultants of the Company.</w:t>
      </w:r>
    </w:p>
    <w:p>
      <w:pPr>
        <w:spacing w:after="0" w:line="273" w:lineRule="exact"/>
        <w:rPr>
          <w:sz w:val="20"/>
          <w:szCs w:val="20"/>
          <w:color w:val="auto"/>
        </w:rPr>
      </w:pPr>
    </w:p>
    <w:p>
      <w:pPr>
        <w:jc w:val="both"/>
        <w:ind w:firstLine="332"/>
        <w:spacing w:after="0" w:line="308" w:lineRule="auto"/>
        <w:tabs>
          <w:tab w:leader="none" w:pos="522" w:val="left"/>
        </w:tabs>
        <w:numPr>
          <w:ilvl w:val="0"/>
          <w:numId w:val="3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Equal Employment Opportunity</w:t>
      </w:r>
      <w:r>
        <w:rPr>
          <w:rFonts w:ascii="Arial" w:cs="Arial" w:eastAsia="Arial" w:hAnsi="Arial"/>
          <w:sz w:val="18"/>
          <w:szCs w:val="18"/>
          <w:color w:val="auto"/>
        </w:rPr>
        <w:t>. The Company is an equal opportunity employer and conducts its employment practices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needs and in a manner that treats employees and applicants on the basis of merit and experience. The Company prohibits unlawful</w:t>
      </w:r>
    </w:p>
    <w:p>
      <w:pPr>
        <w:spacing w:after="0" w:line="1" w:lineRule="exact"/>
        <w:rPr>
          <w:rFonts w:ascii="Arial" w:cs="Arial" w:eastAsia="Arial" w:hAnsi="Arial"/>
          <w:sz w:val="18"/>
          <w:szCs w:val="18"/>
          <w:b w:val="1"/>
          <w:bCs w:val="1"/>
          <w:color w:val="010000"/>
        </w:rPr>
      </w:pPr>
    </w:p>
    <w:p>
      <w:pPr>
        <w:jc w:val="both"/>
        <w:spacing w:after="0" w:line="285" w:lineRule="auto"/>
        <w:rPr>
          <w:rFonts w:ascii="Arial" w:cs="Arial" w:eastAsia="Arial" w:hAnsi="Arial"/>
          <w:sz w:val="18"/>
          <w:szCs w:val="18"/>
          <w:b w:val="1"/>
          <w:bCs w:val="1"/>
          <w:color w:val="010000"/>
        </w:rPr>
      </w:pPr>
      <w:r>
        <w:rPr>
          <w:rFonts w:ascii="Arial" w:cs="Arial" w:eastAsia="Arial" w:hAnsi="Arial"/>
          <w:sz w:val="20"/>
          <w:szCs w:val="20"/>
          <w:color w:val="auto"/>
        </w:rPr>
        <w:t>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73" w:lineRule="exact"/>
        <w:rPr>
          <w:rFonts w:ascii="Arial" w:cs="Arial" w:eastAsia="Arial" w:hAnsi="Arial"/>
          <w:sz w:val="18"/>
          <w:szCs w:val="18"/>
          <w:b w:val="1"/>
          <w:bCs w:val="1"/>
          <w:color w:val="010000"/>
        </w:rPr>
      </w:pPr>
    </w:p>
    <w:p>
      <w:pPr>
        <w:jc w:val="both"/>
        <w:ind w:firstLine="332"/>
        <w:spacing w:after="0" w:line="310" w:lineRule="auto"/>
        <w:tabs>
          <w:tab w:leader="none" w:pos="549" w:val="left"/>
        </w:tabs>
        <w:numPr>
          <w:ilvl w:val="0"/>
          <w:numId w:val="3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You and the Company agree to submit to mandatory binding arbitration, governed by the Federal Arbitration Act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FAA</w:t>
      </w:r>
      <w:r>
        <w:rPr>
          <w:rFonts w:ascii="Arial" w:cs="Arial" w:eastAsia="Arial" w:hAnsi="Arial"/>
          <w:sz w:val="18"/>
          <w:szCs w:val="18"/>
          <w:color w:val="auto"/>
        </w:rPr>
        <w:t>”), any and all claims arising out of or related to your employment with the Company and the termination thereof, including, but not limited to, claims for unpaid wages, wrongful termination, torts, stock or stock options or other ownership interest in the Company, and/or</w:t>
      </w: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18"/>
          <w:szCs w:val="18"/>
          <w:b w:val="1"/>
          <w:bCs w:val="1"/>
          <w:color w:val="auto"/>
        </w:rPr>
        <w:t>Arbitrable Claims</w:t>
      </w:r>
      <w:r>
        <w:rPr>
          <w:rFonts w:ascii="Arial" w:cs="Arial" w:eastAsia="Arial" w:hAnsi="Arial"/>
          <w:sz w:val="18"/>
          <w:szCs w:val="18"/>
          <w:color w:val="auto"/>
        </w:rPr>
        <w:t>”). Further, to the fullest extent permitted by law, you and the Company agree that no class or collective actions can be asserted in arbitration or otherwise. All claims,</w:t>
      </w: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 xml:space="preserve">whether in arbitration or otherwise, must be brought solely in your or the Company’s individual capacity, and not as a plaintiff or class member in any purported class or collective proceeding. </w:t>
      </w:r>
      <w:r>
        <w:rPr>
          <w:rFonts w:ascii="Arial" w:cs="Arial" w:eastAsia="Arial" w:hAnsi="Arial"/>
          <w:sz w:val="18"/>
          <w:szCs w:val="18"/>
          <w:u w:val="single" w:color="auto"/>
          <w:color w:val="auto"/>
        </w:rPr>
        <w:t>Nothing in this Arbitration and Class Action Waiver section, however, restricts your</w:t>
      </w:r>
    </w:p>
    <w:p>
      <w:pPr>
        <w:spacing w:after="0" w:line="288" w:lineRule="auto"/>
        <w:rPr>
          <w:rFonts w:ascii="Arial" w:cs="Arial" w:eastAsia="Arial" w:hAnsi="Arial"/>
          <w:sz w:val="18"/>
          <w:szCs w:val="18"/>
          <w:b w:val="1"/>
          <w:bCs w:val="1"/>
          <w:color w:val="010000"/>
        </w:rPr>
      </w:pPr>
      <w:r>
        <w:rPr>
          <w:rFonts w:ascii="Arial" w:cs="Arial" w:eastAsia="Arial" w:hAnsi="Arial"/>
          <w:sz w:val="20"/>
          <w:szCs w:val="20"/>
          <w:u w:val="single" w:color="auto"/>
          <w:color w:val="auto"/>
        </w:rPr>
        <w:t xml:space="preserve">right to pursue claims in court: (a) on a representative action basis under applicable law, or (b) arising under the Washington State Law Against Discrimination (RCW 49.60, </w:t>
      </w:r>
      <w:r>
        <w:rPr>
          <w:rFonts w:ascii="Arial" w:cs="Arial" w:eastAsia="Arial" w:hAnsi="Arial"/>
          <w:sz w:val="20"/>
          <w:szCs w:val="20"/>
          <w:i w:val="1"/>
          <w:iCs w:val="1"/>
          <w:u w:val="single" w:color="auto"/>
          <w:color w:val="auto"/>
        </w:rPr>
        <w:t>et seq</w:t>
      </w:r>
      <w:r>
        <w:rPr>
          <w:rFonts w:ascii="Arial" w:cs="Arial" w:eastAsia="Arial" w:hAnsi="Arial"/>
          <w:sz w:val="20"/>
          <w:szCs w:val="20"/>
          <w:u w:val="single" w:color="auto"/>
          <w:color w:val="auto"/>
        </w:rPr>
        <w:t>.) or any federal anti-discrimination law.</w:t>
      </w:r>
    </w:p>
    <w:p>
      <w:pPr>
        <w:spacing w:after="0" w:line="191" w:lineRule="exact"/>
        <w:rPr>
          <w:sz w:val="20"/>
          <w:szCs w:val="20"/>
          <w:color w:val="auto"/>
        </w:rPr>
      </w:pPr>
    </w:p>
    <w:p>
      <w:pPr>
        <w:ind w:right="240"/>
        <w:spacing w:after="0" w:line="306" w:lineRule="auto"/>
        <w:rPr>
          <w:sz w:val="20"/>
          <w:szCs w:val="20"/>
          <w:color w:val="auto"/>
        </w:rPr>
      </w:pPr>
      <w:r>
        <w:rPr>
          <w:rFonts w:ascii="Arial" w:cs="Arial" w:eastAsia="Arial" w:hAnsi="Arial"/>
          <w:sz w:val="19"/>
          <w:szCs w:val="19"/>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63" w:lineRule="exact"/>
        <w:rPr>
          <w:sz w:val="20"/>
          <w:szCs w:val="20"/>
          <w:color w:val="auto"/>
        </w:rPr>
      </w:pPr>
    </w:p>
    <w:p>
      <w:pPr>
        <w:ind w:firstLine="648"/>
        <w:spacing w:after="0" w:line="311" w:lineRule="auto"/>
        <w:rPr>
          <w:sz w:val="20"/>
          <w:szCs w:val="20"/>
          <w:color w:val="auto"/>
        </w:rPr>
      </w:pPr>
      <w:r>
        <w:rPr>
          <w:rFonts w:ascii="Arial" w:cs="Arial" w:eastAsia="Arial" w:hAnsi="Arial"/>
          <w:sz w:val="18"/>
          <w:szCs w:val="18"/>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Arial" w:cs="Arial" w:eastAsia="Arial" w:hAnsi="Arial"/>
          <w:sz w:val="18"/>
          <w:szCs w:val="18"/>
          <w:color w:val="0E32E1"/>
        </w:rPr>
        <w:t>http://www.jamsadr.com/rules-employment-arbitration</w:t>
      </w:r>
      <w:r>
        <w:rPr>
          <w:rFonts w:ascii="Arial" w:cs="Arial" w:eastAsia="Arial" w:hAnsi="Arial"/>
          <w:sz w:val="18"/>
          <w:szCs w:val="18"/>
          <w:color w:val="000000"/>
        </w:rPr>
        <w:t>. If you are unable to access these rules, please let me know and I will provide you</w:t>
      </w:r>
      <w:r>
        <w:rPr>
          <w:rFonts w:ascii="Arial" w:cs="Arial" w:eastAsia="Arial" w:hAnsi="Arial"/>
          <w:sz w:val="18"/>
          <w:szCs w:val="18"/>
          <w:color w:val="0E32E1"/>
        </w:rPr>
        <w:t xml:space="preserve"> </w:t>
      </w:r>
      <w:r>
        <w:rPr>
          <w:rFonts w:ascii="Arial" w:cs="Arial" w:eastAsia="Arial" w:hAnsi="Arial"/>
          <w:sz w:val="18"/>
          <w:szCs w:val="18"/>
          <w:color w:val="000000"/>
        </w:rPr>
        <w:t>with a hardcopy. The arbitrator shall issue a written decision that contains the essential findings and conclusions on which the decision is based. If, for any reason, any term of this Arbitration and Class Action Waiver provision is held to be</w:t>
      </w:r>
    </w:p>
    <w:p>
      <w:pPr>
        <w:sectPr>
          <w:pgSz w:w="11900" w:h="16838" w:orient="portrait"/>
          <w:cols w:equalWidth="0" w:num="1">
            <w:col w:w="11240"/>
          </w:cols>
          <w:pgMar w:left="320" w:top="1432"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invalid or unenforceable, all other valid terms and conditions herein shall be severable in nature, and remain fully enforceable.</w:t>
      </w:r>
    </w:p>
    <w:p>
      <w:pPr>
        <w:spacing w:after="0" w:line="250" w:lineRule="exact"/>
        <w:rPr>
          <w:sz w:val="20"/>
          <w:szCs w:val="20"/>
          <w:color w:val="auto"/>
        </w:rPr>
      </w:pPr>
    </w:p>
    <w:p>
      <w:pPr>
        <w:jc w:val="both"/>
        <w:ind w:firstLine="332"/>
        <w:spacing w:after="0" w:line="288" w:lineRule="auto"/>
        <w:tabs>
          <w:tab w:leader="none" w:pos="535" w:val="left"/>
        </w:tabs>
        <w:numPr>
          <w:ilvl w:val="0"/>
          <w:numId w:val="3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General Obligations</w:t>
      </w:r>
      <w:r>
        <w:rPr>
          <w:rFonts w:ascii="Arial" w:cs="Arial" w:eastAsia="Arial" w:hAnsi="Arial"/>
          <w:sz w:val="20"/>
          <w:szCs w:val="20"/>
          <w:color w:val="auto"/>
        </w:rPr>
        <w:t>. As an employee, you will be expected to continue to adhere to the Company’s standards of professionalism,</w:t>
      </w:r>
      <w:r>
        <w:rPr>
          <w:rFonts w:ascii="Arial" w:cs="Arial" w:eastAsia="Arial" w:hAnsi="Arial"/>
          <w:sz w:val="20"/>
          <w:szCs w:val="20"/>
          <w:b w:val="1"/>
          <w:bCs w:val="1"/>
          <w:color w:val="auto"/>
        </w:rPr>
        <w:t xml:space="preserve"> </w:t>
      </w:r>
      <w:r>
        <w:rPr>
          <w:rFonts w:ascii="Arial" w:cs="Arial" w:eastAsia="Arial" w:hAnsi="Arial"/>
          <w:sz w:val="20"/>
          <w:szCs w:val="20"/>
          <w:color w:val="auto"/>
        </w:rPr>
        <w:t>loyalty, integrity, honesty, reliability and respect for all. You will also be expected to continue to comply with the Company’s policies and procedures. The Company is an equal opportunity employer.</w:t>
      </w:r>
    </w:p>
    <w:p>
      <w:pPr>
        <w:spacing w:after="0" w:line="171" w:lineRule="exact"/>
        <w:rPr>
          <w:rFonts w:ascii="Arial" w:cs="Arial" w:eastAsia="Arial" w:hAnsi="Arial"/>
          <w:sz w:val="20"/>
          <w:szCs w:val="20"/>
          <w:b w:val="1"/>
          <w:bCs w:val="1"/>
          <w:color w:val="010000"/>
        </w:rPr>
      </w:pPr>
    </w:p>
    <w:p>
      <w:pPr>
        <w:ind w:left="640" w:hanging="308"/>
        <w:spacing w:after="0"/>
        <w:tabs>
          <w:tab w:leader="none" w:pos="640" w:val="left"/>
        </w:tabs>
        <w:numPr>
          <w:ilvl w:val="0"/>
          <w:numId w:val="3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Your employment with the Company continues to be for no specific period of time. Your employment with</w:t>
      </w:r>
    </w:p>
    <w:p>
      <w:pPr>
        <w:spacing w:after="0" w:line="69" w:lineRule="exact"/>
        <w:rPr>
          <w:rFonts w:ascii="Arial" w:cs="Arial" w:eastAsia="Arial" w:hAnsi="Arial"/>
          <w:sz w:val="18"/>
          <w:szCs w:val="18"/>
          <w:b w:val="1"/>
          <w:bCs w:val="1"/>
          <w:color w:val="010000"/>
        </w:rPr>
      </w:pP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the Company will continue to be on an “at will” basis, meaning that either you or the Company may terminate your employment at any time for any reason or no reason. The Company also reserves the right to modify or amend the terms of your employment at any time for any</w:t>
      </w:r>
    </w:p>
    <w:p>
      <w:pPr>
        <w:jc w:val="both"/>
        <w:spacing w:after="0" w:line="343" w:lineRule="auto"/>
        <w:rPr>
          <w:rFonts w:ascii="Arial" w:cs="Arial" w:eastAsia="Arial" w:hAnsi="Arial"/>
          <w:sz w:val="18"/>
          <w:szCs w:val="18"/>
          <w:b w:val="1"/>
          <w:bCs w:val="1"/>
          <w:color w:val="010000"/>
        </w:rPr>
      </w:pPr>
      <w:r>
        <w:rPr>
          <w:rFonts w:ascii="Arial" w:cs="Arial" w:eastAsia="Arial" w:hAnsi="Arial"/>
          <w:sz w:val="16"/>
          <w:szCs w:val="16"/>
          <w:color w:val="auto"/>
        </w:rPr>
        <w:t>reason. Any contrary representations which may have been made to you are superseded by this letter agreement. This is the full and complete agreement between you and the Company on this term. Although your job duties, title, compensation and benefits, as well as the Company’s</w:t>
      </w:r>
    </w:p>
    <w:p>
      <w:pPr>
        <w:ind w:right="20"/>
        <w:spacing w:after="0" w:line="288" w:lineRule="auto"/>
        <w:rPr>
          <w:rFonts w:ascii="Arial" w:cs="Arial" w:eastAsia="Arial" w:hAnsi="Arial"/>
          <w:sz w:val="18"/>
          <w:szCs w:val="18"/>
          <w:b w:val="1"/>
          <w:bCs w:val="1"/>
          <w:color w:val="010000"/>
        </w:rPr>
      </w:pPr>
      <w:r>
        <w:rPr>
          <w:rFonts w:ascii="Arial" w:cs="Arial" w:eastAsia="Arial" w:hAnsi="Arial"/>
          <w:sz w:val="20"/>
          <w:szCs w:val="20"/>
          <w:color w:val="auto"/>
        </w:rPr>
        <w:t>personnel policies and procedures, may change from time to time, the “at will” nature of your employment may only be changed in an express written agreement signed by you and the Company’s Board of Directors.</w:t>
      </w:r>
    </w:p>
    <w:p>
      <w:pPr>
        <w:spacing w:after="0" w:line="184" w:lineRule="exact"/>
        <w:rPr>
          <w:rFonts w:ascii="Arial" w:cs="Arial" w:eastAsia="Arial" w:hAnsi="Arial"/>
          <w:sz w:val="18"/>
          <w:szCs w:val="18"/>
          <w:b w:val="1"/>
          <w:bCs w:val="1"/>
          <w:color w:val="010000"/>
        </w:rPr>
      </w:pPr>
    </w:p>
    <w:p>
      <w:pPr>
        <w:ind w:left="620" w:hanging="288"/>
        <w:spacing w:after="0"/>
        <w:tabs>
          <w:tab w:leader="none" w:pos="620" w:val="left"/>
        </w:tabs>
        <w:numPr>
          <w:ilvl w:val="0"/>
          <w:numId w:val="3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forms of compensation paid to you as an employee of the Company shall be less all applicable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432" w:right="339" w:bottom="1440" w:gutter="0" w:footer="0" w:header="0"/>
        </w:sectPr>
      </w:pPr>
    </w:p>
    <w:bookmarkStart w:id="39" w:name="page40"/>
    <w:bookmarkEnd w:id="39"/>
    <w:p>
      <w:pPr>
        <w:jc w:val="both"/>
        <w:ind w:firstLine="648"/>
        <w:spacing w:after="0" w:line="330" w:lineRule="auto"/>
        <w:rPr>
          <w:sz w:val="20"/>
          <w:szCs w:val="20"/>
          <w:color w:val="auto"/>
        </w:rPr>
      </w:pPr>
      <w:r>
        <w:rPr>
          <w:rFonts w:ascii="Arial" w:cs="Arial" w:eastAsia="Arial" w:hAnsi="Arial"/>
          <w:sz w:val="18"/>
          <w:szCs w:val="18"/>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pacing w:after="0" w:line="200" w:lineRule="exact"/>
        <w:rPr>
          <w:sz w:val="20"/>
          <w:szCs w:val="20"/>
          <w:color w:val="auto"/>
        </w:rPr>
      </w:pPr>
    </w:p>
    <w:p>
      <w:pPr>
        <w:spacing w:after="0" w:line="20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Very truly yours,</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REMITLY GLOBAL,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437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Matthew Opppenheimer</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/s/ Rene Yoakum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112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Rene Yoakum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 TO AMENDED AND RESTATED OFFER LETTER]</w:t>
      </w:r>
    </w:p>
    <w:p>
      <w:pPr>
        <w:sectPr>
          <w:pgSz w:w="11900" w:h="16838" w:orient="portrait"/>
          <w:cols w:equalWidth="0" w:num="1">
            <w:col w:w="11180"/>
          </w:cols>
          <w:pgMar w:left="320" w:top="1432" w:right="39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Date: April 6, 2023</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Ankur:</w:t>
      </w:r>
    </w:p>
    <w:p>
      <w:pPr>
        <w:spacing w:after="0" w:line="237" w:lineRule="exact"/>
        <w:rPr>
          <w:sz w:val="20"/>
          <w:szCs w:val="20"/>
          <w:color w:val="auto"/>
        </w:rPr>
      </w:pPr>
    </w:p>
    <w:p>
      <w:pPr>
        <w:ind w:firstLine="324"/>
        <w:spacing w:after="0" w:line="247" w:lineRule="auto"/>
        <w:rPr>
          <w:sz w:val="20"/>
          <w:szCs w:val="20"/>
          <w:color w:val="auto"/>
        </w:rPr>
      </w:pPr>
      <w:r>
        <w:rPr>
          <w:rFonts w:ascii="Arial" w:cs="Arial" w:eastAsia="Arial" w:hAnsi="Arial"/>
          <w:sz w:val="20"/>
          <w:szCs w:val="20"/>
          <w:color w:val="auto"/>
        </w:rPr>
        <w:t>This letter agreement amends and restates the existing offer letter between you and Remitly Global, Inc.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5"/>
          <w:szCs w:val="25"/>
          <w:color w:val="auto"/>
          <w:vertAlign w:val="superscript"/>
        </w:rPr>
        <w:t>1</w:t>
      </w:r>
      <w:r>
        <w:rPr>
          <w:rFonts w:ascii="Arial" w:cs="Arial" w:eastAsia="Arial" w:hAnsi="Arial"/>
          <w:sz w:val="20"/>
          <w:szCs w:val="20"/>
          <w:color w:val="auto"/>
        </w:rPr>
        <w:t>, (the “</w:t>
      </w:r>
      <w:r>
        <w:rPr>
          <w:rFonts w:ascii="Arial" w:cs="Arial" w:eastAsia="Arial" w:hAnsi="Arial"/>
          <w:sz w:val="20"/>
          <w:szCs w:val="20"/>
          <w:b w:val="1"/>
          <w:bCs w:val="1"/>
          <w:color w:val="auto"/>
        </w:rPr>
        <w:t>Prior</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You will continue to work in the role of Chief Technology Officer, reporting to the Company’s Chief Executive Officer.</w:t>
      </w:r>
    </w:p>
    <w:p>
      <w:pPr>
        <w:spacing w:after="0" w:line="250" w:lineRule="exact"/>
        <w:rPr>
          <w:sz w:val="20"/>
          <w:szCs w:val="20"/>
          <w:color w:val="auto"/>
        </w:rPr>
      </w:pPr>
    </w:p>
    <w:p>
      <w:pPr>
        <w:ind w:firstLine="332"/>
        <w:spacing w:after="0" w:line="354" w:lineRule="auto"/>
        <w:tabs>
          <w:tab w:leader="none" w:pos="535" w:val="left"/>
        </w:tabs>
        <w:numPr>
          <w:ilvl w:val="0"/>
          <w:numId w:val="3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 In this position, the Company will pay you an annual base salary payable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payroll schedule. Your pay will be periodically reviewed as a part of the Company’s regular reviews of compensation.</w:t>
      </w:r>
    </w:p>
    <w:p>
      <w:pPr>
        <w:spacing w:after="0" w:line="131" w:lineRule="exact"/>
        <w:rPr>
          <w:rFonts w:ascii="Arial" w:cs="Arial" w:eastAsia="Arial" w:hAnsi="Arial"/>
          <w:sz w:val="18"/>
          <w:szCs w:val="18"/>
          <w:b w:val="1"/>
          <w:bCs w:val="1"/>
          <w:color w:val="010000"/>
        </w:rPr>
      </w:pPr>
    </w:p>
    <w:p>
      <w:pPr>
        <w:jc w:val="both"/>
        <w:ind w:firstLine="332"/>
        <w:spacing w:after="0" w:line="308" w:lineRule="auto"/>
        <w:tabs>
          <w:tab w:leader="none" w:pos="522" w:val="left"/>
        </w:tabs>
        <w:numPr>
          <w:ilvl w:val="0"/>
          <w:numId w:val="3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 You will continue to be eligible to participate in a number of Company-sponsored benefits to the extent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eligibility requirements of each such benefit plan. The Company, in its sole discretion, may amend, suspend or terminate its</w:t>
      </w:r>
    </w:p>
    <w:p>
      <w:pPr>
        <w:spacing w:after="0" w:line="1" w:lineRule="exact"/>
        <w:rPr>
          <w:rFonts w:ascii="Arial" w:cs="Arial" w:eastAsia="Arial" w:hAnsi="Arial"/>
          <w:sz w:val="18"/>
          <w:szCs w:val="18"/>
          <w:b w:val="1"/>
          <w:bCs w:val="1"/>
          <w:color w:val="010000"/>
        </w:rPr>
      </w:pPr>
    </w:p>
    <w:p>
      <w:pPr>
        <w:spacing w:after="0" w:line="288" w:lineRule="auto"/>
        <w:rPr>
          <w:rFonts w:ascii="Arial" w:cs="Arial" w:eastAsia="Arial" w:hAnsi="Arial"/>
          <w:sz w:val="18"/>
          <w:szCs w:val="18"/>
          <w:b w:val="1"/>
          <w:bCs w:val="1"/>
          <w:color w:val="010000"/>
        </w:rPr>
      </w:pPr>
      <w:r>
        <w:rPr>
          <w:rFonts w:ascii="Arial" w:cs="Arial" w:eastAsia="Arial" w:hAnsi="Arial"/>
          <w:sz w:val="20"/>
          <w:szCs w:val="20"/>
          <w:color w:val="auto"/>
        </w:rPr>
        <w:t>employee benefits at any time, with or without notice. In addition, you will be entitled to paid vacation in accordance with the Company’s vacation policy, as in effect from time to time.</w:t>
      </w:r>
    </w:p>
    <w:p>
      <w:pPr>
        <w:spacing w:after="0" w:line="184" w:lineRule="exact"/>
        <w:rPr>
          <w:rFonts w:ascii="Arial" w:cs="Arial" w:eastAsia="Arial" w:hAnsi="Arial"/>
          <w:sz w:val="18"/>
          <w:szCs w:val="18"/>
          <w:b w:val="1"/>
          <w:bCs w:val="1"/>
          <w:color w:val="010000"/>
        </w:rPr>
      </w:pPr>
    </w:p>
    <w:p>
      <w:pPr>
        <w:ind w:firstLine="332"/>
        <w:spacing w:after="0" w:line="354" w:lineRule="auto"/>
        <w:tabs>
          <w:tab w:leader="none" w:pos="535" w:val="left"/>
        </w:tabs>
        <w:numPr>
          <w:ilvl w:val="0"/>
          <w:numId w:val="3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Termination Benefits</w:t>
      </w:r>
      <w:r>
        <w:rPr>
          <w:rFonts w:ascii="Arial" w:cs="Arial" w:eastAsia="Arial" w:hAnsi="Arial"/>
          <w:sz w:val="18"/>
          <w:szCs w:val="18"/>
          <w:color w:val="auto"/>
        </w:rPr>
        <w:t>. You will be eligible to receive change in control and severance payments and benefits under the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and Severance Agreement (the “</w:t>
      </w:r>
      <w:r>
        <w:rPr>
          <w:rFonts w:ascii="Arial" w:cs="Arial" w:eastAsia="Arial" w:hAnsi="Arial"/>
          <w:sz w:val="18"/>
          <w:szCs w:val="18"/>
          <w:b w:val="1"/>
          <w:bCs w:val="1"/>
          <w:color w:val="auto"/>
        </w:rPr>
        <w:t>Severance Agreement</w:t>
      </w:r>
      <w:r>
        <w:rPr>
          <w:rFonts w:ascii="Arial" w:cs="Arial" w:eastAsia="Arial" w:hAnsi="Arial"/>
          <w:sz w:val="18"/>
          <w:szCs w:val="18"/>
          <w:color w:val="auto"/>
        </w:rPr>
        <w:t xml:space="preserve">”) between you and the Company, attached to this offer letter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31" w:lineRule="exact"/>
        <w:rPr>
          <w:rFonts w:ascii="Arial" w:cs="Arial" w:eastAsia="Arial" w:hAnsi="Arial"/>
          <w:sz w:val="18"/>
          <w:szCs w:val="18"/>
          <w:b w:val="1"/>
          <w:bCs w:val="1"/>
          <w:color w:val="010000"/>
        </w:rPr>
      </w:pPr>
    </w:p>
    <w:p>
      <w:pPr>
        <w:ind w:firstLine="332"/>
        <w:spacing w:after="0" w:line="295" w:lineRule="auto"/>
        <w:tabs>
          <w:tab w:leader="none" w:pos="535" w:val="left"/>
        </w:tabs>
        <w:numPr>
          <w:ilvl w:val="0"/>
          <w:numId w:val="3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By signing this letter agreement, you reaffirm the terms and conditions of the Employee Proprietary</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Inventions and Arbitration Agreement by and between you and the Company.</w:t>
      </w:r>
    </w:p>
    <w:p>
      <w:pPr>
        <w:spacing w:after="0" w:line="177" w:lineRule="exact"/>
        <w:rPr>
          <w:rFonts w:ascii="Arial" w:cs="Arial" w:eastAsia="Arial" w:hAnsi="Arial"/>
          <w:sz w:val="20"/>
          <w:szCs w:val="20"/>
          <w:b w:val="1"/>
          <w:bCs w:val="1"/>
          <w:color w:val="010000"/>
        </w:rPr>
      </w:pPr>
    </w:p>
    <w:p>
      <w:pPr>
        <w:jc w:val="both"/>
        <w:ind w:firstLine="332"/>
        <w:spacing w:after="0" w:line="308" w:lineRule="auto"/>
        <w:tabs>
          <w:tab w:leader="none" w:pos="522" w:val="left"/>
        </w:tabs>
        <w:numPr>
          <w:ilvl w:val="0"/>
          <w:numId w:val="3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Conflicting Obligations</w:t>
      </w:r>
      <w:r>
        <w:rPr>
          <w:rFonts w:ascii="Arial" w:cs="Arial" w:eastAsia="Arial" w:hAnsi="Arial"/>
          <w:sz w:val="18"/>
          <w:szCs w:val="18"/>
          <w:color w:val="auto"/>
        </w:rPr>
        <w:t>. You understand and agree that by signing this letter agreement, you represent to the Company that your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will not breach any other agreement to which you are a party and that you have not, and will not during the term of your</w:t>
      </w:r>
    </w:p>
    <w:p>
      <w:pPr>
        <w:spacing w:after="0" w:line="1" w:lineRule="exact"/>
        <w:rPr>
          <w:rFonts w:ascii="Arial" w:cs="Arial" w:eastAsia="Arial" w:hAnsi="Arial"/>
          <w:sz w:val="18"/>
          <w:szCs w:val="18"/>
          <w:b w:val="1"/>
          <w:bCs w:val="1"/>
          <w:color w:val="010000"/>
        </w:rPr>
      </w:pP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employment with the Company, enter into any oral or written agreement in conflict with any of the provisions of this letter or the Company’s policies. You are not to bring with you to the Company, or use or disclose to any person associated with the Company, any confidential or</w:t>
      </w: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proprietary information belonging to any former employer or other person or entity with respect to which you owe an obligation of confidentiality under any agreement or otherwise. The Company does not need and will not use such information and we will assist you in</w:t>
      </w:r>
    </w:p>
    <w:p>
      <w:pPr>
        <w:jc w:val="both"/>
        <w:ind w:right="20"/>
        <w:spacing w:after="0" w:line="306" w:lineRule="auto"/>
        <w:rPr>
          <w:rFonts w:ascii="Arial" w:cs="Arial" w:eastAsia="Arial" w:hAnsi="Arial"/>
          <w:sz w:val="18"/>
          <w:szCs w:val="18"/>
          <w:b w:val="1"/>
          <w:bCs w:val="1"/>
          <w:color w:val="010000"/>
        </w:rPr>
      </w:pPr>
      <w:r>
        <w:rPr>
          <w:rFonts w:ascii="Arial" w:cs="Arial" w:eastAsia="Arial" w:hAnsi="Arial"/>
          <w:sz w:val="19"/>
          <w:szCs w:val="19"/>
          <w:color w:val="auto"/>
        </w:rPr>
        <w:t>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57" w:lineRule="exact"/>
        <w:rPr>
          <w:rFonts w:ascii="Arial" w:cs="Arial" w:eastAsia="Arial" w:hAnsi="Arial"/>
          <w:sz w:val="18"/>
          <w:szCs w:val="18"/>
          <w:b w:val="1"/>
          <w:bCs w:val="1"/>
          <w:color w:val="010000"/>
        </w:rPr>
      </w:pPr>
    </w:p>
    <w:p>
      <w:pPr>
        <w:ind w:left="580" w:hanging="248"/>
        <w:spacing w:after="0"/>
        <w:tabs>
          <w:tab w:leader="none" w:pos="580" w:val="left"/>
        </w:tabs>
        <w:numPr>
          <w:ilvl w:val="0"/>
          <w:numId w:val="3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Outside Activities</w:t>
      </w:r>
      <w:r>
        <w:rPr>
          <w:rFonts w:ascii="Arial" w:cs="Arial" w:eastAsia="Arial" w:hAnsi="Arial"/>
          <w:sz w:val="19"/>
          <w:szCs w:val="19"/>
          <w:color w:val="auto"/>
        </w:rPr>
        <w:t>. While you render services to the Company, you agree that you will not engage in any other employment,</w:t>
      </w:r>
    </w:p>
    <w:p>
      <w:pPr>
        <w:spacing w:after="0" w:line="57" w:lineRule="exact"/>
        <w:rPr>
          <w:rFonts w:ascii="Arial" w:cs="Arial" w:eastAsia="Arial" w:hAnsi="Arial"/>
          <w:sz w:val="19"/>
          <w:szCs w:val="19"/>
          <w:b w:val="1"/>
          <w:bCs w:val="1"/>
          <w:color w:val="010000"/>
        </w:rPr>
      </w:pPr>
    </w:p>
    <w:p>
      <w:pPr>
        <w:spacing w:after="0" w:line="288" w:lineRule="auto"/>
        <w:rPr>
          <w:rFonts w:ascii="Arial" w:cs="Arial" w:eastAsia="Arial" w:hAnsi="Arial"/>
          <w:sz w:val="19"/>
          <w:szCs w:val="19"/>
          <w:b w:val="1"/>
          <w:bCs w:val="1"/>
          <w:color w:val="010000"/>
        </w:rPr>
      </w:pPr>
      <w:r>
        <w:rPr>
          <w:rFonts w:ascii="Arial" w:cs="Arial" w:eastAsia="Arial" w:hAnsi="Arial"/>
          <w:sz w:val="20"/>
          <w:szCs w:val="20"/>
          <w:color w:val="auto"/>
        </w:rPr>
        <w:t>consulting or other business activity without the written consent of the Company. In addition, while you render services to the Company, you will not assist any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8"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Any reference to the Company will be understood to include any direct or indirect subsidiary of the Company that employs you, including Remitly, Inc.</w:t>
      </w:r>
    </w:p>
    <w:p>
      <w:pPr>
        <w:sectPr>
          <w:pgSz w:w="11900" w:h="16838" w:orient="portrait"/>
          <w:cols w:equalWidth="0" w:num="1">
            <w:col w:w="11240"/>
          </w:cols>
          <w:pgMar w:left="320" w:top="143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in competing with the Company, in preparing to compete with the Company or in hiring any employees or consultants of the Company.</w:t>
      </w:r>
    </w:p>
    <w:p>
      <w:pPr>
        <w:spacing w:after="0" w:line="273" w:lineRule="exact"/>
        <w:rPr>
          <w:sz w:val="20"/>
          <w:szCs w:val="20"/>
          <w:color w:val="auto"/>
        </w:rPr>
      </w:pPr>
    </w:p>
    <w:p>
      <w:pPr>
        <w:jc w:val="both"/>
        <w:ind w:firstLine="332"/>
        <w:spacing w:after="0" w:line="308" w:lineRule="auto"/>
        <w:tabs>
          <w:tab w:leader="none" w:pos="522" w:val="left"/>
        </w:tabs>
        <w:numPr>
          <w:ilvl w:val="0"/>
          <w:numId w:val="3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Equal Employment Opportunity</w:t>
      </w:r>
      <w:r>
        <w:rPr>
          <w:rFonts w:ascii="Arial" w:cs="Arial" w:eastAsia="Arial" w:hAnsi="Arial"/>
          <w:sz w:val="18"/>
          <w:szCs w:val="18"/>
          <w:color w:val="auto"/>
        </w:rPr>
        <w:t>. The Company is an equal opportunity employer and conducts its employment practices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needs and in a manner that treats employees and applicants on the basis of merit and experience. The Company prohibits unlawful</w:t>
      </w:r>
    </w:p>
    <w:p>
      <w:pPr>
        <w:spacing w:after="0" w:line="1" w:lineRule="exact"/>
        <w:rPr>
          <w:rFonts w:ascii="Arial" w:cs="Arial" w:eastAsia="Arial" w:hAnsi="Arial"/>
          <w:sz w:val="18"/>
          <w:szCs w:val="18"/>
          <w:b w:val="1"/>
          <w:bCs w:val="1"/>
          <w:color w:val="010000"/>
        </w:rPr>
      </w:pPr>
    </w:p>
    <w:p>
      <w:pPr>
        <w:jc w:val="both"/>
        <w:spacing w:after="0" w:line="285" w:lineRule="auto"/>
        <w:rPr>
          <w:rFonts w:ascii="Arial" w:cs="Arial" w:eastAsia="Arial" w:hAnsi="Arial"/>
          <w:sz w:val="18"/>
          <w:szCs w:val="18"/>
          <w:b w:val="1"/>
          <w:bCs w:val="1"/>
          <w:color w:val="010000"/>
        </w:rPr>
      </w:pPr>
      <w:r>
        <w:rPr>
          <w:rFonts w:ascii="Arial" w:cs="Arial" w:eastAsia="Arial" w:hAnsi="Arial"/>
          <w:sz w:val="20"/>
          <w:szCs w:val="20"/>
          <w:color w:val="auto"/>
        </w:rPr>
        <w:t>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73" w:lineRule="exact"/>
        <w:rPr>
          <w:rFonts w:ascii="Arial" w:cs="Arial" w:eastAsia="Arial" w:hAnsi="Arial"/>
          <w:sz w:val="18"/>
          <w:szCs w:val="18"/>
          <w:b w:val="1"/>
          <w:bCs w:val="1"/>
          <w:color w:val="010000"/>
        </w:rPr>
      </w:pPr>
    </w:p>
    <w:p>
      <w:pPr>
        <w:jc w:val="both"/>
        <w:ind w:firstLine="332"/>
        <w:spacing w:after="0" w:line="310" w:lineRule="auto"/>
        <w:tabs>
          <w:tab w:leader="none" w:pos="549" w:val="left"/>
        </w:tabs>
        <w:numPr>
          <w:ilvl w:val="0"/>
          <w:numId w:val="3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You and the Company agree to submit to mandatory binding arbitration, governed by the Federal Arbitration Act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FAA</w:t>
      </w:r>
      <w:r>
        <w:rPr>
          <w:rFonts w:ascii="Arial" w:cs="Arial" w:eastAsia="Arial" w:hAnsi="Arial"/>
          <w:sz w:val="18"/>
          <w:szCs w:val="18"/>
          <w:color w:val="auto"/>
        </w:rPr>
        <w:t>”), any and all claims arising out of or related to your employment with the Company and the termination thereof, including, but not limited to, claims for unpaid wages, wrongful termination, torts, stock or stock options or other ownership interest in the Company, and/or</w:t>
      </w: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18"/>
          <w:szCs w:val="18"/>
          <w:b w:val="1"/>
          <w:bCs w:val="1"/>
          <w:color w:val="auto"/>
        </w:rPr>
        <w:t>Arbitrable Claims</w:t>
      </w:r>
      <w:r>
        <w:rPr>
          <w:rFonts w:ascii="Arial" w:cs="Arial" w:eastAsia="Arial" w:hAnsi="Arial"/>
          <w:sz w:val="18"/>
          <w:szCs w:val="18"/>
          <w:color w:val="auto"/>
        </w:rPr>
        <w:t>”). Further, to the fullest extent permitted by law, you and the Company agree that no class or collective actions can be asserted in arbitration or otherwise. All claims,</w:t>
      </w: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 xml:space="preserve">whether in arbitration or otherwise, must be brought solely in your or the Company’s individual capacity, and not as a plaintiff or class member in any purported class or collective proceeding. </w:t>
      </w:r>
      <w:r>
        <w:rPr>
          <w:rFonts w:ascii="Arial" w:cs="Arial" w:eastAsia="Arial" w:hAnsi="Arial"/>
          <w:sz w:val="18"/>
          <w:szCs w:val="18"/>
          <w:u w:val="single" w:color="auto"/>
          <w:color w:val="auto"/>
        </w:rPr>
        <w:t>Nothing in this Arbitration and Class Action Waiver section, however, restricts your</w:t>
      </w:r>
    </w:p>
    <w:p>
      <w:pPr>
        <w:spacing w:after="0" w:line="288" w:lineRule="auto"/>
        <w:rPr>
          <w:rFonts w:ascii="Arial" w:cs="Arial" w:eastAsia="Arial" w:hAnsi="Arial"/>
          <w:sz w:val="18"/>
          <w:szCs w:val="18"/>
          <w:b w:val="1"/>
          <w:bCs w:val="1"/>
          <w:color w:val="010000"/>
        </w:rPr>
      </w:pPr>
      <w:r>
        <w:rPr>
          <w:rFonts w:ascii="Arial" w:cs="Arial" w:eastAsia="Arial" w:hAnsi="Arial"/>
          <w:sz w:val="20"/>
          <w:szCs w:val="20"/>
          <w:u w:val="single" w:color="auto"/>
          <w:color w:val="auto"/>
        </w:rPr>
        <w:t xml:space="preserve">right to pursue claims in court: (a) on a representative action basis under applicable law, or (b) arising under the Washington State Law Against Discrimination (RCW 49.60, </w:t>
      </w:r>
      <w:r>
        <w:rPr>
          <w:rFonts w:ascii="Arial" w:cs="Arial" w:eastAsia="Arial" w:hAnsi="Arial"/>
          <w:sz w:val="20"/>
          <w:szCs w:val="20"/>
          <w:i w:val="1"/>
          <w:iCs w:val="1"/>
          <w:u w:val="single" w:color="auto"/>
          <w:color w:val="auto"/>
        </w:rPr>
        <w:t>et seq</w:t>
      </w:r>
      <w:r>
        <w:rPr>
          <w:rFonts w:ascii="Arial" w:cs="Arial" w:eastAsia="Arial" w:hAnsi="Arial"/>
          <w:sz w:val="20"/>
          <w:szCs w:val="20"/>
          <w:u w:val="single" w:color="auto"/>
          <w:color w:val="auto"/>
        </w:rPr>
        <w:t>.) or any federal anti-discrimination law.</w:t>
      </w:r>
    </w:p>
    <w:p>
      <w:pPr>
        <w:spacing w:after="0" w:line="191" w:lineRule="exact"/>
        <w:rPr>
          <w:sz w:val="20"/>
          <w:szCs w:val="20"/>
          <w:color w:val="auto"/>
        </w:rPr>
      </w:pPr>
    </w:p>
    <w:p>
      <w:pPr>
        <w:ind w:right="240"/>
        <w:spacing w:after="0" w:line="306" w:lineRule="auto"/>
        <w:rPr>
          <w:sz w:val="20"/>
          <w:szCs w:val="20"/>
          <w:color w:val="auto"/>
        </w:rPr>
      </w:pPr>
      <w:r>
        <w:rPr>
          <w:rFonts w:ascii="Arial" w:cs="Arial" w:eastAsia="Arial" w:hAnsi="Arial"/>
          <w:sz w:val="19"/>
          <w:szCs w:val="19"/>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63" w:lineRule="exact"/>
        <w:rPr>
          <w:sz w:val="20"/>
          <w:szCs w:val="20"/>
          <w:color w:val="auto"/>
        </w:rPr>
      </w:pPr>
    </w:p>
    <w:p>
      <w:pPr>
        <w:ind w:firstLine="648"/>
        <w:spacing w:after="0" w:line="311" w:lineRule="auto"/>
        <w:rPr>
          <w:sz w:val="20"/>
          <w:szCs w:val="20"/>
          <w:color w:val="auto"/>
        </w:rPr>
      </w:pPr>
      <w:r>
        <w:rPr>
          <w:rFonts w:ascii="Arial" w:cs="Arial" w:eastAsia="Arial" w:hAnsi="Arial"/>
          <w:sz w:val="18"/>
          <w:szCs w:val="18"/>
          <w:color w:val="auto"/>
        </w:rPr>
        <w:t xml:space="preserve">This agreement to arbitrate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 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Arial" w:cs="Arial" w:eastAsia="Arial" w:hAnsi="Arial"/>
          <w:sz w:val="18"/>
          <w:szCs w:val="18"/>
          <w:color w:val="0E32E1"/>
        </w:rPr>
        <w:t>http://www.jamsadr.com/rules-employment-arbitration</w:t>
      </w:r>
      <w:r>
        <w:rPr>
          <w:rFonts w:ascii="Arial" w:cs="Arial" w:eastAsia="Arial" w:hAnsi="Arial"/>
          <w:sz w:val="18"/>
          <w:szCs w:val="18"/>
          <w:color w:val="000000"/>
        </w:rPr>
        <w:t>. If you are unable to access these rules, please let me know and I will provide you</w:t>
      </w:r>
      <w:r>
        <w:rPr>
          <w:rFonts w:ascii="Arial" w:cs="Arial" w:eastAsia="Arial" w:hAnsi="Arial"/>
          <w:sz w:val="18"/>
          <w:szCs w:val="18"/>
          <w:color w:val="0E32E1"/>
        </w:rPr>
        <w:t xml:space="preserve"> </w:t>
      </w:r>
      <w:r>
        <w:rPr>
          <w:rFonts w:ascii="Arial" w:cs="Arial" w:eastAsia="Arial" w:hAnsi="Arial"/>
          <w:sz w:val="18"/>
          <w:szCs w:val="18"/>
          <w:color w:val="000000"/>
        </w:rPr>
        <w:t>with a hardcopy. The arbitrator shall issue a written decision that contains the essential findings and conclusions on which the decision is based. If, for any reason, any term of this Arbitration and Class Action Waiver provision is held to be</w:t>
      </w:r>
    </w:p>
    <w:p>
      <w:pPr>
        <w:sectPr>
          <w:pgSz w:w="11900" w:h="16838" w:orient="portrait"/>
          <w:cols w:equalWidth="0" w:num="1">
            <w:col w:w="11240"/>
          </w:cols>
          <w:pgMar w:left="320" w:top="1432"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invalid or unenforceable, all other valid terms and conditions herein shall be severable in nature, and remain fully enforceable.</w:t>
      </w:r>
    </w:p>
    <w:p>
      <w:pPr>
        <w:spacing w:after="0" w:line="250" w:lineRule="exact"/>
        <w:rPr>
          <w:sz w:val="20"/>
          <w:szCs w:val="20"/>
          <w:color w:val="auto"/>
        </w:rPr>
      </w:pPr>
    </w:p>
    <w:p>
      <w:pPr>
        <w:jc w:val="both"/>
        <w:ind w:firstLine="332"/>
        <w:spacing w:after="0" w:line="288" w:lineRule="auto"/>
        <w:tabs>
          <w:tab w:leader="none" w:pos="535" w:val="left"/>
        </w:tabs>
        <w:numPr>
          <w:ilvl w:val="0"/>
          <w:numId w:val="35"/>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General Obligations</w:t>
      </w:r>
      <w:r>
        <w:rPr>
          <w:rFonts w:ascii="Arial" w:cs="Arial" w:eastAsia="Arial" w:hAnsi="Arial"/>
          <w:sz w:val="20"/>
          <w:szCs w:val="20"/>
          <w:color w:val="auto"/>
        </w:rPr>
        <w:t>. As an employee, you will be expected to continue to adhere to the Company’s standards of professionalism,</w:t>
      </w:r>
      <w:r>
        <w:rPr>
          <w:rFonts w:ascii="Arial" w:cs="Arial" w:eastAsia="Arial" w:hAnsi="Arial"/>
          <w:sz w:val="20"/>
          <w:szCs w:val="20"/>
          <w:b w:val="1"/>
          <w:bCs w:val="1"/>
          <w:color w:val="auto"/>
        </w:rPr>
        <w:t xml:space="preserve"> </w:t>
      </w:r>
      <w:r>
        <w:rPr>
          <w:rFonts w:ascii="Arial" w:cs="Arial" w:eastAsia="Arial" w:hAnsi="Arial"/>
          <w:sz w:val="20"/>
          <w:szCs w:val="20"/>
          <w:color w:val="auto"/>
        </w:rPr>
        <w:t>loyalty, integrity, honesty, reliability and respect for all. You will also be expected to continue to comply with the Company’s policies and procedures. The Company is an equal opportunity employer.</w:t>
      </w:r>
    </w:p>
    <w:p>
      <w:pPr>
        <w:spacing w:after="0" w:line="171" w:lineRule="exact"/>
        <w:rPr>
          <w:rFonts w:ascii="Arial" w:cs="Arial" w:eastAsia="Arial" w:hAnsi="Arial"/>
          <w:sz w:val="20"/>
          <w:szCs w:val="20"/>
          <w:b w:val="1"/>
          <w:bCs w:val="1"/>
          <w:color w:val="010000"/>
        </w:rPr>
      </w:pPr>
    </w:p>
    <w:p>
      <w:pPr>
        <w:ind w:left="640" w:hanging="308"/>
        <w:spacing w:after="0"/>
        <w:tabs>
          <w:tab w:leader="none" w:pos="64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Your employment with the Company continues to be for no specific period of time. Your employment with</w:t>
      </w:r>
    </w:p>
    <w:p>
      <w:pPr>
        <w:spacing w:after="0" w:line="69" w:lineRule="exact"/>
        <w:rPr>
          <w:rFonts w:ascii="Arial" w:cs="Arial" w:eastAsia="Arial" w:hAnsi="Arial"/>
          <w:sz w:val="18"/>
          <w:szCs w:val="18"/>
          <w:b w:val="1"/>
          <w:bCs w:val="1"/>
          <w:color w:val="010000"/>
        </w:rPr>
      </w:pPr>
    </w:p>
    <w:p>
      <w:pPr>
        <w:jc w:val="both"/>
        <w:spacing w:after="0" w:line="305" w:lineRule="auto"/>
        <w:rPr>
          <w:rFonts w:ascii="Arial" w:cs="Arial" w:eastAsia="Arial" w:hAnsi="Arial"/>
          <w:sz w:val="18"/>
          <w:szCs w:val="18"/>
          <w:b w:val="1"/>
          <w:bCs w:val="1"/>
          <w:color w:val="010000"/>
        </w:rPr>
      </w:pPr>
      <w:r>
        <w:rPr>
          <w:rFonts w:ascii="Arial" w:cs="Arial" w:eastAsia="Arial" w:hAnsi="Arial"/>
          <w:sz w:val="18"/>
          <w:szCs w:val="18"/>
          <w:color w:val="auto"/>
        </w:rPr>
        <w:t>the Company will continue to be on an “at will” basis, meaning that either you or the Company may terminate your employment at any time for any reason or no reason. The Company also reserves the right to modify or amend the terms of your employment at any time for any</w:t>
      </w:r>
    </w:p>
    <w:p>
      <w:pPr>
        <w:jc w:val="both"/>
        <w:spacing w:after="0" w:line="343" w:lineRule="auto"/>
        <w:rPr>
          <w:rFonts w:ascii="Arial" w:cs="Arial" w:eastAsia="Arial" w:hAnsi="Arial"/>
          <w:sz w:val="18"/>
          <w:szCs w:val="18"/>
          <w:b w:val="1"/>
          <w:bCs w:val="1"/>
          <w:color w:val="010000"/>
        </w:rPr>
      </w:pPr>
      <w:r>
        <w:rPr>
          <w:rFonts w:ascii="Arial" w:cs="Arial" w:eastAsia="Arial" w:hAnsi="Arial"/>
          <w:sz w:val="16"/>
          <w:szCs w:val="16"/>
          <w:color w:val="auto"/>
        </w:rPr>
        <w:t>reason. Any contrary representations which may have been made to you are superseded by this letter agreement. This is the full and complete agreement between you and the Company on this term. Although your job duties, title, compensation and benefits, as well as the Company’s</w:t>
      </w:r>
    </w:p>
    <w:p>
      <w:pPr>
        <w:ind w:right="20"/>
        <w:spacing w:after="0" w:line="288" w:lineRule="auto"/>
        <w:rPr>
          <w:rFonts w:ascii="Arial" w:cs="Arial" w:eastAsia="Arial" w:hAnsi="Arial"/>
          <w:sz w:val="18"/>
          <w:szCs w:val="18"/>
          <w:b w:val="1"/>
          <w:bCs w:val="1"/>
          <w:color w:val="010000"/>
        </w:rPr>
      </w:pPr>
      <w:r>
        <w:rPr>
          <w:rFonts w:ascii="Arial" w:cs="Arial" w:eastAsia="Arial" w:hAnsi="Arial"/>
          <w:sz w:val="20"/>
          <w:szCs w:val="20"/>
          <w:color w:val="auto"/>
        </w:rPr>
        <w:t>personnel policies and procedures, may change from time to time, the “at will” nature of your employment may only be changed in an express written agreement signed by you and the Company’s Board of Directors.</w:t>
      </w:r>
    </w:p>
    <w:p>
      <w:pPr>
        <w:spacing w:after="0" w:line="184" w:lineRule="exact"/>
        <w:rPr>
          <w:rFonts w:ascii="Arial" w:cs="Arial" w:eastAsia="Arial" w:hAnsi="Arial"/>
          <w:sz w:val="18"/>
          <w:szCs w:val="18"/>
          <w:b w:val="1"/>
          <w:bCs w:val="1"/>
          <w:color w:val="010000"/>
        </w:rPr>
      </w:pPr>
    </w:p>
    <w:p>
      <w:pPr>
        <w:ind w:left="620" w:hanging="288"/>
        <w:spacing w:after="0"/>
        <w:tabs>
          <w:tab w:leader="none" w:pos="62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forms of compensation paid to you as an employee of the Company shall be less all applicable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432" w:right="339" w:bottom="1440" w:gutter="0" w:footer="0" w:header="0"/>
        </w:sectPr>
      </w:pPr>
    </w:p>
    <w:bookmarkStart w:id="43" w:name="page44"/>
    <w:bookmarkEnd w:id="43"/>
    <w:p>
      <w:pPr>
        <w:jc w:val="both"/>
        <w:ind w:firstLine="648"/>
        <w:spacing w:after="0" w:line="330" w:lineRule="auto"/>
        <w:rPr>
          <w:sz w:val="20"/>
          <w:szCs w:val="20"/>
          <w:color w:val="auto"/>
        </w:rPr>
      </w:pPr>
      <w:r>
        <w:rPr>
          <w:rFonts w:ascii="Arial" w:cs="Arial" w:eastAsia="Arial" w:hAnsi="Arial"/>
          <w:sz w:val="18"/>
          <w:szCs w:val="18"/>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pacing w:after="0" w:line="200" w:lineRule="exact"/>
        <w:rPr>
          <w:sz w:val="20"/>
          <w:szCs w:val="20"/>
          <w:color w:val="auto"/>
        </w:rPr>
      </w:pPr>
    </w:p>
    <w:p>
      <w:pPr>
        <w:spacing w:after="0" w:line="20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Very truly yours,</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REMITLY GLOBAL,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33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Matthew Opppenheimer</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/s/ Ankur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65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Ankur Sinha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 TO AMENDED AND RESTATED OFFER LETTER]</w:t>
      </w:r>
    </w:p>
    <w:p>
      <w:pPr>
        <w:sectPr>
          <w:pgSz w:w="11900" w:h="16838" w:orient="portrait"/>
          <w:cols w:equalWidth="0" w:num="1">
            <w:col w:w="11180"/>
          </w:cols>
          <w:pgMar w:left="320" w:top="1432" w:right="39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340" w:hanging="8"/>
        <w:spacing w:after="0" w:line="407" w:lineRule="auto"/>
        <w:tabs>
          <w:tab w:leader="none" w:pos="65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May 8, 2023</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Hemanth Munipalli, certify that:</w:t>
      </w:r>
    </w:p>
    <w:p>
      <w:pPr>
        <w:spacing w:after="0" w:line="306" w:lineRule="exact"/>
        <w:rPr>
          <w:sz w:val="20"/>
          <w:szCs w:val="20"/>
          <w:color w:val="auto"/>
        </w:rPr>
      </w:pPr>
    </w:p>
    <w:p>
      <w:pPr>
        <w:ind w:left="640" w:hanging="308"/>
        <w:spacing w:after="0"/>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2"/>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2"/>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firstLine="8"/>
        <w:spacing w:after="0" w:line="407" w:lineRule="auto"/>
        <w:tabs>
          <w:tab w:leader="none" w:pos="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2"/>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May 8, 2023</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37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3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70"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right="860" w:hanging="328"/>
        <w:spacing w:after="0" w:line="30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2023 (the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May 8, 2023</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4"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I, Hemanth Munipalli, Chief Financial Officer of Remitly Global,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660" w:right="860" w:hanging="328"/>
        <w:spacing w:after="0" w:line="32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2023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right="240" w:hanging="328"/>
        <w:spacing w:after="0" w:line="32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May 8, 2023</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5"/>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4"/>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bullet"/>
      <w:start w:val="1"/>
    </w:lvl>
  </w:abstractNum>
  <w:abstractNum w:abstractNumId="29">
    <w:nsid w:val="5577F8E1"/>
    <w:multiLevelType w:val="hybridMultilevel"/>
    <w:lvl w:ilvl="0">
      <w:lvlJc w:val="left"/>
      <w:lvlText w:val="%1."/>
      <w:numFmt w:val="decimal"/>
      <w:start w:val="7"/>
    </w:lvl>
  </w:abstractNum>
  <w:abstractNum w:abstractNumId="30">
    <w:nsid w:val="440BADFC"/>
    <w:multiLevelType w:val="hybridMultilevel"/>
    <w:lvl w:ilvl="0">
      <w:lvlJc w:val="left"/>
      <w:lvlText w:val="%1."/>
      <w:numFmt w:val="decimal"/>
      <w:start w:val="9"/>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bullet"/>
      <w:start w:val="1"/>
    </w:lvl>
  </w:abstractNum>
  <w:abstractNum w:abstractNumId="33">
    <w:nsid w:val="77465F01"/>
    <w:multiLevelType w:val="hybridMultilevel"/>
    <w:lvl w:ilvl="0">
      <w:lvlJc w:val="left"/>
      <w:lvlText w:val="%1."/>
      <w:numFmt w:val="decimal"/>
      <w:start w:val="7"/>
    </w:lvl>
  </w:abstractNum>
  <w:abstractNum w:abstractNumId="34">
    <w:nsid w:val="7724C67E"/>
    <w:multiLevelType w:val="hybridMultilevel"/>
    <w:lvl w:ilvl="0">
      <w:lvlJc w:val="left"/>
      <w:lvlText w:val="%1."/>
      <w:numFmt w:val="decimal"/>
      <w:start w:val="9"/>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7">
    <w:nsid w:val="5E884AD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4" Type="http://schemas.openxmlformats.org/officeDocument/2006/relationships/hyperlink" Target="https://www.sec.gov/Archives/edgar/data/0001782170/000178217021000011/exhibit33-remitlyglobalxpu.htm" TargetMode="External"/><Relationship Id="rId55" Type="http://schemas.openxmlformats.org/officeDocument/2006/relationships/hyperlink" Target="https://www.sec.gov/Archives/edgar/data/0001782170/000178217021000011/exhibit34-remitlyglobalxpu.htm" TargetMode="External"/><Relationship Id="rId56" Type="http://schemas.openxmlformats.org/officeDocument/2006/relationships/hyperlink" Target="https://www.sec.gov/Archives/edgar/data/1782170/000162828021018524/exhibit106s-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2023-05-08T16:03:23Z</dcterms:created>
  <dcterms:modified xsi:type="dcterms:W3CDTF">2023-05-08T16:03:23Z</dcterms:modified>
</cp:coreProperties>
</file>