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59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Bora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REMITLY GLOBAL,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1111 3RD AVE., 21ST FLOOR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Remitly Global,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RELY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05/25/2024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5,809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(RSUs)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 upon settlement.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with both (a) a liquidity event-based vesting condition and (b) a service-based vesting condition, both of which must be satisfied in order for the RSUs to vest. The liquidity event-based vesting event was satisfied on September 22, 2021, the effective date of the issuer's initial public offering. The service-based vesting event will be satisfied as to 1/4th of the total shares underlying the RSUs on November 25, 2021 and then 1/16th of the total number of shares vest quarterly on each February 25, May 25, August 25 and November 25 thereafter, with 100% of the total shares underlying the RSUs vested on November 25, 2024, subject to the reporting person's provision of service to the issuer on each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Christie Cho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501" TargetMode="External"/><Relationship Id="rId13" Type="http://schemas.openxmlformats.org/officeDocument/2006/relationships/hyperlink" Target="http://www.sec.gov/cgi-bin/browse-edgar?action=getcompany&amp;CIK=0001782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2024-05-29T17:49:54Z</dcterms:created>
  <dcterms:modified xsi:type="dcterms:W3CDTF">2024-05-29T17:49:54Z</dcterms:modified>
</cp:coreProperties>
</file>