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60325</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73025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65" w:lineRule="exact"/>
        <w:rPr>
          <w:sz w:val="24"/>
          <w:szCs w:val="24"/>
          <w:color w:val="auto"/>
        </w:rPr>
      </w:pPr>
    </w:p>
    <w:p>
      <w:pPr>
        <w:ind w:right="2800" w:firstLine="8"/>
        <w:spacing w:after="0" w:line="467" w:lineRule="auto"/>
        <w:tabs>
          <w:tab w:leader="none" w:pos="18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OR</w:t>
      </w:r>
    </w:p>
    <w:p>
      <w:pPr>
        <w:spacing w:after="0" w:line="165"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001-40822</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Remitly Global,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106045</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34" w:lineRule="exact"/>
        <w:rPr>
          <w:sz w:val="24"/>
          <w:szCs w:val="24"/>
          <w:color w:val="auto"/>
        </w:rPr>
      </w:pPr>
    </w:p>
    <w:tbl>
      <w:tblPr>
        <w:tblLayout w:type="fixed"/>
        <w:tblInd w:w="1360" w:type="dxa"/>
        <w:tblCellMar>
          <w:top w:w="0" w:type="dxa"/>
          <w:left w:w="0" w:type="dxa"/>
          <w:bottom w:w="0" w:type="dxa"/>
          <w:right w:w="0" w:type="dxa"/>
        </w:tblCellMar>
      </w:tblPr>
      <w:tr>
        <w:trPr>
          <w:trHeight w:val="212"/>
        </w:trPr>
        <w:tc>
          <w:tcPr>
            <w:tcW w:w="32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2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9"/>
              </w:rPr>
              <w:t>7372</w:t>
            </w:r>
          </w:p>
        </w:tc>
        <w:tc>
          <w:tcPr>
            <w:tcW w:w="880" w:type="dxa"/>
            <w:vAlign w:val="bottom"/>
          </w:tcPr>
          <w:p>
            <w:pPr>
              <w:spacing w:after="0"/>
              <w:rPr>
                <w:sz w:val="18"/>
                <w:szCs w:val="18"/>
                <w:color w:val="auto"/>
              </w:rPr>
            </w:pPr>
          </w:p>
        </w:tc>
        <w:tc>
          <w:tcPr>
            <w:tcW w:w="3180" w:type="dxa"/>
            <w:vAlign w:val="bottom"/>
          </w:tcPr>
          <w:p>
            <w:pPr>
              <w:jc w:val="center"/>
              <w:ind w:left="361"/>
              <w:spacing w:after="0"/>
              <w:rPr>
                <w:sz w:val="20"/>
                <w:szCs w:val="20"/>
                <w:color w:val="auto"/>
              </w:rPr>
            </w:pPr>
            <w:r>
              <w:rPr>
                <w:rFonts w:ascii="Times New Roman" w:cs="Times New Roman" w:eastAsia="Times New Roman" w:hAnsi="Times New Roman"/>
                <w:sz w:val="16"/>
                <w:szCs w:val="16"/>
                <w:b w:val="1"/>
                <w:bCs w:val="1"/>
                <w:color w:val="auto"/>
              </w:rPr>
              <w:t>83-2301143</w:t>
            </w:r>
          </w:p>
        </w:tc>
      </w:tr>
      <w:tr>
        <w:trPr>
          <w:trHeight w:val="235"/>
        </w:trPr>
        <w:tc>
          <w:tcPr>
            <w:tcW w:w="326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(Primary Standard Industrial</w:t>
            </w:r>
          </w:p>
        </w:tc>
        <w:tc>
          <w:tcPr>
            <w:tcW w:w="318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2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Classification Code Number)</w:t>
            </w:r>
          </w:p>
        </w:tc>
        <w:tc>
          <w:tcPr>
            <w:tcW w:w="318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195"/>
        </w:trPr>
        <w:tc>
          <w:tcPr>
            <w:tcW w:w="3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180" w:type="dxa"/>
            <w:vAlign w:val="bottom"/>
          </w:tcPr>
          <w:p>
            <w:pPr>
              <w:spacing w:after="0"/>
              <w:rPr>
                <w:sz w:val="16"/>
                <w:szCs w:val="16"/>
                <w:color w:val="auto"/>
              </w:rPr>
            </w:pPr>
          </w:p>
        </w:tc>
      </w:tr>
      <w:tr>
        <w:trPr>
          <w:trHeight w:val="405"/>
        </w:trPr>
        <w:tc>
          <w:tcPr>
            <w:tcW w:w="32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1111 Third Avenue, Suite 2100  Seattle,</w:t>
            </w: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WA</w:t>
            </w:r>
          </w:p>
        </w:tc>
        <w:tc>
          <w:tcPr>
            <w:tcW w:w="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1761"/>
              <w:spacing w:after="0"/>
              <w:rPr>
                <w:sz w:val="20"/>
                <w:szCs w:val="20"/>
                <w:color w:val="auto"/>
              </w:rPr>
            </w:pPr>
            <w:r>
              <w:rPr>
                <w:rFonts w:ascii="Times New Roman" w:cs="Times New Roman" w:eastAsia="Times New Roman" w:hAnsi="Times New Roman"/>
                <w:sz w:val="16"/>
                <w:szCs w:val="16"/>
                <w:b w:val="1"/>
                <w:bCs w:val="1"/>
                <w:color w:val="auto"/>
              </w:rPr>
              <w:t>98101</w:t>
            </w:r>
          </w:p>
        </w:tc>
      </w:tr>
      <w:tr>
        <w:trPr>
          <w:trHeight w:val="193"/>
        </w:trPr>
        <w:tc>
          <w:tcPr>
            <w:tcW w:w="5360" w:type="dxa"/>
            <w:vAlign w:val="bottom"/>
            <w:gridSpan w:val="5"/>
          </w:tcPr>
          <w:p>
            <w:pPr>
              <w:ind w:left="9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80" w:type="dxa"/>
            <w:vAlign w:val="bottom"/>
          </w:tcPr>
          <w:p>
            <w:pPr>
              <w:jc w:val="center"/>
              <w:ind w:right="82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(888) 736-4859</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65"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4480" w:type="dxa"/>
            <w:vAlign w:val="bottom"/>
            <w:gridSpan w:val="5"/>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440" w:type="dxa"/>
            <w:vAlign w:val="bottom"/>
          </w:tcPr>
          <w:p>
            <w:pPr>
              <w:spacing w:after="0"/>
              <w:rPr>
                <w:sz w:val="18"/>
                <w:szCs w:val="18"/>
                <w:color w:val="auto"/>
              </w:rPr>
            </w:pPr>
          </w:p>
        </w:tc>
      </w:tr>
      <w:tr>
        <w:trPr>
          <w:trHeight w:val="256"/>
        </w:trPr>
        <w:tc>
          <w:tcPr>
            <w:tcW w:w="328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3"/>
        </w:trPr>
        <w:tc>
          <w:tcPr>
            <w:tcW w:w="32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RELY</w:t>
            </w:r>
          </w:p>
        </w:tc>
        <w:tc>
          <w:tcPr>
            <w:tcW w:w="34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08"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1140" w:type="dxa"/>
        <w:tblCellMar>
          <w:top w:w="0" w:type="dxa"/>
          <w:left w:w="0" w:type="dxa"/>
          <w:bottom w:w="0" w:type="dxa"/>
          <w:right w:w="0" w:type="dxa"/>
        </w:tblCellMar>
      </w:tblPr>
      <w:tr>
        <w:trPr>
          <w:trHeight w:val="272"/>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33"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28, 2024, the registrant had 198,061,161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26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2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243"/>
        </w:trPr>
        <w:tc>
          <w:tcPr>
            <w:tcW w:w="1026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tc>
        <w:tc>
          <w:tcPr>
            <w:tcW w:w="82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ii</w:t>
            </w:r>
          </w:p>
        </w:tc>
        <w:tc>
          <w:tcPr>
            <w:tcW w:w="0" w:type="dxa"/>
            <w:vAlign w:val="bottom"/>
          </w:tcPr>
          <w:p>
            <w:pPr>
              <w:spacing w:after="0"/>
              <w:rPr>
                <w:sz w:val="1"/>
                <w:szCs w:val="1"/>
                <w:color w:val="auto"/>
              </w:rPr>
            </w:pPr>
          </w:p>
        </w:tc>
      </w:tr>
      <w:tr>
        <w:trPr>
          <w:trHeight w:val="513"/>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auto"/>
              </w:rPr>
              <w:t>Financial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36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6"/>
                <w:szCs w:val="16"/>
                <w:color w:val="3051F2"/>
              </w:rPr>
              <w:t>Financial Statements</w:t>
            </w:r>
          </w:p>
        </w:tc>
        <w:tc>
          <w:tcPr>
            <w:tcW w:w="7920" w:type="dxa"/>
            <w:vAlign w:val="bottom"/>
            <w:gridSpan w:val="14"/>
          </w:tcPr>
          <w:p>
            <w:pPr>
              <w:spacing w:after="0"/>
              <w:rPr>
                <w:sz w:val="18"/>
                <w:szCs w:val="18"/>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3051F2"/>
              </w:rPr>
              <w:t>Condensed Consolidated Balance Sheets as of September 30, 2024 and December 31, 2023</w:t>
            </w: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4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3051F2"/>
              </w:rPr>
              <w:t>Condensed Consolidated Statements of Operations for the three and nine months ended September 30, 2024 and 2023</w:t>
            </w: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500" w:type="dxa"/>
            <w:vAlign w:val="bottom"/>
            <w:gridSpan w:val="3"/>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80" w:type="dxa"/>
            <w:vAlign w:val="bottom"/>
            <w:shd w:val="clear" w:color="auto" w:fill="3051F2"/>
          </w:tcPr>
          <w:p>
            <w:pPr>
              <w:spacing w:after="0" w:line="20" w:lineRule="exact"/>
              <w:rPr>
                <w:sz w:val="1"/>
                <w:szCs w:val="1"/>
                <w:color w:val="auto"/>
              </w:rPr>
            </w:pPr>
          </w:p>
        </w:tc>
        <w:tc>
          <w:tcPr>
            <w:tcW w:w="1240" w:type="dxa"/>
            <w:vAlign w:val="bottom"/>
            <w:gridSpan w:val="2"/>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3051F2"/>
              </w:rPr>
              <w:t>Condensed Consolidated Statements of Comprehensive Income (Loss) for the three and nine months ended September 30, 2024 and 2023</w:t>
            </w: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8920" w:type="dxa"/>
            <w:vAlign w:val="bottom"/>
            <w:tcBorders>
              <w:top w:val="single" w:sz="8" w:color="3051F2"/>
            </w:tcBorders>
            <w:gridSpan w:val="18"/>
          </w:tcPr>
          <w:p>
            <w:pPr>
              <w:spacing w:after="0"/>
              <w:rPr>
                <w:sz w:val="20"/>
                <w:szCs w:val="20"/>
                <w:color w:val="auto"/>
              </w:rPr>
            </w:pPr>
            <w:r>
              <w:rPr>
                <w:rFonts w:ascii="Times New Roman" w:cs="Times New Roman" w:eastAsia="Times New Roman" w:hAnsi="Times New Roman"/>
                <w:sz w:val="16"/>
                <w:szCs w:val="16"/>
                <w:color w:val="3051F2"/>
              </w:rPr>
              <w:t>Condensed Consolidated Statements of Stockholders’ Equity for the three and nine months ended September 30, 2024 and 2023</w:t>
            </w:r>
          </w:p>
        </w:tc>
        <w:tc>
          <w:tcPr>
            <w:tcW w:w="360" w:type="dxa"/>
            <w:vAlign w:val="bottom"/>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7060" w:type="dxa"/>
            <w:vAlign w:val="bottom"/>
            <w:tcBorders>
              <w:top w:val="single" w:sz="8" w:color="3051F2"/>
              <w:bottom w:val="single" w:sz="8" w:color="3051F2"/>
            </w:tcBorders>
            <w:gridSpan w:val="15"/>
          </w:tcPr>
          <w:p>
            <w:pPr>
              <w:spacing w:after="0"/>
              <w:rPr>
                <w:sz w:val="20"/>
                <w:szCs w:val="20"/>
                <w:color w:val="auto"/>
              </w:rPr>
            </w:pPr>
            <w:r>
              <w:rPr>
                <w:rFonts w:ascii="Times New Roman" w:cs="Times New Roman" w:eastAsia="Times New Roman" w:hAnsi="Times New Roman"/>
                <w:sz w:val="16"/>
                <w:szCs w:val="16"/>
                <w:color w:val="3051F2"/>
              </w:rPr>
              <w:t>Condensed Consolidated Statements of Cash Flows for the nine months ended September 30, 2024 and 2023</w:t>
            </w:r>
          </w:p>
        </w:tc>
        <w:tc>
          <w:tcPr>
            <w:tcW w:w="1240" w:type="dxa"/>
            <w:vAlign w:val="bottom"/>
            <w:tcBorders>
              <w:top w:val="single" w:sz="8" w:color="3051F2"/>
            </w:tcBorders>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0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6"/>
                <w:szCs w:val="16"/>
                <w:color w:val="3051F2"/>
              </w:rPr>
              <w:t>Notes to Condensed Consolidated Financial Statements</w:t>
            </w:r>
          </w:p>
        </w:tc>
        <w:tc>
          <w:tcPr>
            <w:tcW w:w="5680" w:type="dxa"/>
            <w:vAlign w:val="bottom"/>
            <w:gridSpan w:val="9"/>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6"/>
                <w:szCs w:val="16"/>
                <w:color w:val="3051F2"/>
              </w:rPr>
              <w:t>Management’s Discussion and Analysis of Financial Condition and Results of Operations</w:t>
            </w:r>
          </w:p>
        </w:tc>
        <w:tc>
          <w:tcPr>
            <w:tcW w:w="3460" w:type="dxa"/>
            <w:vAlign w:val="bottom"/>
            <w:gridSpan w:val="6"/>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22</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6"/>
                <w:szCs w:val="16"/>
                <w:color w:val="3051F2"/>
              </w:rPr>
              <w:t>Quantitative and Qualitative Disclosures About Market Risk</w:t>
            </w:r>
          </w:p>
        </w:tc>
        <w:tc>
          <w:tcPr>
            <w:tcW w:w="5340" w:type="dxa"/>
            <w:vAlign w:val="bottom"/>
            <w:gridSpan w:val="7"/>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6"/>
                <w:szCs w:val="16"/>
                <w:color w:val="3051F2"/>
              </w:rPr>
              <w:t>Controls and Procedures</w:t>
            </w:r>
          </w:p>
        </w:tc>
        <w:tc>
          <w:tcPr>
            <w:tcW w:w="7680" w:type="dxa"/>
            <w:vAlign w:val="bottom"/>
            <w:gridSpan w:val="13"/>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35</w:t>
            </w:r>
          </w:p>
        </w:tc>
        <w:tc>
          <w:tcPr>
            <w:tcW w:w="0" w:type="dxa"/>
            <w:vAlign w:val="bottom"/>
          </w:tcPr>
          <w:p>
            <w:pPr>
              <w:spacing w:after="0"/>
              <w:rPr>
                <w:sz w:val="1"/>
                <w:szCs w:val="1"/>
                <w:color w:val="auto"/>
              </w:rPr>
            </w:pPr>
          </w:p>
        </w:tc>
      </w:tr>
      <w:tr>
        <w:trPr>
          <w:trHeight w:val="528"/>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6"/>
                <w:szCs w:val="16"/>
                <w:color w:val="3051F2"/>
                <w:w w:val="99"/>
              </w:rPr>
              <w:t>Legal Proceedings</w:t>
            </w:r>
          </w:p>
        </w:tc>
        <w:tc>
          <w:tcPr>
            <w:tcW w:w="8080" w:type="dxa"/>
            <w:vAlign w:val="bottom"/>
            <w:gridSpan w:val="15"/>
          </w:tcPr>
          <w:p>
            <w:pPr>
              <w:spacing w:after="0"/>
              <w:rPr>
                <w:sz w:val="18"/>
                <w:szCs w:val="18"/>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6"/>
                <w:szCs w:val="16"/>
                <w:color w:val="3051F2"/>
                <w:w w:val="99"/>
              </w:rPr>
              <w:t>Risk Factors</w:t>
            </w:r>
          </w:p>
        </w:tc>
        <w:tc>
          <w:tcPr>
            <w:tcW w:w="8460" w:type="dxa"/>
            <w:vAlign w:val="bottom"/>
            <w:gridSpan w:val="17"/>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3051F2"/>
            </w:tcBorders>
            <w:gridSpan w:val="11"/>
          </w:tcPr>
          <w:p>
            <w:pPr>
              <w:spacing w:after="0"/>
              <w:rPr>
                <w:sz w:val="20"/>
                <w:szCs w:val="20"/>
                <w:color w:val="auto"/>
              </w:rPr>
            </w:pPr>
            <w:r>
              <w:rPr>
                <w:rFonts w:ascii="Times New Roman" w:cs="Times New Roman" w:eastAsia="Times New Roman" w:hAnsi="Times New Roman"/>
                <w:sz w:val="16"/>
                <w:szCs w:val="16"/>
                <w:color w:val="3051F2"/>
              </w:rPr>
              <w:t>Unregistered Sales of Equity Securities and Use of Proceeds</w:t>
            </w:r>
          </w:p>
        </w:tc>
        <w:tc>
          <w:tcPr>
            <w:tcW w:w="5360" w:type="dxa"/>
            <w:vAlign w:val="bottom"/>
            <w:gridSpan w:val="8"/>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210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6"/>
                <w:szCs w:val="16"/>
                <w:color w:val="3051F2"/>
              </w:rPr>
              <w:t>Defaults Upon Senior Securities</w:t>
            </w:r>
          </w:p>
        </w:tc>
        <w:tc>
          <w:tcPr>
            <w:tcW w:w="7180" w:type="dxa"/>
            <w:vAlign w:val="bottom"/>
            <w:gridSpan w:val="12"/>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6"/>
                <w:szCs w:val="16"/>
                <w:color w:val="3051F2"/>
              </w:rPr>
              <w:t>Mine Safety Disclosures</w:t>
            </w:r>
          </w:p>
        </w:tc>
        <w:tc>
          <w:tcPr>
            <w:tcW w:w="7680" w:type="dxa"/>
            <w:vAlign w:val="bottom"/>
            <w:gridSpan w:val="13"/>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9280" w:type="dxa"/>
            <w:vAlign w:val="bottom"/>
            <w:gridSpan w:val="19"/>
          </w:tcPr>
          <w:p>
            <w:pPr>
              <w:spacing w:after="0"/>
              <w:rPr>
                <w:sz w:val="20"/>
                <w:szCs w:val="20"/>
                <w:color w:val="auto"/>
              </w:rPr>
            </w:pPr>
            <w:r>
              <w:rPr>
                <w:rFonts w:ascii="Times New Roman" w:cs="Times New Roman" w:eastAsia="Times New Roman" w:hAnsi="Times New Roman"/>
                <w:sz w:val="16"/>
                <w:szCs w:val="16"/>
                <w:color w:val="3051F2"/>
              </w:rPr>
              <w:t>Other Information</w:t>
            </w: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1180" w:type="dxa"/>
            <w:vAlign w:val="bottom"/>
            <w:tcBorders>
              <w:top w:val="single" w:sz="8" w:color="3051F2"/>
            </w:tcBorders>
            <w:gridSpan w:val="3"/>
          </w:tcPr>
          <w:p>
            <w:pPr>
              <w:spacing w:after="0"/>
              <w:rPr>
                <w:sz w:val="20"/>
                <w:szCs w:val="20"/>
                <w:color w:val="auto"/>
              </w:rPr>
            </w:pPr>
            <w:r>
              <w:rPr>
                <w:rFonts w:ascii="Times New Roman" w:cs="Times New Roman" w:eastAsia="Times New Roman" w:hAnsi="Times New Roman"/>
                <w:sz w:val="16"/>
                <w:szCs w:val="16"/>
                <w:color w:val="3051F2"/>
              </w:rPr>
              <w:t>Exhibits</w:t>
            </w:r>
          </w:p>
        </w:tc>
        <w:tc>
          <w:tcPr>
            <w:tcW w:w="8100" w:type="dxa"/>
            <w:vAlign w:val="bottom"/>
            <w:gridSpan w:val="16"/>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37</w:t>
            </w:r>
          </w:p>
        </w:tc>
        <w:tc>
          <w:tcPr>
            <w:tcW w:w="0" w:type="dxa"/>
            <w:vAlign w:val="bottom"/>
          </w:tcPr>
          <w:p>
            <w:pPr>
              <w:spacing w:after="0"/>
              <w:rPr>
                <w:sz w:val="1"/>
                <w:szCs w:val="1"/>
                <w:color w:val="auto"/>
              </w:rPr>
            </w:pPr>
          </w:p>
        </w:tc>
      </w:tr>
      <w:tr>
        <w:trPr>
          <w:trHeight w:val="527"/>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Signatures</w:t>
            </w:r>
          </w:p>
        </w:tc>
        <w:tc>
          <w:tcPr>
            <w:tcW w:w="540" w:type="dxa"/>
            <w:vAlign w:val="bottom"/>
            <w:tcBorders>
              <w:top w:val="single" w:sz="8" w:color="3051F2"/>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38</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-3089910</wp:posOffset>
            </wp:positionV>
            <wp:extent cx="2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41" w:lineRule="exact"/>
        <w:rPr>
          <w:sz w:val="20"/>
          <w:szCs w:val="20"/>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our revenue, expenses, and other operating results;</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acquire new customers and successfully retain existing customers;</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new products and services and bring them to market in a timely manner;</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or sustain our profitability;</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expand our strategic relationships with third parties;</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plan and our ability to effectively manage our growth;</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market opportunity, including our total addressable market;</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trends, growth rates, and challenges in our business and in the markets in which we operate;</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qualified employees;</w:t>
      </w:r>
    </w:p>
    <w:p>
      <w:pPr>
        <w:spacing w:after="0" w:line="59" w:lineRule="exact"/>
        <w:rPr>
          <w:rFonts w:ascii="Times New Roman" w:cs="Times New Roman" w:eastAsia="Times New Roman" w:hAnsi="Times New Roman"/>
          <w:sz w:val="16"/>
          <w:szCs w:val="16"/>
          <w:color w:val="auto"/>
        </w:rPr>
      </w:pPr>
    </w:p>
    <w:p>
      <w:pPr>
        <w:ind w:left="660" w:right="300" w:hanging="328"/>
        <w:spacing w:after="0" w:line="290" w:lineRule="auto"/>
        <w:tabs>
          <w:tab w:leader="none" w:pos="55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regarding the impact of geopolitical and macroeconomic conditions, including currency fluctuations, inflation, regulatory changes, or regional and global conflicts or related government sanctions;</w:t>
      </w: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the security and availability of our solutions;</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money transmission licenses and other regulatory approvals;</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expand internationally; and</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anticipated technology needs and developments and our ability to address those needs and developments with our solutions.</w:t>
      </w:r>
    </w:p>
    <w:p>
      <w:pPr>
        <w:spacing w:after="0" w:line="1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30"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Unless the context otherwise requires, the terms “Remitly Global,” “Remitly,” “the Company,” “we,” “us,” and “our” in this Quarterly Report on Form 10-Q refer to Remitly Global, Inc. and our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and per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324,434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323,710</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Disbursement prefunding</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195,848</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funds receivable, net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276,096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379,417</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41,083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33,143</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861,256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932,118</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16,642</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7,071</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970,430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1,036,306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16,825</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liabilities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177,473</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debt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105,234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145,802</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324,095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366,839</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339,607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506,969</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$0.0001 par value; 725,000,000 shares authorized as of September 30, 2024 and December 31, 2023</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both; 198,033,845 and 188,435,952 shares issued and outstanding, as of September 30, 2024 and December 31,</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2023, respectively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1,151,479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1,020,286</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(522,557)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(491,303)</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630,823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529,337</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970,430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1,036,306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and per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7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336,527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241,629</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912,068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679,527</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85,742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313,215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239,995</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62,604</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74,792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219,862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159,074</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199,206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160,699</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140,982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130,715</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9,634</w:t>
            </w:r>
          </w:p>
        </w:tc>
      </w:tr>
      <w:tr>
        <w:trPr>
          <w:trHeight w:val="237"/>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336,159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278,532</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947,415</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762,721</w:t>
            </w:r>
          </w:p>
        </w:tc>
      </w:tr>
      <w:tr>
        <w:trPr>
          <w:trHeight w:val="23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(83,194)</w:t>
            </w: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w:t>
            </w: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r>
      <w:tr>
        <w:trPr>
          <w:trHeight w:val="23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(82,334)</w:t>
            </w: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4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(35,655)</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(31,254)</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(82,819)</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r>
      <w:tr>
        <w:trPr>
          <w:trHeight w:val="25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196,169,417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182,598,013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193,167,942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178,956,602</w:t>
            </w: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205,251,546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182,598,013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193,167,942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178,956,602</w:t>
            </w:r>
          </w:p>
        </w:tc>
      </w:tr>
      <w:tr>
        <w:trPr>
          <w:trHeight w:val="2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ind w:left="140" w:hanging="132"/>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Exclusive of depreciation and amortization, shown separately.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 (loss)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8"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4"/>
          <w:szCs w:val="14"/>
          <w:color w:val="auto"/>
        </w:rPr>
        <w:t>(unaudited)</w:t>
      </w:r>
    </w:p>
    <w:p>
      <w:pPr>
        <w:spacing w:after="0" w:line="211" w:lineRule="exact"/>
        <w:rPr>
          <w:sz w:val="20"/>
          <w:szCs w:val="20"/>
          <w:color w:val="auto"/>
        </w:rPr>
      </w:pPr>
    </w:p>
    <w:tbl>
      <w:tblPr>
        <w:tblLayout w:type="fixed"/>
        <w:tblInd w:w="1540" w:type="dxa"/>
        <w:tblCellMar>
          <w:top w:w="0" w:type="dxa"/>
          <w:left w:w="0" w:type="dxa"/>
          <w:bottom w:w="0" w:type="dxa"/>
          <w:right w:w="0" w:type="dxa"/>
        </w:tblCellMar>
      </w:tblPr>
      <w:tr>
        <w:trPr>
          <w:trHeight w:val="225"/>
        </w:trPr>
        <w:tc>
          <w:tcPr>
            <w:tcW w:w="24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(35,655)</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(31,254)</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(82,819)</w:t>
            </w:r>
          </w:p>
        </w:tc>
      </w:tr>
      <w:tr>
        <w:trPr>
          <w:trHeight w:val="466"/>
        </w:trPr>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37"/>
        </w:trPr>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(36,647)</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(29,708)</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(83,218)</w:t>
            </w:r>
          </w:p>
        </w:tc>
      </w:tr>
      <w:tr>
        <w:trPr>
          <w:trHeight w:val="27"/>
        </w:trPr>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-668020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-351155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520"/>
            <w:col w:w="8040"/>
          </w:cols>
          <w:pgMar w:left="320" w:top="126"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92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188,435,952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1,020,286</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(491,303)</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529,337</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3,500,485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35,575</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4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(21,080)</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192,311,050</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1,062,029</w:t>
            </w:r>
          </w:p>
        </w:tc>
        <w:tc>
          <w:tcPr>
            <w:tcW w:w="8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(512,383)</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549,358</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2,741,097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20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previously held back for acquisition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consideration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38,438</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0" w:type="dxa"/>
            <w:vAlign w:val="bottom"/>
          </w:tcPr>
          <w:p>
            <w:pPr>
              <w:spacing w:after="0"/>
              <w:rPr>
                <w:sz w:val="1"/>
                <w:szCs w:val="1"/>
                <w:color w:val="auto"/>
              </w:rPr>
            </w:pPr>
          </w:p>
        </w:tc>
      </w:tr>
      <w:tr>
        <w:trPr>
          <w:trHeight w:val="24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195,095,978</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1,103,760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(524,474)</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578,902</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2,456,427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40,400</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0" w:type="dxa"/>
            <w:vAlign w:val="bottom"/>
          </w:tcPr>
          <w:p>
            <w:pPr>
              <w:spacing w:after="0"/>
              <w:rPr>
                <w:sz w:val="1"/>
                <w:szCs w:val="1"/>
                <w:color w:val="auto"/>
              </w:rPr>
            </w:pPr>
          </w:p>
        </w:tc>
      </w:tr>
      <w:tr>
        <w:trPr>
          <w:trHeight w:val="26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198,033,845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1,151,479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(522,557)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630,823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92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173,250,865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854,276</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(373,463)</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480,087</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297,095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3,589,965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for acquisition consideration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subject to service-based vesting</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conditions, in connection with acquisition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4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(28,314)</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177,733,293</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897,575</w:t>
            </w:r>
          </w:p>
        </w:tc>
        <w:tc>
          <w:tcPr>
            <w:tcW w:w="8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(401,777)</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495,421</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3,468,316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36,033</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4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181,161,726</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936,496</w:t>
            </w:r>
          </w:p>
        </w:tc>
        <w:tc>
          <w:tcPr>
            <w:tcW w:w="8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(420,627)</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515,737</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328,272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0" w:type="dxa"/>
            <w:vAlign w:val="bottom"/>
          </w:tcPr>
          <w:p>
            <w:pPr>
              <w:spacing w:after="0"/>
              <w:rPr>
                <w:sz w:val="1"/>
                <w:szCs w:val="1"/>
                <w:color w:val="auto"/>
              </w:rPr>
            </w:pPr>
          </w:p>
        </w:tc>
      </w:tr>
      <w:tr>
        <w:trPr>
          <w:trHeight w:val="20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3,561,018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181,961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37,393</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24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(35,655)</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185,128,562</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983,197</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(456,282)</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525,792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(31,254)</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(82,819)</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101,007</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Donation of common stock</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Disbursement prefunding</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(52,162)</w:t>
            </w:r>
          </w:p>
        </w:tc>
        <w:tc>
          <w:tcPr>
            <w:tcW w:w="0" w:type="dxa"/>
            <w:vAlign w:val="bottom"/>
          </w:tcPr>
          <w:p>
            <w:pPr>
              <w:spacing w:after="0"/>
              <w:rPr>
                <w:sz w:val="1"/>
                <w:szCs w:val="1"/>
                <w:color w:val="auto"/>
              </w:rPr>
            </w:pP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Customer funds receivable</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100,539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(68,553)</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(9,652)</w:t>
            </w:r>
          </w:p>
        </w:tc>
        <w:tc>
          <w:tcPr>
            <w:tcW w:w="0" w:type="dxa"/>
            <w:vAlign w:val="bottom"/>
          </w:tcPr>
          <w:p>
            <w:pPr>
              <w:spacing w:after="0"/>
              <w:rPr>
                <w:sz w:val="1"/>
                <w:szCs w:val="1"/>
                <w:color w:val="auto"/>
              </w:rPr>
            </w:pP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10,448</w:t>
            </w:r>
          </w:p>
        </w:tc>
        <w:tc>
          <w:tcPr>
            <w:tcW w:w="0" w:type="dxa"/>
            <w:vAlign w:val="bottom"/>
          </w:tcPr>
          <w:p>
            <w:pPr>
              <w:spacing w:after="0"/>
              <w:rPr>
                <w:sz w:val="1"/>
                <w:szCs w:val="1"/>
                <w:color w:val="auto"/>
              </w:rPr>
            </w:pP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Customer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29,211</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28,118</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138,850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(25,168)</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acquisition, net of acquired cash, cash equivalents, and restricted cash</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(40,933)</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(12,480)</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12,258</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ESPP</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borrowings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424,000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(993,000)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(424,000)</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settlement of amounts previously held back for acquisition consideration</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assumed indebtedness</w:t>
            </w: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(17,068)</w:t>
            </w:r>
          </w:p>
        </w:tc>
        <w:tc>
          <w:tcPr>
            <w:tcW w:w="0" w:type="dxa"/>
            <w:vAlign w:val="bottom"/>
          </w:tcPr>
          <w:p>
            <w:pPr>
              <w:spacing w:after="0"/>
              <w:rPr>
                <w:sz w:val="1"/>
                <w:szCs w:val="1"/>
                <w:color w:val="auto"/>
              </w:rPr>
            </w:pPr>
          </w:p>
        </w:tc>
      </w:tr>
      <w:tr>
        <w:trPr>
          <w:trHeight w:val="237"/>
        </w:trPr>
        <w:tc>
          <w:tcPr>
            <w:tcW w:w="80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(128,899)</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(76,692)</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325,029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300,734</w:t>
            </w: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326,441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324,434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223,273</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noncurrent assets, net</w:t>
            </w: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326,441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38" w:lineRule="exact"/>
        <w:rPr>
          <w:sz w:val="20"/>
          <w:szCs w:val="20"/>
          <w:color w:val="auto"/>
        </w:rPr>
      </w:pPr>
    </w:p>
    <w:p>
      <w:pPr>
        <w:ind w:right="8080" w:firstLine="8"/>
        <w:spacing w:after="0" w:line="467" w:lineRule="auto"/>
        <w:tabs>
          <w:tab w:leader="none" w:pos="283"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Description of Business Description of Business</w:t>
      </w:r>
    </w:p>
    <w:p>
      <w:pPr>
        <w:spacing w:after="0" w:line="1"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which is now a wholly-owned subsidiary of Remitly Global, Inc.</w:t>
      </w:r>
    </w:p>
    <w:p>
      <w:pPr>
        <w:spacing w:after="0" w:line="117"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Remitly is a trusted provider of digital financial services that transcend borders. With a global footprint spanning more than 170 countries, Remitly’s digitally native, cross-border payments app delights customers with a fast, reliable, and transparent money movement experience.</w:t>
      </w:r>
    </w:p>
    <w:p>
      <w:pPr>
        <w:spacing w:after="0" w:line="97"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Unless otherwise expressly stated or the context otherwise requires, the terms “Remitly” and the “Company” within these notes to the condensed consolidated financial statements refer to Remitly Global, Inc. and its wholly-owned subsidiaries.</w:t>
      </w:r>
    </w:p>
    <w:p>
      <w:pPr>
        <w:spacing w:after="0" w:line="122" w:lineRule="exact"/>
        <w:rPr>
          <w:sz w:val="20"/>
          <w:szCs w:val="20"/>
          <w:color w:val="auto"/>
        </w:rPr>
      </w:pPr>
    </w:p>
    <w:p>
      <w:pPr>
        <w:ind w:right="6120" w:firstLine="8"/>
        <w:spacing w:after="0" w:line="459" w:lineRule="auto"/>
        <w:tabs>
          <w:tab w:leader="none" w:pos="283"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 and Summary of Significant Accounting Policies Basis of Presentation</w:t>
      </w:r>
    </w:p>
    <w:p>
      <w:pPr>
        <w:ind w:right="60"/>
        <w:spacing w:after="0" w:line="263"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data within the Condensed Consolidated Balance Sheets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2023.</w:t>
      </w:r>
    </w:p>
    <w:p>
      <w:pPr>
        <w:spacing w:after="0" w:line="126"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6"/>
          <w:szCs w:val="16"/>
          <w:color w:val="auto"/>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The interim results for the three and nine months ended September 30, 2024 are not necessarily indicative of the results that may be expected for the year ending December 31, 2024, or for any other future annual or interim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169"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The condensed consolidated financial statements include the accounts of Remitly Global, Inc. and its wholly-owned subsidiaries. All intercompany transactions and balances have been eliminated in consolidation.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Reclassification</w:t>
      </w:r>
    </w:p>
    <w:p>
      <w:pPr>
        <w:spacing w:after="0" w:line="1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condensed consolidated financial statements and accompanying notes have been prepared consistently, with the exception of certain prior year amounts which have been reclassified to conform with the current period presentation. Reclassifications include a change in presentation of shares purchased under the ESPP within the Condensed Consolidated Statements of Cash Flows. Beginning in the year ended December 31, 2023, the Company changed the presentation of shares purchased under the Employee Stock Purchase Plan (“ESPP”) to reflect an operating cash outflow for compensation paid to employees and a financing cash inflow for cash paid by employees in exchange for shares. Previously, such activity was treated and disclosed as noncash activity for the nine months ended September 30, 2023. The Company has conformed the prior period statement of cash flows to the current period presentation to enhance transparency and provide comparability.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preparation of the accompanying condensed consolidated financial statements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stock-based compensation expense, the carrying value of operating lease right-of-use assets and operating lease liabilities, the recoverability of deferred tax assets, capitalization of software development costs, goodwill, and intangible assets. The key assumptions applied for the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Financial instruments that potentially expose the Company to concentrations of credit risk consist primarily of cash and cash equivalents, disbursement prefunding, restricted cash, and customer funds receivable. The Company maintains cash,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three and nine months ended September 30, 2024 and 2023.</w:t>
      </w:r>
    </w:p>
    <w:p>
      <w:pPr>
        <w:spacing w:after="0" w:line="141" w:lineRule="exact"/>
        <w:rPr>
          <w:sz w:val="20"/>
          <w:szCs w:val="20"/>
          <w:color w:val="auto"/>
        </w:rPr>
      </w:pPr>
    </w:p>
    <w:p>
      <w:pPr>
        <w:ind w:right="520"/>
        <w:spacing w:after="0" w:line="466" w:lineRule="auto"/>
        <w:rPr>
          <w:sz w:val="20"/>
          <w:szCs w:val="20"/>
          <w:color w:val="auto"/>
        </w:rPr>
      </w:pPr>
      <w:r>
        <w:rPr>
          <w:rFonts w:ascii="Times New Roman" w:cs="Times New Roman" w:eastAsia="Times New Roman" w:hAnsi="Times New Roman"/>
          <w:sz w:val="16"/>
          <w:szCs w:val="16"/>
          <w:color w:val="auto"/>
        </w:rPr>
        <w:t xml:space="preserve">For the three and nine months ended September 30, 2024 and 2023, no individual customer represented 10% or more of total revenues or customer funds receivable. </w:t>
      </w:r>
      <w:r>
        <w:rPr>
          <w:rFonts w:ascii="Times New Roman" w:cs="Times New Roman" w:eastAsia="Times New Roman" w:hAnsi="Times New Roman"/>
          <w:sz w:val="16"/>
          <w:szCs w:val="16"/>
          <w:b w:val="1"/>
          <w:bCs w:val="1"/>
          <w:color w:val="auto"/>
        </w:rPr>
        <w:t>Cash and Cash Equivalents</w:t>
      </w:r>
    </w:p>
    <w:p>
      <w:pPr>
        <w:spacing w:after="0" w:line="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 cash equivalents, so long as the Company has legal title to such amounts held in these accounts. Amounts that are held in accounts for which the Company does not have legal title to are recorded separately on the Condensed Consolidated Balance Sheets, typically as disbursement prefunding balances. Cash and cash equivalents consist of cash on hand and various deposit accounts, including accounts held in the Company’s name for the benefit of the Company’s customers for which the Company has control.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8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color w:val="auto"/>
        </w:rPr>
        <w:t xml:space="preserve">The Company’s significant accounting policies are discussed in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within the notes to consolidated financial statements included in the Company’s Annual Report on Form 10-K for the year ended December 31, 2023. There have been no significant changes to these policies during the nine months ended September 30, 2024, except as noted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w:t>
      </w:r>
    </w:p>
    <w:p>
      <w:pPr>
        <w:spacing w:after="0" w:line="16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color w:val="auto"/>
        </w:rPr>
        <w:t>Advertising expenses are charged to operations as incurred and are included as a component of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within the Condensed Consolidated Statements of Operations. Advertising expenses are used primarily to attract new customers. Advertising expenses totaled $54.6 million and $48.3 million during the three months ended September 30, 2024 and 2023, respectively. Advertising expenses totaled $163.1 million and $123.5 million during the nine months ended September 30,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Not Yet Adopted</w:t>
      </w:r>
    </w:p>
    <w:p>
      <w:pPr>
        <w:spacing w:after="0" w:line="1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 November 2023, the Financial Accounting Standards Board (“FASB”) issued Accounting Standards Update (“ASU”) No. 2023-07, “Segment Reporting (Topic 280): Improvements to Reportable Segment Disclosures” (“ASU 2023-07”),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Early adoption is permitted. The guidance is to be applied retrospectively to all prior periods presented in the financial statements. The Company will adopt this new guidance beginning with its annual report for fiscal year ending December 31, 2024. The Company is currently evaluating the potential impact of adopting this new guidance to its condensed consolidated financial statements and related disclosures.</w:t>
      </w:r>
    </w:p>
    <w:p>
      <w:pPr>
        <w:spacing w:after="0" w:line="1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w:t>
      </w:r>
    </w:p>
    <w:p>
      <w:pPr>
        <w:spacing w:after="0" w:line="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The Company is currently evaluating the potential impact of adopting this new guidance to its condensed consolidated financial statements and related disclosures.</w:t>
      </w:r>
    </w:p>
    <w:p>
      <w:pPr>
        <w:spacing w:after="0" w:line="14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There are other new accounting pronouncements issued by the FASB that the Company has adopted or will adopt, as applicable. The Company does not believe any of these accounting pronouncements have had, or will have, a material impact on the condensed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w:t>
      </w:r>
    </w:p>
    <w:p>
      <w:pPr>
        <w:spacing w:after="0" w:line="1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 xml:space="preserve">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in an amount that reflects the consideration the Company expects to be entitled to in exchange for services provided, when control of these services is transferred to the Company’s customers, which is the time the funds have been delivered to the intended recipient. The Company accounts for revenue in accordance with Accounting Standards Codification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which includes the following steps:</w:t>
      </w:r>
    </w:p>
    <w:p>
      <w:pPr>
        <w:spacing w:after="0" w:line="12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 with a customer;</w:t>
      </w:r>
    </w:p>
    <w:p>
      <w:pPr>
        <w:spacing w:after="0" w:line="18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performance obligations in the contract;</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transaction price;</w:t>
      </w:r>
    </w:p>
    <w:p>
      <w:pPr>
        <w:spacing w:after="0" w:line="18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the transaction price to the performance obligations in the contract; and</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 when, or as, the Company satisfies a performance obligation.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Customers engage the Company to perform one integrated service—collect the customer’s money and deliver funds to the intended recipient in the currency requested.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 is generally due from the customer upfront upon initiation of a transaction, when the customer simultaneously agrees to the Company’s terms and conditions.</w:t>
      </w:r>
    </w:p>
    <w:p>
      <w:pPr>
        <w:spacing w:after="0" w:line="159"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6"/>
          <w:szCs w:val="16"/>
          <w:color w:val="auto"/>
        </w:rPr>
        <w:t>Revenue is derived from each transaction and varies based on the funding method chosen by the customer, the size of the transaction, the currency to be ultimately disbursed, the rate at which the currency was purchased, the disbursement method chosen by the customer, and the country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3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spacing w:after="0" w:line="1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 w:cs="Times New Roman" w:eastAsia="Times New Roman" w:hAnsi="Times New Roman"/>
          <w:sz w:val="16"/>
          <w:szCs w:val="16"/>
          <w:i w:val="1"/>
          <w:iCs w:val="1"/>
          <w:color w:val="auto"/>
        </w:rPr>
        <w:t>Transaction expenses</w:t>
      </w:r>
      <w:r>
        <w:rPr>
          <w:rFonts w:ascii="Times New Roman" w:cs="Times New Roman" w:eastAsia="Times New Roman" w:hAnsi="Times New Roman"/>
          <w:sz w:val="16"/>
          <w:szCs w:val="16"/>
          <w:color w:val="auto"/>
        </w:rPr>
        <w:t>’ within the Condensed Consolidated Statements of Operations. The Company does not have any capitalized contract acquisition costs.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deferred revenue balances from contracts with customers were as follows for the three and nine months ended September 30, 2024 and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beginning of the period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r>
      <w:tr>
        <w:trPr>
          <w:trHeight w:val="23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end of the period</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r>
      <w:tr>
        <w:trPr>
          <w:trHeight w:val="226"/>
        </w:trPr>
        <w:tc>
          <w:tcPr>
            <w:tcW w:w="4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2"/>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 from amounts included in deferred revenue at the</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the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revenue represents amounts received from customers for which the performance obligations are not yet fulfilled. Deferred revenue is primarily included within</w:t>
      </w:r>
    </w:p>
    <w:p>
      <w:pPr>
        <w:spacing w:after="0" w:line="2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Accrued expenses and other current liabilities</w:t>
      </w:r>
      <w:r>
        <w:rPr>
          <w:rFonts w:ascii="Times New Roman" w:cs="Times New Roman" w:eastAsia="Times New Roman" w:hAnsi="Times New Roman"/>
          <w:sz w:val="16"/>
          <w:szCs w:val="16"/>
          <w:color w:val="auto"/>
        </w:rPr>
        <w:t>’ on the Condensed Consolidated Balance Sheets, as the performance obligations are expected to be fulfilled within the next year.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Incentives</w:t>
      </w:r>
    </w:p>
    <w:p>
      <w:pPr>
        <w:spacing w:after="0" w:line="16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within the Condensed Consolidated Statements of Operations. In addition, referral credits given to a referrer are classified as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as these incentives are paid in exchange for a distinct service.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Company’s sales incentives for the three and nine months ended September 30,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 to 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24,123</w:t>
            </w:r>
          </w:p>
        </w:tc>
      </w:tr>
      <w:tr>
        <w:trPr>
          <w:trHeight w:val="27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expenses</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16,136</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13,292</w:t>
            </w:r>
          </w:p>
        </w:tc>
      </w:tr>
      <w:tr>
        <w:trPr>
          <w:trHeight w:val="268"/>
        </w:trPr>
        <w:tc>
          <w:tcPr>
            <w:tcW w:w="4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sales incentives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by Geography</w:t>
      </w:r>
    </w:p>
    <w:p>
      <w:pPr>
        <w:spacing w:after="0" w:line="169"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Company’s revenue disaggregated by primary geographical location for the three and nine months ended September 30, 2024 and 2023, attributed to the country in which the sending customer is located: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9"/>
                <w:szCs w:val="19"/>
                <w:color w:val="auto"/>
              </w:rPr>
            </w:pPr>
          </w:p>
        </w:tc>
        <w:tc>
          <w:tcPr>
            <w:tcW w:w="302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219,066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596,343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458,815</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103,681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81,838</w:t>
            </w:r>
          </w:p>
        </w:tc>
        <w:tc>
          <w:tcPr>
            <w:tcW w:w="0" w:type="dxa"/>
            <w:vAlign w:val="bottom"/>
          </w:tcPr>
          <w:p>
            <w:pPr>
              <w:spacing w:after="0"/>
              <w:rPr>
                <w:sz w:val="1"/>
                <w:szCs w:val="1"/>
                <w:color w:val="auto"/>
              </w:rPr>
            </w:pP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81,439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212,044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138,874</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336,527</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241,629</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912,068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679,527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4.  Prepaid Expenses &amp; Other Current Assets</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4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 consisted of the following:</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1"/>
                <w:szCs w:val="21"/>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8,902</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card receivable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15,599</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receivable</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cloud computing arrangement costs, net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compensation arrangements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prepaid expenses and other current assets</w:t>
            </w:r>
          </w:p>
        </w:tc>
        <w:tc>
          <w:tcPr>
            <w:tcW w:w="2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0" w:type="dxa"/>
            <w:vAlign w:val="bottom"/>
          </w:tcPr>
          <w:p>
            <w:pPr>
              <w:spacing w:after="0"/>
              <w:rPr>
                <w:sz w:val="1"/>
                <w:szCs w:val="1"/>
                <w:color w:val="auto"/>
              </w:rPr>
            </w:pPr>
          </w:p>
        </w:tc>
      </w:tr>
      <w:tr>
        <w:trPr>
          <w:trHeight w:val="268"/>
        </w:trPr>
        <w:tc>
          <w:tcPr>
            <w:tcW w:w="4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  Property and Equipment</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1"/>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 as of September 30, 2024 and December 31, 2023:</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23,195</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Projects in process</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gross property and equipment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42,440</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24,364</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16,010</w:t>
            </w:r>
          </w:p>
        </w:tc>
      </w:tr>
      <w:tr>
        <w:trPr>
          <w:trHeight w:val="21"/>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Depreciation and amortization expense related to property and equipment was $2.9 million and $2.2 million for the three months ended September 30, 2024 and 2023, respectively.</w:t>
      </w:r>
    </w:p>
    <w:p>
      <w:pPr>
        <w:spacing w:after="0" w:line="97"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Depreciation and amortization expense related to property and equipment was $8.1 million and $6.0 million for the nine months ended September 30, 2024 and 2023,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Capitalized Internal-Use Software Costs</w:t>
      </w:r>
    </w:p>
    <w:p>
      <w:pPr>
        <w:spacing w:after="0" w:line="169"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Company’s capitalized internal-use software, including amortization expense recognized, for the three and nine months ended September 30,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capitalized internal-use software costs</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w:t>
            </w:r>
          </w:p>
        </w:tc>
      </w:tr>
      <w:tr>
        <w:trPr>
          <w:trHeight w:val="23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costs capitalized to internal-use software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r>
      <w:tr>
        <w:trPr>
          <w:trHeight w:val="25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w:t>
            </w:r>
          </w:p>
        </w:tc>
      </w:tr>
      <w:tr>
        <w:trPr>
          <w:trHeight w:val="277"/>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ind w:left="140" w:hanging="132"/>
        <w:spacing w:after="0"/>
        <w:tabs>
          <w:tab w:leader="none" w:pos="1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are inclusive of stock-based compensation costs capitalized to internal-use software as denoted within the table.</w:t>
      </w:r>
    </w:p>
    <w:p>
      <w:pPr>
        <w:spacing w:after="0" w:line="11" w:lineRule="exact"/>
        <w:rPr>
          <w:rFonts w:ascii="Times New Roman" w:cs="Times New Roman" w:eastAsia="Times New Roman" w:hAnsi="Times New Roman"/>
          <w:sz w:val="9"/>
          <w:szCs w:val="9"/>
          <w:color w:val="auto"/>
        </w:rPr>
      </w:pPr>
    </w:p>
    <w:p>
      <w:pPr>
        <w:ind w:left="140" w:hanging="132"/>
        <w:spacing w:after="0" w:line="228" w:lineRule="auto"/>
        <w:tabs>
          <w:tab w:leader="none" w:pos="14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are included within ‘</w:t>
      </w:r>
      <w:r>
        <w:rPr>
          <w:rFonts w:ascii="Times New Roman" w:cs="Times New Roman" w:eastAsia="Times New Roman" w:hAnsi="Times New Roman"/>
          <w:sz w:val="12"/>
          <w:szCs w:val="12"/>
          <w:i w:val="1"/>
          <w:iCs w:val="1"/>
          <w:color w:val="auto"/>
        </w:rPr>
        <w:t>Depreciation and amortization</w:t>
      </w:r>
      <w:r>
        <w:rPr>
          <w:rFonts w:ascii="Times New Roman" w:cs="Times New Roman" w:eastAsia="Times New Roman" w:hAnsi="Times New Roman"/>
          <w:sz w:val="12"/>
          <w:szCs w:val="12"/>
          <w:color w:val="auto"/>
        </w:rPr>
        <w:t>’ within the Condensed Consolidated Statements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Capitalized Costs of Cloud Computing Arrangements</w:t>
      </w:r>
    </w:p>
    <w:p>
      <w:pPr>
        <w:spacing w:after="0" w:line="169"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Company’s capitalized costs related to the implementation of cloud computing arrangements, including amortization expense recognized, for the three and nine months ended September 30,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60" w:type="dxa"/>
            <w:vAlign w:val="bottom"/>
          </w:tcPr>
          <w:p>
            <w:pPr>
              <w:spacing w:after="0"/>
              <w:rPr>
                <w:sz w:val="19"/>
                <w:szCs w:val="19"/>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capitalized cloud computing arrangement costs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859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r>
      <w:tr>
        <w:trPr>
          <w:trHeight w:val="216"/>
        </w:trPr>
        <w:tc>
          <w:tcPr>
            <w:tcW w:w="4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r>
      <w:tr>
        <w:trPr>
          <w:trHeight w:val="236"/>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68"/>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amortization expense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Company’s total capitalized cloud computing arrangement costs, net of accumulated amortization, on the Condensed Consolidated Balance Sheets as of September 30, 2024 and December 31,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w:t>
            </w:r>
          </w:p>
        </w:tc>
      </w:tr>
      <w:tr>
        <w:trPr>
          <w:trHeight w:val="26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capitalized cloud computing arrangement costs,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significant acquisitions accounted for as business combinations or divestitures completed in the nine months ended September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Completed in 2023</w:t>
      </w:r>
    </w:p>
    <w:p>
      <w:pPr>
        <w:spacing w:after="0" w:line="16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The Company completed its acquisition of Rewire (O.S.G.) Research and Development Ltd. (“Rewire”) on January 5, 2023 by acquiring all outstanding equity interests of Rewire in exchange for cash and equity consideration, described below. The acquisition of Rewire allows the Company to accelerate its opportunity to differentiate the remittance experience with complementary products, by bringing together its remittance businesses in new geographies, along with a strong team that is culturally aligned with the Company.</w:t>
      </w:r>
    </w:p>
    <w:p>
      <w:pPr>
        <w:spacing w:after="0" w:line="13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color w:val="auto"/>
        </w:rPr>
        <w:t xml:space="preserve">The acquisition met the criteria to be accounted for as a business combination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This method required, among other things, that assets acquired and liabilities assumed be recognized at their fair values as of the acquisition date and that the difference between the fair value of the consideration paid for the acquired entity and the fair value of the net assets acquired be recorded as goodwill, which is not amortized but is tested at least annually for impairment.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Consideration Transferred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acquisition date fair value of consideration transferred for the acquisition totaled $77.9 million,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to selling shareholders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56,398</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issued to selling shareholders, including replacement of equity awards attributable to pre-combination services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Holdback liability to be settled in cash and Company equity</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11,899</w:t>
            </w:r>
          </w:p>
        </w:tc>
      </w:tr>
      <w:tr>
        <w:trPr>
          <w:trHeight w:val="237"/>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Effective settlement of pre-existing net receivable owed to the Company</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r>
      <w:tr>
        <w:trPr>
          <w:trHeight w:val="268"/>
        </w:trPr>
        <w:tc>
          <w:tcPr>
            <w:tcW w:w="9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fair value of equity was determined based on the closing price of the Company’s common stock immediately prior to acquisition, and includes 694,918 shares issued in Company common stock, inclusive of 104,080 shares which are subject to service-based vesting conditions over a two-year period. Approximately $0.6 million of these proceeds were accounted for as pre-combination expense, and included within the total consideration transferred noted above, with the remaining $0.9 million to be recognized as post-combination share-based compensation expense over the requisite service period. The equity issued excluded 133,309 shares and restricted stock units held back and not legally issued at the acquisition date, as further discussed below.</w:t>
      </w:r>
    </w:p>
    <w:p>
      <w:pPr>
        <w:spacing w:after="0" w:line="14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Approximately $11.9 million of the cash and equity proceeds were held back to satisfy any necessary adjustments, including without limitation, indemnification claims related to general representations and warranties, and any net working capital adjustments. As of the acquisition date, the majority of this holdback was expected to be settled in cash, with the remainder in 133,309 shares of Company common stock and restricted stock units. Such amounts were subject to a 15-month holdback period, net of any amounts necessary to satisfy all unsatisfied or disputed claims for indemnification and net working capital adjustments. As of the acquisition date, this represented approximately $10.4 million in cash and $1.5 million in equity, as discussed above, issuable at the end of the holdback period in the Company’s common stock, subject to the aforementioned adjustments. Refer to the discussion below regarding the settlement of the holdback consideration during the nine months ended September 30, 2024.</w:t>
      </w:r>
    </w:p>
    <w:p>
      <w:pPr>
        <w:spacing w:after="0" w:line="12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Included in consideration transferred is the settlement of a pre-existing net receivable owed to the Company by Rewire, which was effectively settled and became intercompany arrangements as of the closing of the transaction. Excluding the impact of the outstanding net receivable owed to the Company by Rewire, the Company would have paid $2.4 million more for the business at closing, and therefore the GAAP purchase price reflects an increase in that amount. The settlement of pre-existing relationships between the Company and Rewire did not result in any material gain or loss. The change in the pre-existing receivable to an intercompany receivable has been considered as a noncash activity reflected within the operating activities of the Condensed Consolidated Statements of Cash Flows.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Holdback Liability</w:t>
      </w:r>
    </w:p>
    <w:p>
      <w:pPr>
        <w:spacing w:after="0" w:line="1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The holdback of cash and equity proceeds discussed above was recorded at its acquisition date fair value and was classified as a liability within ‘</w:t>
      </w:r>
      <w:r>
        <w:rPr>
          <w:rFonts w:ascii="Times New Roman" w:cs="Times New Roman" w:eastAsia="Times New Roman" w:hAnsi="Times New Roman"/>
          <w:sz w:val="16"/>
          <w:szCs w:val="16"/>
          <w:i w:val="1"/>
          <w:iCs w:val="1"/>
          <w:color w:val="auto"/>
        </w:rPr>
        <w:t>Other noncurrent liabilities</w:t>
      </w:r>
      <w:r>
        <w:rPr>
          <w:rFonts w:ascii="Times New Roman" w:cs="Times New Roman" w:eastAsia="Times New Roman" w:hAnsi="Times New Roman"/>
          <w:sz w:val="16"/>
          <w:szCs w:val="16"/>
          <w:color w:val="auto"/>
        </w:rPr>
        <w:t xml:space="preserve">’ on the Condensed Consolidated Balance Sheets at the acquisition date. The portion of the holdback settled in Company shares was recorded at its fair value through its settlement date, with changes recorded to earnings. The estimated fair value of the portion of the holdback liability settled in equity used both observable and unobservable inputs, specifically considering the price of the Company’s common stock, as well as the probability of payout at the end of the holdback period, and was considered a Level 3 measurement, as defined in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820”).</w:t>
      </w:r>
    </w:p>
    <w:p>
      <w:pPr>
        <w:spacing w:after="0" w:line="12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There was no change in the fair value of the holdback liability during the three months ended September 30, 2024, as the holdback was settled in April 2024. The Company recorded $0.2 million during the nine months ended September 30, 2024 to reflect the change in the fair value of the holdback liability through the date of settlement.The Company recorded $0.9 million and $1.9 million during the three and nine months ended September 30, 2023, respectively, to reflect the change in the fair value of the holdback liability. Such amounts were recorded within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within the Condensed Consolidated Statements of Operations.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 April 2024, the holdback liability discussed above was settled with a cash payment of $10.3 million and with $2.8 million of equity consideration, consisting of 131,507 shares of the Company’s common stock and restricted stock units. The holdback settlement was adjusted for immaterial post-closing net purchase price adjustments identified during the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Assets Acquired and Liabilities Assumed</w:t>
      </w:r>
    </w:p>
    <w:p>
      <w:pPr>
        <w:spacing w:after="0" w:line="1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identifiable assets acquired and liabilities assumed of Rewire were recorded at their preliminary fair values as of the acquisition date and consolidated with those of the Company. Assigning fair market values to the assets acquired and liabilities assumed at the date of an acquisition requires the use of significant judgments regarding estimates and assumptions. The fair values of intangible assets were estimated using inputs classified as Level 3 under the income and cost approaches, including the multi-period excess earnings method for developed technology. The key assumptions in applying the income approach used in valuing the identified intangible assets include revenue growth rates for a hypothetical market participant, selected discount rates, as well as migration curves for developed technology. The following table summarizes the allocation of the purchase consideration to the assets acquired and liabilities assumed based on their acquisition-date fair values: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12"/>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Allocation</w:t>
            </w:r>
          </w:p>
        </w:tc>
      </w:tr>
      <w:tr>
        <w:trPr>
          <w:trHeight w:val="33"/>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15,465</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Disbursement prefunding</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funds receivable, net</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 net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3"/>
        </w:trPr>
        <w:tc>
          <w:tcPr>
            <w:tcW w:w="9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53"/>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w:t>
            </w:r>
          </w:p>
        </w:tc>
      </w:tr>
      <w:tr>
        <w:trPr>
          <w:trHeight w:val="233"/>
        </w:trPr>
        <w:tc>
          <w:tcPr>
            <w:tcW w:w="9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54,940</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liabilities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r>
      <w:tr>
        <w:trPr>
          <w:trHeight w:val="25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for future deposits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assumed indebtedness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(16,234)</w:t>
            </w:r>
          </w:p>
        </w:tc>
      </w:tr>
      <w:tr>
        <w:trPr>
          <w:trHeight w:val="24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net</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243"/>
        </w:trPr>
        <w:tc>
          <w:tcPr>
            <w:tcW w:w="9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77,914</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2023, the valuation of assets acquired and liabilities assumed of Rewire was complete.</w:t>
      </w:r>
    </w:p>
    <w:p>
      <w:pPr>
        <w:spacing w:after="0" w:line="16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excess of the purchase consideration over the fair value of net tangible and identifiable intangible assets acquired was recorded as goodwill and is primarily attributable to the revenue and cost synergies expected to arise from the acquisition through continued geographic expansion and product differentiation, along with the acquired workforce of Rewire. Goodwill is deductible for income tax purposes. The acquisition did not change the Company’s one operating segment.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Acquired Receivables</w:t>
      </w:r>
    </w:p>
    <w:p>
      <w:pPr>
        <w:spacing w:after="0" w:line="181"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6"/>
          <w:szCs w:val="16"/>
          <w:color w:val="auto"/>
        </w:rPr>
        <w:t>The fair value of the financial assets acquired include ‘</w:t>
      </w:r>
      <w:r>
        <w:rPr>
          <w:rFonts w:ascii="Times New Roman" w:cs="Times New Roman" w:eastAsia="Times New Roman" w:hAnsi="Times New Roman"/>
          <w:sz w:val="16"/>
          <w:szCs w:val="16"/>
          <w:i w:val="1"/>
          <w:iCs w:val="1"/>
          <w:color w:val="auto"/>
        </w:rPr>
        <w:t>Disbursement prefunding’</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Customer funds receivable, ne</w:t>
      </w:r>
      <w:r>
        <w:rPr>
          <w:rFonts w:ascii="Times New Roman" w:cs="Times New Roman" w:eastAsia="Times New Roman" w:hAnsi="Times New Roman"/>
          <w:sz w:val="16"/>
          <w:szCs w:val="16"/>
          <w:color w:val="auto"/>
        </w:rPr>
        <w:t>t,’ with a fair value of $6.0 million and $3.4 million, respectively, as disclosed above. The Company has collected substantially all of these receivables.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Costs</w:t>
      </w:r>
    </w:p>
    <w:p>
      <w:pPr>
        <w:spacing w:after="0" w:line="18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There were no transaction costs for the three months ended September 30, 2024. Transaction costs totaled $0.2 million for the nine months ended September 30, 2024, which related to the change in the fair value of the holdback liability. Transaction costs totaled $0.9 million and $2.3 million for the three and nine months ended September 30, 2023, respectively, which included $0.9 million and $1.9 million, respectively, for the change in the fair value of the holdback liability. Transaction costs are primarily related to the Company’s aforementioned acquisition of Rewire.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Disclosures</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The results of operations of Rewire are included within the accompanying Condensed Consolidated Statements of Operations and Comprehensive Income (Loss) since the date of the acquisition.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hanging="292"/>
        <w:spacing w:after="0"/>
        <w:tabs>
          <w:tab w:leader="none" w:pos="30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Intangible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intangible assets as of September 30, 2024 and December 31, 2023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9"/>
        </w:trPr>
        <w:tc>
          <w:tcPr>
            <w:tcW w:w="1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9"/>
        </w:trPr>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r>
      <w:tr>
        <w:trPr>
          <w:trHeight w:val="148"/>
        </w:trPr>
        <w:tc>
          <w:tcPr>
            <w:tcW w:w="1820" w:type="dxa"/>
            <w:vAlign w:val="bottom"/>
          </w:tcPr>
          <w:p>
            <w:pPr>
              <w:spacing w:after="0"/>
              <w:rPr>
                <w:sz w:val="12"/>
                <w:szCs w:val="12"/>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Gross Carrying</w:t>
            </w:r>
          </w:p>
        </w:tc>
        <w:tc>
          <w:tcPr>
            <w:tcW w:w="12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8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Estimated Remaining</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12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Estimated Remaining</w:t>
            </w:r>
          </w:p>
        </w:tc>
      </w:tr>
      <w:tr>
        <w:trPr>
          <w:trHeight w:val="180"/>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5"/>
                <w:szCs w:val="15"/>
                <w:color w:val="auto"/>
              </w:rPr>
            </w:pP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Useful Life (in years)</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5"/>
                <w:szCs w:val="15"/>
                <w:color w:val="auto"/>
              </w:rPr>
            </w:pPr>
          </w:p>
        </w:tc>
        <w:tc>
          <w:tcPr>
            <w:tcW w:w="8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Useful Life (in years)</w:t>
            </w:r>
          </w:p>
        </w:tc>
      </w:tr>
      <w:tr>
        <w:trPr>
          <w:trHeight w:val="29"/>
        </w:trPr>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3"/>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29"/>
        </w:trPr>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Developed technology</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95"/>
        </w:trPr>
        <w:tc>
          <w:tcPr>
            <w:tcW w:w="1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12,548</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16,642</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
        </w:trPr>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acquired identified intangible assets have estimated useful lives ranging from three to four years. Amortization expense for intangible assets was $1.7 million and</w:t>
      </w:r>
    </w:p>
    <w:p>
      <w:pPr>
        <w:spacing w:after="0" w:line="26"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6"/>
          <w:szCs w:val="16"/>
          <w:color w:val="auto"/>
        </w:rPr>
        <w:t>$1.2 million for the three months ended September 30, 2024 and 2023, respectively. Amortization expense for intangible assets was $4.1 million and $3.6 million for the nine months ended September 30, 2024 and 2023,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future intangible asset amortization as of September 30, 2024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8,338</w:t>
            </w:r>
          </w:p>
        </w:tc>
      </w:tr>
      <w:tr>
        <w:trPr>
          <w:trHeight w:val="24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r>
      <w:tr>
        <w:trPr>
          <w:trHeight w:val="243"/>
        </w:trPr>
        <w:tc>
          <w:tcPr>
            <w:tcW w:w="9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12,548</w:t>
            </w:r>
          </w:p>
        </w:tc>
      </w:tr>
      <w:tr>
        <w:trPr>
          <w:trHeight w:val="20"/>
        </w:trPr>
        <w:tc>
          <w:tcPr>
            <w:tcW w:w="9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8.</w:t>
        <w:tab/>
        <w:t>Fair Value Measurements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financial assets and liabilities that were measured at fair value on a recurring basis as of September 30, 2024.</w:t>
      </w:r>
    </w:p>
    <w:p>
      <w:pPr>
        <w:spacing w:after="0" w:line="165" w:lineRule="exact"/>
        <w:rPr>
          <w:sz w:val="20"/>
          <w:szCs w:val="20"/>
          <w:color w:val="auto"/>
        </w:rPr>
      </w:pPr>
    </w:p>
    <w:p>
      <w:pPr>
        <w:ind w:right="540"/>
        <w:spacing w:after="0" w:line="301" w:lineRule="auto"/>
        <w:rPr>
          <w:sz w:val="20"/>
          <w:szCs w:val="20"/>
          <w:color w:val="auto"/>
        </w:rPr>
      </w:pPr>
      <w:r>
        <w:rPr>
          <w:rFonts w:ascii="Times New Roman" w:cs="Times New Roman" w:eastAsia="Times New Roman" w:hAnsi="Times New Roman"/>
          <w:sz w:val="16"/>
          <w:szCs w:val="16"/>
          <w:color w:val="auto"/>
        </w:rPr>
        <w:t xml:space="preserve">Except for the holdback liability related to the Rewire acquisition discussed in Note 6.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there were no financial assets and liabilities that were measured at fair value on a recurring basis as of December 31, 2023.</w:t>
      </w:r>
    </w:p>
    <w:p>
      <w:pPr>
        <w:spacing w:after="0" w:line="94"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The carrying values of certain financial instruments, including disbursement prefunding, customer funds receivable, accounts payable, accrued expenses and other current liabilities, customer liabilities, short-term debt, and long-term debt, approximate their respective fair values due to their relative short maturities. If these financial instruments were measured at fair value in the financial statements, they would be classified as Level 2.</w:t>
      </w:r>
    </w:p>
    <w:p>
      <w:pPr>
        <w:spacing w:after="0" w:line="115" w:lineRule="exact"/>
        <w:rPr>
          <w:sz w:val="20"/>
          <w:szCs w:val="20"/>
          <w:color w:val="auto"/>
        </w:rPr>
      </w:pPr>
    </w:p>
    <w:p>
      <w:pPr>
        <w:ind w:left="300" w:hanging="292"/>
        <w:spacing w:after="0"/>
        <w:tabs>
          <w:tab w:leader="none" w:pos="30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Secured Revolving Credit Facility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 Revolving Credit Facility</w:t>
      </w:r>
    </w:p>
    <w:p>
      <w:pPr>
        <w:spacing w:after="0" w:line="185"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6"/>
          <w:szCs w:val="16"/>
          <w:color w:val="auto"/>
        </w:rPr>
        <w:t>On September 13, 2021, Remitly Global, Inc. and Remitly, Inc., a wholly-owned subsidiary of Remitly Global, Inc., as co-borrowers, entered into a credit agreement (the “2021 Revolving Credit Facility”) with certain lenders and JPMorgan Chase Bank, N.A. acting as administrative agent and collateral agent, that provided for revolving commitments of $250.0 million (including a $60.0 million letter of credit sub-facility) and terminated its then-existing 2020 Credit Agreement.</w:t>
      </w:r>
    </w:p>
    <w:p>
      <w:pPr>
        <w:spacing w:after="0" w:line="13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2021 Revolving Credit Facility was amended on June 26, 2023 to reflect changes in the applicable interest rate as a result of the sunsetting of the LIBOR interest rate, as noted below. The 2021 Revolving Credit Facility was further amended on December 20, 2023 to increase the revolving commitments from $250.0 million (including a $60.0 million letter of credit sub-facility) to $325.0 million. All other terms of the 2021 Revolving Credit Facility remained unchanged.</w:t>
      </w:r>
    </w:p>
    <w:p>
      <w:pPr>
        <w:spacing w:after="0" w:line="115"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6"/>
          <w:szCs w:val="16"/>
          <w:color w:val="auto"/>
        </w:rPr>
        <w:t>As of September 30, 2024 and December 31, 2023, $0.9 million and $1.2 million, respectively, of unamortized debt issuance costs were included within ‘</w:t>
      </w:r>
      <w:r>
        <w:rPr>
          <w:rFonts w:ascii="Times New Roman" w:cs="Times New Roman" w:eastAsia="Times New Roman" w:hAnsi="Times New Roman"/>
          <w:sz w:val="16"/>
          <w:szCs w:val="16"/>
          <w:i w:val="1"/>
          <w:iCs w:val="1"/>
          <w:color w:val="auto"/>
        </w:rPr>
        <w:t>Other noncurrent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assets</w:t>
      </w:r>
      <w:r>
        <w:rPr>
          <w:rFonts w:ascii="Times New Roman" w:cs="Times New Roman" w:eastAsia="Times New Roman" w:hAnsi="Times New Roman"/>
          <w:sz w:val="16"/>
          <w:szCs w:val="16"/>
          <w:color w:val="auto"/>
        </w:rPr>
        <w:t>’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2021 Revolving Credit Facility has a maturity date of September 13, 2026. Borrowings under the 2021 Revolving Credit Facility after the June 26, 2023 amendment accrue interest at a floating rate per annum equal to, at the Company’s option, (1) the Alternate Base Rate (defined in the 2021 Revolving Credit Facility as the rate per annum equal to the highest of (a) the Prime Rate in effect on such day, (b) the NYFRB Rate in effect for such day plus 0.50%, and (c) the Adjusted Term SOFR Rate for an interest period of one month plus 1.00% (subject to a floor of 1.00%) plus 0.50% per annum) or (2) the Adjusted Term SOFR Rate (subject to a floor of 0.00%) plus 1.50% per annum. Such interest is payable (a) with respect to loans bearing interest based on the Alternate Base Rate, the last day of each March, June, September, and December and (b) with respect to loans bearing interest based on the Adjusted Term SOFR Rate,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w:t>
      </w:r>
    </w:p>
    <w:p>
      <w:pPr>
        <w:spacing w:after="0" w:line="1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2021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September 30, 2024 and December 31, 2023, financial covenants in the 2021 Revolving Credit Facility include (1) a requirement to maintain a minimum Adjusted Quick Ratio of 1.50:1.00, which is tested quarterly and (2) a requirement to maintain a minimum Liquidity of $100.0 million, which is tested quarterly. The Company was in compliance with all financial covenants under the 2021 Revolving Credit Facility as of September 30, 2024 and December 31, 2023.</w:t>
      </w:r>
    </w:p>
    <w:p>
      <w:pPr>
        <w:spacing w:after="0" w:line="127"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The obligations under the 2021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2021 Revolving Credit Facility may fluctuate depending on transaction volumes and seasonality.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2024, the Company had no outstanding borrowings under the 2021 Revolving Credit Facility. As of December 31, 2023, the Company had</w:t>
      </w:r>
    </w:p>
    <w:p>
      <w:pPr>
        <w:spacing w:after="0" w:line="2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$130.0 million outstanding borrowings under the 2021 Revolving Credit Facility. As of December 31, 2023, the weighted-average interest rate was 9.0%. As of September 30, 2024 and December 31, 2023, the Company had unused borrowing capacity of $276.3 million and $146.8 million, respectively, under the 2021 Revolving Credit Facility. As of September 30, 2024 and December 31, 2023, the Company had $49.3 million and $49.4 million, respectively, in issued, but undrawn, standby letters of credit.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Advance for Future Deposits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part of the acquisition of Rewire, the Company assumed short-term indebtedness of Rewire that represents an advance for future deposits from Rewire’s amended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with one of its financial partners (the “Amendment” and the “Depositor,” respectively) entered into in October 2021. The Amendment has a maturity date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2024. The Depositor made an advance payment to Rewire with respect to future deposits (the “Advance for Future Deposits”). The original amount of 9.0 million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Israeli shekel, approximately $2.8 million, was transferred as an advance under the Amendment. As of September 30, 2024 and December 31, 2023, the Company had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 million and $2.5 million outstanding under the Amendment, respectively, and was included within ‘</w:t>
      </w:r>
      <w:r>
        <w:rPr>
          <w:rFonts w:ascii="Times New Roman" w:cs="Times New Roman" w:eastAsia="Times New Roman" w:hAnsi="Times New Roman"/>
          <w:sz w:val="16"/>
          <w:szCs w:val="16"/>
          <w:i w:val="1"/>
          <w:iCs w:val="1"/>
          <w:color w:val="auto"/>
        </w:rPr>
        <w:t>Short-term debt</w:t>
      </w:r>
      <w:r>
        <w:rPr>
          <w:rFonts w:ascii="Times New Roman" w:cs="Times New Roman" w:eastAsia="Times New Roman" w:hAnsi="Times New Roman"/>
          <w:sz w:val="16"/>
          <w:szCs w:val="16"/>
          <w:color w:val="auto"/>
        </w:rPr>
        <w:t>’ on the 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 in the outstanding balance is driven by the change in the foreign exchange conversion rate. The Advance for Future Deposits bears a floating interest rate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 Israeli Prime per annum, paid on a monthly basis. The Israeli Prime rate is defined as the Bank of Israel rate + 1.5%. As of both September 30, 2024 and December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 2023, the weighted-average interest rate was 3.0%.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Assumed Short-term Debt of Rewire</w:t>
      </w:r>
    </w:p>
    <w:p>
      <w:pPr>
        <w:spacing w:after="0" w:line="16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As part of the acquisition of Rewire, the Company assumed the amounts due on a revolving credit line that Rewire had entered into in 2021 and the amounts due on a bridge loan that Rewire had entered into in 2022. The total outstanding amounts were repaid during the nine months ended September 30, 2023, along with certain other acquired indebtedness, subsequent to the Company’s acquisition of Rewire and were included within the Condensed Consolidated Statements of Cash Flows as a financing activity.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10.</w:t>
        <w:tab/>
        <w:t>Net Income (Loss) Per Common Share</w:t>
      </w:r>
    </w:p>
    <w:p>
      <w:pPr>
        <w:spacing w:after="0" w:line="16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The following table presents the calculation of basic and diluted net income (loss) per share attributable to common stockholders for the periods indicated. Basic net income (loss) per share is calculated using the weighted-average number of shares of common stock outstanding during the period. Diluted net income per share is calculated using the weighted-average number of shares of common stock outstanding including the dilutive effect of all potential shares of common stock as determined under the treasury stock method. Dilutive common shares primarily include outstanding stock options, unvested RSUs, and ESPP related shares. In periods when the Company reported a net loss, diluted net loss per share is the same as basic net loss per share because the effects of potentially dilutive items were anti-dilutive.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(35,655)</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(31,254)</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(82,819)</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attributable to common stockholders: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196,169,417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182,598,013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193,167,942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178,956,602</w:t>
            </w:r>
          </w:p>
        </w:tc>
        <w:tc>
          <w:tcPr>
            <w:tcW w:w="0" w:type="dxa"/>
            <w:vAlign w:val="bottom"/>
          </w:tcPr>
          <w:p>
            <w:pPr>
              <w:spacing w:after="0"/>
              <w:rPr>
                <w:sz w:val="1"/>
                <w:szCs w:val="1"/>
                <w:color w:val="auto"/>
              </w:rPr>
            </w:pPr>
          </w:p>
        </w:tc>
      </w:tr>
      <w:tr>
        <w:trPr>
          <w:trHeight w:val="237"/>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9,082,129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8"/>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205,251,546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182,598,013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193,167,942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178,956,602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securities were not included in the computation of diluted shares outstanding because the effect would be anti-dilutive: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328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993,843</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11,449,901</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8,938,147</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11,449,901</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12,936,491</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25,501,813</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25,570,037</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25,501,813</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2,072,556</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654,994</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2,072,556</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654,994</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subject to repurchase</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19,710</w:t>
            </w:r>
          </w:p>
        </w:tc>
        <w:tc>
          <w:tcPr>
            <w:tcW w:w="8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19,710</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common stock, subject to service-based vesting conditions,</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issued in connection with acquisition</w:t>
            </w:r>
            <w:r>
              <w:rPr>
                <w:rFonts w:ascii="Times New Roman" w:cs="Times New Roman" w:eastAsia="Times New Roman" w:hAnsi="Times New Roman"/>
                <w:sz w:val="21"/>
                <w:szCs w:val="21"/>
                <w:color w:val="auto"/>
                <w:vertAlign w:val="superscript"/>
              </w:rPr>
              <w:t>(1)</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104,080</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issuable in connection with acquisition</w:t>
            </w:r>
            <w:r>
              <w:rPr>
                <w:rFonts w:ascii="Times New Roman" w:cs="Times New Roman" w:eastAsia="Times New Roman" w:hAnsi="Times New Roman"/>
                <w:sz w:val="21"/>
                <w:szCs w:val="21"/>
                <w:color w:val="auto"/>
                <w:vertAlign w:val="superscript"/>
              </w:rPr>
              <w:t>(1)</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133,309</w:t>
            </w:r>
          </w:p>
        </w:tc>
        <w:tc>
          <w:tcPr>
            <w:tcW w:w="8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133,309</w:t>
            </w:r>
          </w:p>
        </w:tc>
        <w:tc>
          <w:tcPr>
            <w:tcW w:w="0" w:type="dxa"/>
            <w:vAlign w:val="bottom"/>
          </w:tcPr>
          <w:p>
            <w:pPr>
              <w:spacing w:after="0"/>
              <w:rPr>
                <w:sz w:val="1"/>
                <w:szCs w:val="1"/>
                <w:color w:val="auto"/>
              </w:rPr>
            </w:pPr>
          </w:p>
        </w:tc>
      </w:tr>
      <w:tr>
        <w:trPr>
          <w:trHeight w:val="262"/>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16,002,890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37,863,807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36,632,780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37,863,807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40" w:type="dxa"/>
            <w:vAlign w:val="bottom"/>
            <w:vMerge w:val="continue"/>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Refer to Note 6.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for further discussion of equity issued or to be issued in connection with the Rewire acquisition.</w:t>
      </w:r>
    </w:p>
    <w:p>
      <w:pPr>
        <w:spacing w:after="0" w:line="167"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Stock</w:t>
      </w:r>
    </w:p>
    <w:p>
      <w:pPr>
        <w:spacing w:after="0" w:line="183"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As of September 30, 2024,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nine months ended September 30, 2024 and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Donation to Remitly Philanthropy Fund</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July 2021, the Company’s board of directors approved the reservation of up to 1,819,609 shares of common stock (which was approximately 1.0% of the fully diluted capitalization as of June 30, 2021) that the Company may issue to or for the benefit of a 501(c)(3) nonprofit foundation or a similar charitable organization pursuant to the Company’s Pledge 1% commitment in installments over ten years. On September 10, 2021, the Company executed the stock donation agreement, pursuant to which it issued the first installment of the Pledge 1% commitment to Remitly Philanthropy Fund, a donor advised fund administered on the Company’s behalf by Rockefeller Philanthropy Advisors, Inc., on the day after consummation of the Company’s initial public offering.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The Company donated 181,961 shares of its common stock to Remitly Philanthropy Fund on both September 18, 2024 and September 20, 2023, pursuant to the stock donation agreement, and in connection with the Pledge 1% commitment, which publicly acknowledges the Company’s intent to give back and increase social impact, in order to sustainably fund a portion of its corporate social responsibility goals and further its mission to expand financial inclusion for immigrants. For the three and nine months ended September 30, 2024 and 2023, the Company recorded a charge of $2.6 million and $4.6 million, respectively, to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within the Condensed Consolidated Statements of Operations based on the closing price of its common stock as reported on the Nasdaq Global Select Market (the “NASDAQ”) on September 18, 2024 and September 20 2023, respectively.</w:t>
      </w:r>
    </w:p>
    <w:p>
      <w:pPr>
        <w:spacing w:after="0" w:line="125" w:lineRule="exact"/>
        <w:rPr>
          <w:sz w:val="20"/>
          <w:szCs w:val="20"/>
          <w:color w:val="auto"/>
        </w:rPr>
      </w:pPr>
    </w:p>
    <w:p>
      <w:pPr>
        <w:ind w:right="8980" w:firstLine="8"/>
        <w:spacing w:after="0" w:line="467" w:lineRule="auto"/>
        <w:tabs>
          <w:tab w:leader="none" w:pos="364"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 Shares Available for Issuance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2024, 11,615,477 and 6,921,709 awards remain available for issuance under the 2021 Plan and the ESPP,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stock option activity during the nine months ended September 30,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5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4"/>
                <w:szCs w:val="14"/>
                <w:color w:val="auto"/>
              </w:rPr>
            </w:pPr>
          </w:p>
        </w:tc>
        <w:tc>
          <w:tcPr>
            <w:tcW w:w="142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6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5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January 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10,801,396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161,603</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(1,745,172)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24,089</w:t>
            </w:r>
          </w:p>
        </w:tc>
        <w:tc>
          <w:tcPr>
            <w:tcW w:w="0" w:type="dxa"/>
            <w:vAlign w:val="bottom"/>
          </w:tcPr>
          <w:p>
            <w:pPr>
              <w:spacing w:after="0"/>
              <w:rPr>
                <w:sz w:val="1"/>
                <w:szCs w:val="1"/>
                <w:color w:val="auto"/>
              </w:rPr>
            </w:pP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as of September 30, 2024</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8,938,147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77,993</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exercisable as of September 30,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8,109,918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75,720</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September 30,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8,938,147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77,993</w:t>
            </w:r>
          </w:p>
        </w:tc>
        <w:tc>
          <w:tcPr>
            <w:tcW w:w="0" w:type="dxa"/>
            <w:vAlign w:val="bottom"/>
          </w:tcPr>
          <w:p>
            <w:pPr>
              <w:spacing w:after="0"/>
              <w:rPr>
                <w:sz w:val="1"/>
                <w:szCs w:val="1"/>
                <w:color w:val="auto"/>
              </w:rPr>
            </w:pPr>
          </w:p>
        </w:tc>
      </w:tr>
      <w:tr>
        <w:trPr>
          <w:trHeight w:val="27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60" w:hanging="152"/>
        <w:spacing w:after="0" w:line="210" w:lineRule="auto"/>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aggregate intrinsic value is calculated as the difference between the exercise price of the underlying stock options and the estimated fair value of the Company’s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stock options were granted during the nine months ended September 30,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stock option activity during the nine months ended September 30, 2024 and 2023:</w:t>
      </w:r>
    </w:p>
    <w:p>
      <w:pPr>
        <w:spacing w:after="0" w:line="21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grant-date fair value of options vested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59,845</w:t>
            </w:r>
          </w:p>
        </w:tc>
        <w:tc>
          <w:tcPr>
            <w:tcW w:w="0" w:type="dxa"/>
            <w:vAlign w:val="bottom"/>
          </w:tcPr>
          <w:p>
            <w:pPr>
              <w:spacing w:after="0"/>
              <w:rPr>
                <w:sz w:val="1"/>
                <w:szCs w:val="1"/>
                <w:color w:val="auto"/>
              </w:rPr>
            </w:pPr>
          </w:p>
        </w:tc>
      </w:tr>
      <w:tr>
        <w:trPr>
          <w:trHeight w:val="473"/>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 activity during the nine months ended September 30, 2024 was as follows: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6"/>
        </w:trPr>
        <w:tc>
          <w:tcPr>
            <w:tcW w:w="8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190"/>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January 1, 2024</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23,555,665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12,016,829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(6,952,837)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Cancelled/forfeited</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(3,049,620)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September 30, 2024</w:t>
            </w: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25,570,037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restricted stock unit activity during the nine months ended September 30, 2024 and 2023:</w:t>
      </w:r>
    </w:p>
    <w:p>
      <w:pPr>
        <w:spacing w:after="0" w:line="21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of RSUs granted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r>
      <w:tr>
        <w:trPr>
          <w:trHeight w:val="22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grant-date fair value of RSUs vested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79,962</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Stock Purchase Plan (“ESPP”)</w:t>
      </w:r>
    </w:p>
    <w:p>
      <w:pPr>
        <w:spacing w:after="0" w:line="16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A new 24-month ESPP offering period commences on March 1 and September 1 of each fiscal year, and the plan includes a rollover feature for the purchase price if the Company's stock price at the end of the purchase period is less than the Company's stock price on the first day of the offering. If this rollover feature is triggered, a new 24-month offering period begins. This feature under the ESPP was triggered on February 29, 2024 and August 30, 2024, resulting in incremental stock-based compensation expense of $1.7 million and $4.5 million, respectively, to be recognized over the new offering periods.</w:t>
      </w:r>
    </w:p>
    <w:p>
      <w:pPr>
        <w:spacing w:after="0" w:line="12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The fair value of the ESPP offerings, including those described above, were estimated using the Black-Scholes option-pricing model as of the respective offering dates, using the following assumptions. These assumptions represent the grant date fair value inputs for new offerings which commenced during the nine months ended September 30, 2024 and 2023, as well as updated valuation information as of the modification date for any offerings for which a modification occurred during the periods presented herein:</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spacing w:after="0"/>
              <w:rPr>
                <w:sz w:val="19"/>
                <w:szCs w:val="19"/>
                <w:color w:val="auto"/>
              </w:rPr>
            </w:pPr>
          </w:p>
        </w:tc>
        <w:tc>
          <w:tcPr>
            <w:tcW w:w="342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78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3.84% to 5.20%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 to 5.40%</w:t>
            </w: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 to 2.0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to 2.0 years</w:t>
            </w: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39.3% to 61.3%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 to 65.2%</w:t>
            </w:r>
          </w:p>
        </w:tc>
      </w:tr>
      <w:tr>
        <w:trPr>
          <w:trHeight w:val="22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rate</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8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 xml:space="preserve">Stock-based compensation expense for stock options, RSUs, and ESPP, included within the Condensed Consolidated Statements of Operations, net of amounts capitalized to internal-use software, as described in Note 5. </w:t>
      </w: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12,235</w:t>
            </w: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55,047</w:t>
            </w:r>
          </w:p>
        </w:tc>
      </w:tr>
      <w:tr>
        <w:trPr>
          <w:trHeight w:val="23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34,765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32,715</w:t>
            </w:r>
          </w:p>
        </w:tc>
      </w:tr>
      <w:tr>
        <w:trPr>
          <w:trHeight w:val="268"/>
        </w:trPr>
        <w:tc>
          <w:tcPr>
            <w:tcW w:w="4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101,007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6"/>
          <w:szCs w:val="16"/>
          <w:color w:val="auto"/>
        </w:rPr>
        <w:t>As of September 30, 2024, the total unamortized compensation cost related to all non-vested equity awards, including options and RSUs, was $342.1 million, which will be amortized over a weighted-average remaining requisite service period of approximately 2.7 years. As of September 30, 2024, the total unrecognized compensation expense related to the ESPP was $12.0 million, which is expected to be amortized over the next 1.9 years.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13.</w:t>
        <w:tab/>
        <w:t>Restructuring Initiatives</w:t>
      </w:r>
    </w:p>
    <w:p>
      <w:pPr>
        <w:spacing w:after="0" w:line="16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In the nine months ended September 30, 2024, as a result of simplifying and scaling certain processes, functions, and team capabilities, the Company continued restructuring initiatives that commenced within the three months ended September 30, 2023 in order to better serve the Company's customers and allow the Company to centralize, transform, and automate global operations. Restructuring costs incurred primarily included severance and certain other associated costs. These specific restructuring initiatives are complete.</w:t>
      </w:r>
    </w:p>
    <w:p>
      <w:pPr>
        <w:spacing w:after="0" w:line="120"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The Company incurred no charges and $0.8 million for the three and nine months ended September 30, 2024, respectively. The Company incurred $1.4 million related to restructuring initiatives for the three and nine months ended September 30,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restructuring costs included within the Condensed Consolidated Statements of Operations for the nine months ended September 30, 2024:</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36"/>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68"/>
        </w:trPr>
        <w:tc>
          <w:tcPr>
            <w:tcW w:w="9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changes in liabilities, including expenses incurred and cash payments resulting from the restructuring costs and related accruals, during the nine months ended September 30, 2024:</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3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4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9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14.</w:t>
      </w:r>
      <w:r>
        <w:rPr>
          <w:sz w:val="20"/>
          <w:szCs w:val="20"/>
          <w:color w:val="auto"/>
        </w:rPr>
        <w:tab/>
      </w:r>
      <w:r>
        <w:rPr>
          <w:rFonts w:ascii="Times New Roman" w:cs="Times New Roman" w:eastAsia="Times New Roman" w:hAnsi="Times New Roman"/>
          <w:sz w:val="15"/>
          <w:szCs w:val="15"/>
          <w:b w:val="1"/>
          <w:bCs w:val="1"/>
          <w:color w:val="auto"/>
        </w:rPr>
        <w:t>Income Taxes</w:t>
      </w:r>
    </w:p>
    <w:p>
      <w:pPr>
        <w:spacing w:after="0" w:line="183"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6"/>
          <w:szCs w:val="16"/>
          <w:color w:val="auto"/>
        </w:rPr>
        <w:t>The Company computes its tax provision for interim periods by applying the estimated annual effective tax rate to year-to-date income from recurring operations and adjusting for discrete items arising in that quarter.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effective tax rates on pre-tax income were 49.1% and (0.7)% for the three months ended September 30, 2024 and 2023, respectively, and (24.4)% and</w:t>
      </w:r>
    </w:p>
    <w:p>
      <w:pPr>
        <w:spacing w:after="0" w:line="2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(0.6)% for the nine months ended September 30, 2024 and 2023, respectively. The difference between the effective tax rate and the U.S. federal statutory rate of 21.0% in all periods was primarily the result of foreign income taxed at different rates, changes in the U.S. valuation allowance, non-deductible stock-based compensation, and recognition of a discrete income tax benefit, primarily driven by excess stock-based compensation deductions.</w:t>
      </w:r>
    </w:p>
    <w:p>
      <w:pPr>
        <w:spacing w:after="0" w:line="121"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The Company maintains a full valuation allowance against the U.S. net deferred tax assets, as it believes that these deferred tax assets do not meet the more likely than not threshold.</w:t>
      </w:r>
    </w:p>
    <w:p>
      <w:pPr>
        <w:spacing w:after="0" w:line="12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Company files income tax returns in the U.S. federal jurisdiction, various state jurisdictions, and internationally. As of September 30, 2024, tax years 2012 through 2023 remain open for examination by taxing authorities.</w:t>
      </w:r>
    </w:p>
    <w:p>
      <w:pPr>
        <w:spacing w:after="0" w:line="122" w:lineRule="exact"/>
        <w:rPr>
          <w:sz w:val="20"/>
          <w:szCs w:val="20"/>
          <w:color w:val="auto"/>
        </w:rPr>
      </w:pPr>
    </w:p>
    <w:p>
      <w:pPr>
        <w:ind w:right="8580" w:firstLine="8"/>
        <w:spacing w:after="0" w:line="459" w:lineRule="auto"/>
        <w:tabs>
          <w:tab w:leader="none" w:pos="364"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Guarantees and Indemnification</w:t>
      </w:r>
    </w:p>
    <w:p>
      <w:pPr>
        <w:ind w:right="340"/>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amended and restated certificate of incorporation and amended and restated bylaws include similar indemnification obligations to its officers and directors. To date, there have been no claims under any indemnification provisions; therefore, no such amounts have been accrued as of September 30, 2024 and December 31,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and Loss Contingencies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18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does not believe that there was a reasonable possibility that it had incurred a material loss with respect to such loss contingencies as of September 30, 2024 and December 31, 2023.</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Indirect taxes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Company is subject to indirect taxation in various states and foreign jurisdictions in which it conducts business. The Company continually evaluates those jurisdictions in which indirect tax obligations exist to determine whether a loss is probable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the Company’s business and industry. The Company’s assessment of probability includes consideration of recent inquiries with, or actions taken by, regulators and courts, potential or actual self-disclosure, and applicability of tax rules and the Company will continue to evaluate the accounting and disclosure of any related contingencies as they arise.</w:t>
      </w:r>
    </w:p>
    <w:p>
      <w:pPr>
        <w:spacing w:after="0" w:line="123"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6"/>
          <w:szCs w:val="16"/>
          <w:color w:val="auto"/>
        </w:rPr>
        <w:t xml:space="preserve">As a result of this assessment, management has recorded an estimated liability within </w:t>
      </w:r>
      <w:r>
        <w:rPr>
          <w:rFonts w:ascii="Times New Roman" w:cs="Times New Roman" w:eastAsia="Times New Roman" w:hAnsi="Times New Roman"/>
          <w:sz w:val="16"/>
          <w:szCs w:val="16"/>
          <w:i w:val="1"/>
          <w:iCs w:val="1"/>
          <w:color w:val="auto"/>
        </w:rPr>
        <w:t>‘Accrued expenses and other current liabilities.’</w:t>
      </w:r>
      <w:r>
        <w:rPr>
          <w:rFonts w:ascii="Times New Roman" w:cs="Times New Roman" w:eastAsia="Times New Roman" w:hAnsi="Times New Roman"/>
          <w:sz w:val="16"/>
          <w:szCs w:val="16"/>
          <w:color w:val="auto"/>
        </w:rPr>
        <w:t xml:space="preserve"> The Company’s estimate is based on the totality of factors including applicability of the tax rules, correspondence with tax authorities including payments made, and tax analysis and documentation supporting the Company’s positions.</w:t>
      </w:r>
    </w:p>
    <w:p>
      <w:pPr>
        <w:spacing w:after="0" w:line="117"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Although the Company believes its indirect tax estimates and associated liabilities are reasonable, the final determination of indirect tax audits or settlements could be materially different than the amounts recorded.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 Commitments</w:t>
      </w:r>
    </w:p>
    <w:p>
      <w:pPr>
        <w:spacing w:after="0" w:line="16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The disclosure of purchase commitments in these condensed consolidated financial statements should be read in conjunction with the consolidated financial statements and related notes within the Company’s Annual Report on Form 10-K for the year ended December 31, 2023. The Company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 During the nine months ended September 30, 2024, the Company entered into a three-year cloud infrastructure arrangement in an amount of $6.9 million, increasing the total future minimum payments under non-cancellable purchase commitments from the amounts disclosed within the Company’s Annual Report on Form 10-K for the year ended December 31,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 Agreement Not Yet Commenced</w:t>
      </w:r>
    </w:p>
    <w:p>
      <w:pPr>
        <w:spacing w:after="0" w:line="18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In June 2024, the Company entered into an agreement to lease certain office space in Seattle, Washington, for the use of its corporate headquarters office. The lease payment term begins on July 1, 2025 for a period of seven years with optional renewal periods available. The total contractual commitment related to this lease, including contractual lease increases, is approximately $22.9 million, exclusive of variable maintenance and operating expenses under the lease agreement. Leasehold improvements within the office space will be constructed under the Company’s direction, and the Company will be entitled to an allowance for a substantial portion of the improvements.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will recognize the related right-of-use asset and operating lease liability on its balance sheet when it gains control of the leased office space.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Reserve for Transaction Losses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the Company’s reserve for transaction losses for the three and nine months ended September 30,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2,808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w:t>
            </w: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Provisions for transaction losses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9,004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28,150</w:t>
            </w:r>
          </w:p>
        </w:tc>
      </w:tr>
      <w:tr>
        <w:trPr>
          <w:trHeight w:val="24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incurred, net of recoveries</w:t>
            </w: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rPr>
              <w:t>(8,929)</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(29,029)</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w w:val="99"/>
              </w:rPr>
              <w:t>2,883</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2,883</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16.  Accrued Expenses &amp; Other 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 consisted of the following:</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settlement liability</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58,950</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transaction expense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marketing expense</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13,633</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salary, benefits, and related taxes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10,251</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taxes and taxes payable</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9,259</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Reserve for transaction losses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 employee contributions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Holdback liability</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12,990</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14,408</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15,295</w:t>
            </w:r>
          </w:p>
        </w:tc>
        <w:tc>
          <w:tcPr>
            <w:tcW w:w="0" w:type="dxa"/>
            <w:vAlign w:val="bottom"/>
          </w:tcPr>
          <w:p>
            <w:pPr>
              <w:spacing w:after="0"/>
              <w:rPr>
                <w:sz w:val="1"/>
                <w:szCs w:val="1"/>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105,234</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145,802</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802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right="220" w:firstLine="8"/>
        <w:spacing w:after="0" w:line="416" w:lineRule="auto"/>
        <w:tabs>
          <w:tab w:leader="none" w:pos="132"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 xml:space="preserve">The trade settlement liability amount represents the total of disbursement postfunding liabilities and book overdrafts owed to the Company’s disbursement partners. Refer to Note 2. </w:t>
      </w:r>
      <w:r>
        <w:rPr>
          <w:rFonts w:ascii="Times New Roman" w:cs="Times New Roman" w:eastAsia="Times New Roman" w:hAnsi="Times New Roman"/>
          <w:sz w:val="11"/>
          <w:szCs w:val="11"/>
          <w:i w:val="1"/>
          <w:iCs w:val="1"/>
          <w:color w:val="auto"/>
        </w:rPr>
        <w:t>Basis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Presentation and Summary of Significant Accounting Policies </w:t>
      </w:r>
      <w:r>
        <w:rPr>
          <w:rFonts w:ascii="Times New Roman" w:cs="Times New Roman" w:eastAsia="Times New Roman" w:hAnsi="Times New Roman"/>
          <w:sz w:val="11"/>
          <w:szCs w:val="11"/>
          <w:color w:val="auto"/>
        </w:rPr>
        <w:t>within the notes to consolidated financial statements included in the Company’s Annual Report on Form 10-K for the year ended</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December 31, 2023 for further discussion.</w:t>
      </w:r>
    </w:p>
    <w:p>
      <w:pPr>
        <w:ind w:left="160" w:hanging="152"/>
        <w:spacing w:after="0"/>
        <w:tabs>
          <w:tab w:leader="none" w:pos="1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Refer to Note 6.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for further detail on the Holdback liability, which was settled in April 2024.</w:t>
      </w:r>
    </w:p>
    <w:p>
      <w:pPr>
        <w:spacing w:after="0" w:line="1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17.</w:t>
        <w:tab/>
        <w:t>Supplemental Cash Flow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supplemental disclosures of cash flow information consisted of the following:</w:t>
      </w:r>
    </w:p>
    <w:p>
      <w:pPr>
        <w:spacing w:after="0" w:line="23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30480</wp:posOffset>
            </wp:positionV>
            <wp:extent cx="19030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early exercised options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capitalized to internal-use software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equity amounts previously held back for acquisition consideration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for acquisition consideration</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6,635</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subject to service-based vesting conditions, in connection with acquisition</w:t>
            </w:r>
          </w:p>
        </w:tc>
        <w:tc>
          <w:tcPr>
            <w:tcW w:w="3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held back for acquisition consideration</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preexisting net receivable in exchange for net assets acquired in business combination</w:t>
            </w:r>
          </w:p>
        </w:tc>
        <w:tc>
          <w:tcPr>
            <w:tcW w:w="3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6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You should read the following discussion and analysis of our financial condition and results of operations together with our unaudited condensed consolidated financial statements and the related notes, appearing elsewhere in this Quarterly Report on Form 10-Q and our audited consolidated financial statements and the related notes and the discussion under the heading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 xml:space="preserve"> included in the Annual Report on Form 10-K for the year ended December 31, 2023.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69"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Remitly is a trusted provider of digital financial services that transcend borders. With a global footprint spanning more than 170 countries, Remitly’s digitally native, cross-border payments app delights customers with a fast, reliable, and transparent money movement experience. Building on its strong foundation, Remitly is expanding its suite of products to further its vision and transform lives around the world.</w:t>
      </w:r>
    </w:p>
    <w:p>
      <w:pPr>
        <w:spacing w:after="0" w:line="117"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6"/>
          <w:szCs w:val="16"/>
          <w:color w:val="auto"/>
        </w:rPr>
        <w:t>Our brand promise is to bring “peace of mind” into everything we do. We focus on bringing trust, reliability, and a fair and transparent price to cross-border remittances and complementary financial services.</w:t>
      </w:r>
    </w:p>
    <w:p>
      <w:pPr>
        <w:spacing w:after="0" w:line="12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To deliver on our brand promise, we have a differentiated approach that aligns with the specific needs and interests of our customers who are sending money across borders and solves the problems they often face. There are four core elements to our differentiated approach:</w:t>
      </w:r>
    </w:p>
    <w:p>
      <w:pPr>
        <w:spacing w:after="0" w:line="122" w:lineRule="exact"/>
        <w:rPr>
          <w:sz w:val="20"/>
          <w:szCs w:val="20"/>
          <w:color w:val="auto"/>
        </w:rPr>
      </w:pPr>
    </w:p>
    <w:p>
      <w:pPr>
        <w:ind w:left="660" w:right="20" w:hanging="328"/>
        <w:spacing w:after="0" w:line="256"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Mobile First. </w:t>
      </w:r>
      <w:r>
        <w:rPr>
          <w:rFonts w:ascii="Times New Roman" w:cs="Times New Roman" w:eastAsia="Times New Roman" w:hAnsi="Times New Roman"/>
          <w:sz w:val="16"/>
          <w:szCs w:val="16"/>
          <w:color w:val="auto"/>
        </w:rPr>
        <w:t>Our mobile app for cross-border remittances provides an easy-to-use, end-to-end process with a simple and reliable user experience that delivers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peace of mind. In just a few minutes, customers are able to set up and send money for the first time with Remitly, and repeat transactions are easier with just a few taps. Our customers and their recipients can also track the status of their transactions as they are processed, and we provide a reliability promise to customers which is underpinned by our sophisticated risk models, high quality network, and empathetic customer service. This mobile-first experience enables us to engage beyond the initial transaction, generating strong repeat usage and high customer loyalty. Our services are highly non-discretionary for our customers which results in high revenue visibility throughout economic cycles. As of September 30, 2024, our Remitly app had a 4.9 iOS App Store rating with approximately 2.9 million reviewers and a 4.8 Android Google Play rating with over 900,000 reviewers. App rating is based on all countries or regions and the rating may vary based on user location and device type.</w:t>
      </w:r>
    </w:p>
    <w:p>
      <w:pPr>
        <w:spacing w:after="0" w:line="144" w:lineRule="exact"/>
        <w:rPr>
          <w:rFonts w:ascii="Times New Roman" w:cs="Times New Roman" w:eastAsia="Times New Roman" w:hAnsi="Times New Roman"/>
          <w:sz w:val="16"/>
          <w:szCs w:val="16"/>
          <w:color w:val="auto"/>
        </w:rPr>
      </w:pPr>
    </w:p>
    <w:p>
      <w:pPr>
        <w:ind w:left="660" w:right="160" w:hanging="328"/>
        <w:spacing w:after="0" w:line="258" w:lineRule="auto"/>
        <w:tabs>
          <w:tab w:leader="none" w:pos="649"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Global Scale and High Quality Money Movement Platform</w:t>
      </w:r>
      <w:r>
        <w:rPr>
          <w:rFonts w:ascii="Times New Roman" w:cs="Times New Roman" w:eastAsia="Times New Roman" w:hAnsi="Times New Roman"/>
          <w:sz w:val="16"/>
          <w:szCs w:val="16"/>
          <w:color w:val="auto"/>
        </w:rPr>
        <w:t>. Our global network of funding and disbursement partnerships enables us to complete money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transfers efficiently in over 5,100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 Our scale and direct integration strategy allows us to negotiate favorable terms with both funding and disbursement partners while providing a great end-to-end customer experience including rapid and reliable transfers.</w:t>
      </w:r>
    </w:p>
    <w:p>
      <w:pPr>
        <w:spacing w:after="0" w:line="143" w:lineRule="exact"/>
        <w:rPr>
          <w:rFonts w:ascii="Times New Roman" w:cs="Times New Roman" w:eastAsia="Times New Roman" w:hAnsi="Times New Roman"/>
          <w:sz w:val="16"/>
          <w:szCs w:val="16"/>
          <w:b w:val="1"/>
          <w:bCs w:val="1"/>
          <w:color w:val="auto"/>
        </w:rPr>
      </w:pPr>
    </w:p>
    <w:p>
      <w:pPr>
        <w:jc w:val="both"/>
        <w:ind w:left="660" w:right="60"/>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provide broad and high quality disbursement options to our customers allowing them to choose the method that is most convenient for their family and friends to receive funds. We have partner relationships with global banks, aggregators, and leading payment providers to give our customers an array of payment (or pay-in) options, including with a bank account, card-based payments, and alternative payment methods.</w:t>
      </w:r>
    </w:p>
    <w:p>
      <w:pPr>
        <w:spacing w:after="0" w:line="137" w:lineRule="exact"/>
        <w:rPr>
          <w:rFonts w:ascii="Times New Roman" w:cs="Times New Roman" w:eastAsia="Times New Roman" w:hAnsi="Times New Roman"/>
          <w:sz w:val="16"/>
          <w:szCs w:val="16"/>
          <w:b w:val="1"/>
          <w:bCs w:val="1"/>
          <w:color w:val="auto"/>
        </w:rPr>
      </w:pPr>
    </w:p>
    <w:p>
      <w:pPr>
        <w:ind w:left="660"/>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Our disbursement network enables us to send (or pay-out) funds to over 5.0 billion bank accounts and mobile wallets and approximately 470,000 cash pick-up options. 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w:t>
      </w:r>
    </w:p>
    <w:p>
      <w:pPr>
        <w:spacing w:after="0" w:line="135" w:lineRule="exact"/>
        <w:rPr>
          <w:rFonts w:ascii="Times New Roman" w:cs="Times New Roman" w:eastAsia="Times New Roman" w:hAnsi="Times New Roman"/>
          <w:sz w:val="16"/>
          <w:szCs w:val="16"/>
          <w:b w:val="1"/>
          <w:bCs w:val="1"/>
          <w:color w:val="auto"/>
        </w:rPr>
      </w:pPr>
    </w:p>
    <w:p>
      <w:pPr>
        <w:ind w:left="660" w:right="120" w:hanging="328"/>
        <w:spacing w:after="0" w:line="260"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Highly Attractive Unit Economics. </w:t>
      </w:r>
      <w:r>
        <w:rPr>
          <w:rFonts w:ascii="Times New Roman" w:cs="Times New Roman" w:eastAsia="Times New Roman" w:hAnsi="Times New Roman"/>
          <w:sz w:val="16"/>
          <w:szCs w:val="16"/>
          <w:color w:val="auto"/>
        </w:rPr>
        <w:t>Our data driven approach to optimizing customer lifetime value combined with a localized and scalable marketing platform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allows us to acquire new customers at highly attractive unit economics. As we continue to improve customer lifetime value through product enhancements and changes to variable operating costs, we can optimize marketing spend to drive both growth and efficiency with a focus on maintaining strong unit economics. We believe our expertise in localizing our marketing, products, and customer support at scale is a key differentiator and enables us to provide customers with a personalized experience that drives peace of mind while also delivering high returns on marketing and product investments.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40" w:hanging="328"/>
        <w:spacing w:after="0" w:line="257"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Superior Technology Platform. </w:t>
      </w:r>
      <w:r>
        <w:rPr>
          <w:rFonts w:ascii="Times New Roman" w:cs="Times New Roman" w:eastAsia="Times New Roman" w:hAnsi="Times New Roman"/>
          <w:sz w:val="16"/>
          <w:szCs w:val="16"/>
          <w:color w:val="auto"/>
        </w:rPr>
        <w:t>We believe that our differentiated approach to building our technology infrastructure enables a great customer experience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allows us to scale to meet customer demands in a more flexible way. We have been able to scale to more customers, more regions, and more use cases while continuing to get better at our reliability, speed, and performance due to our investments and unique approach to our technology platform. This enables not only our ability to scale, but also accelerates innovation on behalf of our customers - whether that is doing simple things well or about enabling new use cases like complementary new products over time.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improve our compliance systems and manage pricing, treasury, fraud risk, and customer support. Finally, our proactive investments in artificial intelligence and machine learning have continued to drive scaled improvement in the areas of fraud and risk, pricing, customer support, and marketing.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Revenue Model</w:t>
      </w:r>
    </w:p>
    <w:p>
      <w:pPr>
        <w:spacing w:after="0" w:line="16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For our remittance business, which represents substantially all of our revenue today, we generate revenue from transaction fees charged to customers and foreign exchange spreads applied to the amount the customer is sending.</w:t>
      </w:r>
    </w:p>
    <w:p>
      <w:pPr>
        <w:spacing w:after="0" w:line="12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spacing w:after="0" w:line="111"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w:t>
      </w:r>
    </w:p>
    <w:p>
      <w:pPr>
        <w:spacing w:after="0" w:line="13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Business Metrics</w:t>
      </w:r>
    </w:p>
    <w:p>
      <w:pPr>
        <w:spacing w:after="0" w:line="18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 The key business metrics that we use to measure the performance of our business are defined as follows:</w:t>
      </w:r>
    </w:p>
    <w:p>
      <w:pPr>
        <w:spacing w:after="0" w:line="125" w:lineRule="exact"/>
        <w:rPr>
          <w:sz w:val="20"/>
          <w:szCs w:val="20"/>
          <w:color w:val="auto"/>
        </w:rPr>
      </w:pPr>
    </w:p>
    <w:p>
      <w:pPr>
        <w:ind w:left="660" w:right="180" w:hanging="328"/>
        <w:spacing w:after="0" w:line="298"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 customers” is defined as the number of distinct customers that have successfully completed at least one transaction using Remitly during a given period. We identify customers through unique account numbers.</w:t>
      </w:r>
    </w:p>
    <w:p>
      <w:pPr>
        <w:spacing w:after="0" w:line="96" w:lineRule="exact"/>
        <w:rPr>
          <w:rFonts w:ascii="Times New Roman" w:cs="Times New Roman" w:eastAsia="Times New Roman" w:hAnsi="Times New Roman"/>
          <w:sz w:val="16"/>
          <w:szCs w:val="16"/>
          <w:color w:val="auto"/>
        </w:rPr>
      </w:pPr>
    </w:p>
    <w:p>
      <w:pPr>
        <w:ind w:left="660" w:right="120" w:hanging="328"/>
        <w:spacing w:after="0" w:line="272"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“Send volume” 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Active Customers</w:t>
      </w:r>
    </w:p>
    <w:p>
      <w:pPr>
        <w:spacing w:after="0" w:line="23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Active customers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7,310</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5,409</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the number of our active customers is an important indicator of customer engagement, customer retention, and the overall growth of our business.</w:t>
      </w:r>
    </w:p>
    <w:p>
      <w:pPr>
        <w:spacing w:after="0" w:line="18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Active customers increased to approximately 7.3 million, or 35% growth, for the three months ended September 30, 2024, compared to the three months ended September 30, 2023. The increase was primarily due to an increase in the number of new customers, driven by investments in our mobile platform and efficient marketing spend, our focus on customer experience and how we serve our customers, expansion of our global disbursement network, and the continued diversification across both send and receive countries. While we continue to see strong results in our largest existing receive countries (India, Mexico, and the Philippines), our successful diversification of our corridor portfolio across both send and receive countries has contributed to new customer growth.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Send Volume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18"/>
        </w:trPr>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24"/>
                <w:szCs w:val="24"/>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Send volume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28,351</w:t>
            </w:r>
          </w:p>
        </w:tc>
      </w:tr>
    </w:tbl>
    <w:p>
      <w:pPr>
        <w:spacing w:after="0" w:line="243"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We measure send volume to assess the scale of remittances sent using our platform. Our customers mostly send from the United States, Canada, the United Kingdom, and other countries in Europe. Our customers and their recipients are located in over 170 countries and territories across the globe; the largest receive countries by send volume include India, Mexico, and the Philippines.</w:t>
      </w:r>
    </w:p>
    <w:p>
      <w:pPr>
        <w:spacing w:after="0" w:line="117"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Send volume increased 42% to $14.5 billion for the three months ended September 30, 2024, compared to $10.2 billion for the three months ended September 30, 2023, driven by the increase in active customers.</w:t>
      </w:r>
    </w:p>
    <w:p>
      <w:pPr>
        <w:spacing w:after="0" w:line="97"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Send volume increased 38%, to $39.2 billion for the nine months ended September 30, 2024, compared to $28.4 billion for the nine months ended September 30, 2023, driven by the increase in active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Retention and High Customer Engagement</w:t>
      </w:r>
    </w:p>
    <w:p>
      <w:pPr>
        <w:spacing w:after="0" w:line="185"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Our send volume is primarily driven by existing customers who regularly use our remittance product to send money to family and friends. We believe our mobile-first products and superior customer experience encourage high retention and repeat usage, which are significant though not the only drivers of our performance.</w:t>
      </w:r>
    </w:p>
    <w:p>
      <w:pPr>
        <w:spacing w:after="0" w:line="111" w:lineRule="exact"/>
        <w:rPr>
          <w:sz w:val="20"/>
          <w:szCs w:val="20"/>
          <w:color w:val="auto"/>
        </w:rPr>
      </w:pPr>
    </w:p>
    <w:p>
      <w:pPr>
        <w:ind w:right="780"/>
        <w:spacing w:after="0" w:line="298" w:lineRule="auto"/>
        <w:rPr>
          <w:sz w:val="20"/>
          <w:szCs w:val="20"/>
          <w:color w:val="auto"/>
        </w:rPr>
      </w:pPr>
      <w:r>
        <w:rPr>
          <w:rFonts w:ascii="Times New Roman" w:cs="Times New Roman" w:eastAsia="Times New Roman" w:hAnsi="Times New Roman"/>
          <w:sz w:val="16"/>
          <w:szCs w:val="16"/>
          <w:color w:val="auto"/>
        </w:rPr>
        <w:t>We measure active customers to monitor the growth and performance of our customer base. The majority of our active customers send money for recurring, non-discretionary needs multiple times per month, providing a recurring revenue stream with high predictability and durability.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Attracting New Customers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Our continued ability to attract new customers to our platform is a key driver for our long-term growth. We continue to expand our customer base by launching new send and receive corridors, by continuing to innovate on existing and new products, and by providing the most trusted financial services for customers with cross-border financial needs. We plan to continue to acquire new customers through digital marketing channels and word-of-mouth referrals from existing customers, and by exploring new customer acquisition channels. Given the nature of our business, new customer acquisition marketing investments may negatively impact net loss and Adjusted EBITDA in the quarter they are acquired, but are expected to favorably impact net loss and Adjusted EBITDA in subsequent periods as many customers continue to send transactions in the periods after they are acquired.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Acquisition Costs</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 xml:space="preserve">Efficiently acquiring customers is critical to our growth and maintaining attractive customer economics, which are impacted by online marketing competition, our ability to effectively target the right demographic, and competitive environment. We have a history of successfully monitoring customer acquisition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which are deployed to acquire new customers or retain existing customers in certain circumstances, are a component of advertising expenses as defined in Note 2. </w:t>
      </w:r>
      <w:r>
        <w:rPr>
          <w:rFonts w:ascii="Times New Roman" w:cs="Times New Roman" w:eastAsia="Times New Roman" w:hAnsi="Times New Roman"/>
          <w:sz w:val="16"/>
          <w:szCs w:val="16"/>
          <w:i w:val="1"/>
          <w:iCs w:val="1"/>
          <w:color w:val="auto"/>
        </w:rPr>
        <w:t>Basis of Presentation and Summary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Significant Accounting Policies </w:t>
      </w:r>
      <w:r>
        <w:rPr>
          <w:rFonts w:ascii="Times New Roman" w:cs="Times New Roman" w:eastAsia="Times New Roman" w:hAnsi="Times New Roman"/>
          <w:sz w:val="16"/>
          <w:szCs w:val="16"/>
          <w:color w:val="auto"/>
        </w:rPr>
        <w:t>in the notes to the condensed consolidated financial statements included in Part I, Item 1 of this Quarterly Report on Form 10-Q.</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Corridor Mix</w:t>
      </w:r>
    </w:p>
    <w:p>
      <w:pPr>
        <w:spacing w:after="0" w:line="17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and the timing of some of these holidays varies from year to year. Conversely, we typically observe lower customer acquisition and existing customer activity through most of the first quarter, especially in regions that experience favorable seasonality in the fourth quarter. Following the fourth quarter, typically the second quarter is seasonally the next strongest quarter from an existing customer activity perspective, however customer activity and the impact on financial results can vary across quarters based on the timing of holidays and other geographic drivers. Additionally, the number of business days in a quarter and the day of the week that the last day of the quarter falls on may also introduce variability in our results, working capital balances, or cash flows period over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Technology Platform</w:t>
      </w:r>
    </w:p>
    <w:p>
      <w:pPr>
        <w:spacing w:after="0" w:line="18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 of Risk and Fraud</w:t>
      </w:r>
    </w:p>
    <w:p>
      <w:pPr>
        <w:spacing w:after="0" w:line="18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tune our risk models to target other illegitimate activity.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Macroeconomic and Geopolitical Changes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Global macroeconomic and geopolitical factors, including inflation, currency fluctuations, immigration, regulatory changes, trade and regulatory policies, regional and global conflicts, global crises and natural disasters,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or the number of customers using our service. In addition, foreign currency movements impact our business in numerous ways. For example, as the U.S. dollar strengthens, we see customers in certain markets taking advantage of the ability to get more local currency to their families and friends. We also believe the strength of the U.S. dollar and the strength of other developed market currencies versus emerging market currencies make it easier to acquire new customers in certain markets.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See Note 2. </w:t>
      </w:r>
      <w:r>
        <w:rPr>
          <w:rFonts w:ascii="Times New Roman" w:cs="Times New Roman" w:eastAsia="Times New Roman" w:hAnsi="Times New Roman"/>
          <w:sz w:val="16"/>
          <w:szCs w:val="16"/>
          <w:i w:val="1"/>
          <w:iCs w:val="1"/>
          <w:color w:val="auto"/>
        </w:rPr>
        <w:t>Basis of Presentation and Summary of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Policies </w:t>
      </w:r>
      <w:r>
        <w:rPr>
          <w:rFonts w:ascii="Times New Roman" w:cs="Times New Roman" w:eastAsia="Times New Roman" w:hAnsi="Times New Roman"/>
          <w:sz w:val="16"/>
          <w:szCs w:val="16"/>
          <w:color w:val="auto"/>
        </w:rPr>
        <w:t>in the notes to the condensed consolidated financial statements included in Part I, Item 1 of this Quarterly Report on Form 10-Q for a more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comprehensive description of current business concentrations.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8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Our revenue is generated on transaction fees charged to customers and foreign exchange spreads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Expenses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Transaction expenses include fees paid to disbursement partners for paying funds to the recipient, provisions for transaction losses, and fees paid to payment processors for funding transactions. Transaction expenses also include credit losses, chargebacks, fraud prevention, fraud management tools, and compliance tools. We establish reserves for transaction losses based on historical trends and any specific risks identified in processing customer transactions. This reserve is included in ‘</w:t>
      </w:r>
      <w:r>
        <w:rPr>
          <w:rFonts w:ascii="Times New Roman" w:cs="Times New Roman" w:eastAsia="Times New Roman" w:hAnsi="Times New Roman"/>
          <w:sz w:val="16"/>
          <w:szCs w:val="16"/>
          <w:i w:val="1"/>
          <w:iCs w:val="1"/>
          <w:color w:val="auto"/>
        </w:rPr>
        <w:t>Accrued expenses and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current liabilities’ </w:t>
      </w:r>
      <w:r>
        <w:rPr>
          <w:rFonts w:ascii="Times New Roman" w:cs="Times New Roman" w:eastAsia="Times New Roman" w:hAnsi="Times New Roman"/>
          <w:sz w:val="16"/>
          <w:szCs w:val="16"/>
          <w:color w:val="auto"/>
        </w:rPr>
        <w:t>on the Condensed Consolidated Balance Sheets included in Part I, Item 1 of this Quarterly Report on Form 10-Q. Over the long term we expect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continue to benefit from increasing scale and improvements in our proprietary fraud models, although we expect some variability in transaction expense from quarter to quarter.</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Support and Operations</w:t>
      </w:r>
    </w:p>
    <w:p>
      <w:pPr>
        <w:spacing w:after="0" w:line="17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w:t>
      </w:r>
    </w:p>
    <w:p>
      <w:pPr>
        <w:spacing w:after="0" w:line="18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Technology and Development</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6"/>
          <w:szCs w:val="16"/>
          <w:color w:val="auto"/>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 w:cs="Times New Roman" w:eastAsia="Times New Roman" w:hAnsi="Times New Roman"/>
          <w:sz w:val="16"/>
          <w:szCs w:val="16"/>
          <w:i w:val="1"/>
          <w:iCs w:val="1"/>
          <w:color w:val="auto"/>
        </w:rPr>
        <w:t>Intangibles - Goodwill and Other-Internal-Use Software</w:t>
      </w:r>
      <w:r>
        <w:rPr>
          <w:rFonts w:ascii="Times New Roman" w:cs="Times New Roman" w:eastAsia="Times New Roman" w:hAnsi="Times New Roman"/>
          <w:sz w:val="16"/>
          <w:szCs w:val="16"/>
          <w:color w:val="auto"/>
        </w:rPr>
        <w:t>, are separately presented under the caption ‘</w:t>
      </w: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within the Condensed Consolidated Statements of Operations included in Part I, Item 1 of this Quarterly Report on Form 10-Q.</w:t>
      </w:r>
    </w:p>
    <w:p>
      <w:pPr>
        <w:spacing w:after="0" w:line="146"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 xml:space="preserve">General and administrative expenses consist primarily of personnel-related expenses for our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and other corporate expenses, including acquisition and integration expenses. Such expenses primarily include external legal, accounting, valuation, and due diligence costs, advisory and other professional services fees necessary to integrate acquired businesses. See Note 6.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Combinations </w:t>
      </w:r>
      <w:r>
        <w:rPr>
          <w:rFonts w:ascii="Times New Roman" w:cs="Times New Roman" w:eastAsia="Times New Roman" w:hAnsi="Times New Roman"/>
          <w:sz w:val="16"/>
          <w:szCs w:val="16"/>
          <w:color w:val="auto"/>
        </w:rPr>
        <w:t>in the notes to the condensed consolidated financial statements included in Part I, Item 1 of this Quarterly Report on Form 10-Q for further details.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171"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Depreciation and amortization expense includes depreciation on property and equipment and leasehold improvements, as well as the amortization of internal-use software costs and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income consists primarily of interest income earned on our cash and cash equivalents.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consists primarily of the interest expense on our borrowings.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7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Other income (expense), net, primarily includes foreign currency exchange gains and losses due to remeasurement of certain foreign currency denominated monetary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71"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in the United States for the foreseeable future as it is more likely than not that the assets will not be realized based on our history of losses.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and nine months ended September 30,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set forth our results of operations together with the dollar and percentage change for the three and nine months ended September 30, 2024 and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0"/>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0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r>
      <w:tr>
        <w:trPr>
          <w:trHeight w:val="37"/>
        </w:trPr>
        <w:tc>
          <w:tcPr>
            <w:tcW w:w="35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8"/>
        </w:trPr>
        <w:tc>
          <w:tcPr>
            <w:tcW w:w="35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6"/>
                <w:szCs w:val="16"/>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w w:val="95"/>
              </w:rPr>
              <w:t>Percent</w:t>
            </w:r>
          </w:p>
        </w:tc>
      </w:tr>
      <w:tr>
        <w:trPr>
          <w:trHeight w:val="36"/>
        </w:trPr>
        <w:tc>
          <w:tcPr>
            <w:tcW w:w="35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76"/>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336,527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241,629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94,898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912,068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679,527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232,541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r>
      <w:tr>
        <w:trPr>
          <w:trHeight w:val="173"/>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Costs and expenses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0"/>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3"/>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expenses</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115,554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85,742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29,812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313,215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239,995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73,220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73"/>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support and operations</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21,792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30"/>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3"/>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Marketing</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74,792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61,351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219,862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159,074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60,788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173"/>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Technology and development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38,507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r>
      <w:tr>
        <w:trPr>
          <w:trHeight w:val="30"/>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3"/>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50,920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140,982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130,715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r>
      <w:tr>
        <w:trPr>
          <w:trHeight w:val="173"/>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30"/>
        </w:trPr>
        <w:tc>
          <w:tcPr>
            <w:tcW w:w="3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196"/>
        </w:trPr>
        <w:tc>
          <w:tcPr>
            <w:tcW w:w="3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costs and expenses</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336,159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278,532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57,627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947,415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762,721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184,694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r>
      <w:tr>
        <w:trPr>
          <w:trHeight w:val="166"/>
        </w:trPr>
        <w:tc>
          <w:tcPr>
            <w:tcW w:w="35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(36,903)</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37,271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nm</w:t>
            </w: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(35,347)</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(83,194)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30"/>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3"/>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r>
      <w:tr>
        <w:trPr>
          <w:trHeight w:val="173"/>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45 %</w:t>
            </w:r>
          </w:p>
        </w:tc>
      </w:tr>
      <w:tr>
        <w:trPr>
          <w:trHeight w:val="30"/>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w:t>
            </w:r>
          </w:p>
        </w:tc>
      </w:tr>
      <w:tr>
        <w:trPr>
          <w:trHeight w:val="167"/>
        </w:trPr>
        <w:tc>
          <w:tcPr>
            <w:tcW w:w="35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Income (loss) before provision for income taxes</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3,767</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(35,397)</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39,164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(25,116)</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(82,334)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30"/>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1166 %</w:t>
            </w:r>
          </w:p>
        </w:tc>
      </w:tr>
      <w:tr>
        <w:trPr>
          <w:trHeight w:val="195"/>
        </w:trPr>
        <w:tc>
          <w:tcPr>
            <w:tcW w:w="35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(35,655)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37,572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(31,254)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(82,819)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51,565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22"/>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nm = not meaningful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discussion and analysis is for the three and nine months ended September 30, 2024, compared to the same period in 2023, unless otherwise stated.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7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Revenue increased 39%, or $94.9 million, and 34%, or $232.5 million, for the three and nine months ended September 30, 2024, respectively, compared to the three and nine months ended September 30, 2023. The increase was primarily driven by a 35% increase in active customers period over period, continued strength in the retention of existing customers, favorable customer behavior based on foreign currency movement, and a continued mix shift trending towards digital disbursements. Revenue derived from each transaction varies based on a number of attributes, including the funding method chosen by the customer, the size of the transaction, the currency to be ultimately disbursed, the rate at which the currency was disbursed, the disbursement method chosen by the customer, and the country to which the funds are transferred.</w:t>
      </w:r>
    </w:p>
    <w:p>
      <w:pPr>
        <w:spacing w:after="0" w:line="12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a reflection of this growth, send volume increased 42% and 38% to $14.5 billion and $39.2 billion for the three and nine months ended September 30, 2024, respectively, as compared to $10.2 billion and $28.4 billion for the three and nine months ended September 30, 2023,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Expenses</w:t>
      </w:r>
    </w:p>
    <w:p>
      <w:pPr>
        <w:spacing w:after="0" w:line="18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Transaction expenses increased $29.8 million, or 35%, to $115.6 million for the three months ended September 30, 2024, compared to $85.7 million for the three months ended September 30, 2023. The increase was primarily due to a $21.9 million, or 31%, increase in direct costs associated with processing a higher volume of our customers’ remittance transactions and the disbursement of our customers’ funds to their recipients and a $7.7 million increase in our provision for transaction losses.</w:t>
      </w:r>
    </w:p>
    <w:p>
      <w:pPr>
        <w:spacing w:after="0" w:line="13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Transaction expenses increased $73.2 million, or 31%, to $313.2 million for the nine months ended September 30, 2024, compared to $240.0 million for the nine months ended September 30, 2023. The increase was primarily due to a $55.6 million, or 29%, increase in direct costs associated with processing a higher volume of our customers’ remittance transactions and the disbursement of our customers’ funds to their recipients and a $16.6 million increase in our provision for transaction losses.</w:t>
      </w:r>
    </w:p>
    <w:p>
      <w:pPr>
        <w:spacing w:after="0" w:line="138"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As a percentage of revenue, transaction expenses decreased to 34% for both the three and nine months ended September 30, 2024, as compared to 35% for both the three and nine months ended September 30,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Support and Operations Expenses</w:t>
      </w:r>
    </w:p>
    <w:p>
      <w:pPr>
        <w:spacing w:after="0" w:line="17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 xml:space="preserve">Customer support and operations expenses increased $0.6 million, or 3%, for the three months ended September 30, 2024, compared to the three months ended September 30, 2023. The increase was primarily driven by a $1.3 million increase in third-party personnel costs to support customer operations compared to the three months ended September 30, 2023. This was partially offset by $0.7 million in restructuring costs incurred during the three months ended September 30, 2023 primarily related to severance (refer to Note 13. </w:t>
      </w:r>
      <w:r>
        <w:rPr>
          <w:rFonts w:ascii="Times New Roman" w:cs="Times New Roman" w:eastAsia="Times New Roman" w:hAnsi="Times New Roman"/>
          <w:sz w:val="16"/>
          <w:szCs w:val="16"/>
          <w:i w:val="1"/>
          <w:iCs w:val="1"/>
          <w:color w:val="auto"/>
        </w:rPr>
        <w:t>Restructuring Initiatives</w:t>
      </w:r>
      <w:r>
        <w:rPr>
          <w:rFonts w:ascii="Times New Roman" w:cs="Times New Roman" w:eastAsia="Times New Roman" w:hAnsi="Times New Roman"/>
          <w:sz w:val="16"/>
          <w:szCs w:val="16"/>
          <w:color w:val="auto"/>
        </w:rPr>
        <w:t xml:space="preserve"> in the notes to the condensed consolidated financial statements included in Part I, Item 1 of this Quarterly Report on Form 10-Q for more information on the restructuring costs).</w:t>
      </w:r>
    </w:p>
    <w:p>
      <w:pPr>
        <w:spacing w:after="0" w:line="12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Customer support and operations expenses decreased $0.7 million, or 1%, for the nine months ended September 30, 2024, compared to the nine months ended September 30, 2023. The decrease was primarily driven by a $0.5 million decrease in personnel-related costs driven by a decrease in customer support and operations headcount and a $0.4 million decrease in other customer support and operating expenses compared to the nine months ended September 30, 2023.</w:t>
      </w:r>
    </w:p>
    <w:p>
      <w:pPr>
        <w:spacing w:after="0" w:line="11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As a percentage of revenue, customer support and operations expenses decreased to 7% for both the three and nine months ended September 30, 2024, from 9% for both the three and nine months ended September 30, 2023. The decrease was primarily due to process improvements and automation driving scale across customer support headcount at internal and third-party customer support sites.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 Expenses</w:t>
      </w:r>
    </w:p>
    <w:p>
      <w:pPr>
        <w:spacing w:after="0" w:line="1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Marketing expenses increased $13.4 million, or 22%, for the three months ended September 30, 2024, compared to the three months ended September 30, 2023, primarily due to an increase of $10.8 million in advertising expense and other targeted marketing expense, including online and offline marketing spend and promotion costs to acquire new customers. In addition, personnel-related costs increased by $1.9 million, driven by a 19% increase in marketing headcount compared to the three months ended September 30, 2023.</w:t>
      </w:r>
    </w:p>
    <w:p>
      <w:pPr>
        <w:spacing w:after="0" w:line="1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Marketing expenses increased $60.8 million, or 38%, for the nine months ended September 30, 2024, compared to the nine months ended September 30, 2023, primarily due to an increase of $51.6 million in advertising expense and other targeted marketing expense, including online and offline marketing spend and promotion costs to acquire new customers. In addition, personnel-related costs increased by $7.1 million, driven by a 23% increase in marketing headcount compared to the nine months ended September 30, 2023.</w:t>
      </w:r>
    </w:p>
    <w:p>
      <w:pPr>
        <w:spacing w:after="0" w:line="139"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As a percentage of revenue, marketing expenses decreased to 22% for the three months ended September 30, 2024, from 25% for the three months ended September 30, 2023, due to channel efficiencies and optimized local marketing.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percentage of revenue, marketing expenses increased to 24% for the nine months ended September 30, 2024, from 23%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Technology and Development Expenses</w:t>
      </w:r>
    </w:p>
    <w:p>
      <w:pPr>
        <w:spacing w:after="0" w:line="17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Technology and development expenses increased $11.4 million, or 20%, for the three months ended September 30, 2024, compared to the three months ended September 30, 2023. The increase was driven by $9.7 million in personnel-related expenses, net of personnel-related expenses capitalized as internal-use software, resulting from a 22% increase in headcount compared to the three months ended September 30, 2023, as part of our continued investment in our technology platform. The increase in technology and development expense was also driven by a $2.0 million increase in software costs for cloud services to support incremental transaction volume.</w:t>
      </w:r>
    </w:p>
    <w:p>
      <w:pPr>
        <w:spacing w:after="0" w:line="120"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Technology and development expenses increased $38.5 million, or 24%, for the nine months ended September 30, 2024, compared to the nine months ended September 30, 2023. The increase was driven by $32.0 million in personnel-related expenses, net of personnel-related expenses capitalized as internal-use software, resulting from a 27% increase in headcount compared to the nine months ended September 30, 2023, as part of our continued investment in our technology platform. The increase in technology and development expense was also driven by a $6.0 million increase in software costs for cloud services to support incremental transaction volume.</w:t>
      </w:r>
    </w:p>
    <w:p>
      <w:pPr>
        <w:spacing w:after="0" w:line="139"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As a percentage of revenue, technology and development expenses decreased to 20% and 22% for the three and nine months ended September 30, 2024, respectively, from 24% for both the three and nine months ended September 30, 2023, as we benefited from increasing efficiencies and scale.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8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General and administrative expenses increased $1.1 million, or 2%, for the three months ended September 30, 2024, compared to the three months ended September 30, 2023. The increase was primarily driven by a $4.9 million increase in personnel-related expenses resulting from a 24% increase in headcount compared to the three months ended September 30, 2023. This was partially offset by a $2.0 million decrease in the fair market value of our charitable contributions related to our annual Pledge 1% donation and $1.7 million reduction in professional fees.</w:t>
      </w:r>
    </w:p>
    <w:p>
      <w:pPr>
        <w:spacing w:after="0" w:line="12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6"/>
          <w:szCs w:val="16"/>
          <w:color w:val="auto"/>
        </w:rPr>
        <w:t>General and administrative expenses increased $10.3 million, or 8%, for the nine months ended September 30, 2024, compared to the nine months ended September 30, 2023. The increase was primarily driven by a $16.4 million increase in personnel-related expenses resulting from a 23% increase in headcount compared to the nine months ended September 30, 2023. This was partially offset by a $2.6 million decrease in taxes, a $2.1 million decrease in acquisition and integration costs, primarily related to the change in the fair value of the holdback liability, and a $2.0 million decrease in the fair market value of our charitable contributions related to our annual Pledge 1% donation.</w:t>
      </w:r>
    </w:p>
    <w:p>
      <w:pPr>
        <w:spacing w:after="0" w:line="32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As a percentage of revenue, general and administrative expenses decreased to 15% for both the three and nine months ended September 30, 2024, from 21% and 19% for the three and nine months ended September 30, 2023, respectively, as we continue to leverage scale in our general and administrative functions.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171"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Depreciation and amortization increased $1.2 million and $2.6 million, or 36% and 27%, respectively, for the three and nine months ended September 30, 2024, compared to the three and nine months ended September 30, 2023. The increase is primarily driven by an increase in amortization of internal-use software.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85"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Interest income increased $0.3 million and $1.0 million for the three and nine months ended September 30, 2024, respectively, as compared to the three and nine months ended September 30, 2023. These increases are primarily due to an increase in average invested balances throughout the periods.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85"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Interest expense increased $0.2 million and $0.7 million for the three and nine months ended September 30, 2024, respectively, as compared to the three and nine months ended September 30, 2023, primarily due to draws on the 2021 Revolving Credit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71"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Other income (expense), net is primarily driven by unrealized losses and gains on foreign exchange remeasurements of certain foreign currency denominated monetary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7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The provision for income taxes increased $1.6 million and $5.7 million for the three and nine months ended September 30, 2024, respectively, as compared to the three and nine months ended September 30, 2023. The increase is primarily due to increases in taxable income in certain foreign jurisdictions and decreases in discrete income tax benefits related to excess stock-based compensation deductions.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6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spacing w:after="0" w:line="120"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6"/>
          <w:szCs w:val="16"/>
          <w:color w:val="auto"/>
        </w:rPr>
        <w:t>We use Adjusted EBITDA, a non-GAAP financial measure to supplement net income (loss). Adjusted EBITDA is calculated as net income (loss) adjusted by (i) interest (income) expense, net; (ii) provision for income taxes; (iii) noncash charges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acquisition, integration, restructuring, and other costs.</w:t>
      </w:r>
    </w:p>
    <w:p>
      <w:pPr>
        <w:spacing w:after="0" w:line="139"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Adjusted EBITDA is a key output measure used by our management to evaluate our operating performance, inform future operating plans, and make strategic long-term decisions, including those relating to operating expenses and the allocation of internal resources.</w:t>
      </w:r>
    </w:p>
    <w:p>
      <w:pPr>
        <w:spacing w:after="0" w:line="111" w:lineRule="exact"/>
        <w:rPr>
          <w:sz w:val="20"/>
          <w:szCs w:val="20"/>
          <w:color w:val="auto"/>
        </w:rPr>
      </w:pPr>
    </w:p>
    <w:p>
      <w:pPr>
        <w:ind w:right="740"/>
        <w:spacing w:after="0" w:line="298" w:lineRule="auto"/>
        <w:rPr>
          <w:sz w:val="20"/>
          <w:szCs w:val="20"/>
          <w:color w:val="auto"/>
        </w:rPr>
      </w:pPr>
      <w:r>
        <w:rPr>
          <w:rFonts w:ascii="Times New Roman" w:cs="Times New Roman" w:eastAsia="Times New Roman" w:hAnsi="Times New Roman"/>
          <w:sz w:val="16"/>
          <w:szCs w:val="16"/>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97" w:lineRule="exact"/>
        <w:rPr>
          <w:sz w:val="20"/>
          <w:szCs w:val="20"/>
          <w:color w:val="auto"/>
        </w:rPr>
      </w:pPr>
    </w:p>
    <w:p>
      <w:pPr>
        <w:ind w:left="660" w:right="460" w:hanging="328"/>
        <w:spacing w:after="0" w:line="280"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spacing w:after="0" w:line="1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changes in, or cash requirements for, our working capital needs;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the effect of income taxes that may represent a reduction in cash available to us;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the effect of gains and losses from the remeasurement of foreign currency assets and liabilities into their functional currency;</w:t>
      </w:r>
    </w:p>
    <w:p>
      <w:pPr>
        <w:spacing w:after="0" w:line="59"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noncash charges associated with the donation of our common stock in connection with our Pledge 1% commitment, which is recorded in general and administrative expenses;</w:t>
      </w:r>
    </w:p>
    <w:p>
      <w:pPr>
        <w:spacing w:after="0" w:line="16" w:lineRule="exact"/>
        <w:rPr>
          <w:rFonts w:ascii="Times New Roman" w:cs="Times New Roman" w:eastAsia="Times New Roman" w:hAnsi="Times New Roman"/>
          <w:sz w:val="16"/>
          <w:szCs w:val="16"/>
          <w:color w:val="auto"/>
        </w:rPr>
      </w:pPr>
    </w:p>
    <w:p>
      <w:pPr>
        <w:ind w:left="660" w:right="400" w:hanging="328"/>
        <w:spacing w:after="0" w:line="280"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stock-based compensation expense, net, which has recently been, and will continue to be for the foreseeable future, a significant recurring expense for our business and an important part of our compensation strategy;</w:t>
      </w:r>
    </w:p>
    <w:p>
      <w:pPr>
        <w:spacing w:after="0" w:line="16" w:lineRule="exact"/>
        <w:rPr>
          <w:rFonts w:ascii="Times New Roman" w:cs="Times New Roman" w:eastAsia="Times New Roman" w:hAnsi="Times New Roman"/>
          <w:sz w:val="16"/>
          <w:szCs w:val="16"/>
          <w:color w:val="auto"/>
        </w:rPr>
      </w:pPr>
    </w:p>
    <w:p>
      <w:pPr>
        <w:ind w:left="660" w:right="280" w:hanging="328"/>
        <w:spacing w:after="0" w:line="263"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certain transaction costs related to acquisition, integration, restructuring, and other costs. The acquisition and integration costs are primarily related to the Rewire acquisition and primarily include external legal, accounting, valuation, and due diligence costs, advisory and other professional services fees necessary to integrate acquired businesses, and the change in the fair value of the holdback liability as part of the acquisition of Rewire. The restructuring costs are primarily related to severance and other associated costs; and</w:t>
      </w:r>
    </w:p>
    <w:p>
      <w:pPr>
        <w:spacing w:after="0" w:line="17" w:lineRule="exact"/>
        <w:rPr>
          <w:rFonts w:ascii="Times New Roman" w:cs="Times New Roman" w:eastAsia="Times New Roman" w:hAnsi="Times New Roman"/>
          <w:sz w:val="16"/>
          <w:szCs w:val="16"/>
          <w:color w:val="auto"/>
        </w:rPr>
      </w:pPr>
    </w:p>
    <w:p>
      <w:pPr>
        <w:ind w:left="660" w:right="500" w:hanging="328"/>
        <w:spacing w:after="0" w:line="298"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companies, including companies in our industry, may calculate Adjusted EBITDA differently from how we calculate this measure or not at all,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a reconciliation of net income (loss) to Adjusted EBITDA, the most directly comparable financial measure prepared in accordance 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for each of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(82,819)</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net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0" w:type="dxa"/>
            <w:vAlign w:val="bottom"/>
          </w:tcPr>
          <w:p>
            <w:pPr>
              <w:spacing w:after="0"/>
              <w:rPr>
                <w:sz w:val="1"/>
                <w:szCs w:val="1"/>
                <w:color w:val="auto"/>
              </w:rPr>
            </w:pP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0" w:type="dxa"/>
            <w:vAlign w:val="bottom"/>
          </w:tcPr>
          <w:p>
            <w:pPr>
              <w:spacing w:after="0"/>
              <w:rPr>
                <w:sz w:val="1"/>
                <w:szCs w:val="1"/>
                <w:color w:val="auto"/>
              </w:rPr>
            </w:pP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Donation of common stock</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110,523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101,007</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integration, restructuring, and other costs</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46,708</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10,496</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91,076</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36,274</w:t>
            </w: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4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160" w:hanging="152"/>
        <w:spacing w:after="0" w:line="199" w:lineRule="auto"/>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Refer to Note 11. </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xml:space="preserve"> within the notes to the condensed consolidated financial statements for further detail on the donation of common stock.</w:t>
      </w:r>
    </w:p>
    <w:p>
      <w:pPr>
        <w:spacing w:after="0" w:line="55" w:lineRule="exact"/>
        <w:rPr>
          <w:rFonts w:ascii="Times New Roman" w:cs="Times New Roman" w:eastAsia="Times New Roman" w:hAnsi="Times New Roman"/>
          <w:sz w:val="19"/>
          <w:szCs w:val="19"/>
          <w:color w:val="auto"/>
          <w:vertAlign w:val="superscript"/>
        </w:rPr>
      </w:pPr>
    </w:p>
    <w:p>
      <w:pPr>
        <w:ind w:right="80" w:firstLine="8"/>
        <w:spacing w:after="0" w:line="288" w:lineRule="auto"/>
        <w:tabs>
          <w:tab w:leader="none" w:pos="132" w:val="left"/>
        </w:tabs>
        <w:numPr>
          <w:ilvl w:val="0"/>
          <w:numId w:val="2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Acquisition, integration, restructuring, and other costs for the nine months ended September 30, 2024 consisted primarily of $0.8 million in restructuring charges incurred, $0.5 million of non-recurring legal charges, and $0.2 million related to the change in the fair value of the holdback liability associated with the acquisition of Rewire (O.S.G.) Research and Development Ltd. ("Rewire"). Acquisition, integration, restructuring, and other costs for the three months ended September 30, 2023 consisted primarily of $1.4 million in restructuring charges incurred,</w:t>
      </w:r>
    </w:p>
    <w:p>
      <w:pPr>
        <w:spacing w:after="0" w:line="1" w:lineRule="exact"/>
        <w:rPr>
          <w:rFonts w:ascii="Times New Roman" w:cs="Times New Roman" w:eastAsia="Times New Roman" w:hAnsi="Times New Roman"/>
          <w:sz w:val="15"/>
          <w:szCs w:val="15"/>
          <w:color w:val="auto"/>
          <w:vertAlign w:val="superscript"/>
        </w:rPr>
      </w:pPr>
    </w:p>
    <w:p>
      <w:pPr>
        <w:ind w:right="140"/>
        <w:spacing w:after="0" w:line="263"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rPr>
        <w:t xml:space="preserve">$0.9 million related to the change in the fair value of the holdback liability, and $0.6 million of expenses incurred in connection with the acquisition and integration of Rewire. Acquisition, integration, restructuring, and other costs for the nine months ended September 30, 2023 consisted primarily of $1.9 million related to the change in the fair value of the holdback liability, $1.4 million in restructuring charges incurred, and $1.1 million of expenses incurred in connection with the acquisition and integration of Rewire. Refer to Note 6.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and Note 13. </w:t>
      </w:r>
      <w:r>
        <w:rPr>
          <w:rFonts w:ascii="Times New Roman" w:cs="Times New Roman" w:eastAsia="Times New Roman" w:hAnsi="Times New Roman"/>
          <w:sz w:val="14"/>
          <w:szCs w:val="14"/>
          <w:i w:val="1"/>
          <w:iCs w:val="1"/>
          <w:color w:val="auto"/>
        </w:rPr>
        <w:t>Restructuring Initiatives</w:t>
      </w:r>
      <w:r>
        <w:rPr>
          <w:rFonts w:ascii="Times New Roman" w:cs="Times New Roman" w:eastAsia="Times New Roman" w:hAnsi="Times New Roman"/>
          <w:sz w:val="14"/>
          <w:szCs w:val="14"/>
          <w:color w:val="auto"/>
        </w:rPr>
        <w:t xml:space="preserve"> in the notes to the condensed consolidated financial statements included in Part I, Item 1 of this Quarterly Report on Form 10-Q for more information on these costs.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Sources of Liquidity and Material Future Cash Requirements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As of September 30, 2024 and December 31, 2023, our principal sources of liquidity were cash and cash equivalents of $324.4 million and $323.7 million, respectively, as well as funds available under the 2021 Revolving Credit Facility, which we entered into in September 2021. The 2021 Revolving Credit Facility was amended on December 20, 2023 to increase the revolving commitments from $250.0 million (including a $60.0 million letter of credit sub-facility) to $325.0 million. We have historically financed our operations and capital expenditures primarily through cash generated from operations including transaction fees and foreign exchange spreads. In recent periods, we have supplemented those cash flows with borrowings on our 2021 Revolving Credit Facility, primarily to support customer transaction volumes during peak periods and weekends, which we expect to continue to do in the future. During the nine months ended September 30, 2024 and 2023, the average term of outstanding borrowings under our 2021 Revolving Credit Facility was approximately four days. During the nine months ended September 30, 2024, we cumulatively borrowed $863.0 million against this credit facility and repaid $993.0 million. Operations continue to be substantially funded by the existing cash we have on hand and ongoing utilization of the 2021 Revolving Credit Facility (including the letter of credit sub-facility), which included active borrowings and repayments during the nine months ended September 30, 2024. As of September 30, 2024, we have unused borrowing capacity of $276.3 million.</w:t>
      </w:r>
    </w:p>
    <w:p>
      <w:pPr>
        <w:spacing w:after="0" w:line="143"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We believe that our cash, cash equivalents, and funds available under the 2021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and other strategic investments. Furthermore, certain jurisdictions where we operate require us to hold eligible liquid assets, based on regulatory or legal requirements, equal to the aggregate amount of all customer balances that have not yet been disbursed.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which are generally entered into in the ordinary course of business, and that can include minimum purchase quantities, requiring us to utilize cash on hand to fulfill these amounts. Refer to “Contractual Obligations and Commitments” discussed further below.</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 summary of our Condensed Consolidated Statements of Cash Flows for the periods presented:</w:t>
      </w:r>
    </w:p>
    <w:p>
      <w:pPr>
        <w:spacing w:after="0" w:line="21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activities</w:t>
            </w:r>
            <w:r>
              <w:rPr>
                <w:rFonts w:ascii="Times New Roman" w:cs="Times New Roman" w:eastAsia="Times New Roman" w:hAnsi="Times New Roman"/>
                <w:sz w:val="21"/>
                <w:szCs w:val="21"/>
                <w:color w:val="auto"/>
                <w:vertAlign w:val="superscript"/>
              </w:rPr>
              <w:t>(1)</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138,850</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(25,168)</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Investing activities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(47,450)</w:t>
            </w:r>
          </w:p>
        </w:tc>
        <w:tc>
          <w:tcPr>
            <w:tcW w:w="0" w:type="dxa"/>
            <w:vAlign w:val="bottom"/>
          </w:tcPr>
          <w:p>
            <w:pPr>
              <w:spacing w:after="0"/>
              <w:rPr>
                <w:sz w:val="1"/>
                <w:szCs w:val="1"/>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Financing activities</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(128,899)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(76,692)</w:t>
            </w:r>
          </w:p>
        </w:tc>
        <w:tc>
          <w:tcPr>
            <w:tcW w:w="0" w:type="dxa"/>
            <w:vAlign w:val="bottom"/>
          </w:tcPr>
          <w:p>
            <w:pPr>
              <w:spacing w:after="0"/>
              <w:rPr>
                <w:sz w:val="1"/>
                <w:szCs w:val="1"/>
                <w:color w:val="auto"/>
              </w:rPr>
            </w:pPr>
          </w:p>
        </w:tc>
      </w:tr>
      <w:tr>
        <w:trPr>
          <w:trHeight w:val="21"/>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80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right="40" w:firstLine="8"/>
        <w:spacing w:after="0" w:line="276" w:lineRule="auto"/>
        <w:tabs>
          <w:tab w:leader="none" w:pos="149"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 xml:space="preserve">Certain prior period amounts have been reclassified to conform to the current period presentation. Refer to Note 2. </w:t>
      </w:r>
      <w:r>
        <w:rPr>
          <w:rFonts w:ascii="Times New Roman" w:cs="Times New Roman" w:eastAsia="Times New Roman" w:hAnsi="Times New Roman"/>
          <w:sz w:val="12"/>
          <w:szCs w:val="12"/>
          <w:i w:val="1"/>
          <w:iCs w:val="1"/>
          <w:color w:val="auto"/>
        </w:rPr>
        <w:t>Basis of Presentation and Summary of Significant Accounting Policies</w:t>
      </w:r>
      <w:r>
        <w:rPr>
          <w:rFonts w:ascii="Times New Roman" w:cs="Times New Roman" w:eastAsia="Times New Roman" w:hAnsi="Times New Roman"/>
          <w:sz w:val="12"/>
          <w:szCs w:val="12"/>
          <w:color w:val="auto"/>
        </w:rPr>
        <w:t xml:space="preserve"> in the notes to the condensed consolidated financial statements included in Part I, Item 1 of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quarter end falls on, including holidays and long weekends. For example, we generally have higher prefunding amounts if the quarter closes on a weekend or in advance of a long weekend, such as a holiday, which creates variability in customer transaction-related balances period over period and can reduce our cash position at a particular point in time. These balances within our Condensed Consolidated Statements of Cash Flows include disbursement prefunding, customer funds receivable, customer liabilities, and disbursement postfunding liabilities and book overdrafts, both of which are included within the line item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Accrued expenses and other liabilities.</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right="380"/>
        <w:spacing w:after="0" w:line="263" w:lineRule="auto"/>
        <w:rPr>
          <w:sz w:val="20"/>
          <w:szCs w:val="20"/>
          <w:color w:val="auto"/>
        </w:rPr>
      </w:pPr>
      <w:r>
        <w:rPr>
          <w:rFonts w:ascii="Times New Roman" w:cs="Times New Roman" w:eastAsia="Times New Roman" w:hAnsi="Times New Roman"/>
          <w:sz w:val="16"/>
          <w:szCs w:val="16"/>
          <w:color w:val="auto"/>
        </w:rPr>
        <w:t>For the nine months ended September 30, 2024, net cash provided by operating activities was $138.9 million, which was primarily driven by timing impacts of current growth in our global network. Specifically, as a result of both growth and timing, we saw an increase in cash flow related to customer funds working capital changes of $63.8 million related to combined customer funds receivable, customer liabilities, disbursement prefunding, and trade settlement liability. In addition to these and other changes in working capital, the cash generated from operations reflects the $31.3 million net loss for the period exclusive of the $125.6 million of noncash charges.</w:t>
      </w:r>
    </w:p>
    <w:p>
      <w:pPr>
        <w:spacing w:after="0" w:line="12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For the nine months ended September 30, 2023, net cash used in operating activities was $25.2 million, which was primarily driven by an increase in overall growth in our global network of funding and disbursement partnerships and an increase in volume of customer transactions. Specifically, as a result of both growth and timing, we saw an increase in disbursement prefunding of $52.2 million and customer funds receivable of $68.6 million, offset by an increase in customer liabilities of $29.2 million and accrued expenses and other liabilities, which is inclusive of our trade settlement liability, of $28.1 million, which were the key drivers for the unfavorable changes in our operating assets and liabilities of $62.3 million. This change in our operating assets and liabilities was also partially offset by cash generated from our operations, when excluding the $119.9 million of noncash charges included within the $82.8 million net loss for the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69" w:lineRule="exact"/>
        <w:rPr>
          <w:sz w:val="20"/>
          <w:szCs w:val="20"/>
          <w:color w:val="auto"/>
        </w:rPr>
      </w:pPr>
    </w:p>
    <w:p>
      <w:pPr>
        <w:ind w:right="620"/>
        <w:spacing w:after="0" w:line="298" w:lineRule="auto"/>
        <w:rPr>
          <w:sz w:val="20"/>
          <w:szCs w:val="20"/>
          <w:color w:val="auto"/>
        </w:rPr>
      </w:pPr>
      <w:r>
        <w:rPr>
          <w:rFonts w:ascii="Times New Roman" w:cs="Times New Roman" w:eastAsia="Times New Roman" w:hAnsi="Times New Roman"/>
          <w:sz w:val="16"/>
          <w:szCs w:val="16"/>
          <w:color w:val="auto"/>
        </w:rPr>
        <w:t>Cash used in investing activities consists primarily of purchases of property and equipment, capitalization of internal-use software, and cash paid for acquisitions of businesses, net of acquired cash, cash equivalents, and restricted cash.</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used in investing activities was $12.5 million for the nine months ended September 30, 2024, a decrease of $35.0 million, compared to net cash used in investing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activities of $47.5 million for the nine months ended September 30, 2023. This decrease was primarily driven by the acquisition of Rewire in the first quarter of 2023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$40.9 million, offset by an increase in capitalized internal-use software costs of $5.0 million for the nine months ended September 30, 2024, as compared to the nine months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ended September 30,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6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Cash used in financing activities consists primarily of borrowings on our 2021 Revolving Credit Facility, proceeds from the exercise of stock options, and proceeds from the issuance of common stock in connection with ESPP, offset by repayments of borrowings and other indebtedness.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540"/>
        <w:spacing w:after="0" w:line="263" w:lineRule="auto"/>
        <w:rPr>
          <w:sz w:val="20"/>
          <w:szCs w:val="20"/>
          <w:color w:val="auto"/>
        </w:rPr>
      </w:pPr>
      <w:r>
        <w:rPr>
          <w:rFonts w:ascii="Times New Roman" w:cs="Times New Roman" w:eastAsia="Times New Roman" w:hAnsi="Times New Roman"/>
          <w:sz w:val="16"/>
          <w:szCs w:val="16"/>
          <w:color w:val="auto"/>
        </w:rPr>
        <w:t>Net cash used in financing activities for the nine months ended September 30, 2024 was $128.9 million, an increase of $125.4 million, compared to net cash used in financing activities for the nine months ended September 30, 2023 of $3.5 million. The increase was primarily driven by the increase in net repayments on our 2021 Revolving Credit Facility of $130.0 million and the settlement of amounts previously held back for the Rewire acquisition of $10.3 million in the nine months ended September 30, 2024. offset by the repayment of assumed indebtedness of $17.1 million that occurred in the nine months ended September 30,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w:t>
      </w:r>
    </w:p>
    <w:p>
      <w:pPr>
        <w:spacing w:after="0" w:line="1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During the nine months ended September 30, 2024, other than software, cloud infrastructure (as described below), marketing, compliance-tool related contracts, and leases (as described below) entered into in the normal course of business, there were no other material changes to the contractual obligations and contingencies as disclosed in Note</w:t>
      </w:r>
    </w:p>
    <w:p>
      <w:pPr>
        <w:ind w:firstLine="8"/>
        <w:spacing w:after="0" w:line="260" w:lineRule="auto"/>
        <w:tabs>
          <w:tab w:leader="none" w:pos="24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Commitments and Contingencies </w:t>
      </w:r>
      <w:r>
        <w:rPr>
          <w:rFonts w:ascii="Times New Roman" w:cs="Times New Roman" w:eastAsia="Times New Roman" w:hAnsi="Times New Roman"/>
          <w:sz w:val="16"/>
          <w:szCs w:val="16"/>
          <w:color w:val="auto"/>
        </w:rPr>
        <w:t>and Note 20.</w:t>
      </w:r>
      <w:r>
        <w:rPr>
          <w:rFonts w:ascii="Times New Roman" w:cs="Times New Roman" w:eastAsia="Times New Roman" w:hAnsi="Times New Roman"/>
          <w:sz w:val="16"/>
          <w:szCs w:val="16"/>
          <w:i w:val="1"/>
          <w:iCs w:val="1"/>
          <w:color w:val="auto"/>
        </w:rPr>
        <w:t xml:space="preserve"> Leases </w:t>
      </w:r>
      <w:r>
        <w:rPr>
          <w:rFonts w:ascii="Times New Roman" w:cs="Times New Roman" w:eastAsia="Times New Roman" w:hAnsi="Times New Roman"/>
          <w:sz w:val="16"/>
          <w:szCs w:val="16"/>
          <w:color w:val="auto"/>
        </w:rPr>
        <w:t>in the notes to the consolidated financial statements included in Part II, Item 8 in our Annual Report on Form 10-K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for the year ended December 31, 2023. For further discussion of commitments and contingencies, also refer to Note 15.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in the notes to the condensed consolidated financial statements included in Part I, Item 1 of this Quarterly Report on Form 10-Q</w:t>
      </w:r>
      <w:r>
        <w:rPr>
          <w:rFonts w:ascii="Times New Roman" w:cs="Times New Roman" w:eastAsia="Times New Roman" w:hAnsi="Times New Roman"/>
          <w:sz w:val="16"/>
          <w:szCs w:val="16"/>
          <w:i w:val="1"/>
          <w:iCs w:val="1"/>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Purchase Commitments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nine months ended September 30, 2024</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we entered into a three-year cloud infrastructure arrangement. For further details on this arrangement, refer to Note 15.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Commitments and Contingencies </w:t>
      </w:r>
      <w:r>
        <w:rPr>
          <w:rFonts w:ascii="Times New Roman" w:cs="Times New Roman" w:eastAsia="Times New Roman" w:hAnsi="Times New Roman"/>
          <w:sz w:val="16"/>
          <w:szCs w:val="16"/>
          <w:color w:val="auto"/>
        </w:rPr>
        <w:t>in the notes to the condensed consolidated financial statements included in Part I, Item 1 of this Quarterly Report on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Significant Lease Not Yet Commenced</w:t>
      </w:r>
    </w:p>
    <w:p>
      <w:pPr>
        <w:spacing w:after="0" w:line="183"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 xml:space="preserve">In June 2024, we entered into an agreement to lease certain office space in Seattle, Washington, for the use of our corporate headquarters office. For further details on this lease agreement, refer to Note 15.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in the notes to the condensed consolidated financial statements included in Part I, Item 1 of this Quarterly Report on Form 10-Q.</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6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As of September 30, 2024, we had no material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consolidated financial statements in our Annual Report on Form 10-K, we elected not to record leases on our Condensed Consolidated Balance Sheets if the lease term is 12 months or less. For further information on our lease arrangements, refer to our Annual Report on Form 10-K for the year ended December 31,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The Company’s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3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 xml:space="preserve">There have been no material changes, other than as described in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in the notes to the condensed consolidated financial statements to the critical accounting policies and estimates as compared to those described in “Management’s Discussion and Analysis of Financial Condition and Results of Operations” set forth in our Annual Report on Form 10-K for the year ended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67"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auto"/>
        </w:rPr>
        <w:t xml:space="preserve">See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in the notes to the condensed consolidated financial statements included in Part I, Item 1 of this Quarterly Report on Form 10-Q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69"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16"/>
          <w:szCs w:val="16"/>
          <w:color w:val="auto"/>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We have a limited number of pay-in payment processors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Exchange Rate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Given the nature of our business, we are exposed to foreign exchange rate risk in a number of ways. Our principal exposure to foreign exchange rate risk includes:</w:t>
      </w:r>
    </w:p>
    <w:p>
      <w:pPr>
        <w:spacing w:after="0" w:line="181" w:lineRule="exact"/>
        <w:rPr>
          <w:sz w:val="20"/>
          <w:szCs w:val="20"/>
          <w:color w:val="auto"/>
        </w:rPr>
      </w:pPr>
    </w:p>
    <w:p>
      <w:pPr>
        <w:ind w:left="660" w:hanging="328"/>
        <w:spacing w:after="0" w:line="26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127" w:lineRule="exact"/>
        <w:rPr>
          <w:rFonts w:ascii="Times New Roman" w:cs="Times New Roman" w:eastAsia="Times New Roman" w:hAnsi="Times New Roman"/>
          <w:sz w:val="16"/>
          <w:szCs w:val="16"/>
          <w:color w:val="auto"/>
        </w:rPr>
      </w:pPr>
    </w:p>
    <w:p>
      <w:pPr>
        <w:ind w:left="660" w:hanging="328"/>
        <w:spacing w:after="0" w:line="26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the majority of our revenue and expenses are denominated in the U.S. dollar, certain of our international operations are conducted in foreign currencies, a significant portion of which occur in Canada and Europe.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spacing w:after="0" w:line="14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6"/>
          <w:szCs w:val="16"/>
          <w:color w:val="auto"/>
        </w:rPr>
        <w:t>As of September 30, 2024 and December 31, 2023, a hypothetical uniform 10% strengthening or weakening in the value of the U.S. dollar relative to other currencies in which our net loss was generated, would have resulted in a decrease or increase to the fair value of our customer transaction-related assets and liabilities denominated in currencies other than the subsidiaries’ functional currencies of approximately $18.0 million and $19.3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3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8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Based on their evaluation as of September 30, 2024,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71"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defined in the Exchange Act Rule 13a-15(f)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83"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6"/>
          <w:szCs w:val="16"/>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addition to the other information set forth in this Quarterly Report on Form 10-Q, you should carefully consider the factors discussed in Part I, Item 1A, “Risk Factors,” in our Annual Report on Form 10-K for the year ended December 31, 2023, which could materially affect our business, reputation, financial condition, future results, or the trading price of the Company’s stock. These are not the only risks facing the Company. Additional risks and uncertainties not currently known to us or that we currently deem to be immaterial also may materially adversely affect our business, reputation, financial condition, and/or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Sales of Unregistered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Proceeds</w:t>
      </w:r>
    </w:p>
    <w:p>
      <w:pPr>
        <w:spacing w:after="0" w:line="17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September 2021, we completed our initial public offering (the “IPO”), in which we issued and sold 7,000,000 shares of our common stock at $43.00 per share. Concurrently, 5,162,777 shares were sold by certain of our existing stockholders. In addition, we concurrently issued 581,395 shares of common stock in a private placement at the same offering price as the IPO. We received net proceeds of $305.2 million for the IPO and private placement, after deducting underwriting discounts and other fees of $20.8 million. There has been no material change in the planned use of proceeds from our IPO as described in our final prospectus filed with the SEC on September 24, 2021 pursuant to Rule 424(b) under the Securities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Issuer Purchase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Rule 10b5-1 and Non-Rule 10b5-1 Trading Arrangements</w:t>
      </w:r>
    </w:p>
    <w:p>
      <w:pPr>
        <w:spacing w:after="0" w:line="171"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On August 2, 2024, Matthew Oppenheimer, our Chief Executive Officer, adopted a trading plan intended to satisfy the conditions under Rule 10b5-1 of the Exchange Act. Mr. Oppenheimer’s plan is for the sale of up to 350,000 shares of our common stock and terminates on the earlier of the date all the shares under the plan are sold and October 16,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Exhibit</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Description</w:t>
            </w: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Number</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4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0" w:type="dxa"/>
            <w:vAlign w:val="bottom"/>
          </w:tcPr>
          <w:p>
            <w:pPr>
              <w:spacing w:after="0"/>
              <w:rPr>
                <w:sz w:val="1"/>
                <w:szCs w:val="1"/>
                <w:color w:val="auto"/>
              </w:rPr>
            </w:pPr>
          </w:p>
        </w:tc>
      </w:tr>
      <w:tr>
        <w:trPr>
          <w:trHeight w:val="195"/>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3.1</w:t>
            </w:r>
          </w:p>
        </w:tc>
        <w:tc>
          <w:tcPr>
            <w:tcW w:w="4420" w:type="dxa"/>
            <w:vAlign w:val="bottom"/>
            <w:gridSpan w:val="14"/>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Amended and Restated Certificate of Incorporation</w:t>
              </w:r>
            </w:hyperlink>
          </w:p>
        </w:tc>
        <w:tc>
          <w:tcPr>
            <w:tcW w:w="9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5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November 12, 2021</w:t>
            </w:r>
          </w:p>
        </w:tc>
        <w:tc>
          <w:tcPr>
            <w:tcW w:w="0" w:type="dxa"/>
            <w:vAlign w:val="bottom"/>
          </w:tcPr>
          <w:p>
            <w:pPr>
              <w:spacing w:after="0"/>
              <w:rPr>
                <w:sz w:val="1"/>
                <w:szCs w:val="1"/>
                <w:color w:val="auto"/>
              </w:rPr>
            </w:pPr>
          </w:p>
        </w:tc>
      </w:tr>
      <w:tr>
        <w:trPr>
          <w:trHeight w:val="223"/>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3.2</w:t>
            </w:r>
          </w:p>
        </w:tc>
        <w:tc>
          <w:tcPr>
            <w:tcW w:w="3320" w:type="dxa"/>
            <w:vAlign w:val="bottom"/>
            <w:tcBorders>
              <w:top w:val="single" w:sz="8" w:color="0000FF"/>
            </w:tcBorders>
            <w:gridSpan w:val="5"/>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Amended and Restated Bylaws</w:t>
              </w:r>
            </w:hyperlink>
          </w:p>
        </w:tc>
        <w:tc>
          <w:tcPr>
            <w:tcW w:w="1100" w:type="dxa"/>
            <w:vAlign w:val="bottom"/>
            <w:gridSpan w:val="9"/>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54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March 20, 2024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10.1</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Offer Letter, dated as of July 26, 2024, by and between the</w:t>
            </w: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80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Registrant and Vikas Mehta</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31.1</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6"/>
                <w:szCs w:val="16"/>
                <w:color w:val="0000FF"/>
              </w:rPr>
              <w:t>14(a) and 15d-14(a) under the Securities Exchange Act of 1934, as</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340" w:type="dxa"/>
            <w:vAlign w:val="bottom"/>
            <w:gridSpan w:val="12"/>
          </w:tcPr>
          <w:p>
            <w:pPr>
              <w:spacing w:after="0" w:line="155"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3"/>
              </w:rPr>
              <w:t>2002</w:t>
            </w:r>
          </w:p>
        </w:tc>
        <w:tc>
          <w:tcPr>
            <w:tcW w:w="8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31.2</w:t>
            </w:r>
          </w:p>
        </w:tc>
        <w:tc>
          <w:tcPr>
            <w:tcW w:w="42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w:t>
            </w:r>
          </w:p>
        </w:tc>
        <w:tc>
          <w:tcPr>
            <w:tcW w:w="140" w:type="dxa"/>
            <w:vAlign w:val="bottom"/>
            <w:gridSpan w:val="4"/>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420" w:type="dxa"/>
            <w:vAlign w:val="bottom"/>
            <w:gridSpan w:val="14"/>
          </w:tcPr>
          <w:p>
            <w:pPr>
              <w:spacing w:after="0" w:line="169" w:lineRule="exact"/>
              <w:rPr>
                <w:sz w:val="20"/>
                <w:szCs w:val="20"/>
                <w:color w:val="auto"/>
              </w:rPr>
            </w:pPr>
            <w:r>
              <w:rPr>
                <w:rFonts w:ascii="Times New Roman" w:cs="Times New Roman" w:eastAsia="Times New Roman" w:hAnsi="Times New Roman"/>
                <w:sz w:val="16"/>
                <w:szCs w:val="16"/>
                <w:color w:val="0000FF"/>
              </w:rPr>
              <w:t>14(a) and 15d-14(a) under the Securities Exchange Act of 1934, as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340" w:type="dxa"/>
            <w:vAlign w:val="bottom"/>
            <w:tcBorders>
              <w:top w:val="single" w:sz="8" w:color="0000FF"/>
            </w:tcBorders>
            <w:gridSpan w:val="12"/>
          </w:tcPr>
          <w:p>
            <w:pPr>
              <w:spacing w:after="0" w:line="155"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3"/>
              </w:rPr>
              <w:t>2002</w:t>
            </w:r>
          </w:p>
        </w:tc>
        <w:tc>
          <w:tcPr>
            <w:tcW w:w="8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32.1*</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6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c>
          <w:tcPr>
            <w:tcW w:w="160" w:type="dxa"/>
            <w:vAlign w:val="bottom"/>
            <w:gridSpan w:val="5"/>
          </w:tcPr>
          <w:p>
            <w:pPr>
              <w:jc w:val="right"/>
              <w:ind w:right="80"/>
              <w:spacing w:after="0" w:line="169" w:lineRule="exact"/>
              <w:rPr>
                <w:sz w:val="20"/>
                <w:szCs w:val="20"/>
                <w:color w:val="auto"/>
              </w:rPr>
            </w:pPr>
            <w:r>
              <w:rPr>
                <w:rFonts w:ascii="Times New Roman" w:cs="Times New Roman" w:eastAsia="Times New Roman" w:hAnsi="Times New Roman"/>
                <w:sz w:val="16"/>
                <w:szCs w:val="16"/>
                <w:color w:val="0000FF"/>
              </w:rPr>
              <w:t>-</w:t>
            </w: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360" w:type="dxa"/>
            <w:vAlign w:val="bottom"/>
            <w:tcBorders>
              <w:top w:val="single" w:sz="8" w:color="0000FF"/>
            </w:tcBorders>
            <w:gridSpan w:val="13"/>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32.2*</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2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6"/>
                <w:szCs w:val="16"/>
                <w:color w:val="0000FF"/>
                <w:w w:val="99"/>
              </w:rPr>
              <w:t>Section 1350, as Adopted Pursuant to Section 906 of the Sarbanes</w:t>
            </w:r>
          </w:p>
        </w:tc>
        <w:tc>
          <w:tcPr>
            <w:tcW w:w="200" w:type="dxa"/>
            <w:vAlign w:val="bottom"/>
            <w:gridSpan w:val="6"/>
          </w:tcPr>
          <w:p>
            <w:pPr>
              <w:jc w:val="right"/>
              <w:ind w:right="80"/>
              <w:spacing w:after="0" w:line="169" w:lineRule="exact"/>
              <w:rPr>
                <w:sz w:val="20"/>
                <w:szCs w:val="20"/>
                <w:color w:val="auto"/>
              </w:rPr>
            </w:pPr>
            <w:r>
              <w:rPr>
                <w:rFonts w:ascii="Times New Roman" w:cs="Times New Roman" w:eastAsia="Times New Roman" w:hAnsi="Times New Roman"/>
                <w:sz w:val="16"/>
                <w:szCs w:val="16"/>
                <w:color w:val="0000FF"/>
              </w:rPr>
              <w:t>-</w:t>
            </w: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360" w:type="dxa"/>
            <w:vAlign w:val="bottom"/>
            <w:tcBorders>
              <w:top w:val="single" w:sz="8" w:color="0000FF"/>
            </w:tcBorders>
            <w:gridSpan w:val="13"/>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2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101.INS</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4420" w:type="dxa"/>
            <w:vAlign w:val="bottom"/>
            <w:gridSpan w:val="14"/>
          </w:tcPr>
          <w:p>
            <w:pPr>
              <w:spacing w:after="0" w:line="175" w:lineRule="exact"/>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101.SCH</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101.CAL</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101.DEF</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101.LAB</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101.PRE</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104</w:t>
            </w: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ind w:firstLine="8"/>
        <w:spacing w:after="0" w:line="273" w:lineRule="auto"/>
        <w:tabs>
          <w:tab w:leader="none" w:pos="137" w:val="left"/>
        </w:tabs>
        <w:numPr>
          <w:ilvl w:val="0"/>
          <w:numId w:val="2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16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Remitly Global, Inc.</w:t>
            </w:r>
          </w:p>
        </w:tc>
      </w:tr>
      <w:tr>
        <w:trPr>
          <w:trHeight w:val="52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October 30, 2024</w:t>
            </w:r>
          </w:p>
        </w:tc>
        <w:tc>
          <w:tcPr>
            <w:tcW w:w="13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Matthew Oppenheimer</w:t>
            </w:r>
          </w:p>
        </w:tc>
      </w:tr>
      <w:tr>
        <w:trPr>
          <w:trHeight w:val="210"/>
        </w:trPr>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Oppenheimer</w:t>
            </w:r>
          </w:p>
        </w:tc>
      </w:tr>
      <w:tr>
        <w:trPr>
          <w:trHeight w:val="243"/>
        </w:trPr>
        <w:tc>
          <w:tcPr>
            <w:tcW w:w="4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43"/>
        </w:trPr>
        <w:tc>
          <w:tcPr>
            <w:tcW w:w="4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2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October 30, 2024</w:t>
            </w:r>
          </w:p>
        </w:tc>
        <w:tc>
          <w:tcPr>
            <w:tcW w:w="13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Vikas Mehta</w:t>
            </w:r>
          </w:p>
        </w:tc>
      </w:tr>
      <w:tr>
        <w:trPr>
          <w:trHeight w:val="210"/>
        </w:trPr>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Vikas Mehta</w:t>
            </w:r>
          </w:p>
        </w:tc>
      </w:tr>
      <w:tr>
        <w:trPr>
          <w:trHeight w:val="243"/>
        </w:trPr>
        <w:tc>
          <w:tcPr>
            <w:tcW w:w="4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3"/>
        </w:trPr>
        <w:tc>
          <w:tcPr>
            <w:tcW w:w="4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52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October 30, 2024</w:t>
            </w:r>
          </w:p>
        </w:tc>
        <w:tc>
          <w:tcPr>
            <w:tcW w:w="13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Gail Miller</w:t>
            </w:r>
          </w:p>
        </w:tc>
      </w:tr>
      <w:tr>
        <w:trPr>
          <w:trHeight w:val="210"/>
        </w:trPr>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Gail Miller</w:t>
            </w:r>
          </w:p>
        </w:tc>
      </w:tr>
      <w:tr>
        <w:trPr>
          <w:trHeight w:val="243"/>
        </w:trPr>
        <w:tc>
          <w:tcPr>
            <w:tcW w:w="4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43"/>
        </w:trPr>
        <w:tc>
          <w:tcPr>
            <w:tcW w:w="4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080"/>
          </w:cols>
          <w:pgMar w:left="320" w:top="126" w:right="4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July 26, 2024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Vikas:</w:t>
      </w:r>
    </w:p>
    <w:p>
      <w:pPr>
        <w:spacing w:after="0" w:line="212" w:lineRule="exact"/>
        <w:rPr>
          <w:sz w:val="20"/>
          <w:szCs w:val="20"/>
          <w:color w:val="auto"/>
        </w:rPr>
      </w:pPr>
    </w:p>
    <w:p>
      <w:pPr>
        <w:ind w:left="60" w:right="420" w:firstLine="324"/>
        <w:spacing w:after="0" w:line="241" w:lineRule="auto"/>
        <w:rPr>
          <w:sz w:val="20"/>
          <w:szCs w:val="20"/>
          <w:color w:val="auto"/>
        </w:rPr>
      </w:pPr>
      <w:r>
        <w:rPr>
          <w:rFonts w:ascii="Times New Roman" w:cs="Times New Roman" w:eastAsia="Times New Roman" w:hAnsi="Times New Roman"/>
          <w:sz w:val="20"/>
          <w:szCs w:val="20"/>
          <w:color w:val="auto"/>
        </w:rPr>
        <w:t>This letter agreement is between you and Remitly Global,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Under the terms of this agreement, you will work in the role of Chief Financial Officer, reporting to Matt Oppenheimer, the Company’s Chief Executive Officer.</w:t>
      </w:r>
    </w:p>
    <w:p>
      <w:pPr>
        <w:spacing w:after="0" w:line="209" w:lineRule="exact"/>
        <w:rPr>
          <w:sz w:val="20"/>
          <w:szCs w:val="20"/>
          <w:color w:val="auto"/>
        </w:rPr>
      </w:pPr>
    </w:p>
    <w:p>
      <w:pPr>
        <w:jc w:val="both"/>
        <w:ind w:left="60" w:right="420" w:firstLine="323"/>
        <w:spacing w:after="0" w:line="298" w:lineRule="auto"/>
        <w:tabs>
          <w:tab w:leader="none" w:pos="640" w:val="left"/>
        </w:tabs>
        <w:numPr>
          <w:ilvl w:val="0"/>
          <w:numId w:val="2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Cash Compensation</w:t>
      </w:r>
      <w:r>
        <w:rPr>
          <w:rFonts w:ascii="Times New Roman" w:cs="Times New Roman" w:eastAsia="Times New Roman" w:hAnsi="Times New Roman"/>
          <w:sz w:val="20"/>
          <w:szCs w:val="20"/>
          <w:color w:val="auto"/>
        </w:rPr>
        <w:t>. In this position, the Company will pay you an annual base salary payable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standard payroll schedule. Your pay will be periodically reviewed as a part of the Company’s regular reviews of compensation.</w:t>
      </w:r>
    </w:p>
    <w:p>
      <w:pPr>
        <w:spacing w:after="0" w:line="155" w:lineRule="exact"/>
        <w:rPr>
          <w:rFonts w:ascii="Times New Roman" w:cs="Times New Roman" w:eastAsia="Times New Roman" w:hAnsi="Times New Roman"/>
          <w:sz w:val="20"/>
          <w:szCs w:val="20"/>
          <w:b w:val="1"/>
          <w:bCs w:val="1"/>
          <w:color w:val="010000"/>
        </w:rPr>
      </w:pPr>
    </w:p>
    <w:p>
      <w:pPr>
        <w:jc w:val="both"/>
        <w:ind w:left="60" w:right="420" w:firstLine="323"/>
        <w:spacing w:after="0" w:line="283" w:lineRule="auto"/>
        <w:tabs>
          <w:tab w:leader="none" w:pos="640" w:val="left"/>
        </w:tabs>
        <w:numPr>
          <w:ilvl w:val="0"/>
          <w:numId w:val="2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Employee Benefits</w:t>
      </w:r>
      <w:r>
        <w:rPr>
          <w:rFonts w:ascii="Times New Roman" w:cs="Times New Roman" w:eastAsia="Times New Roman" w:hAnsi="Times New Roman"/>
          <w:sz w:val="20"/>
          <w:szCs w:val="20"/>
          <w:color w:val="auto"/>
        </w:rPr>
        <w:t>. You will be eligible to participate in a number of Company-sponsored benefits to the extent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comply with the eligibility requirements of 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spacing w:after="0" w:line="184" w:lineRule="exact"/>
        <w:rPr>
          <w:rFonts w:ascii="Times New Roman" w:cs="Times New Roman" w:eastAsia="Times New Roman" w:hAnsi="Times New Roman"/>
          <w:sz w:val="20"/>
          <w:szCs w:val="20"/>
          <w:b w:val="1"/>
          <w:bCs w:val="1"/>
          <w:color w:val="010000"/>
        </w:rPr>
      </w:pPr>
    </w:p>
    <w:p>
      <w:pPr>
        <w:jc w:val="both"/>
        <w:ind w:left="60" w:right="420" w:firstLine="323"/>
        <w:spacing w:after="0" w:line="291" w:lineRule="auto"/>
        <w:tabs>
          <w:tab w:leader="none" w:pos="640" w:val="left"/>
        </w:tabs>
        <w:numPr>
          <w:ilvl w:val="0"/>
          <w:numId w:val="2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Termination Benefits</w:t>
      </w:r>
      <w:r>
        <w:rPr>
          <w:rFonts w:ascii="Times New Roman" w:cs="Times New Roman" w:eastAsia="Times New Roman" w:hAnsi="Times New Roman"/>
          <w:sz w:val="20"/>
          <w:szCs w:val="20"/>
          <w:color w:val="auto"/>
        </w:rPr>
        <w:t>. You will be eligible to receive change in control and severance payments and benefits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Change in Control and Severance Agreement (the “</w:t>
      </w:r>
      <w:r>
        <w:rPr>
          <w:rFonts w:ascii="Times New Roman" w:cs="Times New Roman" w:eastAsia="Times New Roman" w:hAnsi="Times New Roman"/>
          <w:sz w:val="20"/>
          <w:szCs w:val="20"/>
          <w:b w:val="1"/>
          <w:bCs w:val="1"/>
          <w:color w:val="auto"/>
        </w:rPr>
        <w:t>Severance Agreement</w:t>
      </w:r>
      <w:r>
        <w:rPr>
          <w:rFonts w:ascii="Times New Roman" w:cs="Times New Roman" w:eastAsia="Times New Roman" w:hAnsi="Times New Roman"/>
          <w:sz w:val="20"/>
          <w:szCs w:val="20"/>
          <w:color w:val="auto"/>
        </w:rPr>
        <w:t xml:space="preserve">”) between you and the Company, attached to this offer letter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b w:val="1"/>
          <w:bCs w:val="1"/>
          <w:color w:val="010000"/>
        </w:rPr>
      </w:pPr>
    </w:p>
    <w:p>
      <w:pPr>
        <w:ind w:left="60" w:right="420" w:firstLine="323"/>
        <w:spacing w:after="0" w:line="315" w:lineRule="auto"/>
        <w:tabs>
          <w:tab w:leader="none" w:pos="640" w:val="left"/>
        </w:tabs>
        <w:numPr>
          <w:ilvl w:val="0"/>
          <w:numId w:val="2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Confidentiality Agreement</w:t>
      </w:r>
      <w:r>
        <w:rPr>
          <w:rFonts w:ascii="Times New Roman" w:cs="Times New Roman" w:eastAsia="Times New Roman" w:hAnsi="Times New Roman"/>
          <w:sz w:val="20"/>
          <w:szCs w:val="20"/>
          <w:color w:val="auto"/>
        </w:rPr>
        <w:t>. By signing this letter agreement, you reaffirm the terms and conditions of the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Proprietary Information, Inventions and Arbitration Agreement by and between you and the Company.</w:t>
      </w:r>
    </w:p>
    <w:p>
      <w:pPr>
        <w:spacing w:after="0" w:line="138" w:lineRule="exact"/>
        <w:rPr>
          <w:rFonts w:ascii="Times New Roman" w:cs="Times New Roman" w:eastAsia="Times New Roman" w:hAnsi="Times New Roman"/>
          <w:sz w:val="20"/>
          <w:szCs w:val="20"/>
          <w:b w:val="1"/>
          <w:bCs w:val="1"/>
          <w:color w:val="010000"/>
        </w:rPr>
      </w:pPr>
    </w:p>
    <w:p>
      <w:pPr>
        <w:jc w:val="both"/>
        <w:ind w:left="60" w:right="420" w:firstLine="323"/>
        <w:spacing w:after="0" w:line="279" w:lineRule="auto"/>
        <w:tabs>
          <w:tab w:leader="none" w:pos="640" w:val="left"/>
        </w:tabs>
        <w:numPr>
          <w:ilvl w:val="0"/>
          <w:numId w:val="2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 Conflicting Obligations</w:t>
      </w:r>
      <w:r>
        <w:rPr>
          <w:rFonts w:ascii="Times New Roman" w:cs="Times New Roman" w:eastAsia="Times New Roman" w:hAnsi="Times New Roman"/>
          <w:sz w:val="20"/>
          <w:szCs w:val="20"/>
          <w:color w:val="auto"/>
        </w:rPr>
        <w:t>. You understand and agree that by signing this letter agreement, you represent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that your performance will not breach any other 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325120</wp:posOffset>
            </wp:positionV>
            <wp:extent cx="16459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460" w:hanging="1"/>
        <w:spacing w:after="0" w:line="229" w:lineRule="auto"/>
        <w:tabs>
          <w:tab w:leader="none" w:pos="175" w:val="left"/>
        </w:tabs>
        <w:numPr>
          <w:ilvl w:val="0"/>
          <w:numId w:val="29"/>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Any reference to the Company will be understood to include any direct or indirect subsidiary of the Company that employs you, including Remitly, Inc.</w:t>
      </w:r>
    </w:p>
    <w:p>
      <w:pPr>
        <w:sectPr>
          <w:pgSz w:w="11900" w:h="16838" w:orient="portrait"/>
          <w:cols w:equalWidth="0" w:num="1">
            <w:col w:w="10580"/>
          </w:cols>
          <w:pgMar w:left="980" w:top="108" w:right="339" w:bottom="1440" w:gutter="0" w:footer="0" w:header="0"/>
        </w:sectPr>
      </w:pPr>
    </w:p>
    <w:bookmarkStart w:id="42" w:name="page43"/>
    <w:bookmarkEnd w:id="42"/>
    <w:p>
      <w:pPr>
        <w:jc w:val="both"/>
        <w:ind w:firstLine="323"/>
        <w:spacing w:after="0" w:line="288" w:lineRule="auto"/>
        <w:tabs>
          <w:tab w:leader="none" w:pos="580" w:val="left"/>
        </w:tabs>
        <w:numPr>
          <w:ilvl w:val="0"/>
          <w:numId w:val="3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Outside Activities</w:t>
      </w:r>
      <w:r>
        <w:rPr>
          <w:rFonts w:ascii="Times New Roman" w:cs="Times New Roman" w:eastAsia="Times New Roman" w:hAnsi="Times New Roman"/>
          <w:sz w:val="20"/>
          <w:szCs w:val="20"/>
          <w:color w:val="auto"/>
        </w:rPr>
        <w:t>. While you render services to the Company, you agree that you will not engage in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65" w:lineRule="exact"/>
        <w:rPr>
          <w:rFonts w:ascii="Times New Roman" w:cs="Times New Roman" w:eastAsia="Times New Roman" w:hAnsi="Times New Roman"/>
          <w:sz w:val="20"/>
          <w:szCs w:val="20"/>
          <w:b w:val="1"/>
          <w:bCs w:val="1"/>
          <w:color w:val="010000"/>
        </w:rPr>
      </w:pPr>
    </w:p>
    <w:p>
      <w:pPr>
        <w:jc w:val="both"/>
        <w:ind w:firstLine="323"/>
        <w:spacing w:after="0" w:line="283" w:lineRule="auto"/>
        <w:tabs>
          <w:tab w:leader="none" w:pos="580" w:val="left"/>
        </w:tabs>
        <w:numPr>
          <w:ilvl w:val="0"/>
          <w:numId w:val="3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Equal Employment Opportunity</w:t>
      </w:r>
      <w:r>
        <w:rPr>
          <w:rFonts w:ascii="Times New Roman" w:cs="Times New Roman" w:eastAsia="Times New Roman" w:hAnsi="Times New Roman"/>
          <w:sz w:val="20"/>
          <w:szCs w:val="20"/>
          <w:color w:val="auto"/>
        </w:rPr>
        <w:t>. The Company is an equal opportunity employer and conducts its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practices based on business needs and in a manner that treats 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83" w:lineRule="exact"/>
        <w:rPr>
          <w:rFonts w:ascii="Times New Roman" w:cs="Times New Roman" w:eastAsia="Times New Roman" w:hAnsi="Times New Roman"/>
          <w:sz w:val="20"/>
          <w:szCs w:val="20"/>
          <w:b w:val="1"/>
          <w:bCs w:val="1"/>
          <w:color w:val="010000"/>
        </w:rPr>
      </w:pPr>
    </w:p>
    <w:p>
      <w:pPr>
        <w:jc w:val="both"/>
        <w:ind w:firstLine="323"/>
        <w:spacing w:after="0" w:line="277" w:lineRule="auto"/>
        <w:tabs>
          <w:tab w:leader="none" w:pos="580" w:val="left"/>
        </w:tabs>
        <w:numPr>
          <w:ilvl w:val="0"/>
          <w:numId w:val="3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Arbitration</w:t>
      </w:r>
      <w:r>
        <w:rPr>
          <w:rFonts w:ascii="Times New Roman" w:cs="Times New Roman" w:eastAsia="Times New Roman" w:hAnsi="Times New Roman"/>
          <w:sz w:val="20"/>
          <w:szCs w:val="20"/>
          <w:color w:val="auto"/>
        </w:rPr>
        <w:t>. You and the Company agree to submit to mandatory binding arbitration, governed by the Federal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Arbitration Act (“</w:t>
      </w:r>
      <w:r>
        <w:rPr>
          <w:rFonts w:ascii="Times New Roman" w:cs="Times New Roman" w:eastAsia="Times New Roman" w:hAnsi="Times New Roman"/>
          <w:sz w:val="20"/>
          <w:szCs w:val="20"/>
          <w:b w:val="1"/>
          <w:bCs w:val="1"/>
          <w:color w:val="auto"/>
        </w:rPr>
        <w:t>FAA</w:t>
      </w:r>
      <w:r>
        <w:rPr>
          <w:rFonts w:ascii="Times New Roman" w:cs="Times New Roman" w:eastAsia="Times New Roman" w:hAnsi="Times New Roman"/>
          <w:sz w:val="20"/>
          <w:szCs w:val="20"/>
          <w:color w:val="auto"/>
        </w:rPr>
        <w:t>”), any and all claims arising out of or related 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w:t>
      </w:r>
      <w:r>
        <w:rPr>
          <w:rFonts w:ascii="Times New Roman" w:cs="Times New Roman" w:eastAsia="Times New Roman" w:hAnsi="Times New Roman"/>
          <w:sz w:val="20"/>
          <w:szCs w:val="20"/>
          <w:b w:val="1"/>
          <w:bCs w:val="1"/>
          <w:color w:val="auto"/>
        </w:rPr>
        <w:t>Arbitrable Claims</w:t>
      </w:r>
      <w:r>
        <w:rPr>
          <w:rFonts w:ascii="Times New Roman" w:cs="Times New Roman" w:eastAsia="Times New Roman" w:hAnsi="Times New Roman"/>
          <w:sz w:val="20"/>
          <w:szCs w:val="20"/>
          <w:color w:val="auto"/>
        </w:rPr>
        <w:t xml:space="preserve">”). Further, to the fullest extent permitted by law, you and the Company agree that no class or collective actions can be asserted in arbitration or otherwise. All claims, whether in arbitration or otherwise, must be brought solely in your or the Company’s individual capacity, and not as a plaintiff or class member in any purported class or collective proceeding. </w:t>
      </w:r>
      <w:r>
        <w:rPr>
          <w:rFonts w:ascii="Times New Roman" w:cs="Times New Roman" w:eastAsia="Times New Roman" w:hAnsi="Times New Roman"/>
          <w:sz w:val="20"/>
          <w:szCs w:val="20"/>
          <w:u w:val="single" w:color="auto"/>
          <w:color w:val="auto"/>
        </w:rPr>
        <w:t>Nothing in this Arbitration and Class Action Waiver section, however, restricts your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 xml:space="preserve">right to pursue claims in court: (a) on a representative action basis under applicable law, or (b) arising under the Washington State Law Against Discrimination (RCW 49.60, </w:t>
      </w:r>
      <w:r>
        <w:rPr>
          <w:rFonts w:ascii="Times New Roman" w:cs="Times New Roman" w:eastAsia="Times New Roman" w:hAnsi="Times New Roman"/>
          <w:sz w:val="20"/>
          <w:szCs w:val="20"/>
          <w:i w:val="1"/>
          <w:iCs w:val="1"/>
          <w:u w:val="single" w:color="auto"/>
          <w:color w:val="auto"/>
        </w:rPr>
        <w:t>et seq</w:t>
      </w:r>
      <w:r>
        <w:rPr>
          <w:rFonts w:ascii="Times New Roman" w:cs="Times New Roman" w:eastAsia="Times New Roman" w:hAnsi="Times New Roman"/>
          <w:sz w:val="20"/>
          <w:szCs w:val="20"/>
          <w:u w:val="single" w:color="auto"/>
          <w:color w:val="auto"/>
        </w:rPr>
        <w:t>.) or any federal anti-discrimination law.</w:t>
      </w:r>
    </w:p>
    <w:p>
      <w:pPr>
        <w:spacing w:after="0" w:line="1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20"/>
          <w:szCs w:val="20"/>
          <w:color w:val="auto"/>
        </w:rPr>
        <w:t>SUBJECT TO THE ABOVE PROVISO, THE PARTIES HEREBY WAIVE ANY RIGHTS THEY MAY HAVE TO TRIAL BY JURY IN REGARD TO ARBITRABLE CLAIMS. THE PARTIES FURTHER WAIVE ANY RIGHTS THEY MAY HAVE TO PURSUE OR PARTICIPATE IN A CLASS OR COLLECTIVE ACTION PERTAINING TO ANY CLAIMS BETWEEN YOU AND THE COMPANY.</w:t>
      </w:r>
    </w:p>
    <w:p>
      <w:pPr>
        <w:spacing w:after="0" w:line="173" w:lineRule="exact"/>
        <w:rPr>
          <w:sz w:val="20"/>
          <w:szCs w:val="20"/>
          <w:color w:val="auto"/>
        </w:rPr>
      </w:pPr>
    </w:p>
    <w:p>
      <w:pPr>
        <w:ind w:firstLine="648"/>
        <w:spacing w:after="0" w:line="278" w:lineRule="auto"/>
        <w:rPr>
          <w:sz w:val="20"/>
          <w:szCs w:val="20"/>
          <w:color w:val="auto"/>
        </w:rPr>
      </w:pPr>
      <w:r>
        <w:rPr>
          <w:rFonts w:ascii="Times New Roman" w:cs="Times New Roman" w:eastAsia="Times New Roman" w:hAnsi="Times New Roman"/>
          <w:sz w:val="20"/>
          <w:szCs w:val="20"/>
          <w:color w:val="auto"/>
        </w:rPr>
        <w:t xml:space="preserve">This agreement to arbitrate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except for the resolution of claims of discrimination. The arbitration shall be conducted in Seattle, Washington through JAMS before a single neutral arbitrator, in accordance with the JAMS employment arbitration rules then in effect, provided however, that the FAA, including its procedural provisions for compelling arbitration, shall govern and apply to this arbitration agreement. The JAMS rules may be found and reviewed at </w:t>
      </w:r>
      <w:r>
        <w:rPr>
          <w:rFonts w:ascii="Times New Roman" w:cs="Times New Roman" w:eastAsia="Times New Roman" w:hAnsi="Times New Roman"/>
          <w:sz w:val="20"/>
          <w:szCs w:val="20"/>
          <w:color w:val="0E32E1"/>
        </w:rPr>
        <w:t>http://www.jamsadr.com/rules-employment-arbitration</w:t>
      </w:r>
      <w:r>
        <w:rPr>
          <w:rFonts w:ascii="Times New Roman" w:cs="Times New Roman" w:eastAsia="Times New Roman" w:hAnsi="Times New Roman"/>
          <w:sz w:val="20"/>
          <w:szCs w:val="20"/>
          <w:color w:val="000000"/>
        </w:rPr>
        <w:t>. If you are unable to access these rules, please let me know and I will</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provide you with a hardcopy. The arbitrator</w:t>
      </w:r>
    </w:p>
    <w:p>
      <w:pPr>
        <w:sectPr>
          <w:pgSz w:w="11900" w:h="16838" w:orient="portrait"/>
          <w:cols w:equalWidth="0" w:num="1">
            <w:col w:w="10100"/>
          </w:cols>
          <w:pgMar w:left="1040" w:top="1436" w:right="759" w:bottom="1440" w:gutter="0" w:footer="0" w:header="0"/>
        </w:sectPr>
      </w:pPr>
    </w:p>
    <w:bookmarkStart w:id="43" w:name="page44"/>
    <w:bookmarkEnd w:id="43"/>
    <w:p>
      <w:pPr>
        <w:jc w:val="both"/>
        <w:ind w:right="300"/>
        <w:spacing w:after="0" w:line="289" w:lineRule="auto"/>
        <w:rPr>
          <w:sz w:val="20"/>
          <w:szCs w:val="20"/>
          <w:color w:val="auto"/>
        </w:rPr>
      </w:pPr>
      <w:r>
        <w:rPr>
          <w:rFonts w:ascii="Times New Roman" w:cs="Times New Roman" w:eastAsia="Times New Roman" w:hAnsi="Times New Roman"/>
          <w:sz w:val="20"/>
          <w:szCs w:val="20"/>
          <w:color w:val="auto"/>
        </w:rPr>
        <w:t>shall issue a written decision that contains the essential findings and conclusions on which the decision is based. If, for any reason, any term of this Arbitration and Class Action Waiver provision is held to be invalid or unenforceable, all other valid terms and conditions herein shall be severable in nature, and remain fully enforceable.</w:t>
      </w:r>
    </w:p>
    <w:p>
      <w:pPr>
        <w:spacing w:after="0" w:line="164" w:lineRule="exact"/>
        <w:rPr>
          <w:sz w:val="20"/>
          <w:szCs w:val="20"/>
          <w:color w:val="auto"/>
        </w:rPr>
      </w:pPr>
    </w:p>
    <w:p>
      <w:pPr>
        <w:jc w:val="both"/>
        <w:ind w:firstLine="323"/>
        <w:spacing w:after="0" w:line="298" w:lineRule="auto"/>
        <w:tabs>
          <w:tab w:leader="none" w:pos="580" w:val="left"/>
        </w:tabs>
        <w:numPr>
          <w:ilvl w:val="0"/>
          <w:numId w:val="3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General Obligations</w:t>
      </w:r>
      <w:r>
        <w:rPr>
          <w:rFonts w:ascii="Times New Roman" w:cs="Times New Roman" w:eastAsia="Times New Roman" w:hAnsi="Times New Roman"/>
          <w:sz w:val="20"/>
          <w:szCs w:val="20"/>
          <w:color w:val="auto"/>
        </w:rPr>
        <w:t>. As an employee, you will be expected to adhere to the Company’s standards of professionalism,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loyalty, integrity, honesty, reliability and respect for all. You will also be expected to comply with the Company’s policies and procedures. The Company is an equal opportunity employer.</w:t>
      </w:r>
    </w:p>
    <w:p>
      <w:pPr>
        <w:spacing w:after="0" w:line="155" w:lineRule="exact"/>
        <w:rPr>
          <w:rFonts w:ascii="Times New Roman" w:cs="Times New Roman" w:eastAsia="Times New Roman" w:hAnsi="Times New Roman"/>
          <w:sz w:val="20"/>
          <w:szCs w:val="20"/>
          <w:b w:val="1"/>
          <w:bCs w:val="1"/>
          <w:color w:val="010000"/>
        </w:rPr>
      </w:pPr>
    </w:p>
    <w:p>
      <w:pPr>
        <w:jc w:val="both"/>
        <w:ind w:firstLine="323"/>
        <w:spacing w:after="0" w:line="278" w:lineRule="auto"/>
        <w:tabs>
          <w:tab w:leader="none" w:pos="585" w:val="left"/>
        </w:tabs>
        <w:numPr>
          <w:ilvl w:val="0"/>
          <w:numId w:val="3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Your employment with the Company will continue for no specific period of time.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the Company will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w:t>
      </w:r>
    </w:p>
    <w:p>
      <w:pPr>
        <w:spacing w:after="0" w:line="190" w:lineRule="exact"/>
        <w:rPr>
          <w:rFonts w:ascii="Times New Roman" w:cs="Times New Roman" w:eastAsia="Times New Roman" w:hAnsi="Times New Roman"/>
          <w:sz w:val="20"/>
          <w:szCs w:val="20"/>
          <w:b w:val="1"/>
          <w:bCs w:val="1"/>
          <w:color w:val="010000"/>
        </w:rPr>
      </w:pPr>
    </w:p>
    <w:p>
      <w:pPr>
        <w:ind w:right="20" w:firstLine="323"/>
        <w:spacing w:after="0" w:line="301" w:lineRule="auto"/>
        <w:tabs>
          <w:tab w:leader="none" w:pos="574" w:val="left"/>
        </w:tabs>
        <w:numPr>
          <w:ilvl w:val="0"/>
          <w:numId w:val="3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Withholdings</w:t>
      </w:r>
      <w:r>
        <w:rPr>
          <w:rFonts w:ascii="Times New Roman" w:cs="Times New Roman" w:eastAsia="Times New Roman" w:hAnsi="Times New Roman"/>
          <w:sz w:val="20"/>
          <w:szCs w:val="20"/>
          <w:color w:val="auto"/>
        </w:rPr>
        <w:t>. All forms of compensation paid to you as an employee of the Company shall be less all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0100"/>
          </w:cols>
          <w:pgMar w:left="1040" w:top="1440" w:right="759" w:bottom="1440" w:gutter="0" w:footer="0" w:header="0"/>
        </w:sectPr>
      </w:pPr>
    </w:p>
    <w:bookmarkStart w:id="44" w:name="page45"/>
    <w:bookmarkEnd w:id="44"/>
    <w:p>
      <w:pPr>
        <w:spacing w:after="0" w:line="200" w:lineRule="exact"/>
        <w:rPr>
          <w:sz w:val="20"/>
          <w:szCs w:val="20"/>
          <w:color w:val="auto"/>
        </w:rPr>
      </w:pPr>
    </w:p>
    <w:p>
      <w:pPr>
        <w:spacing w:after="0" w:line="259"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20"/>
          <w:szCs w:val="20"/>
          <w:color w:val="auto"/>
        </w:rPr>
        <w:t>This letter agreement supersedes and replaces any prior understandings or agreements, whether oral, written or implied, between you and the Company regarding the matters described in this letter (other than the Severance Agreement). This letter will be governed by the laws of Washington, without regard to its conflict of laws provisions.</w:t>
      </w:r>
    </w:p>
    <w:p>
      <w:pPr>
        <w:spacing w:after="0" w:line="200" w:lineRule="exact"/>
        <w:rPr>
          <w:sz w:val="20"/>
          <w:szCs w:val="20"/>
          <w:color w:val="auto"/>
        </w:rPr>
      </w:pPr>
    </w:p>
    <w:p>
      <w:pPr>
        <w:spacing w:after="0" w:line="40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Very truly yours, REMITLY GLOBAL,INC.</w:t>
      </w:r>
    </w:p>
    <w:p>
      <w:pPr>
        <w:spacing w:after="0" w:line="1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Matthew Oppenheimer</w:t>
      </w:r>
    </w:p>
    <w:p>
      <w:pPr>
        <w:spacing w:after="0" w:line="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Matthew Oppenheimer</w:t>
      </w:r>
    </w:p>
    <w:p>
      <w:pPr>
        <w:spacing w:after="0" w:line="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Vikas Mehta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Vikas Mehta</w:t>
      </w:r>
    </w:p>
    <w:p>
      <w:pPr>
        <w:sectPr>
          <w:pgSz w:w="11900" w:h="16838" w:orient="portrait"/>
          <w:cols w:equalWidth="0" w:num="1">
            <w:col w:w="9800"/>
          </w:cols>
          <w:pgMar w:left="1040" w:top="1440" w:right="1059" w:bottom="1440" w:gutter="0" w:footer="0" w:header="0"/>
        </w:sectPr>
      </w:pPr>
    </w:p>
    <w:bookmarkStart w:id="45" w:name="page46"/>
    <w:bookmarkEnd w:id="45"/>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77"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Oppenheimer, certify that:</w:t>
      </w:r>
    </w:p>
    <w:p>
      <w:pPr>
        <w:spacing w:after="0" w:line="306"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Remitly Global, Inc.;</w:t>
      </w:r>
    </w:p>
    <w:p>
      <w:pPr>
        <w:spacing w:after="0" w:line="319" w:lineRule="exact"/>
        <w:rPr>
          <w:rFonts w:ascii="Times New Roman" w:cs="Times New Roman" w:eastAsia="Times New Roman" w:hAnsi="Times New Roman"/>
          <w:sz w:val="18"/>
          <w:szCs w:val="18"/>
          <w:color w:val="auto"/>
        </w:rPr>
      </w:pPr>
    </w:p>
    <w:p>
      <w:pPr>
        <w:jc w:val="both"/>
        <w:ind w:left="340" w:hanging="8"/>
        <w:spacing w:after="0" w:line="360" w:lineRule="auto"/>
        <w:tabs>
          <w:tab w:leader="none" w:pos="6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8"/>
        <w:spacing w:after="0" w:line="391" w:lineRule="auto"/>
        <w:tabs>
          <w:tab w:leader="none" w:pos="6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340" w:hanging="8"/>
        <w:spacing w:after="0" w:line="368" w:lineRule="auto"/>
        <w:tabs>
          <w:tab w:leader="none" w:pos="7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106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391" w:lineRule="auto"/>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340" w:hanging="8"/>
        <w:spacing w:after="0" w:line="376"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391" w:lineRule="auto"/>
        <w:tabs>
          <w:tab w:leader="none" w:pos="111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660" w:right="20" w:hanging="4"/>
        <w:spacing w:after="0" w:line="376" w:lineRule="auto"/>
        <w:tabs>
          <w:tab w:leader="none" w:pos="105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Matthew Oppenheimer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27" w:right="339" w:bottom="1440" w:gutter="0" w:footer="0" w:header="0"/>
        </w:sectPr>
      </w:pPr>
    </w:p>
    <w:bookmarkStart w:id="46" w:name="page47"/>
    <w:bookmarkEnd w:id="46"/>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77"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Vikas Mehta, certify that:</w:t>
      </w:r>
    </w:p>
    <w:p>
      <w:pPr>
        <w:spacing w:after="0" w:line="306" w:lineRule="exact"/>
        <w:rPr>
          <w:sz w:val="20"/>
          <w:szCs w:val="20"/>
          <w:color w:val="auto"/>
        </w:rPr>
      </w:pPr>
    </w:p>
    <w:p>
      <w:pPr>
        <w:ind w:left="640" w:hanging="308"/>
        <w:spacing w:after="0"/>
        <w:tabs>
          <w:tab w:leader="none" w:pos="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Remitly Global, Inc.;</w:t>
      </w:r>
    </w:p>
    <w:p>
      <w:pPr>
        <w:spacing w:after="0" w:line="319" w:lineRule="exact"/>
        <w:rPr>
          <w:rFonts w:ascii="Times New Roman" w:cs="Times New Roman" w:eastAsia="Times New Roman" w:hAnsi="Times New Roman"/>
          <w:sz w:val="18"/>
          <w:szCs w:val="18"/>
          <w:color w:val="auto"/>
        </w:rPr>
      </w:pPr>
    </w:p>
    <w:p>
      <w:pPr>
        <w:jc w:val="both"/>
        <w:ind w:left="340" w:hanging="8"/>
        <w:spacing w:after="0" w:line="360" w:lineRule="auto"/>
        <w:tabs>
          <w:tab w:leader="none" w:pos="6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8"/>
        <w:spacing w:after="0" w:line="391" w:lineRule="auto"/>
        <w:tabs>
          <w:tab w:leader="none" w:pos="6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340" w:hanging="8"/>
        <w:spacing w:after="0" w:line="368" w:lineRule="auto"/>
        <w:tabs>
          <w:tab w:leader="none" w:pos="70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89"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1065"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391" w:lineRule="auto"/>
        <w:tabs>
          <w:tab w:leader="none" w:pos="108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97"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firstLine="8"/>
        <w:spacing w:after="0" w:line="376" w:lineRule="auto"/>
        <w:tabs>
          <w:tab w:leader="none" w:pos="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391" w:lineRule="auto"/>
        <w:tabs>
          <w:tab w:leader="none" w:pos="1112"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660" w:right="20" w:hanging="4"/>
        <w:spacing w:after="0" w:line="376" w:lineRule="auto"/>
        <w:tabs>
          <w:tab w:leader="none" w:pos="1056"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3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34290</wp:posOffset>
            </wp:positionV>
            <wp:extent cx="3737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Vikas Mehta</w:t>
      </w:r>
    </w:p>
    <w:p>
      <w:pPr>
        <w:spacing w:after="0" w:line="3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27" w:right="339" w:bottom="1158" w:gutter="0" w:footer="0" w:header="0"/>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70"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right="560" w:hanging="328"/>
        <w:spacing w:after="0" w:line="313"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2024 (the “Report”)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660" w:right="240" w:hanging="328"/>
        <w:spacing w:after="0" w:line="313"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3754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Matthew Oppenheimer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2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24"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auto"/>
        </w:rPr>
        <w:t>I, Vikas Mehta, Chief Financial Officer of Remitly Global, Inc. (the “Company”), do hereby certify, pursuant to 18 U.S.C. Section 1350, as adopted pursuant to Section 906 of the Sarbanes-Oxley Act of 2002, that to the best of my knowledge:</w:t>
      </w:r>
    </w:p>
    <w:p>
      <w:pPr>
        <w:spacing w:after="0" w:line="134" w:lineRule="exact"/>
        <w:rPr>
          <w:sz w:val="20"/>
          <w:szCs w:val="20"/>
          <w:color w:val="auto"/>
        </w:rPr>
      </w:pPr>
    </w:p>
    <w:p>
      <w:pPr>
        <w:ind w:left="660" w:right="560" w:hanging="328"/>
        <w:spacing w:after="0" w:line="329"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2024 (the “Report”) fully complies with the requirements of Section 13(a) or 15(d) of the Securities Exchange Act of 1934, as amended; and</w:t>
      </w:r>
    </w:p>
    <w:p>
      <w:pPr>
        <w:spacing w:after="0" w:line="148" w:lineRule="exact"/>
        <w:rPr>
          <w:rFonts w:ascii="Times New Roman" w:cs="Times New Roman" w:eastAsia="Times New Roman" w:hAnsi="Times New Roman"/>
          <w:sz w:val="18"/>
          <w:szCs w:val="18"/>
          <w:color w:val="auto"/>
        </w:rPr>
      </w:pPr>
    </w:p>
    <w:p>
      <w:pPr>
        <w:ind w:left="660" w:right="240" w:hanging="328"/>
        <w:spacing w:after="0" w:line="329"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3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34290</wp:posOffset>
            </wp:positionV>
            <wp:extent cx="37630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9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Vikas Mehta</w:t>
      </w:r>
    </w:p>
    <w:p>
      <w:pPr>
        <w:spacing w:after="0" w:line="3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2"/>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9"/>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1"/>
    </w:lvl>
  </w:abstractNum>
  <w:abstractNum w:abstractNumId="14">
    <w:nsid w:val="4353D0CD"/>
    <w:multiLevelType w:val="hybridMultilevel"/>
    <w:lvl w:ilvl="0">
      <w:lvlJc w:val="left"/>
      <w:lvlText w:val="%1."/>
      <w:numFmt w:val="decimal"/>
      <w:start w:val="12"/>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5"/>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8"/>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bullet"/>
      <w:start w:val="1"/>
    </w:lvl>
  </w:abstractNum>
  <w:abstractNum w:abstractNumId="29">
    <w:nsid w:val="4516DDE9"/>
    <w:multiLevelType w:val="hybridMultilevel"/>
    <w:lvl w:ilvl="0">
      <w:lvlJc w:val="left"/>
      <w:lvlText w:val="%1."/>
      <w:numFmt w:val="decimal"/>
      <w:start w:val="6"/>
    </w:lvl>
  </w:abstractNum>
  <w:abstractNum w:abstractNumId="30">
    <w:nsid w:val="3006C83E"/>
    <w:multiLevelType w:val="hybridMultilevel"/>
    <w:lvl w:ilvl="0">
      <w:lvlJc w:val="left"/>
      <w:lvlText w:val="%1."/>
      <w:numFmt w:val="decimal"/>
      <w:start w:val="9"/>
    </w:lvl>
  </w:abstractNum>
  <w:abstractNum w:abstractNumId="31">
    <w:nsid w:val="614FD4A1"/>
    <w:multiLevelType w:val="hybridMultilevel"/>
    <w:lvl w:ilvl="0">
      <w:lvlJc w:val="left"/>
      <w:lvlText w:val="%1."/>
      <w:numFmt w:val="decimal"/>
      <w:start w:val="1"/>
    </w:lvl>
    <w:lvl w:ilvl="1">
      <w:lvlJc w:val="left"/>
      <w:lvlText w:val="%2)"/>
      <w:numFmt w:val="lowerLetter"/>
      <w:start w:val="1"/>
    </w:lvl>
  </w:abstractNum>
  <w:abstractNum w:abstractNumId="32">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3">
    <w:nsid w:val="5577F8E1"/>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jpe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0" Type="http://schemas.openxmlformats.org/officeDocument/2006/relationships/hyperlink" Target="https://www.sec.gov/Archives/edgar/data/0001782170/000178217021000011/exhibit33-remitlyglobalxpu.htm" TargetMode="External"/><Relationship Id="rId61" Type="http://schemas.openxmlformats.org/officeDocument/2006/relationships/hyperlink" Target="https://www.sec.gov/Archives/edgar/data/1782170/000178217024000074/ex31-restat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2024-10-30T15:38:42Z</dcterms:created>
  <dcterms:modified xsi:type="dcterms:W3CDTF">2024-10-30T15:38:42Z</dcterms:modified>
</cp:coreProperties>
</file>