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287020</wp:posOffset>
            </wp:positionV>
            <wp:extent cx="2494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319405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REMITLY GLOBAL,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295910</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001-40822</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83-2301143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80" w:space="720"/>
            <w:col w:w="2560"/>
          </w:cols>
          <w:pgMar w:left="320" w:top="45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1111 Third Avenue, Suite 2100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736-4859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304800</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RELY</w:t>
            </w:r>
          </w:p>
        </w:tc>
        <w:tc>
          <w:tcPr>
            <w:tcW w:w="120" w:type="dxa"/>
            <w:vAlign w:val="bottom"/>
          </w:tcPr>
          <w:p>
            <w:pPr>
              <w:spacing w:after="0"/>
              <w:rPr>
                <w:sz w:val="19"/>
                <w:szCs w:val="19"/>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389"/>
        <w:spacing w:after="0" w:line="266" w:lineRule="auto"/>
        <w:rPr>
          <w:sz w:val="20"/>
          <w:szCs w:val="20"/>
          <w:color w:val="auto"/>
        </w:rPr>
      </w:pPr>
      <w:r>
        <w:rPr>
          <w:rFonts w:ascii="Times New Roman" w:cs="Times New Roman" w:eastAsia="Times New Roman" w:hAnsi="Times New Roman"/>
          <w:sz w:val="18"/>
          <w:szCs w:val="18"/>
          <w:color w:val="auto"/>
        </w:rPr>
        <w:t>On January 21, 2025, Gail Miller, the Chief Accounting Officer of Remitly Global, Inc. (the “Company”), provided notice of her resignation from the Company effective February 28, 2025. Ms. Miller’s resignation did not result from any disagreement regarding the Company’s financial reporting or accounting policies, procedures, estimates, or judgments.</w:t>
      </w:r>
    </w:p>
    <w:p>
      <w:pPr>
        <w:spacing w:after="0" w:line="176" w:lineRule="exact"/>
        <w:rPr>
          <w:sz w:val="20"/>
          <w:szCs w:val="20"/>
          <w:color w:val="auto"/>
        </w:rPr>
      </w:pPr>
    </w:p>
    <w:p>
      <w:pPr>
        <w:ind w:right="100" w:firstLine="389"/>
        <w:spacing w:after="0" w:line="282" w:lineRule="auto"/>
        <w:rPr>
          <w:sz w:val="20"/>
          <w:szCs w:val="20"/>
          <w:color w:val="auto"/>
        </w:rPr>
      </w:pPr>
      <w:r>
        <w:rPr>
          <w:rFonts w:ascii="Times New Roman" w:cs="Times New Roman" w:eastAsia="Times New Roman" w:hAnsi="Times New Roman"/>
          <w:sz w:val="18"/>
          <w:szCs w:val="18"/>
          <w:color w:val="auto"/>
        </w:rPr>
        <w:t>On January 21, 2025, the Board of Directors (the “Board”) of the Company approved the appointment of Luke Tavis as Chief Accounting Officer of the Company, effective as of February 28, 2025. Mr. Tavis will report to the Company’s Chief Financial Officer in this position.</w:t>
      </w:r>
    </w:p>
    <w:p>
      <w:pPr>
        <w:spacing w:after="0" w:line="162" w:lineRule="exact"/>
        <w:rPr>
          <w:sz w:val="20"/>
          <w:szCs w:val="20"/>
          <w:color w:val="auto"/>
        </w:rPr>
      </w:pPr>
    </w:p>
    <w:p>
      <w:pPr>
        <w:ind w:right="220" w:firstLine="389"/>
        <w:spacing w:after="0" w:line="266" w:lineRule="auto"/>
        <w:rPr>
          <w:sz w:val="20"/>
          <w:szCs w:val="20"/>
          <w:color w:val="auto"/>
        </w:rPr>
      </w:pPr>
      <w:r>
        <w:rPr>
          <w:rFonts w:ascii="Times New Roman" w:cs="Times New Roman" w:eastAsia="Times New Roman" w:hAnsi="Times New Roman"/>
          <w:sz w:val="18"/>
          <w:szCs w:val="18"/>
          <w:color w:val="auto"/>
        </w:rPr>
        <w:t>Since December 2023, Mr. Tavis, age 49, has served as Vice President, Controller of the Company. Previously, Mr. Tavis served as the Accounting Director, Devices and Services of Amazon.com, Inc. from 2022 to 2023. Prior to that role, Mr. Tavis held various positions at Trilogy International Partners, Inc. from 2015 to 2022, including Corporate Controller and Vice President and Director of Accounting and Reporting.</w:t>
      </w:r>
    </w:p>
    <w:p>
      <w:pPr>
        <w:spacing w:after="0" w:line="176" w:lineRule="exact"/>
        <w:rPr>
          <w:sz w:val="20"/>
          <w:szCs w:val="20"/>
          <w:color w:val="auto"/>
        </w:rPr>
      </w:pPr>
    </w:p>
    <w:p>
      <w:pPr>
        <w:ind w:right="60" w:firstLine="389"/>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to Chief Accounting Officer, Mr. Tavis will be eligible to receive an equity award of 36,773 restricted stock units (“RSUs”), vesting as follows: (i) 4,830 RSUs will vest in equal tranches on each of May 25, 2025, August 25, 2025, and November 25, 2025, (ii) 3,276 RSUs will vest on February 25, 2026, and (iii) 28,667 RSUs will vest in equal tranches on each of May 25, 2028, August 25, 2028, November 25, 2028, and February 25, 2029.</w:t>
      </w:r>
    </w:p>
    <w:p>
      <w:pPr>
        <w:spacing w:after="0" w:line="180" w:lineRule="exact"/>
        <w:rPr>
          <w:sz w:val="20"/>
          <w:szCs w:val="20"/>
          <w:color w:val="auto"/>
        </w:rPr>
      </w:pPr>
    </w:p>
    <w:p>
      <w:pPr>
        <w:ind w:right="260" w:firstLine="389"/>
        <w:spacing w:after="0" w:line="266" w:lineRule="auto"/>
        <w:rPr>
          <w:sz w:val="20"/>
          <w:szCs w:val="20"/>
          <w:color w:val="auto"/>
        </w:rPr>
      </w:pPr>
      <w:r>
        <w:rPr>
          <w:rFonts w:ascii="Times New Roman" w:cs="Times New Roman" w:eastAsia="Times New Roman" w:hAnsi="Times New Roman"/>
          <w:sz w:val="18"/>
          <w:szCs w:val="18"/>
          <w:color w:val="auto"/>
        </w:rPr>
        <w:t>There are no understandings or arrangements with Mr. Tavis in connection with his appointment as Chief Accounting Officer, and Mr. Tavis is not related to any executive officer or director of the Company. Mr. Tavis does not have any direct or indirect material interest in any existing or currently proposed transaction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Remitly Global, Inc.</w:t>
            </w:r>
          </w:p>
        </w:tc>
      </w:tr>
      <w:tr>
        <w:trPr>
          <w:trHeight w:val="64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24, 2025</w:t>
            </w: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/s/ Saema Somalya</w:t>
            </w:r>
          </w:p>
        </w:tc>
      </w:tr>
      <w:tr>
        <w:trPr>
          <w:trHeight w:val="191"/>
        </w:trPr>
        <w:tc>
          <w:tcPr>
            <w:tcW w:w="4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Saema Somalya</w:t>
            </w:r>
          </w:p>
        </w:tc>
      </w:tr>
      <w:tr>
        <w:trPr>
          <w:trHeight w:val="234"/>
        </w:trPr>
        <w:tc>
          <w:tcPr>
            <w:tcW w:w="4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and Corporate Affairs Officer</w:t>
            </w:r>
          </w:p>
        </w:tc>
      </w:tr>
      <w:tr>
        <w:trPr>
          <w:trHeight w:val="1809"/>
        </w:trPr>
        <w:tc>
          <w:tcPr>
            <w:tcW w:w="4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2025-01-24T15:32:17Z</dcterms:created>
  <dcterms:modified xsi:type="dcterms:W3CDTF">2025-01-24T15:32:17Z</dcterms:modified>
</cp:coreProperties>
</file>