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UNITED STATES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AND EXCHANGE COMMISSION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001-40822</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Remitly Global, Inc.</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(Primary Standard Industrial</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871" w:type="dxa"/>
        <w:jc w:val="center"/>
        <w:tblInd w:w="0" w:type="dxa"/>
        <w:tblLayout w:type="fixed"/>
        <w:tblCellMar>
          <w:top w:w="28" w:type="dxa"/>
          <w:left w:w="28" w:type="dxa"/>
          <w:bottom w:w="28" w:type="dxa"/>
          <w:right w:w="28" w:type="dxa"/>
        </w:tblCellMar>
      </w:tblPr>
      <w:tblGrid>
        <w:gridCol w:w="596"/>
        <w:gridCol w:w="526"/>
        <w:gridCol w:w="528"/>
        <w:gridCol w:w="299"/>
        <w:gridCol w:w="299"/>
        <w:gridCol w:w="301"/>
        <w:gridCol w:w="219"/>
        <w:gridCol w:w="219"/>
        <w:gridCol w:w="221"/>
        <w:gridCol w:w="140"/>
        <w:gridCol w:w="140"/>
        <w:gridCol w:w="141"/>
        <w:gridCol w:w="109"/>
        <w:gridCol w:w="109"/>
        <w:gridCol w:w="109"/>
        <w:gridCol w:w="268"/>
        <w:gridCol w:w="268"/>
        <w:gridCol w:w="379"/>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1111 Third Avenue,</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2100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98101</w:t>
            </w:r>
          </w:p>
        </w:tc>
      </w:tr>
      <w:tr>
        <w:trPr/>
        <w:tc>
          <w:tcPr>
            <w:tcW w:w="362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6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(888) 736-4859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October 30, 2023, the registrant had 185,157,741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Contents</w:t>
        </w:r>
      </w:hyperlink>
    </w:p>
    <w:tbl>
      <w:tblPr>
        <w:tblW w:w="10205" w:type="dxa"/>
        <w:jc w:val="center"/>
        <w:tblInd w:w="0" w:type="dxa"/>
        <w:tblLayout w:type="fixed"/>
        <w:tblCellMar>
          <w:top w:w="28" w:type="dxa"/>
          <w:left w:w="28" w:type="dxa"/>
          <w:bottom w:w="28" w:type="dxa"/>
          <w:right w:w="28" w:type="dxa"/>
        </w:tblCellMar>
      </w:tblPr>
      <w:tblGrid>
        <w:gridCol w:w="704"/>
        <w:gridCol w:w="619"/>
        <w:gridCol w:w="598"/>
        <w:gridCol w:w="2602"/>
        <w:gridCol w:w="2486"/>
        <w:gridCol w:w="2525"/>
        <w:gridCol w:w="195"/>
        <w:gridCol w:w="195"/>
        <w:gridCol w:w="281"/>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5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TABLE OF CONTENTS</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53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ans-serif" w:hAnsi="Times New Roman;sans-serif"/>
                  <w:b/>
                  <w:strike w:val="false"/>
                  <w:dstrike w:val="false"/>
                  <w:color w:val="000000"/>
                  <w:sz w:val="18"/>
                  <w:u w:val="none"/>
                  <w:effect w:val="none"/>
                </w:rPr>
                <w:t>Special Note Regarding Forward-Looking Statements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ans-serif" w:hAnsi="Times New Roman;sans-serif"/>
                  <w:b w:val="false"/>
                  <w:strike w:val="false"/>
                  <w:dstrike w:val="false"/>
                  <w:color w:val="000000"/>
                  <w:sz w:val="18"/>
                  <w:u w:val="none"/>
                  <w:effect w:val="none"/>
                </w:rPr>
                <w:t>ii</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Financial Information</w:t>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ans-serif" w:hAnsi="Times New Roman;sans-serif"/>
                  <w:b w:val="false"/>
                  <w:color w:val="3051F2"/>
                  <w:sz w:val="18"/>
                  <w:u w:val="single"/>
                </w:rPr>
                <w:t>Financial Statements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ans-serif" w:hAnsi="Times New Roman;sans-serif"/>
                  <w:b w:val="false"/>
                  <w:strike w:val="false"/>
                  <w:dstrike w:val="false"/>
                  <w:color w:val="000000"/>
                  <w:sz w:val="18"/>
                  <w:u w:val="none"/>
                  <w:effect w:val="none"/>
                </w:rPr>
                <w:t>1</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ans-serif" w:hAnsi="Times New Roman;sans-serif"/>
                  <w:b w:val="false"/>
                  <w:color w:val="3051F2"/>
                  <w:sz w:val="18"/>
                  <w:u w:val="single"/>
                </w:rPr>
                <w:t>Condensed Consolidated Balance Sheets as o</w:t>
              </w:r>
            </w:hyperlink>
            <w:hyperlink w:anchor="ia61f5f549cc04155b1c59bb766cccfa1_16">
              <w:r>
                <w:rPr>
                  <w:rStyle w:val="InternetLink"/>
                  <w:rFonts w:ascii="Times New Roman;sans-serif" w:hAnsi="Times New Roman;sans-serif"/>
                  <w:b w:val="false"/>
                  <w:strike w:val="false"/>
                  <w:dstrike w:val="false"/>
                  <w:color w:val="3051F2"/>
                  <w:sz w:val="18"/>
                  <w:u w:val="none"/>
                  <w:effect w:val="none"/>
                </w:rPr>
                <w:t>f</w:t>
              </w:r>
            </w:hyperlink>
            <w:hyperlink w:anchor="ia61f5f549cc04155b1c59bb766cccfa1_16">
              <w:r>
                <w:rPr>
                  <w:rStyle w:val="InternetLink"/>
                  <w:color w:val="3051F2"/>
                  <w:u w:val="single"/>
                </w:rPr>
                <w:t xml:space="preserve"> </w:t>
              </w:r>
            </w:hyperlink>
            <w:r>
              <w:rPr>
                <w:rFonts w:ascii="Times New Roman;sans-serif" w:hAnsi="Times New Roman;sans-serif"/>
                <w:b w:val="false"/>
                <w:color w:val="3051F2"/>
                <w:sz w:val="18"/>
                <w:u w:val="single"/>
              </w:rPr>
              <w:t>September 30, 2023</w:t>
            </w:r>
            <w:hyperlink w:anchor="ia61f5f549cc04155b1c59bb766cccfa1_16">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December 31, 2022</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ans-serif" w:hAnsi="Times New Roman;sans-serif"/>
                  <w:b w:val="false"/>
                  <w:strike w:val="false"/>
                  <w:dstrike w:val="false"/>
                  <w:color w:val="000000"/>
                  <w:sz w:val="18"/>
                  <w:u w:val="none"/>
                  <w:effect w:val="none"/>
                </w:rPr>
                <w:t>1</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ans-serif" w:hAnsi="Times New Roman;sans-serif"/>
                  <w:b w:val="false"/>
                  <w:color w:val="000080"/>
                  <w:sz w:val="18"/>
                  <w:u w:val="single"/>
                </w:rPr>
                <w:t>Condensed Consolidated Statements of Operations for the three</w:t>
              </w:r>
            </w:hyperlink>
            <w:hyperlink w:anchor="ia61f5f549cc04155b1c59bb766cccfa1_19">
              <w:r>
                <w:rPr>
                  <w:rStyle w:val="InternetLink"/>
                  <w:rFonts w:ascii="Times New Roman;sans-serif" w:hAnsi="Times New Roman;sans-serif"/>
                  <w:b w:val="false"/>
                  <w:color w:val="000080"/>
                  <w:sz w:val="18"/>
                  <w:u w:val="single"/>
                </w:rPr>
                <w:t xml:space="preserve"> </w:t>
              </w:r>
            </w:hyperlink>
            <w:hyperlink w:anchor="ia61f5f549cc04155b1c59bb766cccfa1_19">
              <w:r>
                <w:rPr>
                  <w:rStyle w:val="InternetLink"/>
                  <w:rFonts w:ascii="Times New Roman;sans-serif" w:hAnsi="Times New Roman;sans-serif"/>
                  <w:b w:val="false"/>
                  <w:color w:val="000080"/>
                  <w:sz w:val="18"/>
                  <w:u w:val="single"/>
                </w:rPr>
                <w:t xml:space="preserve">and </w:t>
              </w:r>
            </w:hyperlink>
            <w:hyperlink w:anchor="ia61f5f549cc04155b1c59bb766cccfa1_19">
              <w:r>
                <w:rPr>
                  <w:rStyle w:val="InternetLink"/>
                  <w:rFonts w:ascii="Times New Roman;sans-serif" w:hAnsi="Times New Roman;sans-serif"/>
                  <w:b w:val="false"/>
                  <w:color w:val="000080"/>
                  <w:sz w:val="18"/>
                  <w:u w:val="single"/>
                </w:rPr>
                <w:t>n</w:t>
              </w:r>
            </w:hyperlink>
            <w:r>
              <w:rPr>
                <w:rFonts w:ascii="Times New Roman;sans-serif" w:hAnsi="Times New Roman;sans-serif"/>
                <w:b w:val="false"/>
                <w:color w:val="3051F2"/>
                <w:sz w:val="18"/>
                <w:u w:val="single"/>
              </w:rPr>
              <w:t>ine</w:t>
            </w:r>
            <w:hyperlink w:anchor="ia61f5f549cc04155b1c59bb766cccfa1_19">
              <w:r>
                <w:rPr>
                  <w:rStyle w:val="InternetLink"/>
                  <w:rFonts w:ascii="Times New Roman;sans-serif" w:hAnsi="Times New Roman;sans-serif"/>
                  <w:b w:val="false"/>
                  <w:color w:val="000080"/>
                  <w:sz w:val="18"/>
                  <w:u w:val="single"/>
                </w:rPr>
                <w:t xml:space="preserve"> </w:t>
              </w:r>
            </w:hyperlink>
            <w:hyperlink w:anchor="ia61f5f549cc04155b1c59bb766cccfa1_19">
              <w:r>
                <w:rPr>
                  <w:rStyle w:val="InternetLink"/>
                  <w:rFonts w:ascii="Times New Roman;sans-serif" w:hAnsi="Times New Roman;sans-serif"/>
                  <w:b w:val="false"/>
                  <w:color w:val="000080"/>
                  <w:sz w:val="18"/>
                  <w:u w:val="single"/>
                </w:rPr>
                <w:t xml:space="preserve">months ended </w:t>
              </w:r>
            </w:hyperlink>
            <w:r>
              <w:rPr>
                <w:rFonts w:ascii="Times New Roman;sans-serif" w:hAnsi="Times New Roman;sans-serif"/>
                <w:b w:val="false"/>
                <w:color w:val="3051F2"/>
                <w:sz w:val="18"/>
                <w:u w:val="single"/>
              </w:rPr>
              <w:t>September 30, 2023</w:t>
            </w:r>
            <w:hyperlink w:anchor="ia61f5f549cc04155b1c59bb766cccfa1_19">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2022</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ans-serif" w:hAnsi="Times New Roman;sans-serif"/>
                  <w:b w:val="false"/>
                  <w:strike w:val="false"/>
                  <w:dstrike w:val="false"/>
                  <w:color w:val="000000"/>
                  <w:sz w:val="18"/>
                  <w:u w:val="none"/>
                  <w:effect w:val="none"/>
                </w:rPr>
                <w:t>2</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ans-serif" w:hAnsi="Times New Roman;sans-serif"/>
                  <w:b w:val="false"/>
                  <w:color w:val="000080"/>
                  <w:sz w:val="18"/>
                  <w:u w:val="single"/>
                </w:rPr>
                <w:t>Condensed Consolidated Statements of Comprehensive Loss for the thre</w:t>
              </w:r>
            </w:hyperlink>
            <w:hyperlink w:anchor="ia61f5f549cc04155b1c59bb766cccfa1_22">
              <w:r>
                <w:rPr>
                  <w:rStyle w:val="InternetLink"/>
                  <w:rFonts w:ascii="Times New Roman;sans-serif" w:hAnsi="Times New Roman;sans-serif"/>
                  <w:b w:val="false"/>
                  <w:color w:val="000080"/>
                  <w:sz w:val="18"/>
                  <w:u w:val="single"/>
                </w:rPr>
                <w:t>e</w:t>
              </w:r>
            </w:hyperlink>
            <w:hyperlink w:anchor="ia61f5f549cc04155b1c59bb766cccfa1_22">
              <w:r>
                <w:rPr>
                  <w:rStyle w:val="InternetLink"/>
                  <w:rFonts w:ascii="Times New Roman;sans-serif" w:hAnsi="Times New Roman;sans-serif"/>
                  <w:b w:val="false"/>
                  <w:color w:val="000080"/>
                  <w:sz w:val="18"/>
                  <w:u w:val="single"/>
                </w:rPr>
                <w:t xml:space="preserve"> </w:t>
              </w:r>
            </w:hyperlink>
            <w:hyperlink w:anchor="ia61f5f549cc04155b1c59bb766cccfa1_19">
              <w:r>
                <w:rPr>
                  <w:rStyle w:val="InternetLink"/>
                  <w:rFonts w:ascii="Times New Roman;sans-serif" w:hAnsi="Times New Roman;sans-serif"/>
                  <w:b w:val="false"/>
                  <w:color w:val="000080"/>
                  <w:sz w:val="18"/>
                  <w:u w:val="single"/>
                </w:rPr>
                <w:t xml:space="preserve">and </w:t>
              </w:r>
            </w:hyperlink>
            <w:hyperlink w:anchor="ia61f5f549cc04155b1c59bb766cccfa1_19">
              <w:r>
                <w:rPr>
                  <w:rStyle w:val="InternetLink"/>
                  <w:rFonts w:ascii="Times New Roman;sans-serif" w:hAnsi="Times New Roman;sans-serif"/>
                  <w:b w:val="false"/>
                  <w:color w:val="000080"/>
                  <w:sz w:val="18"/>
                  <w:u w:val="single"/>
                </w:rPr>
                <w:t>n</w:t>
              </w:r>
            </w:hyperlink>
            <w:r>
              <w:rPr>
                <w:rFonts w:ascii="Times New Roman;sans-serif" w:hAnsi="Times New Roman;sans-serif"/>
                <w:b w:val="false"/>
                <w:color w:val="3051F2"/>
                <w:sz w:val="18"/>
                <w:u w:val="single"/>
              </w:rPr>
              <w:t>ine</w:t>
            </w:r>
            <w:hyperlink w:anchor="ia61f5f549cc04155b1c59bb766cccfa1_19">
              <w:r>
                <w:rPr>
                  <w:rStyle w:val="InternetLink"/>
                  <w:rFonts w:ascii="Times New Roman;sans-serif" w:hAnsi="Times New Roman;sans-serif"/>
                  <w:b w:val="false"/>
                  <w:color w:val="000080"/>
                  <w:sz w:val="18"/>
                  <w:u w:val="single"/>
                </w:rPr>
                <w:t xml:space="preserve"> </w:t>
              </w:r>
            </w:hyperlink>
            <w:hyperlink w:anchor="ia61f5f549cc04155b1c59bb766cccfa1_22">
              <w:r>
                <w:rPr>
                  <w:rStyle w:val="InternetLink"/>
                  <w:rFonts w:ascii="Times New Roman;sans-serif" w:hAnsi="Times New Roman;sans-serif"/>
                  <w:b w:val="false"/>
                  <w:color w:val="000080"/>
                  <w:sz w:val="18"/>
                  <w:u w:val="single"/>
                </w:rPr>
                <w:t xml:space="preserve">months ended </w:t>
              </w:r>
            </w:hyperlink>
            <w:r>
              <w:rPr>
                <w:rFonts w:ascii="Times New Roman;sans-serif" w:hAnsi="Times New Roman;sans-serif"/>
                <w:b w:val="false"/>
                <w:color w:val="3051F2"/>
                <w:sz w:val="18"/>
                <w:u w:val="single"/>
              </w:rPr>
              <w:t>September 30, 2023</w:t>
            </w:r>
            <w:hyperlink w:anchor="ia61f5f549cc04155b1c59bb766cccfa1_22">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2022</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ans-serif" w:hAnsi="Times New Roman;sans-serif"/>
                  <w:b w:val="false"/>
                  <w:strike w:val="false"/>
                  <w:dstrike w:val="false"/>
                  <w:color w:val="000000"/>
                  <w:sz w:val="18"/>
                  <w:u w:val="none"/>
                  <w:effect w:val="none"/>
                </w:rPr>
                <w:t>3</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611">
              <w:r>
                <w:rPr>
                  <w:rStyle w:val="InternetLink"/>
                  <w:rFonts w:ascii="Times New Roman;sans-serif" w:hAnsi="Times New Roman;sans-serif"/>
                  <w:b w:val="false"/>
                  <w:color w:val="000080"/>
                  <w:sz w:val="18"/>
                  <w:u w:val="single"/>
                </w:rPr>
                <w:t xml:space="preserve">Condensed Consolidated Statements of </w:t>
              </w:r>
            </w:hyperlink>
            <w:hyperlink w:anchor="ia61f5f549cc04155b1c59bb766cccfa1_611">
              <w:r>
                <w:rPr>
                  <w:rStyle w:val="InternetLink"/>
                  <w:rFonts w:ascii="Times New Roman;sans-serif" w:hAnsi="Times New Roman;sans-serif"/>
                  <w:b w:val="false"/>
                  <w:color w:val="000080"/>
                  <w:sz w:val="18"/>
                  <w:u w:val="single"/>
                </w:rPr>
                <w:t xml:space="preserve">Stockholders’ Equity </w:t>
              </w:r>
            </w:hyperlink>
            <w:hyperlink w:anchor="ia61f5f549cc04155b1c59bb766cccfa1_611">
              <w:r>
                <w:rPr>
                  <w:rStyle w:val="InternetLink"/>
                  <w:rFonts w:ascii="Times New Roman;sans-serif" w:hAnsi="Times New Roman;sans-serif"/>
                  <w:b w:val="false"/>
                  <w:color w:val="000080"/>
                  <w:sz w:val="18"/>
                  <w:u w:val="single"/>
                </w:rPr>
                <w:t>for the three</w:t>
              </w:r>
            </w:hyperlink>
            <w:hyperlink w:anchor="ia61f5f549cc04155b1c59bb766cccfa1_611">
              <w:r>
                <w:rPr>
                  <w:rStyle w:val="InternetLink"/>
                  <w:rFonts w:ascii="Times New Roman;sans-serif" w:hAnsi="Times New Roman;sans-serif"/>
                  <w:b w:val="false"/>
                  <w:color w:val="000080"/>
                  <w:sz w:val="18"/>
                  <w:u w:val="single"/>
                </w:rPr>
                <w:t xml:space="preserve"> </w:t>
              </w:r>
            </w:hyperlink>
            <w:hyperlink w:anchor="ia61f5f549cc04155b1c59bb766cccfa1_19">
              <w:r>
                <w:rPr>
                  <w:rStyle w:val="InternetLink"/>
                  <w:rFonts w:ascii="Times New Roman;sans-serif" w:hAnsi="Times New Roman;sans-serif"/>
                  <w:b w:val="false"/>
                  <w:color w:val="000080"/>
                  <w:sz w:val="18"/>
                  <w:u w:val="single"/>
                </w:rPr>
                <w:t>and</w:t>
              </w:r>
            </w:hyperlink>
            <w:hyperlink w:anchor="ia61f5f549cc04155b1c59bb766cccfa1_19">
              <w:r>
                <w:rPr>
                  <w:rStyle w:val="InternetLink"/>
                  <w:rFonts w:ascii="Times New Roman;sans-serif" w:hAnsi="Times New Roman;sans-serif"/>
                  <w:b w:val="false"/>
                  <w:color w:val="000080"/>
                  <w:sz w:val="18"/>
                  <w:u w:val="single"/>
                </w:rPr>
                <w:t xml:space="preserve"> nine</w:t>
              </w:r>
            </w:hyperlink>
            <w:hyperlink w:anchor="ia61f5f549cc04155b1c59bb766cccfa1_19">
              <w:r>
                <w:rPr>
                  <w:rStyle w:val="InternetLink"/>
                  <w:rFonts w:ascii="Times New Roman;sans-serif" w:hAnsi="Times New Roman;sans-serif"/>
                  <w:b w:val="false"/>
                  <w:color w:val="000080"/>
                  <w:sz w:val="18"/>
                  <w:u w:val="single"/>
                </w:rPr>
                <w:t xml:space="preserve"> </w:t>
              </w:r>
            </w:hyperlink>
            <w:hyperlink w:anchor="ia61f5f549cc04155b1c59bb766cccfa1_25">
              <w:r>
                <w:rPr>
                  <w:rStyle w:val="InternetLink"/>
                  <w:rFonts w:ascii="Times New Roman;sans-serif" w:hAnsi="Times New Roman;sans-serif"/>
                  <w:b w:val="false"/>
                  <w:color w:val="000080"/>
                  <w:sz w:val="18"/>
                  <w:u w:val="single"/>
                </w:rPr>
                <w:t xml:space="preserve">months ended </w:t>
              </w:r>
            </w:hyperlink>
            <w:r>
              <w:rPr>
                <w:rFonts w:ascii="Times New Roman;sans-serif" w:hAnsi="Times New Roman;sans-serif"/>
                <w:b w:val="false"/>
                <w:color w:val="3051F2"/>
                <w:sz w:val="18"/>
                <w:u w:val="single"/>
              </w:rPr>
              <w:t>September 30, 2023</w:t>
            </w:r>
            <w:hyperlink w:anchor="ia61f5f549cc04155b1c59bb766cccfa1_25">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2022</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611">
              <w:r>
                <w:rPr>
                  <w:rStyle w:val="InternetLink"/>
                  <w:rFonts w:ascii="Times New Roman;sans-serif" w:hAnsi="Times New Roman;sans-serif"/>
                  <w:b w:val="false"/>
                  <w:strike w:val="false"/>
                  <w:dstrike w:val="false"/>
                  <w:color w:val="000000"/>
                  <w:sz w:val="18"/>
                  <w:u w:val="none"/>
                  <w:effect w:val="none"/>
                </w:rPr>
                <w:t>4</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ans-serif" w:hAnsi="Times New Roman;sans-serif"/>
                  <w:b w:val="false"/>
                  <w:color w:val="000080"/>
                  <w:sz w:val="18"/>
                  <w:u w:val="single"/>
                </w:rPr>
                <w:t xml:space="preserve">Condensed Consolidated Statements of Cash Flows for the </w:t>
              </w:r>
            </w:hyperlink>
            <w:hyperlink w:anchor="ia61f5f549cc04155b1c59bb766cccfa1_28">
              <w:r>
                <w:rPr>
                  <w:rStyle w:val="InternetLink"/>
                  <w:rFonts w:ascii="Times New Roman;sans-serif" w:hAnsi="Times New Roman;sans-serif"/>
                  <w:b w:val="false"/>
                  <w:color w:val="000080"/>
                  <w:sz w:val="18"/>
                  <w:u w:val="single"/>
                </w:rPr>
                <w:t>n</w:t>
              </w:r>
            </w:hyperlink>
            <w:r>
              <w:rPr>
                <w:rFonts w:ascii="Times New Roman;sans-serif" w:hAnsi="Times New Roman;sans-serif"/>
                <w:b w:val="false"/>
                <w:color w:val="3051F2"/>
                <w:sz w:val="18"/>
                <w:u w:val="single"/>
              </w:rPr>
              <w:t>ine</w:t>
            </w:r>
            <w:hyperlink w:anchor="ia61f5f549cc04155b1c59bb766cccfa1_19">
              <w:r>
                <w:rPr>
                  <w:rStyle w:val="InternetLink"/>
                  <w:color w:val="0000FF"/>
                  <w:u w:val="single"/>
                </w:rPr>
                <w:t xml:space="preserve"> </w:t>
              </w:r>
            </w:hyperlink>
            <w:hyperlink w:anchor="ia61f5f549cc04155b1c59bb766cccfa1_28">
              <w:r>
                <w:rPr>
                  <w:rStyle w:val="InternetLink"/>
                  <w:rFonts w:ascii="Times New Roman;sans-serif" w:hAnsi="Times New Roman;sans-serif"/>
                  <w:b w:val="false"/>
                  <w:color w:val="000080"/>
                  <w:sz w:val="18"/>
                  <w:u w:val="single"/>
                </w:rPr>
                <w:t xml:space="preserve">months ended </w:t>
              </w:r>
            </w:hyperlink>
            <w:r>
              <w:rPr>
                <w:rFonts w:ascii="Times New Roman;sans-serif" w:hAnsi="Times New Roman;sans-serif"/>
                <w:b w:val="false"/>
                <w:color w:val="3051F2"/>
                <w:sz w:val="18"/>
                <w:u w:val="single"/>
              </w:rPr>
              <w:t>September 30, 2023</w:t>
            </w:r>
            <w:hyperlink w:anchor="ia61f5f549cc04155b1c59bb766cccfa1_28">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2022</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ans-serif" w:hAnsi="Times New Roman;sans-serif"/>
                  <w:b w:val="false"/>
                  <w:strike w:val="false"/>
                  <w:dstrike w:val="false"/>
                  <w:color w:val="000000"/>
                  <w:sz w:val="18"/>
                  <w:u w:val="none"/>
                  <w:effect w:val="none"/>
                </w:rPr>
                <w:t>6</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ans-serif" w:hAnsi="Times New Roman;sans-serif"/>
                  <w:b w:val="false"/>
                  <w:color w:val="000080"/>
                  <w:sz w:val="18"/>
                  <w:u w:val="single"/>
                </w:rPr>
                <w:t xml:space="preserve">Notes to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ondensed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onsolidated </w:t>
              </w:r>
            </w:hyperlink>
            <w:r>
              <w:rPr>
                <w:rFonts w:ascii="Times New Roman;sans-serif" w:hAnsi="Times New Roman;sans-serif"/>
                <w:b w:val="false"/>
                <w:color w:val="3051F2"/>
                <w:sz w:val="18"/>
                <w:u w:val="single"/>
              </w:rPr>
              <w:t>F</w:t>
            </w:r>
            <w:hyperlink w:anchor="ia61f5f549cc04155b1c59bb766cccfa1_31">
              <w:r>
                <w:rPr>
                  <w:rStyle w:val="InternetLink"/>
                  <w:rFonts w:ascii="Times New Roman;sans-serif" w:hAnsi="Times New Roman;sans-serif"/>
                  <w:b w:val="false"/>
                  <w:color w:val="000080"/>
                  <w:sz w:val="18"/>
                  <w:u w:val="single"/>
                </w:rPr>
                <w:t xml:space="preserve">inancial </w:t>
              </w:r>
            </w:hyperlink>
            <w:r>
              <w:rPr>
                <w:rFonts w:ascii="Times New Roman;sans-serif" w:hAnsi="Times New Roman;sans-serif"/>
                <w:b w:val="false"/>
                <w:color w:val="3051F2"/>
                <w:sz w:val="18"/>
                <w:u w:val="single"/>
              </w:rPr>
              <w:t>S</w:t>
            </w:r>
            <w:hyperlink w:anchor="ia61f5f549cc04155b1c59bb766cccfa1_31">
              <w:r>
                <w:rPr>
                  <w:rStyle w:val="InternetLink"/>
                  <w:rFonts w:ascii="Times New Roman;sans-serif" w:hAnsi="Times New Roman;sans-serif"/>
                  <w:b w:val="false"/>
                  <w:color w:val="000080"/>
                  <w:sz w:val="18"/>
                  <w:u w:val="single"/>
                </w:rPr>
                <w:t>tatements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ans-serif" w:hAnsi="Times New Roman;sans-serif"/>
                  <w:b w:val="false"/>
                  <w:strike w:val="false"/>
                  <w:dstrike w:val="false"/>
                  <w:color w:val="000000"/>
                  <w:sz w:val="18"/>
                  <w:u w:val="none"/>
                  <w:effect w:val="none"/>
                </w:rPr>
                <w:t>7</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ans-serif" w:hAnsi="Times New Roman;sans-serif"/>
                  <w:b w:val="false"/>
                  <w:color w:val="3051F2"/>
                  <w:sz w:val="18"/>
                  <w:u w:val="single"/>
                </w:rPr>
                <w:t>Management’s Discussion and Analysis of Financial Condition and Results of Operations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ans-serif" w:hAnsi="Times New Roman;sans-serif"/>
                  <w:b w:val="false"/>
                  <w:strike w:val="false"/>
                  <w:dstrike w:val="false"/>
                  <w:color w:val="000000"/>
                  <w:sz w:val="18"/>
                  <w:u w:val="none"/>
                  <w:effect w:val="none"/>
                </w:rPr>
                <w:t>22</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ans-serif" w:hAnsi="Times New Roman;sans-serif"/>
                  <w:b w:val="false"/>
                  <w:color w:val="000080"/>
                  <w:sz w:val="18"/>
                  <w:u w:val="single"/>
                </w:rPr>
                <w:t>Quantitative and Qualitative Disclosure</w:t>
              </w:r>
            </w:hyperlink>
            <w:hyperlink w:anchor="ia61f5f549cc04155b1c59bb766cccfa1_94">
              <w:r>
                <w:rPr>
                  <w:rStyle w:val="InternetLink"/>
                  <w:rFonts w:ascii="Times New Roman;sans-serif" w:hAnsi="Times New Roman;sans-serif"/>
                  <w:b w:val="false"/>
                  <w:color w:val="000080"/>
                  <w:sz w:val="18"/>
                  <w:u w:val="single"/>
                </w:rPr>
                <w:t>s</w:t>
              </w:r>
            </w:hyperlink>
            <w:hyperlink w:anchor="ia61f5f549cc04155b1c59bb766cccfa1_94">
              <w:r>
                <w:rPr>
                  <w:rStyle w:val="InternetLink"/>
                  <w:rFonts w:ascii="Times New Roman;sans-serif" w:hAnsi="Times New Roman;sans-serif"/>
                  <w:b w:val="false"/>
                  <w:color w:val="000080"/>
                  <w:sz w:val="18"/>
                  <w:u w:val="single"/>
                </w:rPr>
                <w:t xml:space="preserve"> About Market Risk</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94">
              <w:r>
                <w:rPr>
                  <w:rStyle w:val="InternetLink"/>
                  <w:rFonts w:ascii="Times New Roman;sans-serif" w:hAnsi="Times New Roman;sans-serif"/>
                  <w:b w:val="false"/>
                  <w:strike w:val="false"/>
                  <w:dstrike w:val="false"/>
                  <w:color w:val="000000"/>
                  <w:sz w:val="18"/>
                  <w:u w:val="none"/>
                  <w:effect w:val="none"/>
                </w:rPr>
                <w:t>34</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ans-serif" w:hAnsi="Times New Roman;sans-serif"/>
                  <w:b w:val="false"/>
                  <w:color w:val="3051F2"/>
                  <w:sz w:val="18"/>
                  <w:u w:val="single"/>
                </w:rPr>
                <w:t>Controls and Procedures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97">
              <w:r>
                <w:rPr>
                  <w:rStyle w:val="InternetLink"/>
                  <w:rFonts w:ascii="Times New Roman;sans-serif" w:hAnsi="Times New Roman;sans-serif"/>
                  <w:b w:val="false"/>
                  <w:strike w:val="false"/>
                  <w:dstrike w:val="false"/>
                  <w:color w:val="000000"/>
                  <w:sz w:val="18"/>
                  <w:u w:val="none"/>
                  <w:effect w:val="none"/>
                </w:rPr>
                <w:t>35</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Information</w:t>
            </w:r>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0">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ans-serif" w:hAnsi="Times New Roman;sans-serif"/>
                  <w:b w:val="false"/>
                  <w:color w:val="3051F2"/>
                  <w:sz w:val="18"/>
                  <w:u w:val="single"/>
                </w:rPr>
                <w:t>Legal Proceedings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3">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ans-serif" w:hAnsi="Times New Roman;sans-serif"/>
                  <w:b w:val="false"/>
                  <w:color w:val="3051F2"/>
                  <w:sz w:val="18"/>
                  <w:u w:val="single"/>
                </w:rPr>
                <w:t>Risk Factors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6">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ans-serif" w:hAnsi="Times New Roman;sans-serif"/>
                  <w:b w:val="false"/>
                  <w:color w:val="3051F2"/>
                  <w:sz w:val="18"/>
                  <w:u w:val="single"/>
                </w:rPr>
                <w:t>Unregistered Sales of Equity Securities and Use of Proceeds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09">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ans-serif" w:hAnsi="Times New Roman;sans-serif"/>
                  <w:b w:val="false"/>
                  <w:color w:val="3051F2"/>
                  <w:sz w:val="18"/>
                  <w:u w:val="single"/>
                </w:rPr>
                <w:t>Defaults Upon Senior Securities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2">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ans-serif" w:hAnsi="Times New Roman;sans-serif"/>
                  <w:b w:val="false"/>
                  <w:color w:val="3051F2"/>
                  <w:sz w:val="18"/>
                  <w:u w:val="single"/>
                </w:rPr>
                <w:t>Mine Safety Disclosures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5">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ans-serif" w:hAnsi="Times New Roman;sans-serif"/>
                  <w:b w:val="false"/>
                  <w:color w:val="3051F2"/>
                  <w:sz w:val="18"/>
                  <w:u w:val="single"/>
                </w:rPr>
                <w:t>Other Information</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18">
              <w:r>
                <w:rPr>
                  <w:rStyle w:val="InternetLink"/>
                  <w:rFonts w:ascii="Times New Roman;sans-serif" w:hAnsi="Times New Roman;sans-serif"/>
                  <w:b w:val="false"/>
                  <w:strike w:val="false"/>
                  <w:dstrike w:val="false"/>
                  <w:color w:val="000000"/>
                  <w:sz w:val="18"/>
                  <w:u w:val="none"/>
                  <w:effect w:val="none"/>
                </w:rPr>
                <w:t>36</w:t>
              </w:r>
            </w:hyperlink>
          </w:p>
        </w:tc>
      </w:tr>
      <w:tr>
        <w:trPr/>
        <w:tc>
          <w:tcPr>
            <w:tcW w:w="1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6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ans-serif" w:hAnsi="Times New Roman;sans-serif"/>
                  <w:b w:val="false"/>
                  <w:color w:val="000080"/>
                  <w:sz w:val="18"/>
                  <w:u w:val="single"/>
                </w:rPr>
                <w:t>Exhibit</w:t>
              </w:r>
            </w:hyperlink>
            <w:hyperlink w:anchor="ia61f5f549cc04155b1c59bb766cccfa1_121">
              <w:r>
                <w:rPr>
                  <w:rStyle w:val="InternetLink"/>
                  <w:rFonts w:ascii="Times New Roman;sans-serif" w:hAnsi="Times New Roman;sans-serif"/>
                  <w:b w:val="false"/>
                  <w:color w:val="000080"/>
                  <w:sz w:val="18"/>
                  <w:u w:val="single"/>
                </w:rPr>
                <w:t>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1">
              <w:r>
                <w:rPr>
                  <w:rStyle w:val="InternetLink"/>
                  <w:rFonts w:ascii="Times New Roman;sans-serif" w:hAnsi="Times New Roman;sans-serif"/>
                  <w:b w:val="false"/>
                  <w:strike w:val="false"/>
                  <w:dstrike w:val="false"/>
                  <w:color w:val="000000"/>
                  <w:sz w:val="18"/>
                  <w:u w:val="none"/>
                  <w:effect w:val="none"/>
                </w:rPr>
                <w:t>37</w:t>
              </w:r>
            </w:hyperlink>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ans-serif" w:hAnsi="Times New Roman;sans-serif"/>
                  <w:b/>
                  <w:strike w:val="false"/>
                  <w:dstrike w:val="false"/>
                  <w:color w:val="000000"/>
                  <w:sz w:val="18"/>
                  <w:u w:val="none"/>
                  <w:effect w:val="none"/>
                </w:rPr>
                <w:t>Signatures</w:t>
              </w:r>
            </w:hyperlink>
          </w:p>
        </w:tc>
        <w:tc>
          <w:tcPr>
            <w:tcW w:w="67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ans-serif" w:hAnsi="Times New Roman;sans-serif"/>
                  <w:b w:val="false"/>
                  <w:strike w:val="false"/>
                  <w:dstrike w:val="false"/>
                  <w:color w:val="000000"/>
                  <w:sz w:val="18"/>
                  <w:u w:val="none"/>
                  <w:effect w:val="none"/>
                </w:rPr>
                <w:t>38</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Table of Con</w:t>
        </w:r>
      </w:hyperlink>
      <w:hyperlink w:anchor="ia61f5f549cc04155b1c59bb766cccfa1_7">
        <w:r>
          <w:rPr>
            <w:rStyle w:val="InternetLink"/>
            <w:rFonts w:ascii="Times New Roman;sans-serif" w:hAnsi="Times New Roman;sans-serif"/>
            <w:b w:val="false"/>
            <w:color w:val="000080"/>
            <w:sz w:val="18"/>
            <w:u w:val="single"/>
          </w:rPr>
          <w:t>t</w:t>
        </w:r>
      </w:hyperlink>
      <w:hyperlink w:anchor="ia61f5f549cc04155b1c59bb766cccfa1_7">
        <w:r>
          <w:rPr>
            <w:rStyle w:val="InternetLink"/>
            <w:rFonts w:ascii="Times New Roman;sans-serif" w:hAnsi="Times New Roman;sans-serif"/>
            <w:b w:val="false"/>
            <w:color w:val="000080"/>
            <w:sz w:val="18"/>
            <w:u w:val="single"/>
          </w:rPr>
          <w:t>ents</w:t>
        </w:r>
      </w:hyperlink>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develop new products and services and bring them to market in a timely manner;</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achieve or sustain our profitability;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business plan and our ability to effectively manage our growth;</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market opportunity, including our total addressable market;</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anticipated trends, growth rates, and challenges in our business and in the markets in which we operate;</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attract and retain qualified employees;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uncertainties regarding the impact of general economic and market conditions, including as a result of currency fluctuations, inflation, or regional and global conflicts, such as the conflict in Israel, or related government sanctions;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the security and availability of our solutions;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our money transmission licenses and other regulatory approvals;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internationally; and</w:t>
      </w:r>
    </w:p>
    <w:p>
      <w:pPr>
        <w:pStyle w:val="TextBody"/>
        <w:bidi w:val="0"/>
        <w:spacing w:lineRule="auto" w:line="288" w:before="0" w:after="180"/>
        <w:ind w:left="0" w:right="0" w:hanging="360"/>
        <w:jc w:val="left"/>
        <w:rPr>
          <w:color w:val="000000"/>
        </w:rPr>
      </w:pPr>
      <w:r>
        <w:rPr>
          <w:color w:val="000000"/>
        </w:rPr>
        <w:t>•    </w:t>
      </w:r>
      <w:r>
        <w:rPr>
          <w:rFonts w:ascii="Times New Roman;sans-serif" w:hAnsi="Times New Roman;sans-serif"/>
          <w:b w:val="false"/>
          <w:color w:val="000000"/>
          <w:sz w:val="18"/>
        </w:rPr>
        <w:t>our expectations regarding anticipated technology needs and developments and our ability to address those needs and developments with our solutions.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Part 1. Financial Information</w:t>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919"/>
        <w:gridCol w:w="2379"/>
        <w:gridCol w:w="2350"/>
        <w:gridCol w:w="207"/>
        <w:gridCol w:w="780"/>
        <w:gridCol w:w="115"/>
        <w:gridCol w:w="109"/>
        <w:gridCol w:w="109"/>
        <w:gridCol w:w="109"/>
        <w:gridCol w:w="203"/>
        <w:gridCol w:w="762"/>
        <w:gridCol w:w="163"/>
      </w:tblGrid>
      <w:tr>
        <w:trPr/>
        <w:tc>
          <w:tcPr>
            <w:tcW w:w="291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158,055 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215,866 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725,000,000 shares authorized as of September 30, 2023 and December 31, 2022 both; 185,128,562 and 173,250,865 shares issued and outstanding, as of September 30, 2023 and December 31, 2022,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983,197 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854,276 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(373,463)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525,792 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695,953 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681"/>
        <w:gridCol w:w="1189"/>
        <w:gridCol w:w="1208"/>
        <w:gridCol w:w="235"/>
        <w:gridCol w:w="847"/>
        <w:gridCol w:w="119"/>
        <w:gridCol w:w="119"/>
        <w:gridCol w:w="119"/>
        <w:gridCol w:w="119"/>
        <w:gridCol w:w="235"/>
        <w:gridCol w:w="847"/>
        <w:gridCol w:w="119"/>
        <w:gridCol w:w="109"/>
        <w:gridCol w:w="109"/>
        <w:gridCol w:w="109"/>
        <w:gridCol w:w="221"/>
        <w:gridCol w:w="830"/>
        <w:gridCol w:w="109"/>
        <w:gridCol w:w="109"/>
        <w:gridCol w:w="109"/>
        <w:gridCol w:w="109"/>
        <w:gridCol w:w="221"/>
        <w:gridCol w:w="830"/>
        <w:gridCol w:w="503"/>
      </w:tblGrid>
      <w:tr>
        <w:trPr/>
        <w:tc>
          <w:tcPr>
            <w:tcW w:w="168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462,528 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Transaction expenses</w:t>
            </w:r>
            <w:r>
              <w:rPr>
                <w:rFonts w:ascii="Times New Roman;sans-serif" w:hAnsi="Times New Roman;sans-serif"/>
                <w:b w:val="false"/>
                <w:color w:val="000000"/>
                <w:sz w:val="12"/>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186,961 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Customer support and operations</w:t>
            </w:r>
            <w:r>
              <w:rPr>
                <w:rFonts w:ascii="Times New Roman;sans-serif" w:hAnsi="Times New Roman;sans-serif"/>
                <w:b w:val="false"/>
                <w:color w:val="000000"/>
                <w:sz w:val="12"/>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48,867 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w:t>
            </w:r>
            <w:r>
              <w:rPr>
                <w:rFonts w:ascii="Times New Roman;sans-serif" w:hAnsi="Times New Roman;sans-serif"/>
                <w:b w:val="false"/>
                <w:color w:val="000000"/>
                <w:sz w:val="12"/>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127,807 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Technology and development</w:t>
            </w:r>
            <w:r>
              <w:rPr>
                <w:rFonts w:ascii="Times New Roman;sans-serif" w:hAnsi="Times New Roman;sans-serif"/>
                <w:b w:val="false"/>
                <w:color w:val="000000"/>
                <w:sz w:val="12"/>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95,836 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560,696 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(98,168)</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(93,147)</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(94,624)</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182,598,013 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168,604,378 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178,956,602 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166,517,398 </w:t>
            </w:r>
          </w:p>
        </w:tc>
        <w:tc>
          <w:tcPr>
            <w:tcW w:w="5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Exclusive of depreciation and amortization, shown separately, above.</w: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9064" w:type="dxa"/>
        <w:jc w:val="left"/>
        <w:tblInd w:w="0" w:type="dxa"/>
        <w:tblLayout w:type="fixed"/>
        <w:tblCellMar>
          <w:top w:w="28" w:type="dxa"/>
          <w:left w:w="28" w:type="dxa"/>
          <w:bottom w:w="28" w:type="dxa"/>
          <w:right w:w="28" w:type="dxa"/>
        </w:tblCellMar>
      </w:tblPr>
      <w:tblGrid>
        <w:gridCol w:w="1085"/>
        <w:gridCol w:w="951"/>
        <w:gridCol w:w="964"/>
        <w:gridCol w:w="238"/>
        <w:gridCol w:w="877"/>
        <w:gridCol w:w="132"/>
        <w:gridCol w:w="132"/>
        <w:gridCol w:w="132"/>
        <w:gridCol w:w="132"/>
        <w:gridCol w:w="238"/>
        <w:gridCol w:w="877"/>
        <w:gridCol w:w="132"/>
        <w:gridCol w:w="109"/>
        <w:gridCol w:w="109"/>
        <w:gridCol w:w="109"/>
        <w:gridCol w:w="202"/>
        <w:gridCol w:w="744"/>
        <w:gridCol w:w="112"/>
        <w:gridCol w:w="112"/>
        <w:gridCol w:w="112"/>
        <w:gridCol w:w="112"/>
        <w:gridCol w:w="202"/>
        <w:gridCol w:w="744"/>
        <w:gridCol w:w="507"/>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w:t>
            </w:r>
          </w:p>
        </w:tc>
        <w:tc>
          <w:tcPr>
            <w:tcW w:w="507"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(83,218)</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(97,266)</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and Nine Months Ended September 30, 2023 </w:t>
      </w:r>
    </w:p>
    <w:p>
      <w:pPr>
        <w:pStyle w:val="TextBody"/>
        <w:bidi w:val="0"/>
        <w:spacing w:lineRule="auto" w:line="288" w:before="0" w:after="0"/>
        <w:jc w:val="center"/>
        <w:rPr/>
      </w:pPr>
      <w:r>
        <w:rPr>
          <w:rFonts w:ascii="Times New Roman;sans-serif" w:hAnsi="Times New Roman;sans-serif"/>
          <w:b w:val="false"/>
          <w:color w:val="000000"/>
          <w:sz w:val="16"/>
        </w:rPr>
        <w:t>(I</w:t>
      </w:r>
      <w:r>
        <w:rPr>
          <w:rFonts w:ascii="Times New Roman;sans-serif" w:hAnsi="Times New Roman;sans-serif"/>
          <w:b w:val="false"/>
          <w:i/>
          <w:color w:val="000000"/>
          <w:sz w:val="16"/>
        </w:rPr>
        <w:t>n thousands, except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25"/>
        <w:gridCol w:w="334"/>
        <w:gridCol w:w="334"/>
        <w:gridCol w:w="109"/>
        <w:gridCol w:w="109"/>
        <w:gridCol w:w="109"/>
        <w:gridCol w:w="525"/>
        <w:gridCol w:w="526"/>
        <w:gridCol w:w="211"/>
        <w:gridCol w:w="109"/>
        <w:gridCol w:w="109"/>
        <w:gridCol w:w="109"/>
        <w:gridCol w:w="231"/>
        <w:gridCol w:w="390"/>
        <w:gridCol w:w="130"/>
        <w:gridCol w:w="109"/>
        <w:gridCol w:w="109"/>
        <w:gridCol w:w="109"/>
        <w:gridCol w:w="196"/>
        <w:gridCol w:w="736"/>
        <w:gridCol w:w="109"/>
        <w:gridCol w:w="109"/>
        <w:gridCol w:w="109"/>
        <w:gridCol w:w="109"/>
        <w:gridCol w:w="292"/>
        <w:gridCol w:w="851"/>
        <w:gridCol w:w="163"/>
        <w:gridCol w:w="109"/>
        <w:gridCol w:w="109"/>
        <w:gridCol w:w="109"/>
        <w:gridCol w:w="208"/>
        <w:gridCol w:w="800"/>
        <w:gridCol w:w="118"/>
        <w:gridCol w:w="109"/>
        <w:gridCol w:w="109"/>
        <w:gridCol w:w="109"/>
        <w:gridCol w:w="227"/>
        <w:gridCol w:w="854"/>
        <w:gridCol w:w="183"/>
      </w:tblGrid>
      <w:tr>
        <w:trPr/>
        <w:tc>
          <w:tcPr>
            <w:tcW w:w="8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173,250,865 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480,087 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3,589,965 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subject to service-based vesting conditions, in connection with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(28,314)</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177,733,293 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(401,777)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495,421 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3,468,316 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181,161,726 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515,737 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328,272 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3,561,018 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185,128,562 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(456,282)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525,792 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and Nine Months Ended September 30, 2022 </w:t>
      </w:r>
    </w:p>
    <w:p>
      <w:pPr>
        <w:pStyle w:val="TextBody"/>
        <w:bidi w:val="0"/>
        <w:spacing w:lineRule="auto" w:line="288" w:before="0" w:after="0"/>
        <w:jc w:val="center"/>
        <w:rPr/>
      </w:pPr>
      <w:r>
        <w:rPr>
          <w:rFonts w:ascii="Times New Roman;sans-serif" w:hAnsi="Times New Roman;sans-serif"/>
          <w:b w:val="false"/>
          <w:color w:val="000000"/>
          <w:sz w:val="16"/>
        </w:rPr>
        <w:t>(I</w:t>
      </w:r>
      <w:r>
        <w:rPr>
          <w:rFonts w:ascii="Times New Roman;sans-serif" w:hAnsi="Times New Roman;sans-serif"/>
          <w:b w:val="false"/>
          <w:i/>
          <w:color w:val="000000"/>
          <w:sz w:val="16"/>
        </w:rPr>
        <w:t>n thousands, except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794"/>
        <w:gridCol w:w="346"/>
        <w:gridCol w:w="352"/>
        <w:gridCol w:w="109"/>
        <w:gridCol w:w="109"/>
        <w:gridCol w:w="109"/>
        <w:gridCol w:w="525"/>
        <w:gridCol w:w="526"/>
        <w:gridCol w:w="211"/>
        <w:gridCol w:w="109"/>
        <w:gridCol w:w="109"/>
        <w:gridCol w:w="109"/>
        <w:gridCol w:w="231"/>
        <w:gridCol w:w="390"/>
        <w:gridCol w:w="130"/>
        <w:gridCol w:w="109"/>
        <w:gridCol w:w="109"/>
        <w:gridCol w:w="109"/>
        <w:gridCol w:w="196"/>
        <w:gridCol w:w="736"/>
        <w:gridCol w:w="109"/>
        <w:gridCol w:w="109"/>
        <w:gridCol w:w="109"/>
        <w:gridCol w:w="109"/>
        <w:gridCol w:w="292"/>
        <w:gridCol w:w="851"/>
        <w:gridCol w:w="163"/>
        <w:gridCol w:w="109"/>
        <w:gridCol w:w="109"/>
        <w:gridCol w:w="109"/>
        <w:gridCol w:w="208"/>
        <w:gridCol w:w="800"/>
        <w:gridCol w:w="118"/>
        <w:gridCol w:w="109"/>
        <w:gridCol w:w="109"/>
        <w:gridCol w:w="109"/>
        <w:gridCol w:w="227"/>
        <w:gridCol w:w="854"/>
        <w:gridCol w:w="184"/>
      </w:tblGrid>
      <w:tr>
        <w:trPr/>
        <w:tc>
          <w:tcPr>
            <w:tcW w:w="7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164,239,555 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1,696,601 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166,138,369 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1,653,909 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33,114 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(38,245)</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167,789,651 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467,225 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177,461 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2,320,448 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170,467,139 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(354,068)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466,489 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REMITLY GLOBAL,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9806" w:type="dxa"/>
        <w:jc w:val="center"/>
        <w:tblInd w:w="0" w:type="dxa"/>
        <w:tblLayout w:type="fixed"/>
        <w:tblCellMar>
          <w:top w:w="28" w:type="dxa"/>
          <w:left w:w="28" w:type="dxa"/>
          <w:bottom w:w="28" w:type="dxa"/>
          <w:right w:w="28" w:type="dxa"/>
        </w:tblCellMar>
      </w:tblPr>
      <w:tblGrid>
        <w:gridCol w:w="2596"/>
        <w:gridCol w:w="2283"/>
        <w:gridCol w:w="2290"/>
        <w:gridCol w:w="210"/>
        <w:gridCol w:w="792"/>
        <w:gridCol w:w="117"/>
        <w:gridCol w:w="117"/>
        <w:gridCol w:w="117"/>
        <w:gridCol w:w="117"/>
        <w:gridCol w:w="210"/>
        <w:gridCol w:w="792"/>
        <w:gridCol w:w="165"/>
      </w:tblGrid>
      <w:tr>
        <w:trPr/>
        <w:tc>
          <w:tcPr>
            <w:tcW w:w="2596"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(94,624)</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67,880 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Donation of common stock</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Disbursement prefunding</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receivable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(52,547)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(3,355)</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internal-use software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acquisition, net of acquired cash, cash equivalents, and restricted cash</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credit facility borrowings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revolving credit facility borrowings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assumed indebtedness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cash equivalents, and restricted cash</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liabilities</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options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issuance of common stock in connection with ESPP</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capitalized to internal-use software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 consideration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subject to service-based vesting conditions, in connection with acquisition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held back for acquisition consideration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preexisting net receivable in exchange for net assets acquired in business combination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376,451 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prepaid expenses and other current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noncurrent assets,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224,042 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376,532 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    Organization and Description of Business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Description of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and is a wholly owned subsidiary of Remitly Global, Inc.</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Basis of Presentation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2022.</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nine months ended September 30, 2023 are not necessarily indicative of the results that may be expected for the year ending December 31, 2023, or for any other future annual or interim period.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Principles of Consolidation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Use of Estimates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preparation of the accompanying condensed consolidated financial statements in conformity with GAAP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the recoverability of deferred tax assets, capitalization of software development costs, goodwill, and the recoverability of intangible assets. The key assumptions applied for value of the intangible assets include forecasted revenue and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Concentration of 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nine months ended September 30, 2023 and 2022.</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and nine months ended September 30, 2023 and 2022, no individual customer represented 10% or more of the Company’s total revenues or the Company’s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Cash</w:t>
      </w:r>
    </w:p>
    <w:p>
      <w:pPr>
        <w:pStyle w:val="TextBody"/>
        <w:bidi w:val="0"/>
        <w:spacing w:lineRule="auto" w:line="288" w:before="0" w:after="180"/>
        <w:jc w:val="left"/>
        <w:rPr/>
      </w:pPr>
      <w:r>
        <w:rPr>
          <w:rFonts w:ascii="Times New Roman;sans-serif" w:hAnsi="Times New Roman;sans-serif"/>
          <w:b w:val="false"/>
          <w:color w:val="000000"/>
          <w:sz w:val="18"/>
        </w:rPr>
        <w:t>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In addition, the Company may be required to maintain restricted cash as a result of other contractual arrangements with vendors and partners. Restricted cash is classified within ‘</w:t>
      </w:r>
      <w:r>
        <w:rPr>
          <w:rFonts w:ascii="Times New Roman;sans-serif" w:hAnsi="Times New Roman;sans-serif"/>
          <w:b w:val="false"/>
          <w:i/>
          <w:color w:val="000000"/>
          <w:sz w:val="18"/>
        </w:rPr>
        <w:t>Prepaid expenses and other current assets</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Other noncurrent assets, net</w:t>
      </w:r>
      <w:r>
        <w:rPr>
          <w:color w:val="000000"/>
        </w:rPr>
        <w:t xml:space="preserve">’ </w:t>
      </w:r>
      <w:r>
        <w:rPr>
          <w:rFonts w:ascii="Times New Roman;sans-serif" w:hAnsi="Times New Roman;sans-serif"/>
          <w:b w:val="false"/>
          <w:color w:val="000000"/>
          <w:sz w:val="18"/>
        </w:rPr>
        <w:t xml:space="preserve">on the Condensed Consolidated Balance Sheets, based on its contractual terms. Prior year amounts have been reclassified on the Condensed Consolidated Balance Sheets to conform to the current year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Goodwill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Goodwill represents the excess of the purchase price over the acquisition date fair value of net assets, including the amount assigned to identifiable intangible assets, acquired in a business combination. The Company evaluates goodwill for impairment annually and whenever events or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Advertising</w:t>
      </w:r>
    </w:p>
    <w:p>
      <w:pPr>
        <w:pStyle w:val="TextBody"/>
        <w:bidi w:val="0"/>
        <w:spacing w:lineRule="auto" w:line="288" w:before="0" w:after="180"/>
        <w:jc w:val="left"/>
        <w:rPr/>
      </w:pPr>
      <w:r>
        <w:rPr>
          <w:rFonts w:ascii="Times New Roman;sans-serif" w:hAnsi="Times New Roman;sans-serif"/>
          <w:b w:val="false"/>
          <w:color w:val="000000"/>
          <w:sz w:val="18"/>
        </w:rPr>
        <w:t>Advertising expenses are charged to operations as incurred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Advertising expenses are used primarily to attract new customers. Advertising expenses totaled $48.3 million and $34.6 million during the three months ended September 30, 2023 and 2022, respectively. Advertising expenses totaled $123.5 million and $105.2 million during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Intangible Assets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Intangible assets with finite lives primarily consist of developed technology, customer relationships, and trade names acquired through business combinations or asset acquisitions. Intangible assets acquired through business combination are recorded at their respective estimated acquisition 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straight-lined if not materially different.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Long-Lived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Severance and Other Related Expenses</w:t>
      </w:r>
    </w:p>
    <w:p>
      <w:pPr>
        <w:pStyle w:val="TextBody"/>
        <w:bidi w:val="0"/>
        <w:spacing w:lineRule="auto" w:line="288" w:before="0" w:after="180"/>
        <w:jc w:val="left"/>
        <w:rPr/>
      </w:pPr>
      <w:r>
        <w:rPr>
          <w:rFonts w:ascii="Times New Roman;sans-serif" w:hAnsi="Times New Roman;sans-serif"/>
          <w:b w:val="false"/>
          <w:color w:val="000000"/>
          <w:sz w:val="18"/>
        </w:rPr>
        <w:t>The Company records severance-related expenses based on the applicable accounting guidance and whether the severance relates to an ongoing benefit arrangement or relates to a one-time involuntary benefit arrangement. Ongoing benefit arrangements, including statutorily-required notice periods, are recorded when both probable of being paid and estimable. One-time involuntary benefit arrangements and other associated costs are generally recognized when a liability is incurred. The Company also evaluates whether these costs are associated with restructuring activities. Severance costs are expensed within the appropriate Costs and expenses component within our Condensed Consolidated Statements of Operations and associated accruals are recorded within '</w:t>
      </w:r>
      <w:r>
        <w:rPr>
          <w:rFonts w:ascii="Times New Roman;sans-serif" w:hAnsi="Times New Roman;sans-serif"/>
          <w:b w:val="false"/>
          <w:i/>
          <w:color w:val="000000"/>
          <w:sz w:val="18"/>
        </w:rPr>
        <w:t>Accrued expenses and other liabilities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Out-of-Period Adjustment</w:t>
      </w:r>
    </w:p>
    <w:p>
      <w:pPr>
        <w:pStyle w:val="TextBody"/>
        <w:bidi w:val="0"/>
        <w:spacing w:lineRule="auto" w:line="288" w:before="0" w:after="180"/>
        <w:jc w:val="left"/>
        <w:rPr/>
      </w:pPr>
      <w:r>
        <w:rPr>
          <w:rFonts w:ascii="Times New Roman;sans-serif" w:hAnsi="Times New Roman;sans-serif"/>
          <w:b w:val="false"/>
          <w:color w:val="000000"/>
          <w:sz w:val="18"/>
        </w:rPr>
        <w:t xml:space="preserve">The condensed consolidated financial statements include an adjustment of $4.4 million to stock-based compensation expense and additional paid-in capital, to correct for an error identified by management during the preparation of the prior period’s financial statements for the three months ended June 30, 2022. This adjustment is to reflect the straight-lining of expense over the full service period for graded-vested stock-based compensation awards under Accounting Standards Codification (“ASC”) 718, </w:t>
      </w:r>
      <w:r>
        <w:rPr>
          <w:rFonts w:ascii="Times New Roman;sans-serif" w:hAnsi="Times New Roman;sans-serif"/>
          <w:b w:val="false"/>
          <w:i/>
          <w:color w:val="000000"/>
          <w:sz w:val="18"/>
        </w:rPr>
        <w:t>Compensation - Stock Compensation</w:t>
      </w:r>
      <w:r>
        <w:rPr>
          <w:rFonts w:ascii="Times New Roman;sans-serif" w:hAnsi="Times New Roman;sans-serif"/>
          <w:b w:val="false"/>
          <w:color w:val="000000"/>
          <w:sz w:val="18"/>
        </w:rPr>
        <w:t>, and relates to prior annual fiscal periods. 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was considered material, the impact to the nine months ended September 30, 2022 and full year 2022 results is not material. As such, management recorded the correction as an out-of-period adjustment in the three months ended June 30, 2022, as disclosed in the Quarterly Report on Form 10-Q for the three months ended June 30, 2022. Substantially all of the cumulative adjustment was related to stock-based compensation for personnel who support the Company’s general and administrative functions and was recorded to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 xml:space="preserve">within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Summary of Significant Accounting Policies</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significant accounting policies are discussed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within the Notes to Consolidated Financial Statements included in the Company’s Annual Report on Form 10-K for the year ended December 31, 2022. There have been no significant changes to these policies during the nine months ended September 30, 2023, except as noted above.</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Recently Adopted Accounting Pronouncements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October 2021, the Financial Accounting Standards Board (“FASB”) issued Accounting Standards Update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Topic 606. ASU 2021-08 is effective for fiscal years beginning after December 15, 2022 for public entities and December 15, 2023 for all other entities, with early adoption permitted. The Company assessed the impact of the guidance to its condensed consolidated financial statements for the three and nine months ended September 30, 2023 and concluded that the standard did not have a material impact on its financial statements.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Accounting Pronouncements Not Yet Adopted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3.    Revenue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606, </w:t>
      </w:r>
      <w:r>
        <w:rPr>
          <w:rFonts w:ascii="Times New Roman;sans-serif" w:hAnsi="Times New Roman;sans-serif"/>
          <w:b w:val="false"/>
          <w:i/>
          <w:color w:val="000000"/>
          <w:sz w:val="18"/>
        </w:rPr>
        <w:t>Revenue from Contracts with Customers</w:t>
      </w:r>
      <w:r>
        <w:rPr>
          <w:rFonts w:ascii="Times New Roman;sans-serif" w:hAnsi="Times New Roman;sans-serif"/>
          <w:b w:val="false"/>
          <w:color w:val="000000"/>
          <w:sz w:val="18"/>
        </w:rPr>
        <w:t>, which includes the following steps:</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(3)determination of the transaction price;</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(5)recognition of revenue when, or as, the Company satisfies a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the Company to perform one integrated service — 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bidi w:val="0"/>
        <w:spacing w:lineRule="auto" w:line="288" w:before="0" w:after="180"/>
        <w:jc w:val="left"/>
        <w:rPr/>
      </w:pPr>
      <w:r>
        <w:rPr>
          <w:rFonts w:ascii="Times New Roman;sans-serif" w:hAnsi="Times New Roman;sans-serif"/>
          <w:b w:val="false"/>
          <w:color w:val="000000"/>
          <w:sz w:val="18"/>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within the Condensed Consolidated Statements of Operations. The Company does not have any capitalized contract acquisition costs.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Deferred 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deferred revenue balances from contracts with customers were as follows for the three and nine months ended September 30, 2023 and 2022: </w:t>
      </w:r>
    </w:p>
    <w:tbl>
      <w:tblPr>
        <w:tblW w:w="10205" w:type="dxa"/>
        <w:jc w:val="left"/>
        <w:tblInd w:w="0" w:type="dxa"/>
        <w:tblLayout w:type="fixed"/>
        <w:tblCellMar>
          <w:top w:w="28" w:type="dxa"/>
          <w:left w:w="28" w:type="dxa"/>
          <w:bottom w:w="28" w:type="dxa"/>
          <w:right w:w="28" w:type="dxa"/>
        </w:tblCellMar>
      </w:tblPr>
      <w:tblGrid>
        <w:gridCol w:w="1728"/>
        <w:gridCol w:w="1501"/>
        <w:gridCol w:w="1506"/>
        <w:gridCol w:w="261"/>
        <w:gridCol w:w="562"/>
        <w:gridCol w:w="145"/>
        <w:gridCol w:w="145"/>
        <w:gridCol w:w="145"/>
        <w:gridCol w:w="145"/>
        <w:gridCol w:w="261"/>
        <w:gridCol w:w="743"/>
        <w:gridCol w:w="145"/>
        <w:gridCol w:w="109"/>
        <w:gridCol w:w="109"/>
        <w:gridCol w:w="109"/>
        <w:gridCol w:w="241"/>
        <w:gridCol w:w="687"/>
        <w:gridCol w:w="134"/>
        <w:gridCol w:w="134"/>
        <w:gridCol w:w="134"/>
        <w:gridCol w:w="134"/>
        <w:gridCol w:w="241"/>
        <w:gridCol w:w="687"/>
        <w:gridCol w:w="199"/>
      </w:tblGrid>
      <w:tr>
        <w:trPr/>
        <w:tc>
          <w:tcPr>
            <w:tcW w:w="172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beginning of the period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end of the period</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recognized from amounts included in deferred revenue at the beginning of the period</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Deferred revenue represents amounts received from customers for which the performance obligations are not yet fulfilled. Deferred revenue is primarily included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Condensed Consolidated Balance Sheets, as the performance obligations are expected to be fulfilled within the next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bidi w:val="0"/>
        <w:spacing w:lineRule="auto" w:line="288" w:before="0" w:after="180"/>
        <w:jc w:val="left"/>
        <w:rPr/>
      </w:pPr>
      <w:r>
        <w:rPr>
          <w:rFonts w:ascii="Times New Roman;sans-serif" w:hAnsi="Times New Roman;sans-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In addition, referral credits given to a referrer are classified as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as these incentives are paid in exchange of a distinct service.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sales incentives for the three and nine months ended September 30, 2023 and 2022:</w:t>
      </w:r>
    </w:p>
    <w:tbl>
      <w:tblPr>
        <w:tblW w:w="7682" w:type="dxa"/>
        <w:jc w:val="left"/>
        <w:tblInd w:w="0" w:type="dxa"/>
        <w:tblLayout w:type="fixed"/>
        <w:tblCellMar>
          <w:top w:w="28" w:type="dxa"/>
          <w:left w:w="28" w:type="dxa"/>
          <w:bottom w:w="28" w:type="dxa"/>
          <w:right w:w="28" w:type="dxa"/>
        </w:tblCellMar>
      </w:tblPr>
      <w:tblGrid>
        <w:gridCol w:w="586"/>
        <w:gridCol w:w="516"/>
        <w:gridCol w:w="517"/>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to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sales incentives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Revenue by Geography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revenue disaggregated by primary geographical location for the three and nine months ended September 30, 2023 and 2022, attributed to the country in which the sending customer is located:</w:t>
      </w:r>
    </w:p>
    <w:tbl>
      <w:tblPr>
        <w:tblW w:w="7190" w:type="dxa"/>
        <w:jc w:val="center"/>
        <w:tblInd w:w="0" w:type="dxa"/>
        <w:tblLayout w:type="fixed"/>
        <w:tblCellMar>
          <w:top w:w="28" w:type="dxa"/>
          <w:left w:w="28" w:type="dxa"/>
          <w:bottom w:w="28" w:type="dxa"/>
          <w:right w:w="28" w:type="dxa"/>
        </w:tblCellMar>
      </w:tblPr>
      <w:tblGrid>
        <w:gridCol w:w="407"/>
        <w:gridCol w:w="358"/>
        <w:gridCol w:w="359"/>
        <w:gridCol w:w="235"/>
        <w:gridCol w:w="884"/>
        <w:gridCol w:w="131"/>
        <w:gridCol w:w="131"/>
        <w:gridCol w:w="131"/>
        <w:gridCol w:w="131"/>
        <w:gridCol w:w="235"/>
        <w:gridCol w:w="884"/>
        <w:gridCol w:w="131"/>
        <w:gridCol w:w="109"/>
        <w:gridCol w:w="109"/>
        <w:gridCol w:w="109"/>
        <w:gridCol w:w="227"/>
        <w:gridCol w:w="855"/>
        <w:gridCol w:w="126"/>
        <w:gridCol w:w="126"/>
        <w:gridCol w:w="126"/>
        <w:gridCol w:w="126"/>
        <w:gridCol w:w="227"/>
        <w:gridCol w:w="855"/>
        <w:gridCol w:w="17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241,629 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169,259 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462,528 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4.    Property and Equipment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consisted of the following as of September 30, 2023 and December 31, 2022:</w:t>
      </w:r>
    </w:p>
    <w:tbl>
      <w:tblPr>
        <w:tblW w:w="6296" w:type="dxa"/>
        <w:jc w:val="center"/>
        <w:tblInd w:w="0" w:type="dxa"/>
        <w:tblLayout w:type="fixed"/>
        <w:tblCellMar>
          <w:top w:w="28" w:type="dxa"/>
          <w:left w:w="28" w:type="dxa"/>
          <w:bottom w:w="28" w:type="dxa"/>
          <w:right w:w="28" w:type="dxa"/>
        </w:tblCellMar>
      </w:tblPr>
      <w:tblGrid>
        <w:gridCol w:w="1298"/>
        <w:gridCol w:w="1142"/>
        <w:gridCol w:w="1145"/>
        <w:gridCol w:w="247"/>
        <w:gridCol w:w="815"/>
        <w:gridCol w:w="137"/>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Projects in process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property and equipment</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$2.2 million and $1.8 million for the three months ended September 30, 2023 and 2022, respectively.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$6.0 million and $4.9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Capitalized Internal-Use Software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internal-use software, including amortization expense recognized,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603"/>
        <w:gridCol w:w="1379"/>
        <w:gridCol w:w="1381"/>
        <w:gridCol w:w="265"/>
        <w:gridCol w:w="752"/>
        <w:gridCol w:w="147"/>
        <w:gridCol w:w="147"/>
        <w:gridCol w:w="147"/>
        <w:gridCol w:w="147"/>
        <w:gridCol w:w="265"/>
        <w:gridCol w:w="752"/>
        <w:gridCol w:w="147"/>
        <w:gridCol w:w="109"/>
        <w:gridCol w:w="109"/>
        <w:gridCol w:w="109"/>
        <w:gridCol w:w="256"/>
        <w:gridCol w:w="727"/>
        <w:gridCol w:w="142"/>
        <w:gridCol w:w="142"/>
        <w:gridCol w:w="142"/>
        <w:gridCol w:w="142"/>
        <w:gridCol w:w="256"/>
        <w:gridCol w:w="727"/>
        <w:gridCol w:w="212"/>
      </w:tblGrid>
      <w:tr>
        <w:trPr/>
        <w:tc>
          <w:tcPr>
            <w:tcW w:w="160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capitalized internal-use software costs</w:t>
            </w:r>
            <w:r>
              <w:rPr>
                <w:rFonts w:ascii="Times New Roman;sans-serif" w:hAnsi="Times New Roman;sans-serif"/>
                <w:b w:val="false"/>
                <w:color w:val="000000"/>
                <w:sz w:val="12"/>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costs capitalized to internal-use software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Amortization expense</w:t>
            </w:r>
            <w:r>
              <w:rPr>
                <w:rFonts w:ascii="Times New Roman;sans-serif" w:hAnsi="Times New Roman;sans-serif"/>
                <w:b w:val="false"/>
                <w:color w:val="000000"/>
                <w:sz w:val="12"/>
              </w:rPr>
              <w:t>(2)</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Amounts are inclusive of stock-based compensation costs capitalized denoted below.</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Amounts are included within ‘</w:t>
      </w:r>
      <w:r>
        <w:rPr>
          <w:rFonts w:ascii="Times New Roman;sans-serif" w:hAnsi="Times New Roman;sans-serif"/>
          <w:b w:val="false"/>
          <w:i/>
          <w:color w:val="000000"/>
          <w:sz w:val="16"/>
        </w:rPr>
        <w:t>Depreciation and amortization</w:t>
      </w:r>
      <w:r>
        <w:rPr>
          <w:color w:val="000000"/>
        </w:rPr>
        <w:t xml:space="preserve">’ </w:t>
      </w:r>
      <w:r>
        <w:rPr>
          <w:rFonts w:ascii="Times New Roman;sans-serif" w:hAnsi="Times New Roman;sans-serif"/>
          <w:b w:val="false"/>
          <w:color w:val="000000"/>
          <w:sz w:val="16"/>
        </w:rPr>
        <w:t>within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180" w:after="180"/>
        <w:jc w:val="left"/>
        <w:rPr>
          <w:rFonts w:ascii="Times New Roman;sans-serif" w:hAnsi="Times New Roman;sans-serif"/>
          <w:b/>
          <w:color w:val="000000"/>
          <w:sz w:val="18"/>
        </w:rPr>
      </w:pPr>
      <w:r>
        <w:rPr>
          <w:rFonts w:ascii="Times New Roman;sans-serif" w:hAnsi="Times New Roman;sans-serif"/>
          <w:b/>
          <w:color w:val="000000"/>
          <w:sz w:val="18"/>
        </w:rPr>
        <w:t>Capitalized Costs of Cloud Computing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costs related to the implementation of cloud computing arrangements, including amortization expense recognized, for the three and nine months ended September 30, 2023 and 2022:</w:t>
      </w:r>
    </w:p>
    <w:tbl>
      <w:tblPr>
        <w:tblW w:w="9920" w:type="dxa"/>
        <w:jc w:val="center"/>
        <w:tblInd w:w="0" w:type="dxa"/>
        <w:tblLayout w:type="fixed"/>
        <w:tblCellMar>
          <w:top w:w="28" w:type="dxa"/>
          <w:left w:w="28" w:type="dxa"/>
          <w:bottom w:w="28" w:type="dxa"/>
          <w:right w:w="28" w:type="dxa"/>
        </w:tblCellMar>
      </w:tblPr>
      <w:tblGrid>
        <w:gridCol w:w="1396"/>
        <w:gridCol w:w="1228"/>
        <w:gridCol w:w="1231"/>
        <w:gridCol w:w="319"/>
        <w:gridCol w:w="685"/>
        <w:gridCol w:w="177"/>
        <w:gridCol w:w="177"/>
        <w:gridCol w:w="177"/>
        <w:gridCol w:w="177"/>
        <w:gridCol w:w="319"/>
        <w:gridCol w:w="685"/>
        <w:gridCol w:w="177"/>
        <w:gridCol w:w="109"/>
        <w:gridCol w:w="109"/>
        <w:gridCol w:w="109"/>
        <w:gridCol w:w="266"/>
        <w:gridCol w:w="756"/>
        <w:gridCol w:w="148"/>
        <w:gridCol w:w="148"/>
        <w:gridCol w:w="148"/>
        <w:gridCol w:w="148"/>
        <w:gridCol w:w="266"/>
        <w:gridCol w:w="756"/>
        <w:gridCol w:w="209"/>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capitalized cloud computing arrangement costs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 expense</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total capitalized cloud computing arrangement costs, net of accumulated amortization, on the Company’s Condensed Consolidated Balance Sheets as of September 30, 2023 and December 31, 2022:</w:t>
      </w:r>
    </w:p>
    <w:tbl>
      <w:tblPr>
        <w:tblW w:w="6820" w:type="dxa"/>
        <w:jc w:val="center"/>
        <w:tblInd w:w="0" w:type="dxa"/>
        <w:tblLayout w:type="fixed"/>
        <w:tblCellMar>
          <w:top w:w="28" w:type="dxa"/>
          <w:left w:w="28" w:type="dxa"/>
          <w:bottom w:w="28" w:type="dxa"/>
          <w:right w:w="28" w:type="dxa"/>
        </w:tblCellMar>
      </w:tblPr>
      <w:tblGrid>
        <w:gridCol w:w="1489"/>
        <w:gridCol w:w="1308"/>
        <w:gridCol w:w="1312"/>
        <w:gridCol w:w="272"/>
        <w:gridCol w:w="775"/>
        <w:gridCol w:w="153"/>
        <w:gridCol w:w="109"/>
        <w:gridCol w:w="109"/>
        <w:gridCol w:w="109"/>
        <w:gridCol w:w="256"/>
        <w:gridCol w:w="727"/>
        <w:gridCol w:w="201"/>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capitalized cloud computing arrangement costs, net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rPr>
        <w:t>5.    Business Combinations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pStyle w:val="TextBody"/>
        <w:bidi w:val="0"/>
        <w:spacing w:lineRule="auto" w:line="288" w:before="0" w:after="180"/>
        <w:jc w:val="left"/>
        <w:rPr/>
      </w:pPr>
      <w:r>
        <w:rPr>
          <w:rFonts w:ascii="Times New Roman;sans-serif" w:hAnsi="Times New Roman;sans-serif"/>
          <w:b w:val="false"/>
          <w:color w:val="000000"/>
          <w:sz w:val="18"/>
        </w:rPr>
        <w:t xml:space="preserve">The acquisition meets the criteria to be accounted for as a business combination in accordance with ASC 805,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Consideration Transferred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estimated acquisition date fair value of consideration transferred for the acquisition totaled $77.9 million, as follows:</w:t>
      </w:r>
    </w:p>
    <w:tbl>
      <w:tblPr>
        <w:tblW w:w="9395" w:type="dxa"/>
        <w:jc w:val="left"/>
        <w:tblInd w:w="0" w:type="dxa"/>
        <w:tblLayout w:type="fixed"/>
        <w:tblCellMar>
          <w:top w:w="28" w:type="dxa"/>
          <w:left w:w="28" w:type="dxa"/>
          <w:bottom w:w="28" w:type="dxa"/>
          <w:right w:w="28" w:type="dxa"/>
        </w:tblCellMar>
      </w:tblPr>
      <w:tblGrid>
        <w:gridCol w:w="3042"/>
        <w:gridCol w:w="2673"/>
        <w:gridCol w:w="2684"/>
        <w:gridCol w:w="196"/>
        <w:gridCol w:w="646"/>
        <w:gridCol w:w="154"/>
      </w:tblGrid>
      <w:tr>
        <w:trPr/>
        <w:tc>
          <w:tcPr>
            <w:tcW w:w="304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selling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to selling shareholders, including replacement of equity awards attributable to pre-combination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Holdback liability to be settled in cash and Company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settlement of pre-existing net receivable owed to the Company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excludes 133,309 shares and restricted stock units held back and not legally issued at acquisition date, as further discussed below.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Approximately $11.9 million of the cash and equity proceeds were held back to satisfy any necessary adjustments, including without limitation, indemnification claims related to general representations and warranties, and any net working capital adjustments. The majority of this holdback is expected to be settled in cash, and the remainder in Company common stock and restricted stock units, which approximated 133,309 shares held back and not legally issued at acquisition date. Such amounts will be settled after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Holdback Liability</w:t>
      </w:r>
    </w:p>
    <w:p>
      <w:pPr>
        <w:pStyle w:val="TextBody"/>
        <w:bidi w:val="0"/>
        <w:spacing w:lineRule="auto" w:line="288" w:before="0" w:after="180"/>
        <w:jc w:val="left"/>
        <w:rPr/>
      </w:pPr>
      <w:r>
        <w:rPr>
          <w:rFonts w:ascii="Times New Roman;sans-serif" w:hAnsi="Times New Roman;sans-serif"/>
          <w:b w:val="false"/>
          <w:color w:val="000000"/>
          <w:sz w:val="18"/>
        </w:rPr>
        <w:t>The holdback of cash and equity proceeds discussed above was recorded at its acquisition date fair value and was classified as a liability within ‘</w:t>
      </w:r>
      <w:r>
        <w:rPr>
          <w:rFonts w:ascii="Times New Roman;sans-serif" w:hAnsi="Times New Roman;sans-serif"/>
          <w:b w:val="false"/>
          <w:i/>
          <w:color w:val="000000"/>
          <w:sz w:val="18"/>
        </w:rPr>
        <w:t>Other noncurrent liabilities</w:t>
      </w:r>
      <w:r>
        <w:rPr>
          <w:color w:val="000000"/>
        </w:rPr>
        <w:t xml:space="preserve">’ </w:t>
      </w:r>
      <w:r>
        <w:rPr>
          <w:rFonts w:ascii="Times New Roman;sans-serif" w:hAnsi="Times New Roman;sans-serif"/>
          <w:b w:val="false"/>
          <w:color w:val="000000"/>
          <w:sz w:val="18"/>
        </w:rPr>
        <w:t xml:space="preserve">on the Company’s Condensed Consolidated Balance Sheets at the acquisition date. The portion of the holdback to be settled in Company shares continues to be recorded at its fair value through its settlement date, with changes recorded to earnings. The estimated fair value of the portion of the holdback liability that will be settled in equity uses both observable and unobservable inputs, specifically considering the price of the Company’s common stock, as well as the probability of payout at the end of the holdback period, and is considered a Level 3 measurement, as defined in ASC 820, </w:t>
      </w:r>
      <w:r>
        <w:rPr>
          <w:rFonts w:ascii="Times New Roman;sans-serif" w:hAnsi="Times New Roman;sans-serif"/>
          <w:b w:val="false"/>
          <w:i/>
          <w:color w:val="000000"/>
          <w:sz w:val="18"/>
        </w:rPr>
        <w:t>Fair Value Measurement</w:t>
      </w:r>
      <w:r>
        <w:rPr>
          <w:color w:val="000000"/>
        </w:rPr>
        <w:t xml:space="preserve"> </w:t>
      </w:r>
      <w:r>
        <w:rPr>
          <w:rFonts w:ascii="Times New Roman;sans-serif" w:hAnsi="Times New Roman;sans-serif"/>
          <w:b w:val="false"/>
          <w:color w:val="000000"/>
          <w:sz w:val="18"/>
        </w:rPr>
        <w:t>(“ASC 820”). As of September 30, 2023, the holdback liability was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 xml:space="preserve">on the Company’s Condensed Consolidated Balance Sheets as the liability is set to be fulfilled within twelve months of the balance sheet date. </w:t>
      </w:r>
    </w:p>
    <w:p>
      <w:pPr>
        <w:pStyle w:val="TextBody"/>
        <w:bidi w:val="0"/>
        <w:spacing w:lineRule="auto" w:line="288" w:before="0" w:after="180"/>
        <w:jc w:val="left"/>
        <w:rPr/>
      </w:pPr>
      <w:r>
        <w:rPr>
          <w:rFonts w:ascii="Times New Roman;sans-serif" w:hAnsi="Times New Roman;sans-serif"/>
          <w:b w:val="false"/>
          <w:color w:val="000000"/>
          <w:sz w:val="18"/>
        </w:rPr>
        <w:t>During the three and nine months ended September 30, 2023, the Company recorded $0.9 million and $1.9 million, respectively, to reflect the change in the fair value of the holdback liability, recorded within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within the Condensed Consolidated Statements of Operations. As of September 30, 2023, the fair value of the holdback liability was $13.8 million, of which $10.4 million will be paid in cash and the remainder in equity.</w:t>
      </w:r>
    </w:p>
    <w:p>
      <w:pPr>
        <w:pStyle w:val="TextBody"/>
        <w:bidi w:val="0"/>
        <w:spacing w:lineRule="auto" w:line="288" w:before="0" w:after="180"/>
        <w:jc w:val="left"/>
        <w:rPr/>
      </w:pPr>
      <w:r>
        <w:rPr>
          <w:rFonts w:ascii="Times New Roman;sans-serif" w:hAnsi="Times New Roman;sans-serif"/>
          <w:b/>
          <w:color w:val="000000"/>
          <w:sz w:val="18"/>
        </w:rPr>
        <w:t>Fair Value of Assets Acquired and Liabilities Assumed</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forecasted revenue and growth rates for a hypothetical market participant, selected discount rates, as well as migration curves for developed technology. The following table summarizes the preliminary allocation of the purchase consideration to the assets acquired and liabilities assumed based on their acquisition-date fair values:</w:t>
      </w:r>
    </w:p>
    <w:tbl>
      <w:tblPr>
        <w:tblW w:w="5264" w:type="dxa"/>
        <w:jc w:val="left"/>
        <w:tblInd w:w="0" w:type="dxa"/>
        <w:tblLayout w:type="fixed"/>
        <w:tblCellMar>
          <w:top w:w="28" w:type="dxa"/>
          <w:left w:w="28" w:type="dxa"/>
          <w:bottom w:w="28" w:type="dxa"/>
          <w:right w:w="28" w:type="dxa"/>
        </w:tblCellMar>
      </w:tblPr>
      <w:tblGrid>
        <w:gridCol w:w="1130"/>
        <w:gridCol w:w="994"/>
        <w:gridCol w:w="996"/>
        <w:gridCol w:w="315"/>
        <w:gridCol w:w="1039"/>
        <w:gridCol w:w="790"/>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Purchase Price Allocation </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 net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Advance for future deposits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assumed indebtedness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(16,234)</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79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2023, the valuation of assets acquired and liabilities assumed of Rewire is substantially complete except with respect to the finalization of certain assets and liabilities. These amounts may be further adjusted as management continues to gather and evaluate information about circumstances that existed as of the acquisition date, and, as the resulting fair values of net assets acquired are finalized, such adjustments could be significant. The measurement period will not exceed 12 months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Acquired Receivables</w:t>
      </w:r>
    </w:p>
    <w:p>
      <w:pPr>
        <w:pStyle w:val="TextBody"/>
        <w:bidi w:val="0"/>
        <w:spacing w:lineRule="auto" w:line="288" w:before="0" w:after="180"/>
        <w:jc w:val="left"/>
        <w:rPr/>
      </w:pPr>
      <w:r>
        <w:rPr>
          <w:rFonts w:ascii="Times New Roman;sans-serif" w:hAnsi="Times New Roman;sans-serif"/>
          <w:b w:val="false"/>
          <w:color w:val="000000"/>
          <w:sz w:val="18"/>
        </w:rPr>
        <w:t>The fair value of the financial assets acquired include ‘</w:t>
      </w:r>
      <w:r>
        <w:rPr>
          <w:rFonts w:ascii="Times New Roman;sans-serif" w:hAnsi="Times New Roman;sans-serif"/>
          <w:b w:val="false"/>
          <w:i/>
          <w:color w:val="000000"/>
          <w:sz w:val="18"/>
        </w:rPr>
        <w:t>Disbursement prefunding’</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Customer funds receivable, ne</w:t>
      </w:r>
      <w:r>
        <w:rPr>
          <w:rFonts w:ascii="Times New Roman;sans-serif" w:hAnsi="Times New Roman;sans-serif"/>
          <w:b w:val="false"/>
          <w:color w:val="000000"/>
          <w:sz w:val="18"/>
        </w:rPr>
        <w:t>t’, with a fair value of $6.0 million and $3.4 million, respectively, as disclosed above. The Company expects to collect substantially all of these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Transaction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costs totaled $0.9 million and $2.6 million for the three and nine months ended September 30, 2023, respectively, which included $0.9 million and $1.9 million, respectively, for the change in the fair value of the holdback liability. Transaction costs totaled $1.8 million and $2.6 million for the three and nine months ended September 30, 2022, respectively. Such costs are primarily related to the Company’s aforementioned acquisition of Rewire.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Other Disclosures</w:t>
      </w:r>
    </w:p>
    <w:p>
      <w:pPr>
        <w:pStyle w:val="TextBody"/>
        <w:bidi w:val="0"/>
        <w:spacing w:lineRule="auto" w:line="288" w:before="0" w:after="180"/>
        <w:jc w:val="left"/>
        <w:rPr/>
      </w:pPr>
      <w:r>
        <w:rPr>
          <w:rFonts w:ascii="Times New Roman;sans-serif" w:hAnsi="Times New Roman;sans-serif"/>
          <w:b w:val="false"/>
          <w:color w:val="000000"/>
          <w:sz w:val="18"/>
        </w:rPr>
        <w:t>The results of Rewire have been included within the condensed consolidated financial statements since the date of the acquisition. Rewire’s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included within the Condensed Consolidated Statements of Operations since the acquisition date was $3.2 million and $10.1 million, for the three and nine months ended September 30, 2023, respectively. Rewire’s ‘</w:t>
      </w:r>
      <w:r>
        <w:rPr>
          <w:rFonts w:ascii="Times New Roman;sans-serif" w:hAnsi="Times New Roman;sans-serif"/>
          <w:b w:val="false"/>
          <w:i/>
          <w:color w:val="000000"/>
          <w:sz w:val="18"/>
        </w:rPr>
        <w:t>Net Loss</w:t>
      </w:r>
      <w:r>
        <w:rPr>
          <w:color w:val="000000"/>
        </w:rPr>
        <w:t xml:space="preserve">’ </w:t>
      </w:r>
      <w:r>
        <w:rPr>
          <w:rFonts w:ascii="Times New Roman;sans-serif" w:hAnsi="Times New Roman;sans-serif"/>
          <w:b w:val="false"/>
          <w:color w:val="000000"/>
          <w:sz w:val="18"/>
        </w:rPr>
        <w:t xml:space="preserve">included within the Condensed Consolidated Statements of Operations since the acquisition date was $(10.0) million and $(28.2) million for the three and nine months ended September 30, 2023, respectively.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 forma financial information has not been presented, as revenue and expenses related to the acquisition did not have a material impact on the Company’s unaudited condensed consolidated financial statements. Had Rewire been acquired on January 1, 2022, the Company’s revenue and expenses would not have been materially impacted; however, the Company’s net loss would have increased during 2022. Significant pro forma adjustments include transaction costs and amortization of acquired intangibles, as discussed further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6.    Goodwill and Intangible Assets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Goodwill</w:t>
      </w:r>
    </w:p>
    <w:p>
      <w:pPr>
        <w:pStyle w:val="TextBody"/>
        <w:bidi w:val="0"/>
        <w:spacing w:lineRule="auto" w:line="288" w:before="0" w:after="180"/>
        <w:jc w:val="left"/>
        <w:rPr/>
      </w:pPr>
      <w:r>
        <w:rPr>
          <w:rFonts w:ascii="Times New Roman;sans-serif" w:hAnsi="Times New Roman;sans-serif"/>
          <w:b w:val="false"/>
          <w:color w:val="000000"/>
          <w:sz w:val="18"/>
        </w:rPr>
        <w:t xml:space="preserve">The goodwill recorded on the Condensed Consolidated Balance Sheets as of September 30, 2023 was attributable to the acquisition of Rewire completed within the period, including measurement period adjustments, as described further in Note 5. </w:t>
      </w:r>
      <w:r>
        <w:rPr>
          <w:rFonts w:ascii="Times New Roman;sans-serif" w:hAnsi="Times New Roman;sans-serif"/>
          <w:b w:val="false"/>
          <w:i/>
          <w:color w:val="000000"/>
          <w:sz w:val="18"/>
        </w:rPr>
        <w:t>Business Combinations</w:t>
      </w:r>
      <w:r>
        <w:rPr>
          <w:rFonts w:ascii="Times New Roman;sans-serif" w:hAnsi="Times New Roman;sans-serif"/>
          <w:b w:val="false"/>
          <w:color w:val="000000"/>
          <w:sz w:val="18"/>
        </w:rPr>
        <w:t>. There were no other adjustments to goodwill during the nine months ended September 30, 2023.</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Intangible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identifiable intangible assets as of September 30, 2023 were as follows:</w:t>
      </w:r>
    </w:p>
    <w:tbl>
      <w:tblPr>
        <w:tblW w:w="10205" w:type="dxa"/>
        <w:jc w:val="left"/>
        <w:tblInd w:w="0" w:type="dxa"/>
        <w:tblLayout w:type="fixed"/>
        <w:tblCellMar>
          <w:top w:w="28" w:type="dxa"/>
          <w:left w:w="28" w:type="dxa"/>
          <w:bottom w:w="28" w:type="dxa"/>
          <w:right w:w="28" w:type="dxa"/>
        </w:tblCellMar>
      </w:tblPr>
      <w:tblGrid>
        <w:gridCol w:w="525"/>
        <w:gridCol w:w="458"/>
        <w:gridCol w:w="417"/>
        <w:gridCol w:w="307"/>
        <w:gridCol w:w="1014"/>
        <w:gridCol w:w="170"/>
        <w:gridCol w:w="109"/>
        <w:gridCol w:w="109"/>
        <w:gridCol w:w="109"/>
        <w:gridCol w:w="109"/>
        <w:gridCol w:w="109"/>
        <w:gridCol w:w="374"/>
        <w:gridCol w:w="1093"/>
        <w:gridCol w:w="211"/>
        <w:gridCol w:w="109"/>
        <w:gridCol w:w="109"/>
        <w:gridCol w:w="109"/>
        <w:gridCol w:w="288"/>
        <w:gridCol w:w="950"/>
        <w:gridCol w:w="160"/>
        <w:gridCol w:w="109"/>
        <w:gridCol w:w="109"/>
        <w:gridCol w:w="109"/>
        <w:gridCol w:w="887"/>
        <w:gridCol w:w="887"/>
        <w:gridCol w:w="1265"/>
      </w:tblGrid>
      <w:tr>
        <w:trPr/>
        <w:tc>
          <w:tcPr>
            <w:tcW w:w="52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Estimated Remaining Useful Life (in years)</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acquired identified intangible assets have preliminary estimated useful lives ranging from three to five years. Amortization expense for intangible assets was $1.2 million and $3.6 million for the three and nine months ended September 30, 2023, respectively.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Identifiable intangible asset balances as of December 31, 2022 and related amortization expense for the three and nine months ended September 30, 2022 were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Expected future intangible asset amortization as of September 30, 2023 was as follows:</w:t>
      </w:r>
    </w:p>
    <w:tbl>
      <w:tblPr>
        <w:tblW w:w="2481" w:type="dxa"/>
        <w:jc w:val="left"/>
        <w:tblInd w:w="0" w:type="dxa"/>
        <w:tblLayout w:type="fixed"/>
        <w:tblCellMar>
          <w:top w:w="28" w:type="dxa"/>
          <w:left w:w="28" w:type="dxa"/>
          <w:bottom w:w="28" w:type="dxa"/>
          <w:right w:w="28" w:type="dxa"/>
        </w:tblCellMar>
      </w:tblPr>
      <w:tblGrid>
        <w:gridCol w:w="538"/>
        <w:gridCol w:w="473"/>
        <w:gridCol w:w="474"/>
        <w:gridCol w:w="196"/>
        <w:gridCol w:w="64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7.    Fair Value Measurements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Except for the holdback liability related to the Rewire acquisition discussed in Note 5. </w:t>
      </w:r>
      <w:r>
        <w:rPr>
          <w:rFonts w:ascii="Times New Roman;sans-serif" w:hAnsi="Times New Roman;sans-serif"/>
          <w:b w:val="false"/>
          <w:i/>
          <w:color w:val="000000"/>
          <w:sz w:val="18"/>
          <w:shd w:fill="FFFFFF" w:val="clear"/>
        </w:rPr>
        <w:t>Business Combinations</w:t>
      </w:r>
      <w:r>
        <w:rPr>
          <w:rFonts w:ascii="Times New Roman;sans-serif" w:hAnsi="Times New Roman;sans-serif"/>
          <w:b w:val="false"/>
          <w:color w:val="000000"/>
          <w:sz w:val="18"/>
          <w:shd w:fill="FFFFFF" w:val="clear"/>
        </w:rPr>
        <w:t>, there were no financial assets and liabilities that were measured at f</w:t>
      </w:r>
      <w:r>
        <w:rPr>
          <w:rFonts w:ascii="Times New Roman;sans-serif" w:hAnsi="Times New Roman;sans-serif"/>
          <w:b w:val="false"/>
          <w:color w:val="000000"/>
          <w:sz w:val="18"/>
        </w:rPr>
        <w:t xml:space="preserve">air value on a recurring basis as of September 30, 2023 and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8.    Debt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Secured Revolving Credit Facility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New Revolving Credit Facility</w:t>
      </w:r>
    </w:p>
    <w:p>
      <w:pPr>
        <w:pStyle w:val="TextBody"/>
        <w:bidi w:val="0"/>
        <w:spacing w:lineRule="auto" w:line="288" w:before="0" w:after="180"/>
        <w:jc w:val="left"/>
        <w:rPr/>
      </w:pPr>
      <w:r>
        <w:rPr>
          <w:rFonts w:ascii="Times New Roman;sans-serif" w:hAnsi="Times New Roman;sans-serif"/>
          <w:b w:val="false"/>
          <w:color w:val="000000"/>
          <w:sz w:val="18"/>
        </w:rPr>
        <w:t xml:space="preserve">On September 13, 2021, Remitly Global, Inc. and Remitly, Inc., a wholly-owned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Proceeds under the New Revolving Credit Facility are available for working capital and general corporate purposes. The New Revolving Credit Facility was amended on June 26, 2023 to reflect changes as a result of the sunsetting of the LIBOR interest rate, as noted below. No other changes were made to the New Revolving Credit Facility. The Company evaluated the amendment as a debt modification pursuant to ASC 470-50, Debt — </w:t>
      </w:r>
      <w:r>
        <w:rPr>
          <w:rFonts w:ascii="Times New Roman;sans-serif" w:hAnsi="Times New Roman;sans-serif"/>
          <w:b w:val="false"/>
          <w:i/>
          <w:color w:val="000000"/>
          <w:sz w:val="18"/>
        </w:rPr>
        <w:t>Modification and Extinguishment,</w:t>
      </w:r>
      <w:r>
        <w:rPr>
          <w:color w:val="000000"/>
        </w:rPr>
        <w:t xml:space="preserve"> </w:t>
      </w:r>
      <w:r>
        <w:rPr>
          <w:rFonts w:ascii="Times New Roman;sans-serif" w:hAnsi="Times New Roman;sans-serif"/>
          <w:b w:val="false"/>
          <w:color w:val="000000"/>
          <w:sz w:val="18"/>
        </w:rPr>
        <w:t xml:space="preserve">noting no material impact. Unamortized debt issuance costs continue to be amortized over the term of the New Revolving Credit Facility.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 </w:t>
      </w:r>
    </w:p>
    <w:p>
      <w:pPr>
        <w:pStyle w:val="TextBody"/>
        <w:bidi w:val="0"/>
        <w:spacing w:lineRule="auto" w:line="288" w:before="0" w:after="180"/>
        <w:jc w:val="left"/>
        <w:rPr/>
      </w:pPr>
      <w:r>
        <w:rPr>
          <w:rFonts w:ascii="Times New Roman;sans-serif" w:hAnsi="Times New Roman;sans-serif"/>
          <w:b w:val="false"/>
          <w:color w:val="000000"/>
          <w:sz w:val="18"/>
        </w:rPr>
        <w:t xml:space="preserve">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September 30, 2023 and December 31, 2022, financial covenants in the New Revolving Credit Facility include (1) a requirement to maintain a minimum Adjusted Quick Ratio of 1.50:1.00, which is tested quarterly and (2) a requirement to maintain a minimum Liquidity of $100.0 million, which is tested quarterly. </w:t>
      </w:r>
      <w:r>
        <w:rPr>
          <w:rFonts w:ascii="Times New Roman;sans-serif" w:hAnsi="Times New Roman;sans-serif"/>
          <w:b w:val="false"/>
          <w:color w:val="000000"/>
          <w:sz w:val="18"/>
          <w:shd w:fill="FFFFFF" w:val="clear"/>
        </w:rPr>
        <w:t xml:space="preserve">The Company was in compliance with all financial covenants under the New Revolving Credit Facility as of </w:t>
      </w:r>
      <w:r>
        <w:rPr>
          <w:rFonts w:ascii="Times New Roman;sans-serif" w:hAnsi="Times New Roman;sans-serif"/>
          <w:b w:val="false"/>
          <w:color w:val="000000"/>
          <w:sz w:val="18"/>
        </w:rPr>
        <w:t xml:space="preserve">September 30, 2023 and </w:t>
      </w:r>
      <w:r>
        <w:rPr>
          <w:rFonts w:ascii="Times New Roman;sans-serif" w:hAnsi="Times New Roman;sans-serif"/>
          <w:b w:val="false"/>
          <w:color w:val="000000"/>
          <w:sz w:val="18"/>
          <w:shd w:fill="FFFFFF" w:val="clear"/>
        </w:rPr>
        <w:t xml:space="preserve">December 31, </w:t>
      </w:r>
      <w:r>
        <w:rPr>
          <w:rFonts w:ascii="Times New Roman;sans-serif" w:hAnsi="Times New Roman;sans-serif"/>
          <w:b w:val="false"/>
          <w:color w:val="000000"/>
          <w:sz w:val="18"/>
        </w:rPr>
        <w:t>2022</w:t>
      </w:r>
      <w:r>
        <w:rPr>
          <w:rFonts w:ascii="Times New Roman;sans-serif" w:hAnsi="Times New Roman;sans-serif"/>
          <w:b w:val="false"/>
          <w:color w:val="000000"/>
          <w:sz w:val="18"/>
          <w:shd w:fill="FFFFFF" w:val="clear"/>
        </w:rPr>
        <w:t>.</w:t>
      </w:r>
    </w:p>
    <w:p>
      <w:pPr>
        <w:pStyle w:val="TextBody"/>
        <w:bidi w:val="0"/>
        <w:spacing w:lineRule="auto" w:line="288" w:before="0" w:after="180"/>
        <w:jc w:val="left"/>
        <w:rPr/>
      </w:pPr>
      <w:r>
        <w:rPr>
          <w:rFonts w:ascii="Times New Roman;sans-serif" w:hAnsi="Times New Roman;sans-serif"/>
          <w:b w:val="false"/>
          <w:color w:val="000000"/>
          <w:sz w:val="18"/>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r>
        <w:rPr>
          <w:color w:val="000000"/>
          <w:shd w:fill="FFFFFF" w:val="clear"/>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September 30, 2023 and December 31, 2022, the Company had no outstanding borrowings under the New Revolving Credit Facility. As of September 30, 2023 and December 31, 2022, the Company had $47.5 million and $22.3 million, respectively, in issued, but undrawn, standby letters of credit. As of September 30, 2023 and December 31, 2022, the Company had unused borrowing capacity of $202.5 million and $227.7 million, respectively, under the New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Advance for Future Deposits</w:t>
      </w:r>
    </w:p>
    <w:p>
      <w:pPr>
        <w:pStyle w:val="TextBody"/>
        <w:bidi w:val="0"/>
        <w:spacing w:lineRule="auto" w:line="288" w:before="0" w:after="180"/>
        <w:jc w:val="left"/>
        <w:rPr/>
      </w:pPr>
      <w:r>
        <w:rPr>
          <w:rFonts w:ascii="Times New Roman;sans-serif" w:hAnsi="Times New Roman;sans-serif"/>
          <w:b w:val="false"/>
          <w:color w:val="000000"/>
          <w:sz w:val="18"/>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Amendment has a maturity date of November 2023. The Depositor made an advance payment to Rewire with respect to future deposits (the “Advance for Future Deposits”). The original amount of 9.0 million Israeli shekel, approximately $2.8 million, was transferred as an advance under the Amendment. As of September 30, 2023, the Company had $2.4 million outstanding under the Amendment and was included within ‘</w:t>
      </w:r>
      <w:r>
        <w:rPr>
          <w:rFonts w:ascii="Times New Roman;sans-serif" w:hAnsi="Times New Roman;sans-serif"/>
          <w:b w:val="false"/>
          <w:i/>
          <w:color w:val="000000"/>
          <w:sz w:val="18"/>
        </w:rPr>
        <w:t>Short-term debt</w:t>
      </w:r>
      <w:r>
        <w:rPr>
          <w:color w:val="000000"/>
        </w:rPr>
        <w:t xml:space="preserve">’ </w:t>
      </w:r>
      <w:r>
        <w:rPr>
          <w:rFonts w:ascii="Times New Roman;sans-serif" w:hAnsi="Times New Roman;sans-serif"/>
          <w:b w:val="false"/>
          <w:color w:val="000000"/>
          <w:sz w:val="18"/>
        </w:rPr>
        <w:t>on the Condensed Consolidated Balance Sheets. The change in the outstanding balance is driven by the change in the foreign exchange conversion rate. The Advance for Future Deposits bears a floating interest rate of 1.4%+ Israeli Prime per annum, paid on a monthly basis. The Israeli Prime rate is defined as the Bank of Israel rate + 1.5%. The weighted-average interest rate as of September 30, 2023 was 3.0%.</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Assumed Short-term Debt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the acquisition of Rewire, the Company assumed the amounts due on a revolving credit line that Rewire had entered into in 2021 and the amounts due on a bridge loan that Rewire had entered into in 2022. The total outstanding amounts were repaid during the nine months ended September 30, 2023, along with certain other acquired indebtedness, subsequent to the Company’s acquisition of Rewire and was included within the Condensed Consolidated Statements of Cash Flows as a financing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shd w:fill="FFFFFF" w:val="clear"/>
        </w:rPr>
        <w:t>9.    </w:t>
      </w:r>
      <w:r>
        <w:rPr>
          <w:rFonts w:ascii="Times New Roman;sans-serif" w:hAnsi="Times New Roman;sans-serif"/>
          <w:b/>
          <w:color w:val="000000"/>
          <w:sz w:val="18"/>
        </w:rPr>
        <w:t>Net Loss Per Common Share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tbl>
      <w:tblPr>
        <w:tblW w:w="10205" w:type="dxa"/>
        <w:jc w:val="left"/>
        <w:tblInd w:w="0" w:type="dxa"/>
        <w:tblLayout w:type="fixed"/>
        <w:tblCellMar>
          <w:top w:w="28" w:type="dxa"/>
          <w:left w:w="28" w:type="dxa"/>
          <w:bottom w:w="28" w:type="dxa"/>
          <w:right w:w="28" w:type="dxa"/>
        </w:tblCellMar>
      </w:tblPr>
      <w:tblGrid>
        <w:gridCol w:w="1753"/>
        <w:gridCol w:w="1320"/>
        <w:gridCol w:w="1330"/>
        <w:gridCol w:w="237"/>
        <w:gridCol w:w="773"/>
        <w:gridCol w:w="120"/>
        <w:gridCol w:w="120"/>
        <w:gridCol w:w="120"/>
        <w:gridCol w:w="120"/>
        <w:gridCol w:w="238"/>
        <w:gridCol w:w="846"/>
        <w:gridCol w:w="120"/>
        <w:gridCol w:w="109"/>
        <w:gridCol w:w="109"/>
        <w:gridCol w:w="109"/>
        <w:gridCol w:w="230"/>
        <w:gridCol w:w="835"/>
        <w:gridCol w:w="118"/>
        <w:gridCol w:w="118"/>
        <w:gridCol w:w="118"/>
        <w:gridCol w:w="118"/>
        <w:gridCol w:w="230"/>
        <w:gridCol w:w="835"/>
        <w:gridCol w:w="179"/>
      </w:tblGrid>
      <w:tr>
        <w:trPr/>
        <w:tc>
          <w:tcPr>
            <w:tcW w:w="175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182,598,013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168,604,378 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178,956,602 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166,517,398 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w:t>
            </w:r>
          </w:p>
        </w:tc>
        <w:tc>
          <w:tcPr>
            <w:tcW w:w="1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securities were excluded from the computation of diluted net loss per share calculations for the periods presented because the impact of including them would have been anti-dilutive:</w:t>
      </w:r>
    </w:p>
    <w:tbl>
      <w:tblPr>
        <w:tblW w:w="10205" w:type="dxa"/>
        <w:jc w:val="left"/>
        <w:tblInd w:w="0" w:type="dxa"/>
        <w:tblLayout w:type="fixed"/>
        <w:tblCellMar>
          <w:top w:w="28" w:type="dxa"/>
          <w:left w:w="28" w:type="dxa"/>
          <w:bottom w:w="28" w:type="dxa"/>
          <w:right w:w="28" w:type="dxa"/>
        </w:tblCellMar>
      </w:tblPr>
      <w:tblGrid>
        <w:gridCol w:w="2587"/>
        <w:gridCol w:w="2265"/>
        <w:gridCol w:w="2279"/>
        <w:gridCol w:w="480"/>
        <w:gridCol w:w="481"/>
        <w:gridCol w:w="156"/>
        <w:gridCol w:w="132"/>
        <w:gridCol w:w="132"/>
        <w:gridCol w:w="132"/>
        <w:gridCol w:w="480"/>
        <w:gridCol w:w="481"/>
        <w:gridCol w:w="600"/>
      </w:tblGrid>
      <w:tr>
        <w:trPr/>
        <w:tc>
          <w:tcPr>
            <w:tcW w:w="2587"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w:t>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18,364,196 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outstanding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25,501,813 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19,930,996 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1,396,853 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repurchase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205,727 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Unvested common stock, subject to service-based vesting conditions, issued in connection with acquisition</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Equity issuable in connection with acquisition</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37,863,807 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39,897,772 </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Refer to Note 5.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 xml:space="preserve">for further discussion of equity issued or to be issued in connection with the Rewire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10.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September 30, 2023,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nine months ended September 30, 2023 and September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Donation to Remitly Philanthropy Fund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IPO.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donated 181,961 shares of its common stock to Remitly Philanthropy Fund on both September 20, 2023 and September 28, 2022,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For the three and nine months ended September 30, 2023 and 2022, the Company recorded a charge </w:t>
      </w:r>
      <w:r>
        <w:rPr>
          <w:rFonts w:ascii="Times New Roman;sans-serif" w:hAnsi="Times New Roman;sans-serif"/>
          <w:b w:val="false"/>
          <w:color w:val="000000"/>
          <w:sz w:val="18"/>
          <w:shd w:fill="FFFFFF" w:val="clear"/>
        </w:rPr>
        <w:t>of $4.6 million and $2.0 million, respectively,</w:t>
      </w:r>
      <w:r>
        <w:rPr>
          <w:color w:val="000000"/>
        </w:rPr>
        <w:t xml:space="preserve"> </w:t>
      </w:r>
      <w:r>
        <w:rPr>
          <w:rFonts w:ascii="Times New Roman;sans-serif" w:hAnsi="Times New Roman;sans-serif"/>
          <w:b w:val="false"/>
          <w:color w:val="000000"/>
          <w:sz w:val="18"/>
        </w:rPr>
        <w:t>to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within the</w:t>
      </w:r>
      <w:r>
        <w:rPr>
          <w:color w:val="000000"/>
        </w:rPr>
        <w:t xml:space="preserve"> </w:t>
      </w:r>
      <w:r>
        <w:rPr>
          <w:rFonts w:ascii="Times New Roman;sans-serif" w:hAnsi="Times New Roman;sans-serif"/>
          <w:b w:val="false"/>
          <w:color w:val="000000"/>
          <w:sz w:val="18"/>
        </w:rPr>
        <w:t>Condensed Consolidated Statements of Operations based on the closing price of its common stock as reported on the Nasdaq Global Select Market (the “NASDAQ”) on September 20, 2023 and September 28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11.    Stock-Based Compensation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Shares Available for Issuance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shares available for issuance as of September 30, 2023 and December 31, 2022:</w:t>
      </w:r>
    </w:p>
    <w:tbl>
      <w:tblPr>
        <w:tblW w:w="8811" w:type="dxa"/>
        <w:jc w:val="center"/>
        <w:tblInd w:w="0" w:type="dxa"/>
        <w:tblLayout w:type="fixed"/>
        <w:tblCellMar>
          <w:top w:w="28" w:type="dxa"/>
          <w:left w:w="28" w:type="dxa"/>
          <w:bottom w:w="28" w:type="dxa"/>
          <w:right w:w="28" w:type="dxa"/>
        </w:tblCellMar>
      </w:tblPr>
      <w:tblGrid>
        <w:gridCol w:w="2053"/>
        <w:gridCol w:w="1804"/>
        <w:gridCol w:w="1812"/>
        <w:gridCol w:w="480"/>
        <w:gridCol w:w="481"/>
        <w:gridCol w:w="401"/>
        <w:gridCol w:w="109"/>
        <w:gridCol w:w="109"/>
        <w:gridCol w:w="109"/>
        <w:gridCol w:w="480"/>
        <w:gridCol w:w="481"/>
        <w:gridCol w:w="492"/>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incentive awards that remain available for issuance under the 2021 Plan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11,528,072 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10,890,112 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that remain available for issuance under the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5,869,862 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4,762,721 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 Options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nine months ended September 30, 2023:</w:t>
      </w:r>
    </w:p>
    <w:tbl>
      <w:tblPr>
        <w:tblW w:w="10205" w:type="dxa"/>
        <w:jc w:val="left"/>
        <w:tblInd w:w="0" w:type="dxa"/>
        <w:tblLayout w:type="fixed"/>
        <w:tblCellMar>
          <w:top w:w="28" w:type="dxa"/>
          <w:left w:w="28" w:type="dxa"/>
          <w:bottom w:w="28" w:type="dxa"/>
          <w:right w:w="28" w:type="dxa"/>
        </w:tblCellMar>
      </w:tblPr>
      <w:tblGrid>
        <w:gridCol w:w="704"/>
        <w:gridCol w:w="601"/>
        <w:gridCol w:w="605"/>
        <w:gridCol w:w="688"/>
        <w:gridCol w:w="494"/>
        <w:gridCol w:w="495"/>
        <w:gridCol w:w="109"/>
        <w:gridCol w:w="109"/>
        <w:gridCol w:w="109"/>
        <w:gridCol w:w="462"/>
        <w:gridCol w:w="1102"/>
        <w:gridCol w:w="259"/>
        <w:gridCol w:w="109"/>
        <w:gridCol w:w="109"/>
        <w:gridCol w:w="109"/>
        <w:gridCol w:w="785"/>
        <w:gridCol w:w="785"/>
        <w:gridCol w:w="786"/>
        <w:gridCol w:w="109"/>
        <w:gridCol w:w="109"/>
        <w:gridCol w:w="109"/>
        <w:gridCol w:w="262"/>
        <w:gridCol w:w="984"/>
        <w:gridCol w:w="212"/>
      </w:tblGrid>
      <w:tr>
        <w:trPr/>
        <w:tc>
          <w:tcPr>
            <w:tcW w:w="70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Aggregate Intrinsic Value </w:t>
            </w:r>
            <w:r>
              <w:rPr>
                <w:rFonts w:ascii="Times New Roman;sans-serif" w:hAnsi="Times New Roman;sans-serif"/>
                <w:b/>
                <w:color w:val="000000"/>
                <w:sz w:val="10"/>
              </w:rPr>
              <w:t>(1)</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2023</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15,988,268 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119,467 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(3,957,847)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(580,520)</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September 30, 2023</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11,449,901 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238,255 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as of September 30, 2023</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8,375,110 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September 30, 2023</w:t>
            </w:r>
          </w:p>
        </w:tc>
        <w:tc>
          <w:tcPr>
            <w:tcW w:w="11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11,424,611 </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 stock options were granted during the nine months ended September 30,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fair value of each employee stock option granted during the nine months ended September 30, 2022 was estimated on the date of grant using the Black-Scholes option pricing model with the following assumptions: </w:t>
      </w:r>
    </w:p>
    <w:tbl>
      <w:tblPr>
        <w:tblW w:w="5928"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09"/>
        <w:gridCol w:w="2806"/>
        <w:gridCol w:w="109"/>
        <w:gridCol w:w="209"/>
        <w:gridCol w:w="197"/>
        <w:gridCol w:w="462"/>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977" w:type="dxa"/>
            <w:gridSpan w:val="4"/>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weighted-average grant date fair value of options granted during the nine months ended September 30, 2022 was $6.78.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nine months ended September 30, 2023 and September 30, 2022:</w:t>
      </w:r>
    </w:p>
    <w:tbl>
      <w:tblPr>
        <w:tblW w:w="6415" w:type="dxa"/>
        <w:jc w:val="left"/>
        <w:tblInd w:w="0" w:type="dxa"/>
        <w:tblLayout w:type="fixed"/>
        <w:tblCellMar>
          <w:top w:w="28" w:type="dxa"/>
          <w:left w:w="28" w:type="dxa"/>
          <w:bottom w:w="28" w:type="dxa"/>
          <w:right w:w="28" w:type="dxa"/>
        </w:tblCellMar>
      </w:tblPr>
      <w:tblGrid>
        <w:gridCol w:w="1293"/>
        <w:gridCol w:w="1137"/>
        <w:gridCol w:w="1140"/>
        <w:gridCol w:w="266"/>
        <w:gridCol w:w="756"/>
        <w:gridCol w:w="148"/>
        <w:gridCol w:w="148"/>
        <w:gridCol w:w="148"/>
        <w:gridCol w:w="148"/>
        <w:gridCol w:w="266"/>
        <w:gridCol w:w="756"/>
        <w:gridCol w:w="209"/>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options vested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of options exercised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Stock Units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activity during the nine months ended September 30, 2023 was as follows:</w:t>
      </w:r>
    </w:p>
    <w:tbl>
      <w:tblPr>
        <w:tblW w:w="8193" w:type="dxa"/>
        <w:jc w:val="left"/>
        <w:tblInd w:w="0" w:type="dxa"/>
        <w:tblLayout w:type="fixed"/>
        <w:tblCellMar>
          <w:top w:w="28" w:type="dxa"/>
          <w:left w:w="28" w:type="dxa"/>
          <w:bottom w:w="28" w:type="dxa"/>
          <w:right w:w="28" w:type="dxa"/>
        </w:tblCellMar>
      </w:tblPr>
      <w:tblGrid>
        <w:gridCol w:w="879"/>
        <w:gridCol w:w="772"/>
        <w:gridCol w:w="778"/>
        <w:gridCol w:w="480"/>
        <w:gridCol w:w="481"/>
        <w:gridCol w:w="471"/>
        <w:gridCol w:w="109"/>
        <w:gridCol w:w="109"/>
        <w:gridCol w:w="109"/>
        <w:gridCol w:w="864"/>
        <w:gridCol w:w="2457"/>
        <w:gridCol w:w="68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23,366,355 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11,167,967 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(6,636,117)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(2,396,392)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25,501,813 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restricted stock unit activity during the nine months ended September 30, 2023 and September 30, 2022:</w:t>
      </w:r>
    </w:p>
    <w:tbl>
      <w:tblPr>
        <w:tblW w:w="6925" w:type="dxa"/>
        <w:jc w:val="left"/>
        <w:tblInd w:w="0" w:type="dxa"/>
        <w:tblLayout w:type="fixed"/>
        <w:tblCellMar>
          <w:top w:w="28" w:type="dxa"/>
          <w:left w:w="28" w:type="dxa"/>
          <w:bottom w:w="28" w:type="dxa"/>
          <w:right w:w="28" w:type="dxa"/>
        </w:tblCellMar>
      </w:tblPr>
      <w:tblGrid>
        <w:gridCol w:w="1476"/>
        <w:gridCol w:w="1297"/>
        <w:gridCol w:w="1307"/>
        <w:gridCol w:w="266"/>
        <w:gridCol w:w="756"/>
        <w:gridCol w:w="148"/>
        <w:gridCol w:w="148"/>
        <w:gridCol w:w="148"/>
        <w:gridCol w:w="148"/>
        <w:gridCol w:w="266"/>
        <w:gridCol w:w="756"/>
        <w:gridCol w:w="209"/>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of RSUs granted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RSUs vested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Employee Stock Purchase Plan (“ESPP”)</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offering period that commenced on September 22, 2021, for which the accounting grant date was met in October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GAAP in the first quarter of 2022, whereby the fair value of the ESPP offering was measured immediately before and after modification, resulting in incremental stock-based compensation expense of $3.6 million, which is being recognized over the new offering period, which is deemed to be the requisite service period. A new subsequent 24-month offering period commences on March 1 and September 1 of each fiscal year.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the ESPP offerings described above were estimated using the Black-Scholes option-pricing model as of the respective offering dates, using the following assumptions. These assumptions represent the grant date fair value inputs for new offerings which commenced during the nine months ended September 30, 2023 and 2022, as well as updated valuation information as of the modification date for any offerings for which a modification occurred during the periods presented herein:</w:t>
      </w:r>
    </w:p>
    <w:tbl>
      <w:tblPr>
        <w:tblW w:w="5344" w:type="dxa"/>
        <w:jc w:val="left"/>
        <w:tblInd w:w="0" w:type="dxa"/>
        <w:tblLayout w:type="fixed"/>
        <w:tblCellMar>
          <w:top w:w="28" w:type="dxa"/>
          <w:left w:w="28" w:type="dxa"/>
          <w:bottom w:w="28" w:type="dxa"/>
          <w:right w:w="28" w:type="dxa"/>
        </w:tblCellMar>
      </w:tblPr>
      <w:tblGrid>
        <w:gridCol w:w="668"/>
        <w:gridCol w:w="586"/>
        <w:gridCol w:w="590"/>
        <w:gridCol w:w="289"/>
        <w:gridCol w:w="289"/>
        <w:gridCol w:w="682"/>
        <w:gridCol w:w="239"/>
        <w:gridCol w:w="239"/>
        <w:gridCol w:w="239"/>
        <w:gridCol w:w="289"/>
        <w:gridCol w:w="289"/>
        <w:gridCol w:w="682"/>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4.81% to 5.40%</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0.60% to 3.48%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47.8% to 65.2%</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58.3% to 73.0%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Stock-Based Compensation Expense</w:t>
      </w:r>
    </w:p>
    <w:p>
      <w:pPr>
        <w:pStyle w:val="TextBody"/>
        <w:bidi w:val="0"/>
        <w:spacing w:lineRule="auto" w:line="288" w:before="0" w:after="180"/>
        <w:jc w:val="left"/>
        <w:rPr/>
      </w:pPr>
      <w:r>
        <w:rPr>
          <w:rFonts w:ascii="Times New Roman;sans-serif" w:hAnsi="Times New Roman;sans-serif"/>
          <w:b w:val="false"/>
          <w:color w:val="000000"/>
          <w:sz w:val="18"/>
        </w:rPr>
        <w:t xml:space="preserve">Stock-based compensation expense for stock options, RSUs, and the ESPP, included within the Condensed Consolidated Statements of Operations, net of amounts capitalized to internal-use software, as described in Note 4. </w:t>
      </w:r>
      <w:r>
        <w:rPr>
          <w:rFonts w:ascii="Times New Roman;sans-serif" w:hAnsi="Times New Roman;sans-serif"/>
          <w:b w:val="false"/>
          <w:i/>
          <w:color w:val="000000"/>
          <w:sz w:val="18"/>
        </w:rPr>
        <w:t>Property and Equipment</w:t>
      </w:r>
      <w:r>
        <w:rPr>
          <w:rFonts w:ascii="Times New Roman;sans-serif" w:hAnsi="Times New Roman;sans-serif"/>
          <w:b w:val="false"/>
          <w:color w:val="000000"/>
          <w:sz w:val="18"/>
        </w:rPr>
        <w:t>, was as follows:</w:t>
      </w:r>
    </w:p>
    <w:tbl>
      <w:tblPr>
        <w:tblW w:w="8539" w:type="dxa"/>
        <w:jc w:val="left"/>
        <w:tblInd w:w="0" w:type="dxa"/>
        <w:tblLayout w:type="fixed"/>
        <w:tblCellMar>
          <w:top w:w="28" w:type="dxa"/>
          <w:left w:w="28" w:type="dxa"/>
          <w:bottom w:w="28" w:type="dxa"/>
          <w:right w:w="28" w:type="dxa"/>
        </w:tblCellMar>
      </w:tblPr>
      <w:tblGrid>
        <w:gridCol w:w="896"/>
        <w:gridCol w:w="788"/>
        <w:gridCol w:w="790"/>
        <w:gridCol w:w="254"/>
        <w:gridCol w:w="839"/>
        <w:gridCol w:w="141"/>
        <w:gridCol w:w="141"/>
        <w:gridCol w:w="141"/>
        <w:gridCol w:w="141"/>
        <w:gridCol w:w="254"/>
        <w:gridCol w:w="839"/>
        <w:gridCol w:w="141"/>
        <w:gridCol w:w="109"/>
        <w:gridCol w:w="109"/>
        <w:gridCol w:w="109"/>
        <w:gridCol w:w="236"/>
        <w:gridCol w:w="887"/>
        <w:gridCol w:w="131"/>
        <w:gridCol w:w="131"/>
        <w:gridCol w:w="131"/>
        <w:gridCol w:w="131"/>
        <w:gridCol w:w="236"/>
        <w:gridCol w:w="779"/>
        <w:gridCol w:w="185"/>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101,007 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2023, the total unamortized compensation cost related to all non-vested equity awards, including options and RSUs, was $314.2 million, which will be amortized over a weighted-average remaining requisite service period of approximately 2.7 years. As of September 30, 2023, the total unrecognized compensation expense related to the ESPP was $4.2 million, which is expected to be amortized over the next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12.    Restructuring Initiatives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three months ended September 30, 2023, as a result of simplifying and scaling certain processes, functions, and team capabilities, the Company began implementing restructuring initiatives in order to better serve the Company's customers and allow the Company to grow and scale global operations. Restructuring costs incurred primarily included severance and certain other associated costs. These specific restructuring initiatives are expected to be substantially complete by the end this year.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incurred charges of $1.4 million for the three months and nine months ended September 30, 2023.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restructuring costs included within the Company’s Condensed Consolidated Statements of Operations for the three and nine months ended September 30, 2023:</w:t>
      </w:r>
    </w:p>
    <w:tbl>
      <w:tblPr>
        <w:tblW w:w="3380" w:type="dxa"/>
        <w:jc w:val="center"/>
        <w:tblInd w:w="0" w:type="dxa"/>
        <w:tblLayout w:type="fixed"/>
        <w:tblCellMar>
          <w:top w:w="28" w:type="dxa"/>
          <w:left w:w="28" w:type="dxa"/>
          <w:bottom w:w="28" w:type="dxa"/>
          <w:right w:w="28" w:type="dxa"/>
        </w:tblCellMar>
      </w:tblPr>
      <w:tblGrid>
        <w:gridCol w:w="896"/>
        <w:gridCol w:w="788"/>
        <w:gridCol w:w="790"/>
        <w:gridCol w:w="196"/>
        <w:gridCol w:w="55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changes in liabilities, including expenses incurred and cash payments resulting from the restructuring costs and related accruals, during the nine months ended September 30, 2023:</w:t>
      </w:r>
    </w:p>
    <w:tbl>
      <w:tblPr>
        <w:tblW w:w="3330" w:type="dxa"/>
        <w:jc w:val="center"/>
        <w:tblInd w:w="0" w:type="dxa"/>
        <w:tblLayout w:type="fixed"/>
        <w:tblCellMar>
          <w:top w:w="28" w:type="dxa"/>
          <w:left w:w="28" w:type="dxa"/>
          <w:bottom w:w="28" w:type="dxa"/>
          <w:right w:w="28" w:type="dxa"/>
        </w:tblCellMar>
      </w:tblPr>
      <w:tblGrid>
        <w:gridCol w:w="918"/>
        <w:gridCol w:w="807"/>
        <w:gridCol w:w="809"/>
        <w:gridCol w:w="202"/>
        <w:gridCol w:w="434"/>
        <w:gridCol w:w="160"/>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Expenses incurred</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13.    Related Party Arrangements</w:t>
      </w:r>
    </w:p>
    <w:p>
      <w:pPr>
        <w:pStyle w:val="TextBody"/>
        <w:bidi w:val="0"/>
        <w:spacing w:lineRule="auto" w:line="288" w:before="0" w:after="180"/>
        <w:jc w:val="left"/>
        <w:rPr/>
      </w:pPr>
      <w:r>
        <w:rPr>
          <w:rFonts w:ascii="Times New Roman;sans-serif" w:hAnsi="Times New Roman;sans-serif"/>
          <w:b w:val="false"/>
          <w:color w:val="000000"/>
          <w:sz w:val="18"/>
        </w:rPr>
        <w:t xml:space="preserve">There were no significant related party transactions for the three and nine months ended </w:t>
      </w:r>
      <w:r>
        <w:rPr>
          <w:rFonts w:ascii="Times New Roman;sans-serif" w:hAnsi="Times New Roman;sans-serif"/>
          <w:b w:val="false"/>
          <w:color w:val="000000"/>
          <w:sz w:val="18"/>
          <w:shd w:fill="FFFFFF" w:val="clear"/>
        </w:rPr>
        <w:t xml:space="preserve">September 30, 2023 and </w:t>
      </w:r>
      <w:r>
        <w:rPr>
          <w:rFonts w:ascii="Times New Roman;sans-serif" w:hAnsi="Times New Roman;sans-serif"/>
          <w:b w:val="false"/>
          <w:color w:val="000000"/>
          <w:sz w:val="18"/>
        </w:rPr>
        <w:t>2022</w:t>
      </w:r>
      <w:r>
        <w:rPr>
          <w:rFonts w:ascii="Times New Roman;sans-serif" w:hAnsi="Times New Roman;sans-serif"/>
          <w:b w:val="false"/>
          <w:color w:val="000000"/>
          <w:sz w:val="18"/>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14.    Income Taxes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computes its tax provision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The Company’s effective tax rates on pre-tax income wer</w:t>
      </w:r>
      <w:r>
        <w:rPr>
          <w:rFonts w:ascii="Times New Roman;sans-serif" w:hAnsi="Times New Roman;sans-serif"/>
          <w:b w:val="false"/>
          <w:color w:val="000000"/>
          <w:sz w:val="18"/>
          <w:shd w:fill="FFFFFF" w:val="clear"/>
        </w:rPr>
        <w:t>e (0.7)% and (0.9)% for the three months ended September 30, 2023 and 2022, respectively and (0.6)% and (1.6)% for the nine months ended September 30, 2023</w:t>
      </w:r>
      <w:r>
        <w:rPr>
          <w:color w:val="000000"/>
        </w:rPr>
        <w:t xml:space="preserve"> </w:t>
      </w:r>
      <w:r>
        <w:rPr>
          <w:rFonts w:ascii="Times New Roman;sans-serif" w:hAnsi="Times New Roman;sans-serif"/>
          <w:b w:val="false"/>
          <w:color w:val="000000"/>
          <w:sz w:val="18"/>
        </w:rPr>
        <w:t>and 2022, respectively. The difference between the effective tax rate and the U.S. federal statutory rate of 21.0% in both periods was primarily the result of foreign income taxed at different rates and changes in the U.S. valuation allowance.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during the three and nine months ended September 30, 2023, the Company recognized a discrete income tax benefit related to excess stock-based compensation deductions.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maintains a full valuation allowance against the U.S. net deferred tax assets, as it believes that these deferred tax assets do not meet the more likely than not threshold.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files income tax returns in the U.S. federal jurisdiction, various state jurisdictions, and internationally. As of September 30, 2023, tax years 2012 through 2022 remain open for examination by taxing authorities.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has applied ASC 740, </w:t>
      </w:r>
      <w:r>
        <w:rPr>
          <w:rFonts w:ascii="Times New Roman;sans-serif" w:hAnsi="Times New Roman;sans-serif"/>
          <w:b w:val="false"/>
          <w:i/>
          <w:color w:val="000000"/>
          <w:sz w:val="18"/>
        </w:rPr>
        <w:t>Income Taxes</w:t>
      </w:r>
      <w:r>
        <w:rPr>
          <w:rFonts w:ascii="Times New Roman;sans-serif" w:hAnsi="Times New Roman;sans-serif"/>
          <w:b w:val="false"/>
          <w:color w:val="000000"/>
          <w:sz w:val="18"/>
        </w:rPr>
        <w:t xml:space="preserve">, and has determined that it has no uncertain tax positions both during the three and nine months ended September 30, 2023 and 2022. The Company recognizes interest and, if applicable, penalties for any uncertain tax positions. Interest and penalties are recorded as a component of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15.    Commitments and Contingencies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Guarantees and Indemnification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September 30, 2023 and December 31, 2022.</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Litigation and Loss Contingencies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Litigation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as defined under GAAP, and estimable. Although the results of litigation and claims are inherently unpredictable, the Company does not believe that there was a reasonable possibility that it had incurred a material loss with respect to such loss contingencies as of September 30, 2023 and December 31, 2022.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Indirect taxes</w:t>
      </w:r>
    </w:p>
    <w:p>
      <w:pPr>
        <w:pStyle w:val="TextBody"/>
        <w:bidi w:val="0"/>
        <w:spacing w:lineRule="auto" w:line="288" w:before="0" w:after="180"/>
        <w:jc w:val="left"/>
        <w:rPr/>
      </w:pPr>
      <w:r>
        <w:rPr>
          <w:rFonts w:ascii="Times New Roman;sans-serif" w:hAnsi="Times New Roman;sans-serif"/>
          <w:b w:val="false"/>
          <w:color w:val="000000"/>
          <w:sz w:val="18"/>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$4.3 million and $6.0 million as of September 30, 2023 and December 31, 2022, respectively, reflecting the amount that the Company believes is probable and estimable. The estimated liability is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Company’s Condensed Consolidated Balance Sheets. Although the Company believes its indirect tax estimates and associated liabilities are reasonable, the final determination of indirect tax audits or settlements could be materially different than the amounts recorded.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Reserve for Transaction Losses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table below summarizes the Company’s reserve for transaction losses for the three and nine months ended September 30, 2023 and 2022: </w:t>
      </w:r>
    </w:p>
    <w:tbl>
      <w:tblPr>
        <w:tblW w:w="8571" w:type="dxa"/>
        <w:jc w:val="center"/>
        <w:tblInd w:w="0" w:type="dxa"/>
        <w:tblLayout w:type="fixed"/>
        <w:tblCellMar>
          <w:top w:w="28" w:type="dxa"/>
          <w:left w:w="28" w:type="dxa"/>
          <w:bottom w:w="28" w:type="dxa"/>
          <w:right w:w="28" w:type="dxa"/>
        </w:tblCellMar>
      </w:tblPr>
      <w:tblGrid>
        <w:gridCol w:w="907"/>
        <w:gridCol w:w="798"/>
        <w:gridCol w:w="800"/>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transaction losses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incurred, net of recoveries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16.    Accrued Expenses &amp; Other Current Liabilities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consisted of the following:</w:t>
      </w:r>
    </w:p>
    <w:tbl>
      <w:tblPr>
        <w:tblW w:w="5952" w:type="dxa"/>
        <w:jc w:val="center"/>
        <w:tblInd w:w="0" w:type="dxa"/>
        <w:tblLayout w:type="fixed"/>
        <w:tblCellMar>
          <w:top w:w="28" w:type="dxa"/>
          <w:left w:w="28" w:type="dxa"/>
          <w:bottom w:w="28" w:type="dxa"/>
          <w:right w:w="28" w:type="dxa"/>
        </w:tblCellMar>
      </w:tblPr>
      <w:tblGrid>
        <w:gridCol w:w="1174"/>
        <w:gridCol w:w="1031"/>
        <w:gridCol w:w="1035"/>
        <w:gridCol w:w="226"/>
        <w:gridCol w:w="849"/>
        <w:gridCol w:w="125"/>
        <w:gridCol w:w="109"/>
        <w:gridCol w:w="109"/>
        <w:gridCol w:w="109"/>
        <w:gridCol w:w="233"/>
        <w:gridCol w:w="769"/>
        <w:gridCol w:w="183"/>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Trade settlement liability</w:t>
            </w:r>
            <w:r>
              <w:rPr>
                <w:rFonts w:ascii="Times New Roman;sans-serif" w:hAnsi="Times New Roman;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transaction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 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Accrued salary, benefits, and related taxes</w:t>
            </w:r>
            <w:r>
              <w:rPr>
                <w:rFonts w:ascii="Times New Roman;sans-serif" w:hAnsi="Times New Roman;sans-serif"/>
                <w:b w:val="false"/>
                <w:color w:val="000000"/>
                <w:sz w:val="12"/>
              </w:rPr>
              <w:t>(2)</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Holdback liability</w:t>
            </w:r>
            <w:r>
              <w:rPr>
                <w:rFonts w:ascii="Times New Roman;sans-serif" w:hAnsi="Times New Roman;sans-serif"/>
                <w:b w:val="false"/>
                <w:color w:val="000000"/>
                <w:sz w:val="12"/>
              </w:rPr>
              <w:t>(3)</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 and taxes payable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transaction losses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employee contributions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6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within the Notes to Consolidated Financial Statements included in the Company’s Annual Report on Form 10-K for the year ended December 31, 2022 for further discussion.</w:t>
      </w:r>
    </w:p>
    <w:p>
      <w:pPr>
        <w:pStyle w:val="TextBody"/>
        <w:bidi w:val="0"/>
        <w:spacing w:lineRule="auto" w:line="288" w:before="0" w:after="6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6"/>
        </w:rPr>
        <w:t xml:space="preserve">The accrued salary, benefits, and related taxes amount is inclusive of accrued severance as part of the Company’s restructuring that occurred within the quarter. Refer to Note 12. </w:t>
      </w:r>
      <w:r>
        <w:rPr>
          <w:rFonts w:ascii="Times New Roman;sans-serif" w:hAnsi="Times New Roman;sans-serif"/>
          <w:b w:val="false"/>
          <w:i/>
          <w:color w:val="000000"/>
          <w:sz w:val="16"/>
        </w:rPr>
        <w:t>Restructuring Initiatives</w:t>
      </w:r>
      <w:r>
        <w:rPr>
          <w:color w:val="000000"/>
        </w:rPr>
        <w:t xml:space="preserve"> </w:t>
      </w:r>
      <w:r>
        <w:rPr>
          <w:rFonts w:ascii="Times New Roman;sans-serif" w:hAnsi="Times New Roman;sans-serif"/>
          <w:b w:val="false"/>
          <w:color w:val="000000"/>
          <w:sz w:val="16"/>
        </w:rPr>
        <w:t>for further detail on the Company’s restructuring activities.</w:t>
      </w:r>
    </w:p>
    <w:p>
      <w:pPr>
        <w:pStyle w:val="TextBody"/>
        <w:bidi w:val="0"/>
        <w:spacing w:lineRule="auto" w:line="288" w:before="0" w:after="180"/>
        <w:ind w:left="0" w:right="0" w:hanging="36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6"/>
        </w:rPr>
        <w:t xml:space="preserve">Refer to Note 5.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for further detail on the Holdback liability.</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ans-serif" w:hAnsi="Times New Roman;sans-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ans-serif" w:hAnsi="Times New Roman;sans-serif"/>
          <w:b w:val="false"/>
          <w:i/>
          <w:color w:val="000000"/>
          <w:sz w:val="18"/>
        </w:rPr>
        <w:t>Management’s Discussion and Analysis of Financial Condition and Results of Operations</w:t>
      </w:r>
      <w:r>
        <w:rPr>
          <w:color w:val="000000"/>
        </w:rPr>
        <w:t xml:space="preserve">” </w:t>
      </w:r>
      <w:r>
        <w:rPr>
          <w:rFonts w:ascii="Times New Roman;sans-serif" w:hAnsi="Times New Roman;sans-serif"/>
          <w:b w:val="false"/>
          <w:i/>
          <w:color w:val="000000"/>
          <w:sz w:val="18"/>
        </w:rPr>
        <w:t>included in the Annual Report on Form 10-K for the year ended December 31, 2022.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leading digital financial services provider for immigrants and their families in over 170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brand promise is to bring “peace of mind” into everything we do. We focus on bringing trust, reliability, and a fair and transparent price to cross-border remittances and complementary financial services.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Providing a Simple and Reliable Way of Sending Money with Our Mobile-Centric Suite of Products.</w:t>
      </w:r>
      <w:r>
        <w:rPr>
          <w:color w:val="000000"/>
        </w:rPr>
        <w:t xml:space="preserve"> </w:t>
      </w:r>
      <w:r>
        <w:rPr>
          <w:rFonts w:ascii="Times New Roman;sans-serif" w:hAnsi="Times New Roman;sans-serif"/>
          <w:b w:val="false"/>
          <w:color w:val="000000"/>
          <w:sz w:val="18"/>
        </w:rPr>
        <w:t>As of September 30, 2023, our Remitly mobile app had a 4.9 iOS App Store rating with approximately 1.2 million reviewers and a 4.8 Android Google Play rating with over 690,000 reviewers. We have achieved this level of engagement and these high ratings by designing mobile-centric products that make the customer experience simple and convenient and give our customers complete peace of mind.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mobile app for cross-border remittances provides an easy-to-use, end-to-end process. In just a few minutes, customers are able to set up and send money for the first time with Remitly, and repeat transactions become easier with just a few taps. Our customers and their families can also track the status of their transactions in real time. This mobile-centric experience enables us to engage beyond the initial transaction, generating strong repeat usage and high customer loyalty.</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Conveniently Putting Money Safely in the Hands of Our Customers’ Families, Wherever They Are, by Relying on Our Global Network</w:t>
      </w:r>
      <w:r>
        <w:rPr>
          <w:rFonts w:ascii="Times New Roman;sans-serif" w:hAnsi="Times New Roman;sans-serif"/>
          <w:b w:val="false"/>
          <w:color w:val="000000"/>
          <w:sz w:val="18"/>
        </w:rPr>
        <w:t>. Our global network of funding and disbursement partnerships enables us to complete money transfers in approximately 4,900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disbursement options within our global network continue to grow and remain an important driver of customer loyalty. 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to approximately 4.0 billion bank accounts, approximately 1.2 billion mobile wallets, and approximately 460,000 cash pickup locations.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We continue to believe the quality of our network and our focus on customer preference in disbursement options remain a competitive differentiator.</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Creating Trusted and Personalized Experiences with Our Localization Expertise at Scale</w:t>
      </w:r>
      <w:r>
        <w:rPr>
          <w:rFonts w:ascii="Times New Roman;sans-serif" w:hAnsi="Times New Roman;sans-serif"/>
          <w:b w:val="false"/>
          <w:color w:val="000000"/>
          <w:sz w:val="18"/>
        </w:rPr>
        <w:t>. We believe our expertise in localizing our marketing, products, and 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more than 15 native languages, and we provide peace of mind with our global customer support team. Additionally, for disbursement of funds, we partner with local brands that are among the most trusted and recognized by our customers and their families.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Using Our Data-Driven Approach to Better Serve Our Customers and Provide More Value</w:t>
      </w:r>
      <w:r>
        <w:rPr>
          <w:rFonts w:ascii="Times New Roman;sans-serif" w:hAnsi="Times New Roman;sans-serif"/>
          <w:b w:val="false"/>
          <w:color w:val="000000"/>
          <w:sz w:val="18"/>
        </w:rPr>
        <w:t>. We have a data-driven approach to how we grow our business, 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January 5, 2023, we acquired 100% of the outstanding equity interests of Rewire (O.S.G) Research and Development Ltd., a company organized under the laws of the State of Israel (“Rewire”), for approximately $77.9 million of aggregate consideration, the majority of which was or will be settled in cash, with the remaining consideration settled or to be settled in Remitly equity. The acquisition of Rewire allows us to accelerate our opportunity to differentiate the remittance experience with complementary products, by bringing together our remittance businesses in new geographies, along with a strong team that is culturally aligned with Remitly.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Revenue Model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our remittance business, which represents substantially all of our revenue today, we generate revenue from transaction fees charged to customers and foreign exchange spreads applied to the amount the customer is sending.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Business Metrics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Active customers” is defined as the number of distinct customers who have successfully completed at least one transaction using Remitly during a given calendar quarter. We identify customers through unique account numbers.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active customers are measured on a quarterly basis, the data for the full-year periods for active customers is not meaningful, and therefore this metric is only presented on a quarterly basis herein.</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Active Customers</w:t>
      </w:r>
    </w:p>
    <w:tbl>
      <w:tblPr>
        <w:tblW w:w="4287" w:type="dxa"/>
        <w:jc w:val="left"/>
        <w:tblInd w:w="0" w:type="dxa"/>
        <w:tblLayout w:type="fixed"/>
        <w:tblCellMar>
          <w:top w:w="28" w:type="dxa"/>
          <w:left w:w="28" w:type="dxa"/>
          <w:bottom w:w="28" w:type="dxa"/>
          <w:right w:w="28" w:type="dxa"/>
        </w:tblCellMar>
      </w:tblPr>
      <w:tblGrid>
        <w:gridCol w:w="489"/>
        <w:gridCol w:w="430"/>
        <w:gridCol w:w="431"/>
        <w:gridCol w:w="312"/>
        <w:gridCol w:w="312"/>
        <w:gridCol w:w="312"/>
        <w:gridCol w:w="312"/>
        <w:gridCol w:w="312"/>
        <w:gridCol w:w="312"/>
        <w:gridCol w:w="312"/>
        <w:gridCol w:w="312"/>
        <w:gridCol w:w="441"/>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0"/>
              <w:jc w:val="left"/>
              <w:rPr>
                <w:sz w:val="4"/>
                <w:szCs w:val="4"/>
              </w:rPr>
            </w:pPr>
            <w:r>
              <w:rPr>
                <w:sz w:val="4"/>
                <w:szCs w:val="4"/>
              </w:rPr>
            </w:r>
          </w:p>
        </w:tc>
        <w:tc>
          <w:tcPr>
            <w:tcW w:w="2001"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Active customers increased to approximately 5.4 million, or 42% growth, for the three months ended September 30, 2023, compared to the three months ended September 30, 2022. This increase was primarily due to an increase in the number of new customers, driven by investments in our mobile platform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Send Volume </w:t>
      </w:r>
    </w:p>
    <w:tbl>
      <w:tblPr>
        <w:tblW w:w="7112" w:type="dxa"/>
        <w:jc w:val="left"/>
        <w:tblInd w:w="0" w:type="dxa"/>
        <w:tblLayout w:type="fixed"/>
        <w:tblCellMar>
          <w:top w:w="28" w:type="dxa"/>
          <w:left w:w="28" w:type="dxa"/>
          <w:bottom w:w="28" w:type="dxa"/>
          <w:right w:w="28" w:type="dxa"/>
        </w:tblCellMar>
      </w:tblPr>
      <w:tblGrid>
        <w:gridCol w:w="379"/>
        <w:gridCol w:w="333"/>
        <w:gridCol w:w="337"/>
        <w:gridCol w:w="265"/>
        <w:gridCol w:w="874"/>
        <w:gridCol w:w="147"/>
        <w:gridCol w:w="147"/>
        <w:gridCol w:w="147"/>
        <w:gridCol w:w="147"/>
        <w:gridCol w:w="265"/>
        <w:gridCol w:w="752"/>
        <w:gridCol w:w="147"/>
        <w:gridCol w:w="109"/>
        <w:gridCol w:w="109"/>
        <w:gridCol w:w="109"/>
        <w:gridCol w:w="245"/>
        <w:gridCol w:w="809"/>
        <w:gridCol w:w="136"/>
        <w:gridCol w:w="136"/>
        <w:gridCol w:w="136"/>
        <w:gridCol w:w="136"/>
        <w:gridCol w:w="245"/>
        <w:gridCol w:w="809"/>
        <w:gridCol w:w="193"/>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Send volume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send volume to assess the scale of remittances sent using our platform. Our customers mostly send from the United States, Canada, and other countries in Europe. Our customers and their recipients are located in over 170 countries and territories across the globe; the largest receive countries by send volume include India, Mexico, and the Philippines.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Send volume increased 36% to $10.2 billion for the three months ended September 30, 2023, compared to $7.5 billion for the three months ended September 30, 2022, driven by the increase in active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Send volume increased 38%, to $28.4 billion for the nine months ended September 30, 2023, compared to $20.6 billion for the nine months ended September 30, 2022,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Customer Retention and High Customer Engagement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recurring revenue stream with high visibility and predictability.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Attracting New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immigrants. We plan to continue to acquire new customers through digital marketing channels and word-of-mouth referrals from existing customers, and by exploring new customer acquisition channels. Given the nature of our business, new customer acquisition may negatively impact net loss and Adjusted EBITDA in the quarter they are acquired, but are expected to favorably impact net loss and Adjusted EBITDA in subsequent periods.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Acquisition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Efficiently acquiring customers is critical to our growth and maintaining of attractive customer economics, which are impacted by online marketing competition, our ability to effectively target the right demographic, and competitor pricing.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 digital advertising costs.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Corridor Mix</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Seasonality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 The number of business days in a quarter and the day of week that the last day of the quarter falls on may also introduce variability in our results, working capital balances, or cash flows period over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Our Technology Platform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Management of Risk and Fraud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Macroeconomic and Geopolitical Changes </w:t>
      </w:r>
    </w:p>
    <w:p>
      <w:pPr>
        <w:pStyle w:val="TextBody"/>
        <w:bidi w:val="0"/>
        <w:spacing w:lineRule="auto" w:line="288" w:before="0" w:after="180"/>
        <w:jc w:val="left"/>
        <w:rPr/>
      </w:pPr>
      <w:r>
        <w:rPr>
          <w:rFonts w:ascii="Times New Roman;sans-serif" w:hAnsi="Times New Roman;sans-serif"/>
          <w:b w:val="false"/>
          <w:color w:val="000000"/>
          <w:sz w:val="18"/>
        </w:rPr>
        <w:t xml:space="preserve">Global macroeconomic and geopolitical factors, including inflation, currency fluctuations, immigration, trade and regulatory policies, the conflict in Ukraine, the conflict in Israel,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do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Company’s Notes to the Condensed Consolidated Financial Statements included in Part I, Item 1 of this Quarterly Report on Form 10-Q for a more comprehensive description of current business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Components of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Costs and expenses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Transaction Expenses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and improvements in our proprietary fraud models, although we expect some variability in transaction expense from quarter to quarter.</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Provisions for Transaction Losses </w:t>
      </w:r>
    </w:p>
    <w:p>
      <w:pPr>
        <w:pStyle w:val="TextBody"/>
        <w:bidi w:val="0"/>
        <w:spacing w:lineRule="auto" w:line="288" w:before="0" w:after="180"/>
        <w:jc w:val="left"/>
        <w:rPr/>
      </w:pPr>
      <w:r>
        <w:rPr>
          <w:rFonts w:ascii="Times New Roman;sans-serif" w:hAnsi="Times New Roman;sans-serif"/>
          <w:b w:val="false"/>
          <w:color w:val="000000"/>
          <w:sz w:val="18"/>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Condensed Consolidated Balance Sheets. The provision for transaction losses is included as a component of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 xml:space="preserve">within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the Company’s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w:t>
      </w:r>
    </w:p>
    <w:p>
      <w:pPr>
        <w:pStyle w:val="TextBody"/>
        <w:bidi w:val="0"/>
        <w:spacing w:lineRule="auto" w:line="288" w:before="0" w:after="180"/>
        <w:jc w:val="left"/>
        <w:rPr/>
      </w:pPr>
      <w:r>
        <w:rPr>
          <w:rFonts w:ascii="Times New Roman;sans-serif" w:hAnsi="Times New Roman;sans-serif"/>
          <w:b w:val="false"/>
          <w:color w:val="000000"/>
          <w:sz w:val="18"/>
        </w:rPr>
        <w:t xml:space="preserve">General and administrative expenses consist primarily of personnel-related expenses for the Company’s finance, legal, corporate and business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5.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 for further details.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includes depreciation on property and equipment and leasehold improvements, as well as the amortization of internal-use software costs and amortization of intangible assets.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Comparison of the three and nine months ended September 30, 2023 and 2022</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tbl>
      <w:tblPr>
        <w:tblW w:w="10700" w:type="dxa"/>
        <w:jc w:val="left"/>
        <w:tblInd w:w="0" w:type="dxa"/>
        <w:tblLayout w:type="fixed"/>
        <w:tblCellMar>
          <w:top w:w="28" w:type="dxa"/>
          <w:left w:w="28" w:type="dxa"/>
          <w:bottom w:w="28" w:type="dxa"/>
          <w:right w:w="28" w:type="dxa"/>
        </w:tblCellMar>
      </w:tblPr>
      <w:tblGrid>
        <w:gridCol w:w="299"/>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41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increased $72.4 million and $217.0 million, or 43% and 47%, respectively, for the three and nine months ended September 30, 2023, as compared to the three and nine months ended September 30, 2022. This increase was primarily driven by an increase in active customers period over period, continued strength in the retention of existing customers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countries to which the funds are transferred. Rewire contributed approximately 2% to the year over year revenue growth rate in both periods.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Expenses</w:t>
      </w:r>
    </w:p>
    <w:tbl>
      <w:tblPr>
        <w:tblW w:w="10205" w:type="dxa"/>
        <w:jc w:val="left"/>
        <w:tblInd w:w="0" w:type="dxa"/>
        <w:tblLayout w:type="fixed"/>
        <w:tblCellMar>
          <w:top w:w="28" w:type="dxa"/>
          <w:left w:w="28" w:type="dxa"/>
          <w:bottom w:w="28" w:type="dxa"/>
          <w:right w:w="28" w:type="dxa"/>
        </w:tblCellMar>
      </w:tblPr>
      <w:tblGrid>
        <w:gridCol w:w="454"/>
        <w:gridCol w:w="305"/>
        <w:gridCol w:w="307"/>
        <w:gridCol w:w="214"/>
        <w:gridCol w:w="202"/>
        <w:gridCol w:w="407"/>
        <w:gridCol w:w="119"/>
        <w:gridCol w:w="119"/>
        <w:gridCol w:w="119"/>
        <w:gridCol w:w="214"/>
        <w:gridCol w:w="202"/>
        <w:gridCol w:w="407"/>
        <w:gridCol w:w="109"/>
        <w:gridCol w:w="109"/>
        <w:gridCol w:w="109"/>
        <w:gridCol w:w="196"/>
        <w:gridCol w:w="646"/>
        <w:gridCol w:w="109"/>
        <w:gridCol w:w="109"/>
        <w:gridCol w:w="109"/>
        <w:gridCol w:w="109"/>
        <w:gridCol w:w="165"/>
        <w:gridCol w:w="166"/>
        <w:gridCol w:w="357"/>
        <w:gridCol w:w="109"/>
        <w:gridCol w:w="109"/>
        <w:gridCol w:w="109"/>
        <w:gridCol w:w="213"/>
        <w:gridCol w:w="206"/>
        <w:gridCol w:w="485"/>
        <w:gridCol w:w="118"/>
        <w:gridCol w:w="118"/>
        <w:gridCol w:w="118"/>
        <w:gridCol w:w="213"/>
        <w:gridCol w:w="206"/>
        <w:gridCol w:w="485"/>
        <w:gridCol w:w="109"/>
        <w:gridCol w:w="109"/>
        <w:gridCol w:w="109"/>
        <w:gridCol w:w="196"/>
        <w:gridCol w:w="646"/>
        <w:gridCol w:w="109"/>
        <w:gridCol w:w="109"/>
        <w:gridCol w:w="109"/>
        <w:gridCol w:w="109"/>
        <w:gridCol w:w="165"/>
        <w:gridCol w:w="166"/>
        <w:gridCol w:w="418"/>
      </w:tblGrid>
      <w:tr>
        <w:trPr/>
        <w:tc>
          <w:tcPr>
            <w:tcW w:w="4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85,742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239,995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increased $15.9 million, or 23%, to $85.7 million for the three months ended September 30, 2023, compared to $69.9 million for the three months ended September 30, 2022. The increase was primarily due to a $19.0 million increase in direct costs associated with processing a higher volume of our customers’ remittance transactions and the disbursement of our customers’ funds to their recipients and a $1.5 million increase in other transaction expenses, primarily related to software and tools that support our compliance and risk operations, partially offset by a decrease in our provision for fraud and other losses.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expenses increased $53.0 million, or 28%, to $240.0 million for the nine months ended September 30, 2023, compared to $187.0 million, for the nine months ended September 30, 2022. The increase was primarily due to a $53.4 million increase in direct costs associated with processing a higher volume of our customers’ remittance transactions and the disbursement of our customers’ funds to their recipients and a $3.6 million increase in other transaction expenses, primarily related to software and tools that support our compliance and risk operations, partially offset by a $4.0 million decrease in our provision for fraud and other losses.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transaction expenses decreased to 35% for both the three and nine months ended September 30, 2023, as compared to 41% and 40% for the three and nine months ended September 30, 2022, respectively. The decrease was primarily due to better economics with partners as we are able to secure better terms with our payment and disbursement partners as a result of increasing scale, and also due to improvements in our ability to prevent fraud and other losses.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tbl>
      <w:tblPr>
        <w:tblW w:w="10205" w:type="dxa"/>
        <w:jc w:val="left"/>
        <w:tblInd w:w="0" w:type="dxa"/>
        <w:tblLayout w:type="fixed"/>
        <w:tblCellMar>
          <w:top w:w="28" w:type="dxa"/>
          <w:left w:w="28" w:type="dxa"/>
          <w:bottom w:w="28" w:type="dxa"/>
          <w:right w:w="28" w:type="dxa"/>
        </w:tblCellMar>
      </w:tblPr>
      <w:tblGrid>
        <w:gridCol w:w="465"/>
        <w:gridCol w:w="367"/>
        <w:gridCol w:w="368"/>
        <w:gridCol w:w="229"/>
        <w:gridCol w:w="202"/>
        <w:gridCol w:w="413"/>
        <w:gridCol w:w="127"/>
        <w:gridCol w:w="127"/>
        <w:gridCol w:w="127"/>
        <w:gridCol w:w="229"/>
        <w:gridCol w:w="202"/>
        <w:gridCol w:w="413"/>
        <w:gridCol w:w="109"/>
        <w:gridCol w:w="109"/>
        <w:gridCol w:w="109"/>
        <w:gridCol w:w="196"/>
        <w:gridCol w:w="556"/>
        <w:gridCol w:w="109"/>
        <w:gridCol w:w="109"/>
        <w:gridCol w:w="109"/>
        <w:gridCol w:w="109"/>
        <w:gridCol w:w="165"/>
        <w:gridCol w:w="166"/>
        <w:gridCol w:w="357"/>
        <w:gridCol w:w="109"/>
        <w:gridCol w:w="109"/>
        <w:gridCol w:w="109"/>
        <w:gridCol w:w="226"/>
        <w:gridCol w:w="195"/>
        <w:gridCol w:w="416"/>
        <w:gridCol w:w="126"/>
        <w:gridCol w:w="126"/>
        <w:gridCol w:w="126"/>
        <w:gridCol w:w="226"/>
        <w:gridCol w:w="195"/>
        <w:gridCol w:w="416"/>
        <w:gridCol w:w="109"/>
        <w:gridCol w:w="109"/>
        <w:gridCol w:w="109"/>
        <w:gridCol w:w="196"/>
        <w:gridCol w:w="646"/>
        <w:gridCol w:w="109"/>
        <w:gridCol w:w="109"/>
        <w:gridCol w:w="109"/>
        <w:gridCol w:w="109"/>
        <w:gridCol w:w="165"/>
        <w:gridCol w:w="166"/>
        <w:gridCol w:w="418"/>
      </w:tblGrid>
      <w:tr>
        <w:trPr/>
        <w:tc>
          <w:tcPr>
            <w:tcW w:w="4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Customer support and operations expenses increased $3.0 million, or 17%, f</w:t>
      </w:r>
      <w:r>
        <w:rPr>
          <w:rFonts w:ascii="Times New Roman;sans-serif" w:hAnsi="Times New Roman;sans-serif"/>
          <w:b w:val="false"/>
          <w:color w:val="000000"/>
          <w:sz w:val="18"/>
          <w:shd w:fill="FFFFFF" w:val="clear"/>
        </w:rPr>
        <w:t xml:space="preserve">or the three months ended September 30, 2023, compared to the three months ended </w:t>
      </w:r>
      <w:r>
        <w:rPr>
          <w:rFonts w:ascii="Times New Roman;sans-serif" w:hAnsi="Times New Roman;sans-serif"/>
          <w:b w:val="false"/>
          <w:color w:val="000000"/>
          <w:sz w:val="18"/>
        </w:rPr>
        <w:t xml:space="preserve">September 30, 2022. The increase was primarily driven by a $1.8 million increase in third-party and internal personnel costs to support customer operations, a $0.8 million increase in software and telephony costs as we supported an increased volume of active customers, and a $0.7 million increase due to restructuring costs primarily related to severance. We expect these restructuring activities to generate approximately $1.0 million to $2.0 million in estimated annual savings. Refer to Note 12. </w:t>
      </w:r>
      <w:r>
        <w:rPr>
          <w:rFonts w:ascii="Times New Roman;sans-serif" w:hAnsi="Times New Roman;sans-serif"/>
          <w:b w:val="false"/>
          <w:i/>
          <w:color w:val="000000"/>
          <w:sz w:val="18"/>
        </w:rPr>
        <w:t>Restructuring Initiatives</w:t>
      </w:r>
      <w:r>
        <w:rPr>
          <w:color w:val="000000"/>
        </w:rPr>
        <w:t xml:space="preserve"> </w:t>
      </w:r>
      <w:r>
        <w:rPr>
          <w:rFonts w:ascii="Times New Roman;sans-serif" w:hAnsi="Times New Roman;sans-serif"/>
          <w:b w:val="false"/>
          <w:color w:val="000000"/>
          <w:sz w:val="18"/>
        </w:rPr>
        <w:t>in the Notes to the Condensed Consolidated Financial Statements for more information on the restructuring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color w:val="000000"/>
          <w:sz w:val="18"/>
        </w:rPr>
        <w:t xml:space="preserve">Customer support and operations expenses increased $13.7 million, or 28%, for the nine months ended September 30, 2023, compared to the nine months ended September 30, 2022. The increase was primarily driven by a $10.3 million increase in third-party and internal personnel costs to support customer operations, a $3.2 million increase in software and telephony costs as we supported an increased volume of active customers, and a $0.7 million increase due to restructuring costs primarily related to severance (refer to Note 12. </w:t>
      </w:r>
      <w:r>
        <w:rPr>
          <w:rFonts w:ascii="Times New Roman;sans-serif" w:hAnsi="Times New Roman;sans-serif"/>
          <w:b w:val="false"/>
          <w:i/>
          <w:color w:val="000000"/>
          <w:sz w:val="18"/>
        </w:rPr>
        <w:t>Restructuring Initiatives</w:t>
      </w:r>
      <w:r>
        <w:rPr>
          <w:color w:val="000000"/>
        </w:rPr>
        <w:t xml:space="preserve"> </w:t>
      </w:r>
      <w:r>
        <w:rPr>
          <w:rFonts w:ascii="Times New Roman;sans-serif" w:hAnsi="Times New Roman;sans-serif"/>
          <w:b w:val="false"/>
          <w:color w:val="000000"/>
          <w:sz w:val="18"/>
        </w:rPr>
        <w:t>in the Notes to the Condensed Consolidated Financial Statements for more information on the restructuring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customer support and operations expenses decreased to 9% for both the three and nine months ended September 30, 2023, from 11% for both the three and nine months ended September 30, 2022, respectively, due to process improvements and automation driving scale across customer support headcount at internal and third-party customer support sites.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 Expenses</w:t>
      </w:r>
    </w:p>
    <w:tbl>
      <w:tblPr>
        <w:tblW w:w="10205" w:type="dxa"/>
        <w:jc w:val="left"/>
        <w:tblInd w:w="0" w:type="dxa"/>
        <w:tblLayout w:type="fixed"/>
        <w:tblCellMar>
          <w:top w:w="28" w:type="dxa"/>
          <w:left w:w="28" w:type="dxa"/>
          <w:bottom w:w="28" w:type="dxa"/>
          <w:right w:w="28" w:type="dxa"/>
        </w:tblCellMar>
      </w:tblPr>
      <w:tblGrid>
        <w:gridCol w:w="409"/>
        <w:gridCol w:w="314"/>
        <w:gridCol w:w="315"/>
        <w:gridCol w:w="218"/>
        <w:gridCol w:w="202"/>
        <w:gridCol w:w="409"/>
        <w:gridCol w:w="121"/>
        <w:gridCol w:w="121"/>
        <w:gridCol w:w="121"/>
        <w:gridCol w:w="218"/>
        <w:gridCol w:w="202"/>
        <w:gridCol w:w="409"/>
        <w:gridCol w:w="109"/>
        <w:gridCol w:w="109"/>
        <w:gridCol w:w="109"/>
        <w:gridCol w:w="196"/>
        <w:gridCol w:w="646"/>
        <w:gridCol w:w="109"/>
        <w:gridCol w:w="109"/>
        <w:gridCol w:w="109"/>
        <w:gridCol w:w="109"/>
        <w:gridCol w:w="165"/>
        <w:gridCol w:w="166"/>
        <w:gridCol w:w="357"/>
        <w:gridCol w:w="109"/>
        <w:gridCol w:w="109"/>
        <w:gridCol w:w="109"/>
        <w:gridCol w:w="216"/>
        <w:gridCol w:w="206"/>
        <w:gridCol w:w="485"/>
        <w:gridCol w:w="120"/>
        <w:gridCol w:w="120"/>
        <w:gridCol w:w="120"/>
        <w:gridCol w:w="216"/>
        <w:gridCol w:w="206"/>
        <w:gridCol w:w="485"/>
        <w:gridCol w:w="109"/>
        <w:gridCol w:w="109"/>
        <w:gridCol w:w="109"/>
        <w:gridCol w:w="196"/>
        <w:gridCol w:w="646"/>
        <w:gridCol w:w="109"/>
        <w:gridCol w:w="109"/>
        <w:gridCol w:w="109"/>
        <w:gridCol w:w="109"/>
        <w:gridCol w:w="165"/>
        <w:gridCol w:w="166"/>
        <w:gridCol w:w="416"/>
      </w:tblGrid>
      <w:tr>
        <w:trPr/>
        <w:tc>
          <w:tcPr>
            <w:tcW w:w="4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hanging="360"/>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159,074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Marketing expenses increased $18.0 million, or 42%, for the three months ended September 30, 2023, compared to the three months ended September 30, 2022, due primarily to an increase of $14.1 million in direct marketing expense, including online and offline marketing spend and promotion costs to acquire new customers. Personnel-related costs increased by $3.7 million, driven by a 62% increase in marketing headcount compared to the same period in 2022, inclusive of a $1.2 million increase in stock-based compensation expense. Contributing to the increase in our marketing headcount expense and direct marketing expense is the acquisition of Rewire.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increased $31.3 million, or 24%, for the nine months ended September 30, 2023, compared to the nine months ended September 30, 2022, due primarily to an increase of $19.5 million in direct marketing expense, including online and offline marketing spend and promotion costs to acquire new customers. Personnel-related costs increased by $10.9 million, driven by a 58% increase in marketing headcount compared to the same period in 2022, inclusive of a $5.1 million increase in stock-based compensation expense. Contributing to the increase in our marketing headcount expense and direct marketing expense is the 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marketing expenses decreased to 25% and 23% for the three and nine months ended September 30, 2023, respectively, from 26% and 28% for the three and nine months ended September 30, 2022, respectively, due to continued channel optimizations and momentum from a larger customer base.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tbl>
      <w:tblPr>
        <w:tblW w:w="10205" w:type="dxa"/>
        <w:jc w:val="left"/>
        <w:tblInd w:w="0" w:type="dxa"/>
        <w:tblLayout w:type="fixed"/>
        <w:tblCellMar>
          <w:top w:w="28" w:type="dxa"/>
          <w:left w:w="28" w:type="dxa"/>
          <w:bottom w:w="28" w:type="dxa"/>
          <w:right w:w="28" w:type="dxa"/>
        </w:tblCellMar>
      </w:tblPr>
      <w:tblGrid>
        <w:gridCol w:w="527"/>
        <w:gridCol w:w="311"/>
        <w:gridCol w:w="313"/>
        <w:gridCol w:w="214"/>
        <w:gridCol w:w="202"/>
        <w:gridCol w:w="407"/>
        <w:gridCol w:w="119"/>
        <w:gridCol w:w="119"/>
        <w:gridCol w:w="119"/>
        <w:gridCol w:w="214"/>
        <w:gridCol w:w="202"/>
        <w:gridCol w:w="407"/>
        <w:gridCol w:w="109"/>
        <w:gridCol w:w="109"/>
        <w:gridCol w:w="109"/>
        <w:gridCol w:w="196"/>
        <w:gridCol w:w="646"/>
        <w:gridCol w:w="109"/>
        <w:gridCol w:w="109"/>
        <w:gridCol w:w="109"/>
        <w:gridCol w:w="109"/>
        <w:gridCol w:w="165"/>
        <w:gridCol w:w="166"/>
        <w:gridCol w:w="357"/>
        <w:gridCol w:w="109"/>
        <w:gridCol w:w="109"/>
        <w:gridCol w:w="109"/>
        <w:gridCol w:w="213"/>
        <w:gridCol w:w="206"/>
        <w:gridCol w:w="485"/>
        <w:gridCol w:w="118"/>
        <w:gridCol w:w="118"/>
        <w:gridCol w:w="118"/>
        <w:gridCol w:w="213"/>
        <w:gridCol w:w="195"/>
        <w:gridCol w:w="411"/>
        <w:gridCol w:w="109"/>
        <w:gridCol w:w="109"/>
        <w:gridCol w:w="109"/>
        <w:gridCol w:w="196"/>
        <w:gridCol w:w="646"/>
        <w:gridCol w:w="109"/>
        <w:gridCol w:w="109"/>
        <w:gridCol w:w="109"/>
        <w:gridCol w:w="109"/>
        <w:gridCol w:w="165"/>
        <w:gridCol w:w="166"/>
        <w:gridCol w:w="418"/>
      </w:tblGrid>
      <w:tr>
        <w:trPr/>
        <w:tc>
          <w:tcPr>
            <w:tcW w:w="52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ind w:left="0" w:right="0" w:hanging="360"/>
              <w:jc w:val="left"/>
              <w:rPr>
                <w:sz w:val="4"/>
                <w:szCs w:val="4"/>
              </w:rPr>
            </w:pPr>
            <w:r>
              <w:rPr>
                <w:sz w:val="4"/>
                <w:szCs w:val="4"/>
              </w:rPr>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160,699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Technology and development expenses increased $20.8 million, or 58% for the three months ended September 30, 2023, compared to the three months ended September 30, 2022. The increase was driven by $17.3 million in personnel-related expenses resulting from a 55% increase in headcount compared to the same period in 2022, as part of our continued investment in our technology platform, and included a $6.6 million increase in stock-based compensation expense. The increase in technology and development expense was also driven by a $2.0 million increase in software costs for cloud services to support incremental transaction volume. Contributing to the increase in our technology and development headcount expense is the acquisition of Rewire.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 expenses increased $64.9 million, or 68%, for the nine months ended September 30, 2023, compared to the nine months ended September 30, 2022. The increase was driven by $55.5 million in personnel-related expenses resulting from a 58% increase in headcount compared to the same period in 2022, as part of our continued investment in our technology platform, and included a $24.1 million increase in stock-based compensation expense. The increase in technology and development expense was also driven by a $6.1 million increase in software costs for cloud services to support incremental transaction volume. Contributing to the increase in our technology and development headcount expense is the 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technology and development expenses increased to 24% for both the three and nine months ended September 30, 2023, from 21% for both the three and nine months ended September 30, 2022, driven by an increase in headcount and stock-based compensation expense due to hiring additional personnel and contractors who are directly engaged in developing and enhancing our platform and complementary new products, enabling increasing automation, and providing technology support and security, and inclusive of our acquisition of Rewire.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tbl>
      <w:tblPr>
        <w:tblW w:w="10205" w:type="dxa"/>
        <w:jc w:val="left"/>
        <w:tblInd w:w="0" w:type="dxa"/>
        <w:tblLayout w:type="fixed"/>
        <w:tblCellMar>
          <w:top w:w="28" w:type="dxa"/>
          <w:left w:w="28" w:type="dxa"/>
          <w:bottom w:w="28" w:type="dxa"/>
          <w:right w:w="28" w:type="dxa"/>
        </w:tblCellMar>
      </w:tblPr>
      <w:tblGrid>
        <w:gridCol w:w="596"/>
        <w:gridCol w:w="295"/>
        <w:gridCol w:w="296"/>
        <w:gridCol w:w="210"/>
        <w:gridCol w:w="202"/>
        <w:gridCol w:w="405"/>
        <w:gridCol w:w="116"/>
        <w:gridCol w:w="116"/>
        <w:gridCol w:w="116"/>
        <w:gridCol w:w="210"/>
        <w:gridCol w:w="202"/>
        <w:gridCol w:w="405"/>
        <w:gridCol w:w="109"/>
        <w:gridCol w:w="109"/>
        <w:gridCol w:w="109"/>
        <w:gridCol w:w="196"/>
        <w:gridCol w:w="646"/>
        <w:gridCol w:w="109"/>
        <w:gridCol w:w="109"/>
        <w:gridCol w:w="109"/>
        <w:gridCol w:w="109"/>
        <w:gridCol w:w="165"/>
        <w:gridCol w:w="166"/>
        <w:gridCol w:w="357"/>
        <w:gridCol w:w="109"/>
        <w:gridCol w:w="109"/>
        <w:gridCol w:w="109"/>
        <w:gridCol w:w="209"/>
        <w:gridCol w:w="206"/>
        <w:gridCol w:w="485"/>
        <w:gridCol w:w="116"/>
        <w:gridCol w:w="116"/>
        <w:gridCol w:w="116"/>
        <w:gridCol w:w="209"/>
        <w:gridCol w:w="195"/>
        <w:gridCol w:w="410"/>
        <w:gridCol w:w="109"/>
        <w:gridCol w:w="109"/>
        <w:gridCol w:w="109"/>
        <w:gridCol w:w="196"/>
        <w:gridCol w:w="646"/>
        <w:gridCol w:w="109"/>
        <w:gridCol w:w="109"/>
        <w:gridCol w:w="109"/>
        <w:gridCol w:w="109"/>
        <w:gridCol w:w="165"/>
        <w:gridCol w:w="166"/>
        <w:gridCol w:w="418"/>
      </w:tblGrid>
      <w:tr>
        <w:trPr/>
        <w:tc>
          <w:tcPr>
            <w:tcW w:w="5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 increased $14.3 million, or 40% for the three months ended September 30, 2023, compared to the three months ended September 30, 2022. The increase was driven by $7.3 million in personnel-related expenses resulting from a 38% increase in headcount compared to the same period in 2022, and included a $2.9 million increase in stock-based compensation expense. The increase in general and administrative expense was also driven by a $2.6 million increase in charitable contributions related to our annual Pledge 1% donation, a $2.2 million increase in indirect taxes, and a $0.9 million increase in the fair value of the holdback liability associated with the Rewire acquisition.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general and administrative expenses remained flat at 21% for the three months ended September 30, 2023 and the three months ended September 30, 2022.</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Included in the nine months ended September 30, 2022 results is approximately $5.2 million of stock-based compensation expense related to a prior period that was identified and corrected for in the three months ended June 30, 2022. The discussion below excludes this amount from the nine months ended September 30, 2022 results in all places, for comparative purposes. Excluding the aforementioned amount, general and administrative expenses would have increased $39.6 million, or 43% for the nine months ended September 30, 2023, compared to the nine months ended September 30, 2022.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general and administrative expenses for the nine months ended September 30, 2023, compared to the nine months ended September 30, 2022, was primarily driven by a $20.9 million increase personnel-related expenses due to a 44% increase in general and administrative headcount compared to the same period in 2022 and included a $8.7 million increase in stock-based compensation expense. The increase in general and administrative expenses was also driven by a $3.9 million increase in indirect taxes, a $3.6 million increase in professional fees, a $3.0 million increase in charitable contributions primarily related to our annual Pledge 1% donation, $2.3 million increase in facilities costs, and a $1.9 million increase in the fair value of the holdback liability associated with the Rewire acquisition. Contributing to the increase in our general and administrative headcount expense, software costs, employee-related costs, and professional fees is the 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general and administrative expenses decreased to 19% for the nine months ended September 30, 2023, from 21% for the nine months ended September 30, 2022, as we begin to leverage scale in our general and administrative functions as a result of our continued revenue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tbl>
      <w:tblPr>
        <w:tblW w:w="10205" w:type="dxa"/>
        <w:jc w:val="left"/>
        <w:tblInd w:w="0" w:type="dxa"/>
        <w:tblLayout w:type="fixed"/>
        <w:tblCellMar>
          <w:top w:w="28" w:type="dxa"/>
          <w:left w:w="28" w:type="dxa"/>
          <w:bottom w:w="28" w:type="dxa"/>
          <w:right w:w="28" w:type="dxa"/>
        </w:tblCellMar>
      </w:tblPr>
      <w:tblGrid>
        <w:gridCol w:w="589"/>
        <w:gridCol w:w="399"/>
        <w:gridCol w:w="401"/>
        <w:gridCol w:w="246"/>
        <w:gridCol w:w="202"/>
        <w:gridCol w:w="359"/>
        <w:gridCol w:w="137"/>
        <w:gridCol w:w="137"/>
        <w:gridCol w:w="137"/>
        <w:gridCol w:w="246"/>
        <w:gridCol w:w="202"/>
        <w:gridCol w:w="359"/>
        <w:gridCol w:w="109"/>
        <w:gridCol w:w="109"/>
        <w:gridCol w:w="109"/>
        <w:gridCol w:w="196"/>
        <w:gridCol w:w="556"/>
        <w:gridCol w:w="109"/>
        <w:gridCol w:w="109"/>
        <w:gridCol w:w="109"/>
        <w:gridCol w:w="109"/>
        <w:gridCol w:w="165"/>
        <w:gridCol w:w="166"/>
        <w:gridCol w:w="357"/>
        <w:gridCol w:w="109"/>
        <w:gridCol w:w="109"/>
        <w:gridCol w:w="109"/>
        <w:gridCol w:w="243"/>
        <w:gridCol w:w="195"/>
        <w:gridCol w:w="359"/>
        <w:gridCol w:w="135"/>
        <w:gridCol w:w="135"/>
        <w:gridCol w:w="135"/>
        <w:gridCol w:w="243"/>
        <w:gridCol w:w="195"/>
        <w:gridCol w:w="359"/>
        <w:gridCol w:w="109"/>
        <w:gridCol w:w="109"/>
        <w:gridCol w:w="109"/>
        <w:gridCol w:w="196"/>
        <w:gridCol w:w="556"/>
        <w:gridCol w:w="109"/>
        <w:gridCol w:w="109"/>
        <w:gridCol w:w="109"/>
        <w:gridCol w:w="109"/>
        <w:gridCol w:w="165"/>
        <w:gridCol w:w="166"/>
        <w:gridCol w:w="416"/>
      </w:tblGrid>
      <w:tr>
        <w:trPr/>
        <w:tc>
          <w:tcPr>
            <w:tcW w:w="5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increased $1.6 million and $4.8 million, or 85% and 98%, respectively, for the three and nine months ended September 30, 2023, compared to the three and nine months ended September 30, 2022. The increase in both periods is primarily driven by the amortization of acquired intangible assets, as part of the acquisition of Rewire in the first quarter of 2023.</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tbl>
      <w:tblPr>
        <w:tblW w:w="10205" w:type="dxa"/>
        <w:jc w:val="left"/>
        <w:tblInd w:w="0" w:type="dxa"/>
        <w:tblLayout w:type="fixed"/>
        <w:tblCellMar>
          <w:top w:w="28" w:type="dxa"/>
          <w:left w:w="28" w:type="dxa"/>
          <w:bottom w:w="28" w:type="dxa"/>
          <w:right w:w="28" w:type="dxa"/>
        </w:tblCellMar>
      </w:tblPr>
      <w:tblGrid>
        <w:gridCol w:w="454"/>
        <w:gridCol w:w="345"/>
        <w:gridCol w:w="347"/>
        <w:gridCol w:w="214"/>
        <w:gridCol w:w="610"/>
        <w:gridCol w:w="119"/>
        <w:gridCol w:w="119"/>
        <w:gridCol w:w="119"/>
        <w:gridCol w:w="119"/>
        <w:gridCol w:w="214"/>
        <w:gridCol w:w="610"/>
        <w:gridCol w:w="119"/>
        <w:gridCol w:w="109"/>
        <w:gridCol w:w="109"/>
        <w:gridCol w:w="109"/>
        <w:gridCol w:w="196"/>
        <w:gridCol w:w="421"/>
        <w:gridCol w:w="109"/>
        <w:gridCol w:w="109"/>
        <w:gridCol w:w="109"/>
        <w:gridCol w:w="109"/>
        <w:gridCol w:w="220"/>
        <w:gridCol w:w="220"/>
        <w:gridCol w:w="221"/>
        <w:gridCol w:w="109"/>
        <w:gridCol w:w="109"/>
        <w:gridCol w:w="109"/>
        <w:gridCol w:w="212"/>
        <w:gridCol w:w="602"/>
        <w:gridCol w:w="118"/>
        <w:gridCol w:w="118"/>
        <w:gridCol w:w="118"/>
        <w:gridCol w:w="118"/>
        <w:gridCol w:w="212"/>
        <w:gridCol w:w="602"/>
        <w:gridCol w:w="118"/>
        <w:gridCol w:w="109"/>
        <w:gridCol w:w="109"/>
        <w:gridCol w:w="109"/>
        <w:gridCol w:w="196"/>
        <w:gridCol w:w="556"/>
        <w:gridCol w:w="109"/>
        <w:gridCol w:w="109"/>
        <w:gridCol w:w="109"/>
        <w:gridCol w:w="109"/>
        <w:gridCol w:w="206"/>
        <w:gridCol w:w="206"/>
        <w:gridCol w:w="303"/>
      </w:tblGrid>
      <w:tr>
        <w:trPr/>
        <w:tc>
          <w:tcPr>
            <w:tcW w:w="4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ind w:left="0" w:right="0" w:hanging="360"/>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increased by $0.4 million and $3.3 million for the three and nine months ended September 30, 2023, respectively, as compared to the three and nine months ended September 30, 2022. These increases are primarily due to an increase in interest rates and an increase in average invested balances throughout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tbl>
      <w:tblPr>
        <w:tblW w:w="10205" w:type="dxa"/>
        <w:jc w:val="left"/>
        <w:tblInd w:w="0" w:type="dxa"/>
        <w:tblLayout w:type="fixed"/>
        <w:tblCellMar>
          <w:top w:w="28" w:type="dxa"/>
          <w:left w:w="28" w:type="dxa"/>
          <w:bottom w:w="28" w:type="dxa"/>
          <w:right w:w="28" w:type="dxa"/>
        </w:tblCellMar>
      </w:tblPr>
      <w:tblGrid>
        <w:gridCol w:w="429"/>
        <w:gridCol w:w="377"/>
        <w:gridCol w:w="379"/>
        <w:gridCol w:w="229"/>
        <w:gridCol w:w="547"/>
        <w:gridCol w:w="127"/>
        <w:gridCol w:w="127"/>
        <w:gridCol w:w="127"/>
        <w:gridCol w:w="127"/>
        <w:gridCol w:w="229"/>
        <w:gridCol w:w="547"/>
        <w:gridCol w:w="127"/>
        <w:gridCol w:w="109"/>
        <w:gridCol w:w="109"/>
        <w:gridCol w:w="109"/>
        <w:gridCol w:w="196"/>
        <w:gridCol w:w="462"/>
        <w:gridCol w:w="109"/>
        <w:gridCol w:w="109"/>
        <w:gridCol w:w="109"/>
        <w:gridCol w:w="109"/>
        <w:gridCol w:w="165"/>
        <w:gridCol w:w="166"/>
        <w:gridCol w:w="357"/>
        <w:gridCol w:w="109"/>
        <w:gridCol w:w="109"/>
        <w:gridCol w:w="109"/>
        <w:gridCol w:w="217"/>
        <w:gridCol w:w="668"/>
        <w:gridCol w:w="121"/>
        <w:gridCol w:w="121"/>
        <w:gridCol w:w="121"/>
        <w:gridCol w:w="121"/>
        <w:gridCol w:w="217"/>
        <w:gridCol w:w="518"/>
        <w:gridCol w:w="121"/>
        <w:gridCol w:w="109"/>
        <w:gridCol w:w="109"/>
        <w:gridCol w:w="109"/>
        <w:gridCol w:w="196"/>
        <w:gridCol w:w="462"/>
        <w:gridCol w:w="109"/>
        <w:gridCol w:w="109"/>
        <w:gridCol w:w="109"/>
        <w:gridCol w:w="109"/>
        <w:gridCol w:w="165"/>
        <w:gridCol w:w="166"/>
        <w:gridCol w:w="42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increased by $0.3 million and $0.6 million for the three and nine months ended September 30, 2023, respectively, as compared to the three and nine months ended September 30, 2022, primarily due to draws on the New Revolving Credit Facility.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tbl>
      <w:tblPr>
        <w:tblW w:w="10205" w:type="dxa"/>
        <w:jc w:val="left"/>
        <w:tblInd w:w="0" w:type="dxa"/>
        <w:tblLayout w:type="fixed"/>
        <w:tblCellMar>
          <w:top w:w="28" w:type="dxa"/>
          <w:left w:w="28" w:type="dxa"/>
          <w:bottom w:w="28" w:type="dxa"/>
          <w:right w:w="28" w:type="dxa"/>
        </w:tblCellMar>
      </w:tblPr>
      <w:tblGrid>
        <w:gridCol w:w="375"/>
        <w:gridCol w:w="330"/>
        <w:gridCol w:w="331"/>
        <w:gridCol w:w="209"/>
        <w:gridCol w:w="448"/>
        <w:gridCol w:w="116"/>
        <w:gridCol w:w="116"/>
        <w:gridCol w:w="116"/>
        <w:gridCol w:w="116"/>
        <w:gridCol w:w="209"/>
        <w:gridCol w:w="592"/>
        <w:gridCol w:w="116"/>
        <w:gridCol w:w="109"/>
        <w:gridCol w:w="109"/>
        <w:gridCol w:w="109"/>
        <w:gridCol w:w="196"/>
        <w:gridCol w:w="580"/>
        <w:gridCol w:w="109"/>
        <w:gridCol w:w="109"/>
        <w:gridCol w:w="109"/>
        <w:gridCol w:w="109"/>
        <w:gridCol w:w="177"/>
        <w:gridCol w:w="177"/>
        <w:gridCol w:w="357"/>
        <w:gridCol w:w="109"/>
        <w:gridCol w:w="109"/>
        <w:gridCol w:w="109"/>
        <w:gridCol w:w="203"/>
        <w:gridCol w:w="603"/>
        <w:gridCol w:w="112"/>
        <w:gridCol w:w="112"/>
        <w:gridCol w:w="112"/>
        <w:gridCol w:w="112"/>
        <w:gridCol w:w="203"/>
        <w:gridCol w:w="576"/>
        <w:gridCol w:w="112"/>
        <w:gridCol w:w="109"/>
        <w:gridCol w:w="109"/>
        <w:gridCol w:w="109"/>
        <w:gridCol w:w="196"/>
        <w:gridCol w:w="580"/>
        <w:gridCol w:w="109"/>
        <w:gridCol w:w="109"/>
        <w:gridCol w:w="109"/>
        <w:gridCol w:w="109"/>
        <w:gridCol w:w="222"/>
        <w:gridCol w:w="222"/>
        <w:gridCol w:w="42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tbl>
      <w:tblPr>
        <w:tblW w:w="10205" w:type="dxa"/>
        <w:jc w:val="left"/>
        <w:tblInd w:w="0" w:type="dxa"/>
        <w:tblLayout w:type="fixed"/>
        <w:tblCellMar>
          <w:top w:w="28" w:type="dxa"/>
          <w:left w:w="28" w:type="dxa"/>
          <w:bottom w:w="28" w:type="dxa"/>
          <w:right w:w="28" w:type="dxa"/>
        </w:tblCellMar>
      </w:tblPr>
      <w:tblGrid>
        <w:gridCol w:w="468"/>
        <w:gridCol w:w="411"/>
        <w:gridCol w:w="413"/>
        <w:gridCol w:w="234"/>
        <w:gridCol w:w="504"/>
        <w:gridCol w:w="130"/>
        <w:gridCol w:w="130"/>
        <w:gridCol w:w="130"/>
        <w:gridCol w:w="130"/>
        <w:gridCol w:w="234"/>
        <w:gridCol w:w="504"/>
        <w:gridCol w:w="130"/>
        <w:gridCol w:w="109"/>
        <w:gridCol w:w="109"/>
        <w:gridCol w:w="109"/>
        <w:gridCol w:w="196"/>
        <w:gridCol w:w="393"/>
        <w:gridCol w:w="109"/>
        <w:gridCol w:w="109"/>
        <w:gridCol w:w="109"/>
        <w:gridCol w:w="109"/>
        <w:gridCol w:w="184"/>
        <w:gridCol w:w="184"/>
        <w:gridCol w:w="357"/>
        <w:gridCol w:w="109"/>
        <w:gridCol w:w="109"/>
        <w:gridCol w:w="109"/>
        <w:gridCol w:w="222"/>
        <w:gridCol w:w="479"/>
        <w:gridCol w:w="123"/>
        <w:gridCol w:w="123"/>
        <w:gridCol w:w="123"/>
        <w:gridCol w:w="123"/>
        <w:gridCol w:w="222"/>
        <w:gridCol w:w="633"/>
        <w:gridCol w:w="123"/>
        <w:gridCol w:w="109"/>
        <w:gridCol w:w="109"/>
        <w:gridCol w:w="109"/>
        <w:gridCol w:w="196"/>
        <w:gridCol w:w="459"/>
        <w:gridCol w:w="109"/>
        <w:gridCol w:w="109"/>
        <w:gridCol w:w="109"/>
        <w:gridCol w:w="109"/>
        <w:gridCol w:w="184"/>
        <w:gridCol w:w="184"/>
        <w:gridCol w:w="426"/>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provision for income taxes decreased in both the three months and nine months ended September 30, 2023 compared to the three and nine months ended September 30, 2022, primarily due to a discrete income tax benefit related to excess stock-based compensation deductions in the three and nine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Non-GAAP Financial Measures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use Adjusted EBITDA, a non-GAAP financial measure to supplement net loss. Adjusted EBITDA is calculated as net loss adjusted by (i) interest (income)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and restructuring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stock-based compensation expense, which has recently been, and will continue to be for the foreseeable future, a significant recurring expense for our business and an important part of our compensation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certain transaction costs, related to acquisition, integration, and restructuring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a reconciliation of net loss to Adjusted EBITDA, the most directly comparable financial measure prepared in accordance with GAAP, for each of the periods indicated:</w:t>
      </w:r>
    </w:p>
    <w:tbl>
      <w:tblPr>
        <w:tblW w:w="9695" w:type="dxa"/>
        <w:jc w:val="center"/>
        <w:tblInd w:w="0" w:type="dxa"/>
        <w:tblLayout w:type="fixed"/>
        <w:tblCellMar>
          <w:top w:w="28" w:type="dxa"/>
          <w:left w:w="28" w:type="dxa"/>
          <w:bottom w:w="28" w:type="dxa"/>
          <w:right w:w="28" w:type="dxa"/>
        </w:tblCellMar>
      </w:tblPr>
      <w:tblGrid>
        <w:gridCol w:w="1314"/>
        <w:gridCol w:w="1156"/>
        <w:gridCol w:w="1159"/>
        <w:gridCol w:w="238"/>
        <w:gridCol w:w="877"/>
        <w:gridCol w:w="132"/>
        <w:gridCol w:w="132"/>
        <w:gridCol w:w="132"/>
        <w:gridCol w:w="132"/>
        <w:gridCol w:w="238"/>
        <w:gridCol w:w="877"/>
        <w:gridCol w:w="132"/>
        <w:gridCol w:w="109"/>
        <w:gridCol w:w="109"/>
        <w:gridCol w:w="109"/>
        <w:gridCol w:w="230"/>
        <w:gridCol w:w="848"/>
        <w:gridCol w:w="128"/>
        <w:gridCol w:w="128"/>
        <w:gridCol w:w="128"/>
        <w:gridCol w:w="128"/>
        <w:gridCol w:w="230"/>
        <w:gridCol w:w="848"/>
        <w:gridCol w:w="181"/>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(gain) loss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Donation of common stock</w:t>
            </w:r>
            <w:r>
              <w:rPr>
                <w:rFonts w:ascii="Times New Roman;sans-serif" w:hAnsi="Times New Roman;sans-serif"/>
                <w:b w:val="false"/>
                <w:color w:val="000000"/>
                <w:sz w:val="12"/>
              </w:rPr>
              <w:t>(1)</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Acquisition, integration, and restructuring costs</w:t>
            </w:r>
            <w:r>
              <w:rPr>
                <w:rFonts w:ascii="Times New Roman;sans-serif" w:hAnsi="Times New Roman;sans-serif"/>
                <w:b w:val="false"/>
                <w:color w:val="000000"/>
                <w:sz w:val="12"/>
              </w:rPr>
              <w:t>(2)</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Refer to Note 10. </w:t>
      </w:r>
      <w:r>
        <w:rPr>
          <w:rFonts w:ascii="Times New Roman;sans-serif" w:hAnsi="Times New Roman;sans-serif"/>
          <w:b w:val="false"/>
          <w:i/>
          <w:color w:val="000000"/>
          <w:sz w:val="16"/>
        </w:rPr>
        <w:t>Common Stock</w:t>
      </w:r>
      <w:r>
        <w:rPr>
          <w:color w:val="000000"/>
        </w:rPr>
        <w:t xml:space="preserve"> </w:t>
      </w:r>
      <w:r>
        <w:rPr>
          <w:rFonts w:ascii="Times New Roman;sans-serif" w:hAnsi="Times New Roman;sans-serif"/>
          <w:b w:val="false"/>
          <w:color w:val="000000"/>
          <w:sz w:val="16"/>
        </w:rPr>
        <w:t>within the Notes to the Condensed Consolidated Financial Statements for further detail on the donation of common stock.</w:t>
      </w:r>
    </w:p>
    <w:p>
      <w:pPr>
        <w:pStyle w:val="TextBody"/>
        <w:bidi w:val="0"/>
        <w:spacing w:lineRule="auto" w:line="288" w:before="0" w:after="18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Acquisition, integration, and restructuring costs for the three and nine months ended September 30, 2023 consists of expenses related to the acquisition and integration of Rewire (O.S.G) Research and Development Ltd., as well as restructuring charges incurred. Acquisition and integration expenses for the three and nine months ended September 30, 2023 were $1.5 million and $3.0 million, respectively. These acquisition and integration expenses included the fair value of the holdback liability of $0.9 million and $1.9 million, respectively, and professional fees incurred for acquisition and integration costs of $0.6 million and $1.1 million, respectively. Restructuring charges incurred for both the three and nine months ended were $1.4 million. Refer to Note 5.</w:t>
      </w:r>
      <w:r>
        <w:rPr>
          <w:color w:val="000000"/>
        </w:rPr>
        <w:t xml:space="preserve">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 xml:space="preserve">and Note 12. </w:t>
      </w:r>
      <w:r>
        <w:rPr>
          <w:rFonts w:ascii="Times New Roman;sans-serif" w:hAnsi="Times New Roman;sans-serif"/>
          <w:b w:val="false"/>
          <w:i/>
          <w:color w:val="000000"/>
          <w:sz w:val="16"/>
        </w:rPr>
        <w:t>Restructuring Initiatives</w:t>
      </w:r>
      <w:r>
        <w:rPr>
          <w:color w:val="000000"/>
        </w:rPr>
        <w:t xml:space="preserve"> </w:t>
      </w:r>
      <w:r>
        <w:rPr>
          <w:rFonts w:ascii="Times New Roman;sans-serif" w:hAnsi="Times New Roman;sans-serif"/>
          <w:b w:val="false"/>
          <w:color w:val="000000"/>
          <w:sz w:val="16"/>
        </w:rPr>
        <w:t>in the Notes to the Condensed Consolidated Financial Statements for more information on the acquisition and integration costs and restructuring costs,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Sources of Liquidity and Material Future Cash Requirements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our principal sources of liquidity were cash and cash equivalents of $223.3 million and $300.6 million, respectively, as well as funds available under the New Revolving Credit Facility, which we entered into in September 2021. We have historically financed our operations and capital expenditures primarily through cash generated from operations including transaction fees and foreign exchange spreads. In recent periods, we have supplemented those cash flows with borrowings on our New Revolving Credit Facility, primarily to support customer transaction volumes during peak periods, which we expect to continue to do in the future. During the nine months ended September 30, 2023, we borrowed against this credit facility which was repaid by September 30, 2023. Operations continue to be substantially funded by the existing cash we have on hand and ongoing utilization of the New Revolving Credit Facility (including the letter of credit sub-facility), which has included active borrowings and repayments during 2023. As of September 30, 2023, we have unused borrowing capacity of $202.5 million.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$77.9 million, which includes the fair value of cash and equity issued, or to be issued, to selling shareholders. A portion of these proceeds were held back at closing for any potential indemnity claims, which will be released after a 15-month holdback period, subject to any deductions, the majority of which will be settled in cash, with a portion in Company common stock. As of September 30, 2023, the fair value of the liability held back that will be settled in cash and Company common stock was $13.8 million and is expected to be settled 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a summary of our Condensed Consolidated Statements of Cash Flows for the periods presented:</w:t>
      </w:r>
    </w:p>
    <w:tbl>
      <w:tblPr>
        <w:tblW w:w="8984" w:type="dxa"/>
        <w:jc w:val="left"/>
        <w:tblInd w:w="0" w:type="dxa"/>
        <w:tblLayout w:type="fixed"/>
        <w:tblCellMar>
          <w:top w:w="28" w:type="dxa"/>
          <w:left w:w="28" w:type="dxa"/>
          <w:bottom w:w="28" w:type="dxa"/>
          <w:right w:w="28" w:type="dxa"/>
        </w:tblCellMar>
      </w:tblPr>
      <w:tblGrid>
        <w:gridCol w:w="2222"/>
        <w:gridCol w:w="1954"/>
        <w:gridCol w:w="1959"/>
        <w:gridCol w:w="230"/>
        <w:gridCol w:w="848"/>
        <w:gridCol w:w="128"/>
        <w:gridCol w:w="128"/>
        <w:gridCol w:w="128"/>
        <w:gridCol w:w="128"/>
        <w:gridCol w:w="230"/>
        <w:gridCol w:w="848"/>
        <w:gridCol w:w="181"/>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(76,692)</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year over year change in our cash, cash equivalents, and restricted cash balances is primarily driven by timing of customer transaction-related balances as well as activity related to our acquisition of Rewire, further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Cash Flows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Activities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disbursement postfunding liabilities and book overdrafts, both of which are included within the line item ‘</w:t>
      </w:r>
      <w:r>
        <w:rPr>
          <w:rFonts w:ascii="Times New Roman;sans-serif" w:hAnsi="Times New Roman;sans-serif"/>
          <w:b w:val="false"/>
          <w:i/>
          <w:color w:val="000000"/>
          <w:sz w:val="18"/>
          <w:shd w:fill="FFFFFF" w:val="clear"/>
        </w:rPr>
        <w:t>Accrued expenses and other liabilities.</w:t>
      </w:r>
      <w:r>
        <w:rPr>
          <w:color w:val="000000"/>
          <w:shd w:fill="FFFFFF" w:val="clear"/>
        </w:rPr>
        <w: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 September 30, 2023, net cash used in operating activities was $19.1 million, which was primarily driven by an increase in overall growth in our global network of funding and disbursement partnerships and an increase in volume of customer transactions. Specifically, as a result of both growth and timing, we saw an increase in disbursement prefunding of $52.2 million and customer funds receivable of $68.6 million, offset by an increase in customer liabilities of $29.2 million and accrued expenses and other liabilities, which are inclusive of disbursement postfunding liabilities and book overdrafts, of $34.2 million, which were the key drivers for the unfavorable changes in our operating assets and liabilities of $56.2 million. This change in our operating assets and liabilities was also partially offset by cash generated from our operations, when excluding the $119.9 million of noncash charges included within the $82.8 million net loss for the period.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nine months ended September 30, 2022, net cash used in operating activities was $27.8 million, which primarily consisted of unfavorable changes in our operating assets and liabilities of $8.2 million, and net loss of $94.6 million, partially offset by $75.0 million of noncash charges included within net loss for the period. The primary driver for the unfavorable change in operating assets and liabilities was due to the overall growth in our business and the timing of funding customer transactions, including an increase in customer funds receivable of $52.5 million partially offset by an increase in customer liabilities of $36.8 million and changes in the timing of other operating assets and liabilities.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Investing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consists primarily of purchases of property and equipment, capitalization of internal-use software, and cash paid for acquisitions of businesses, net of acquired cash, cash equivalents, and 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used in investing activities was $47.5 million for the nine months ended September 30, 2023, an increase of $42.5 million, compared to net cash used in investing activities of $5.0 million for the nine months ended September 30, 2022. This increase was primarily driven by the acquisition of Rewire in the first quarter of 2023.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Financing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 consists primarily of borrowings on the Company’s line of credit and proceeds from the exercise of stock options, offset by repayments of borrowings and other indebtedness.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for the nine months ended September 30, 2023 was $9.5 million, a decrease of $17.7 million, compared to net cash provided by financing activities for the nine months ended September 30, 2022 of $8.2 million. This decrease was primarily driven by the repayment of assumed indebtedness of $17.1 million that occurred in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compliance-tool related arrangements that contractually obligate us to purchase services, including minimum service quantities, unless we give notice of cancellation based on the applicable terms of the agreements. Most contracts are typically cancelable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ans-serif" w:hAnsi="Times New Roman;sans-serif"/>
          <w:b w:val="false"/>
          <w:color w:val="000000"/>
          <w:sz w:val="18"/>
        </w:rPr>
        <w:t xml:space="preserve">In addition, on February 19, 2023, we entered into a lease for an office in Israel. This lease commenced in 2023 and will expire in 2027. Total incremental estimated cash payments that will be made over the course of the lease agreement total approximately $6.0 million. This lease has been recorded in accordance with ASC 842, </w:t>
      </w:r>
      <w:r>
        <w:rPr>
          <w:rFonts w:ascii="Times New Roman;sans-serif" w:hAnsi="Times New Roman;sans-serif"/>
          <w:b w:val="false"/>
          <w:i/>
          <w:color w:val="000000"/>
          <w:sz w:val="18"/>
        </w:rPr>
        <w:t>Leases</w:t>
      </w:r>
      <w:r>
        <w:rPr>
          <w:rFonts w:ascii="Times New Roman;sans-serif" w:hAnsi="Times New Roman;sans-serif"/>
          <w:b w:val="false"/>
          <w:color w:val="000000"/>
          <w:sz w:val="18"/>
        </w:rPr>
        <w:t>, on the Company’s Condensed Consolidated Balance Sheets as of September 30, 2023.</w:t>
      </w:r>
    </w:p>
    <w:p>
      <w:pPr>
        <w:pStyle w:val="TextBody"/>
        <w:bidi w:val="0"/>
        <w:spacing w:lineRule="auto" w:line="288" w:before="0" w:after="180"/>
        <w:jc w:val="left"/>
        <w:rPr/>
      </w:pPr>
      <w:r>
        <w:rPr>
          <w:rFonts w:ascii="Times New Roman;sans-serif" w:hAnsi="Times New Roman;sans-serif"/>
          <w:b w:val="false"/>
          <w:color w:val="000000"/>
          <w:sz w:val="18"/>
        </w:rPr>
        <w:t xml:space="preserve">During the nine months ended September 30, 2023, other than software, cloud infrastructure, marketing, and compliance-tool related contracts entered into in the normal course of business, there were no other material changes to the contractual obligations and contingencies as disclosed in “Management’s Discussion and Analysis of Financial Condition and Results of Operations” set forth in our Annual Report on Form 10-K for the year ended December 31, 2022. For further discussion of commitments and contingencies, also refer to Note 15.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of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2023,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Condensed Consolidated Financial Statements on our Annual Report on Form 10-K, we elected not to record leases on our Condensed Consolidated Balance Sheets if the lease term is 12 months or less. For further information on our lease arrangements, refer to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ans-serif" w:hAnsi="Times New Roman;sans-serif"/>
          <w:b w:val="false"/>
          <w:color w:val="000000"/>
          <w:sz w:val="18"/>
        </w:rPr>
        <w:t xml:space="preserve">There have been no material changes, other than as described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of the Notes to the Condensed Consolidated Financial Statements and as described below to the Company’s critical accounting policies and estimates as compared to those described in “Management’s Discussion and Analysis of Financial Condition and Results of Operations” set forth in our Annual Report on Form 10-K for the year ended December 31, 2022.</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Impairment of goodwill and other intangible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indefinite-lived intangible assets are subject to an impairment assessment annually, or whenever events or changes in circumstances indicate that the carrying amount may not be fully recoverable. Long-lived assets, other than goodwill and indefinite-lived intangible assets, are tested for impairment whenever events or circumstances indicate that their carrying amount may not be recoverable. If the carrying value of the asset cannot be recovered from estimated future cash flows, undiscounted and without interest, the fair value of the asset is calculated using the present value of estimated net future cash flows. If the carrying amount of the asset exceeds its fair value, an impairment is recorded.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impairment assessments involve the use of accounting estimates and assumptions, changes in which could materially impact our financial condition or operating performance if actual results differ from such estimates and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Recently Issued Accounting Pronouncements</w:t>
      </w:r>
    </w:p>
    <w:p>
      <w:pPr>
        <w:pStyle w:val="TextBody"/>
        <w:bidi w:val="0"/>
        <w:spacing w:lineRule="auto" w:line="288" w:before="0" w:after="180"/>
        <w:jc w:val="left"/>
        <w:rPr/>
      </w:pPr>
      <w:r>
        <w:rPr>
          <w:rFonts w:ascii="Times New Roman;sans-serif" w:hAnsi="Times New Roman;sans-serif"/>
          <w:b w:val="false"/>
          <w:color w:val="000000"/>
          <w:sz w:val="18"/>
        </w:rPr>
        <w:t xml:space="preserve">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Company’s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Foreign Currency Exchange Rate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18"/>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$14.9 million and $10.2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1005"/>
                <wp:effectExtent l="0" t="0" r="0" b="0"/>
                <wp:wrapNone/>
                <wp:docPr id="37" name="Frame3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Item 4. Controls and Procedures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Based on their evaluation as of September 30, 2023,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defined in the Exchange Act Rule 13a-15(f) that occurred during the quarter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1005"/>
                <wp:effectExtent l="0" t="0" r="0" b="0"/>
                <wp:wrapNone/>
                <wp:docPr id="38" name="Frame3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2022,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 Sales of Unregistered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Use of Proceeds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Issuer Purchase of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Rule 10b5-1 and Non-Rule 10b5-1 Trading Arrangements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August 9, 2023, Matthew Oppenheimer, our Chief Executive Officer and Chair of our Board of Directors, adopted a trading plan intended to satisfy the conditions under Rule 10b5-1 of the Exchange Act. Mr. Oppenheimer’s plan is for the sale of up to 250,000 shares of our common stock and terminates on the earlier of the date all the shares under the plan are sold and October 18, 2024.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September 14, 2023, Joshua Hug, our Chief Operating Officer and a member of our Board of Directors, adopted a trading plan intended to satisfy the conditions under Rule 10b5-1 of the Exchange Act. Mr. Hug’s plan is for the sale of up to 444,504 shares of our common stock, the actual amount of which may be less based on tax withholdings of RSUs, and terminates on the earlier of the date all the shares under the plan are sold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1005"/>
                <wp:effectExtent l="0" t="0" r="0" b="0"/>
                <wp:wrapNone/>
                <wp:docPr id="39" name="Frame3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5"/>
        <w:gridCol w:w="1673"/>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ans-serif" w:hAnsi="Times New Roman;sans-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8"/>
                  <w:u w:val="single"/>
                </w:rPr>
                <w:t>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3q23-exhibit311.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3q23-exhibit312.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3q23-exhibit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3q23-exhibit322.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1005"/>
                <wp:effectExtent l="0" t="0" r="0" b="0"/>
                <wp:wrapNone/>
                <wp:docPr id="40" name="Frame4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5317" w:type="dxa"/>
        <w:jc w:val="left"/>
        <w:tblInd w:w="0" w:type="dxa"/>
        <w:tblLayout w:type="fixed"/>
        <w:tblCellMar>
          <w:top w:w="28" w:type="dxa"/>
          <w:left w:w="28" w:type="dxa"/>
          <w:bottom w:w="28" w:type="dxa"/>
          <w:right w:w="28" w:type="dxa"/>
        </w:tblCellMar>
      </w:tblPr>
      <w:tblGrid>
        <w:gridCol w:w="195"/>
        <w:gridCol w:w="171"/>
        <w:gridCol w:w="173"/>
        <w:gridCol w:w="479"/>
        <w:gridCol w:w="479"/>
        <w:gridCol w:w="481"/>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Hemanth Munipalli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Hemanth Munipalli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Gail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Gail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21005"/>
                <wp:effectExtent l="0" t="0" r="0" b="0"/>
                <wp:wrapNone/>
                <wp:docPr id="41" name="Frame4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02"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September 30, 2023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902"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40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400"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September 30, 2023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841"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0001782170/000178217021000011/exhibit34-remitlyglobalxpu.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24029</Words>
  <Characters>136828</Characters>
  <CharactersWithSpaces>159372</CharactersWithSpaces>
  <Paragraphs>2606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