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Chung Bora</w:t>
              </w:r>
            </w:hyperlink>
          </w:p>
        </w:tc>
        <w:tc>
          <w:tcPr>
            <w:tcW w:w="1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Remitly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REMITLY GLOBAL, INC.</w:t>
            </w:r>
          </w:p>
        </w:tc>
        <w:tc>
          <w:tcPr>
            <w:tcW w:w="128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UNION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3,452</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128,769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30,556</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159,325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the Issuer's Common Stock upon settlement. The RSUs will vest in four equal installments on each August 25, November 25, February 25, and May 25 following the grant date and, if not fully vested, shall vest in full on the earlier of (i) the date of the next annual meeting of the Issuer's stockholders and (ii) June 10, 2027, in each case, subject to the reporting person's provision of applicable service to the Issuer through the applicable date.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Each RSU represents a contingent right to receive one share of the Issuer's Common Stock upon settlement. The RSUs will vest in three equal annual installments beginning on the earlier of (i) the date of the next annual meeting of the Issuer's stockholders and (ii) June 10, 2027, in each case, subject to the reporting person's provision of service to the Issuer through the applicable date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 Mason 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5501"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2026-06-11T15:29:38Z</dcterms:created>
  <dcterms:modified xsi:type="dcterms:W3CDTF">2026-06-11T15:29:38Z</dcterms:modified>
</cp:coreProperties>
</file>