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073197.xml.htm"/>
      <w:bookmarkStart w:id="1" w:name="kswkform4_178907319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Hug Joshua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REMITLY GLOBAL,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401 UNION STREET, SUITE 1000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SEATTLE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98101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Remitly Global, Inc.</w:t>
              </w:r>
            </w:hyperlink>
            <w:r>
              <w:rPr/>
              <w:t xml:space="preserve"> [ </w:t>
            </w:r>
            <w:r>
              <w:rPr>
                <w:rFonts w:ascii="Times;serif" w:hAnsi="Times;serif"/>
                <w:color w:val="0000FF"/>
                <w:sz w:val="24"/>
                <w:shd w:fill="FFFFFF" w:val="clear"/>
              </w:rPr>
              <w:t>RELY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839"/>
        <w:gridCol w:w="449"/>
        <w:gridCol w:w="795"/>
        <w:gridCol w:w="1272"/>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5,500</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25.03</w:t>
            </w:r>
            <w:r>
              <w:rPr>
                <w:rFonts w:ascii="Times;serif" w:hAnsi="Times;serif"/>
                <w:color w:val="008000"/>
                <w:position w:val="7"/>
                <w:sz w:val="16"/>
                <w:sz w:val="20"/>
                <w:shd w:fill="FFFFFF" w:val="clear"/>
              </w:rPr>
              <w:t>(2)</w:t>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2,664,389</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5,500</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24.3</w:t>
            </w:r>
            <w:r>
              <w:rPr>
                <w:rFonts w:ascii="Times;serif" w:hAnsi="Times;serif"/>
                <w:color w:val="008000"/>
                <w:position w:val="7"/>
                <w:sz w:val="16"/>
                <w:sz w:val="20"/>
                <w:shd w:fill="FFFFFF" w:val="clear"/>
              </w:rPr>
              <w:t>(3)</w:t>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2,658,889</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300,000</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automatically pursuant to a Rule 10b5-1 trading plan adopted by the reporting person on December 11,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Weighted average price. These shares were sold in multiple transactions at prices ranging from $24.72 to $25.88 inclusive. The reporting person undertakes to provide the issuer, any security holder of the issuer, or the staff of the Securities and Exchange Commission,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Weighted average price. These shares were sold in multiple transactions at prices ranging from $24.00 to $24.84 inclusive. The reporting person undertakes to provide the issuer, any security holder of the issuer, or the staff of the Securities and Exchange Commission,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securities are held by a family trust, of which the reporting person's spouse is the trustee.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 Mason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80864" TargetMode="External"/><Relationship Id="rId5" Type="http://schemas.openxmlformats.org/officeDocument/2006/relationships/hyperlink" Target="http://www.sec.gov/cgi-bin/browse-edgar?action=getcompany&amp;CIK=00017821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745</Words>
  <Characters>4032</Characters>
  <CharactersWithSpaces>4694</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