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712470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678180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60325</wp:posOffset>
            </wp:positionV>
            <wp:extent cx="1380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71755</wp:posOffset>
            </wp:positionV>
            <wp:extent cx="1380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46"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63" w:lineRule="exact"/>
        <w:rPr>
          <w:sz w:val="24"/>
          <w:szCs w:val="24"/>
          <w:color w:val="auto"/>
        </w:rPr>
      </w:pPr>
    </w:p>
    <w:p>
      <w:pPr>
        <w:ind w:right="2800" w:firstLine="8"/>
        <w:spacing w:after="0" w:line="469" w:lineRule="auto"/>
        <w:tabs>
          <w:tab w:leader="none" w:pos="189"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June 30, 2022</w:t>
      </w:r>
    </w:p>
    <w:p>
      <w:pPr>
        <w:spacing w:after="0"/>
        <w:rPr>
          <w:sz w:val="20"/>
          <w:szCs w:val="20"/>
          <w:color w:val="auto"/>
        </w:rPr>
      </w:pPr>
      <w:r>
        <w:rPr>
          <w:rFonts w:ascii="Arial" w:cs="Arial" w:eastAsia="Arial" w:hAnsi="Arial"/>
          <w:sz w:val="16"/>
          <w:szCs w:val="16"/>
          <w:color w:val="auto"/>
        </w:rPr>
        <w:t>OR</w:t>
      </w:r>
    </w:p>
    <w:p>
      <w:pPr>
        <w:spacing w:after="0" w:line="163" w:lineRule="exact"/>
        <w:rPr>
          <w:sz w:val="24"/>
          <w:szCs w:val="24"/>
          <w:color w:val="auto"/>
        </w:rPr>
      </w:pPr>
    </w:p>
    <w:p>
      <w:pPr>
        <w:ind w:left="200" w:hanging="192"/>
        <w:spacing w:after="0"/>
        <w:tabs>
          <w:tab w:leader="none" w:pos="20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67" w:lineRule="exact"/>
        <w:rPr>
          <w:sz w:val="24"/>
          <w:szCs w:val="24"/>
          <w:color w:val="auto"/>
        </w:rPr>
      </w:pPr>
    </w:p>
    <w:p>
      <w:pPr>
        <w:ind w:left="4500"/>
        <w:spacing w:after="0"/>
        <w:rPr>
          <w:sz w:val="20"/>
          <w:szCs w:val="20"/>
          <w:color w:val="auto"/>
        </w:rPr>
      </w:pPr>
      <w:r>
        <w:rPr>
          <w:rFonts w:ascii="Arial" w:cs="Arial" w:eastAsia="Arial" w:hAnsi="Arial"/>
          <w:sz w:val="16"/>
          <w:szCs w:val="16"/>
          <w:b w:val="1"/>
          <w:bCs w:val="1"/>
          <w:color w:val="auto"/>
        </w:rPr>
        <w:t>Commission file number: 021-344104</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Remitly Global, Inc.</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103505</wp:posOffset>
            </wp:positionV>
            <wp:extent cx="13804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332" w:lineRule="exact"/>
        <w:rPr>
          <w:sz w:val="24"/>
          <w:szCs w:val="24"/>
          <w:color w:val="auto"/>
        </w:rPr>
      </w:pPr>
    </w:p>
    <w:tbl>
      <w:tblPr>
        <w:tblLayout w:type="fixed"/>
        <w:tblInd w:w="1520" w:type="dxa"/>
        <w:tblCellMar>
          <w:top w:w="0" w:type="dxa"/>
          <w:left w:w="0" w:type="dxa"/>
          <w:bottom w:w="0" w:type="dxa"/>
          <w:right w:w="0" w:type="dxa"/>
        </w:tblCellMar>
      </w:tblPr>
      <w:tr>
        <w:trPr>
          <w:trHeight w:val="210"/>
        </w:trPr>
        <w:tc>
          <w:tcPr>
            <w:tcW w:w="2640" w:type="dxa"/>
            <w:vAlign w:val="bottom"/>
          </w:tcPr>
          <w:p>
            <w:pPr>
              <w:jc w:val="center"/>
              <w:ind w:right="181"/>
              <w:spacing w:after="0"/>
              <w:rPr>
                <w:sz w:val="20"/>
                <w:szCs w:val="20"/>
                <w:color w:val="auto"/>
              </w:rPr>
            </w:pPr>
            <w:r>
              <w:rPr>
                <w:rFonts w:ascii="Arial" w:cs="Arial" w:eastAsia="Arial" w:hAnsi="Arial"/>
                <w:sz w:val="16"/>
                <w:szCs w:val="16"/>
                <w:b w:val="1"/>
                <w:bCs w:val="1"/>
                <w:color w:val="auto"/>
                <w:w w:val="93"/>
              </w:rPr>
              <w:t>Delaware</w:t>
            </w:r>
          </w:p>
        </w:tc>
        <w:tc>
          <w:tcPr>
            <w:tcW w:w="1680" w:type="dxa"/>
            <w:vAlign w:val="bottom"/>
            <w:gridSpan w:val="3"/>
          </w:tcPr>
          <w:p>
            <w:pPr>
              <w:jc w:val="center"/>
              <w:ind w:left="1159"/>
              <w:spacing w:after="0"/>
              <w:rPr>
                <w:sz w:val="20"/>
                <w:szCs w:val="20"/>
                <w:color w:val="auto"/>
              </w:rPr>
            </w:pPr>
            <w:r>
              <w:rPr>
                <w:rFonts w:ascii="Arial" w:cs="Arial" w:eastAsia="Arial" w:hAnsi="Arial"/>
                <w:sz w:val="16"/>
                <w:szCs w:val="16"/>
                <w:b w:val="1"/>
                <w:bCs w:val="1"/>
                <w:color w:val="auto"/>
                <w:w w:val="89"/>
              </w:rPr>
              <w:t>7372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60" w:type="dxa"/>
            <w:vAlign w:val="bottom"/>
          </w:tcPr>
          <w:p>
            <w:pPr>
              <w:jc w:val="center"/>
              <w:ind w:right="521"/>
              <w:spacing w:after="0"/>
              <w:rPr>
                <w:sz w:val="20"/>
                <w:szCs w:val="20"/>
                <w:color w:val="auto"/>
              </w:rPr>
            </w:pPr>
            <w:r>
              <w:rPr>
                <w:rFonts w:ascii="Arial" w:cs="Arial" w:eastAsia="Arial" w:hAnsi="Arial"/>
                <w:sz w:val="16"/>
                <w:szCs w:val="16"/>
                <w:b w:val="1"/>
                <w:bCs w:val="1"/>
                <w:color w:val="auto"/>
                <w:w w:val="91"/>
              </w:rPr>
              <w:t>83-2301143</w:t>
            </w:r>
          </w:p>
        </w:tc>
      </w:tr>
      <w:tr>
        <w:trPr>
          <w:trHeight w:val="239"/>
        </w:trPr>
        <w:tc>
          <w:tcPr>
            <w:tcW w:w="2640" w:type="dxa"/>
            <w:vAlign w:val="bottom"/>
          </w:tcPr>
          <w:p>
            <w:pPr>
              <w:jc w:val="center"/>
              <w:ind w:right="201"/>
              <w:spacing w:after="0"/>
              <w:rPr>
                <w:sz w:val="20"/>
                <w:szCs w:val="20"/>
                <w:color w:val="auto"/>
              </w:rPr>
            </w:pPr>
            <w:r>
              <w:rPr>
                <w:rFonts w:ascii="Arial" w:cs="Arial" w:eastAsia="Arial" w:hAnsi="Arial"/>
                <w:sz w:val="16"/>
                <w:szCs w:val="16"/>
                <w:color w:val="auto"/>
                <w:w w:val="93"/>
              </w:rPr>
              <w:t>(State or other jurisdiction of</w:t>
            </w:r>
          </w:p>
        </w:tc>
        <w:tc>
          <w:tcPr>
            <w:tcW w:w="380" w:type="dxa"/>
            <w:vAlign w:val="bottom"/>
          </w:tcPr>
          <w:p>
            <w:pPr>
              <w:spacing w:after="0"/>
              <w:rPr>
                <w:sz w:val="20"/>
                <w:szCs w:val="20"/>
                <w:color w:val="auto"/>
              </w:rPr>
            </w:pPr>
          </w:p>
        </w:tc>
        <w:tc>
          <w:tcPr>
            <w:tcW w:w="3060" w:type="dxa"/>
            <w:vAlign w:val="bottom"/>
            <w:gridSpan w:val="6"/>
          </w:tcPr>
          <w:p>
            <w:pPr>
              <w:jc w:val="center"/>
              <w:ind w:right="900"/>
              <w:spacing w:after="0"/>
              <w:rPr>
                <w:sz w:val="20"/>
                <w:szCs w:val="20"/>
                <w:color w:val="auto"/>
              </w:rPr>
            </w:pPr>
            <w:r>
              <w:rPr>
                <w:rFonts w:ascii="Arial" w:cs="Arial" w:eastAsia="Arial" w:hAnsi="Arial"/>
                <w:sz w:val="16"/>
                <w:szCs w:val="16"/>
                <w:color w:val="auto"/>
                <w:w w:val="92"/>
              </w:rPr>
              <w:t>(Primary Standard Industrial</w:t>
            </w:r>
          </w:p>
        </w:tc>
        <w:tc>
          <w:tcPr>
            <w:tcW w:w="2460" w:type="dxa"/>
            <w:vAlign w:val="bottom"/>
          </w:tcPr>
          <w:p>
            <w:pPr>
              <w:jc w:val="center"/>
              <w:ind w:right="521"/>
              <w:spacing w:after="0"/>
              <w:rPr>
                <w:sz w:val="20"/>
                <w:szCs w:val="20"/>
                <w:color w:val="auto"/>
              </w:rPr>
            </w:pPr>
            <w:r>
              <w:rPr>
                <w:rFonts w:ascii="Arial" w:cs="Arial" w:eastAsia="Arial" w:hAnsi="Arial"/>
                <w:sz w:val="16"/>
                <w:szCs w:val="16"/>
                <w:color w:val="auto"/>
                <w:w w:val="93"/>
              </w:rPr>
              <w:t>(I.R.S. Employer</w:t>
            </w:r>
          </w:p>
        </w:tc>
      </w:tr>
      <w:tr>
        <w:trPr>
          <w:trHeight w:val="206"/>
        </w:trPr>
        <w:tc>
          <w:tcPr>
            <w:tcW w:w="2640" w:type="dxa"/>
            <w:vAlign w:val="bottom"/>
          </w:tcPr>
          <w:p>
            <w:pPr>
              <w:jc w:val="center"/>
              <w:ind w:right="181"/>
              <w:spacing w:after="0"/>
              <w:rPr>
                <w:sz w:val="20"/>
                <w:szCs w:val="20"/>
                <w:color w:val="auto"/>
              </w:rPr>
            </w:pPr>
            <w:r>
              <w:rPr>
                <w:rFonts w:ascii="Arial" w:cs="Arial" w:eastAsia="Arial" w:hAnsi="Arial"/>
                <w:sz w:val="16"/>
                <w:szCs w:val="16"/>
                <w:color w:val="auto"/>
                <w:w w:val="93"/>
              </w:rPr>
              <w:t>incorporation or organization)</w:t>
            </w:r>
          </w:p>
        </w:tc>
        <w:tc>
          <w:tcPr>
            <w:tcW w:w="380" w:type="dxa"/>
            <w:vAlign w:val="bottom"/>
          </w:tcPr>
          <w:p>
            <w:pPr>
              <w:spacing w:after="0"/>
              <w:rPr>
                <w:sz w:val="17"/>
                <w:szCs w:val="17"/>
                <w:color w:val="auto"/>
              </w:rPr>
            </w:pPr>
          </w:p>
        </w:tc>
        <w:tc>
          <w:tcPr>
            <w:tcW w:w="3060" w:type="dxa"/>
            <w:vAlign w:val="bottom"/>
            <w:gridSpan w:val="6"/>
          </w:tcPr>
          <w:p>
            <w:pPr>
              <w:jc w:val="center"/>
              <w:ind w:right="920"/>
              <w:spacing w:after="0"/>
              <w:rPr>
                <w:sz w:val="20"/>
                <w:szCs w:val="20"/>
                <w:color w:val="auto"/>
              </w:rPr>
            </w:pPr>
            <w:r>
              <w:rPr>
                <w:rFonts w:ascii="Arial" w:cs="Arial" w:eastAsia="Arial" w:hAnsi="Arial"/>
                <w:sz w:val="16"/>
                <w:szCs w:val="16"/>
                <w:color w:val="auto"/>
                <w:w w:val="93"/>
              </w:rPr>
              <w:t>Classification Code Number)</w:t>
            </w:r>
          </w:p>
        </w:tc>
        <w:tc>
          <w:tcPr>
            <w:tcW w:w="2460" w:type="dxa"/>
            <w:vAlign w:val="bottom"/>
          </w:tcPr>
          <w:p>
            <w:pPr>
              <w:jc w:val="center"/>
              <w:ind w:right="521"/>
              <w:spacing w:after="0"/>
              <w:rPr>
                <w:sz w:val="20"/>
                <w:szCs w:val="20"/>
                <w:color w:val="auto"/>
              </w:rPr>
            </w:pPr>
            <w:r>
              <w:rPr>
                <w:rFonts w:ascii="Arial" w:cs="Arial" w:eastAsia="Arial" w:hAnsi="Arial"/>
                <w:sz w:val="16"/>
                <w:szCs w:val="16"/>
                <w:color w:val="auto"/>
                <w:w w:val="95"/>
              </w:rPr>
              <w:t>Identification Number)</w:t>
            </w:r>
          </w:p>
        </w:tc>
      </w:tr>
      <w:tr>
        <w:trPr>
          <w:trHeight w:val="195"/>
        </w:trPr>
        <w:tc>
          <w:tcPr>
            <w:tcW w:w="2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405"/>
        </w:trPr>
        <w:tc>
          <w:tcPr>
            <w:tcW w:w="264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w w:val="92"/>
              </w:rPr>
              <w:t>1111 Third Avenue, Suite 2100</w:t>
            </w:r>
          </w:p>
        </w:tc>
        <w:tc>
          <w:tcPr>
            <w:tcW w:w="168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Seattle,  WA</w:t>
            </w:r>
          </w:p>
        </w:tc>
        <w:tc>
          <w:tcPr>
            <w:tcW w:w="160" w:type="dxa"/>
            <w:vAlign w:val="bottom"/>
          </w:tcPr>
          <w:p>
            <w:pPr>
              <w:spacing w:after="0"/>
              <w:rPr>
                <w:sz w:val="24"/>
                <w:szCs w:val="24"/>
                <w:color w:val="auto"/>
              </w:rPr>
            </w:pPr>
          </w:p>
        </w:tc>
        <w:tc>
          <w:tcPr>
            <w:tcW w:w="1600" w:type="dxa"/>
            <w:vAlign w:val="bottom"/>
            <w:tcBorders>
              <w:bottom w:val="single" w:sz="8" w:color="auto"/>
            </w:tcBorders>
            <w:gridSpan w:val="3"/>
          </w:tcPr>
          <w:p>
            <w:pPr>
              <w:spacing w:after="0"/>
              <w:rPr>
                <w:sz w:val="24"/>
                <w:szCs w:val="24"/>
                <w:color w:val="auto"/>
              </w:rPr>
            </w:pPr>
          </w:p>
        </w:tc>
        <w:tc>
          <w:tcPr>
            <w:tcW w:w="2460" w:type="dxa"/>
            <w:vAlign w:val="bottom"/>
            <w:tcBorders>
              <w:bottom w:val="single" w:sz="8" w:color="auto"/>
            </w:tcBorders>
          </w:tcPr>
          <w:p>
            <w:pPr>
              <w:jc w:val="right"/>
              <w:ind w:right="1761"/>
              <w:spacing w:after="0"/>
              <w:rPr>
                <w:sz w:val="20"/>
                <w:szCs w:val="20"/>
                <w:color w:val="auto"/>
              </w:rPr>
            </w:pPr>
            <w:r>
              <w:rPr>
                <w:rFonts w:ascii="Arial" w:cs="Arial" w:eastAsia="Arial" w:hAnsi="Arial"/>
                <w:sz w:val="16"/>
                <w:szCs w:val="16"/>
                <w:b w:val="1"/>
                <w:bCs w:val="1"/>
                <w:color w:val="auto"/>
              </w:rPr>
              <w:t>98101</w:t>
            </w:r>
          </w:p>
        </w:tc>
      </w:tr>
      <w:tr>
        <w:trPr>
          <w:trHeight w:val="191"/>
        </w:trPr>
        <w:tc>
          <w:tcPr>
            <w:tcW w:w="6080" w:type="dxa"/>
            <w:vAlign w:val="bottom"/>
            <w:gridSpan w:val="8"/>
          </w:tcPr>
          <w:p>
            <w:pPr>
              <w:ind w:left="980"/>
              <w:spacing w:after="0"/>
              <w:rPr>
                <w:sz w:val="20"/>
                <w:szCs w:val="20"/>
                <w:color w:val="auto"/>
              </w:rPr>
            </w:pPr>
            <w:r>
              <w:rPr>
                <w:rFonts w:ascii="Arial" w:cs="Arial" w:eastAsia="Arial" w:hAnsi="Arial"/>
                <w:sz w:val="14"/>
                <w:szCs w:val="14"/>
                <w:color w:val="auto"/>
              </w:rPr>
              <w:t>(Address of Principal Executive Offices)</w:t>
            </w:r>
          </w:p>
        </w:tc>
        <w:tc>
          <w:tcPr>
            <w:tcW w:w="2460" w:type="dxa"/>
            <w:vAlign w:val="bottom"/>
          </w:tcPr>
          <w:p>
            <w:pPr>
              <w:jc w:val="center"/>
              <w:ind w:right="1541"/>
              <w:spacing w:after="0"/>
              <w:rPr>
                <w:sz w:val="20"/>
                <w:szCs w:val="20"/>
                <w:color w:val="auto"/>
              </w:rPr>
            </w:pPr>
            <w:r>
              <w:rPr>
                <w:rFonts w:ascii="Arial" w:cs="Arial" w:eastAsia="Arial" w:hAnsi="Arial"/>
                <w:sz w:val="14"/>
                <w:szCs w:val="14"/>
                <w:color w:val="auto"/>
                <w:w w:val="96"/>
              </w:rPr>
              <w:t>(Zip Code)</w:t>
            </w:r>
          </w:p>
        </w:tc>
      </w:tr>
      <w:tr>
        <w:trPr>
          <w:trHeight w:val="444"/>
        </w:trPr>
        <w:tc>
          <w:tcPr>
            <w:tcW w:w="2640" w:type="dxa"/>
            <w:vAlign w:val="bottom"/>
          </w:tcPr>
          <w:p>
            <w:pPr>
              <w:spacing w:after="0"/>
              <w:rPr>
                <w:sz w:val="24"/>
                <w:szCs w:val="24"/>
                <w:color w:val="auto"/>
              </w:rPr>
            </w:pPr>
          </w:p>
        </w:tc>
        <w:tc>
          <w:tcPr>
            <w:tcW w:w="1980" w:type="dxa"/>
            <w:vAlign w:val="bottom"/>
            <w:gridSpan w:val="5"/>
          </w:tcPr>
          <w:p>
            <w:pPr>
              <w:jc w:val="center"/>
              <w:ind w:left="879"/>
              <w:spacing w:after="0"/>
              <w:rPr>
                <w:sz w:val="20"/>
                <w:szCs w:val="20"/>
                <w:color w:val="auto"/>
              </w:rPr>
            </w:pPr>
            <w:r>
              <w:rPr>
                <w:rFonts w:ascii="Arial" w:cs="Arial" w:eastAsia="Arial" w:hAnsi="Arial"/>
                <w:sz w:val="16"/>
                <w:szCs w:val="16"/>
                <w:color w:val="auto"/>
                <w:w w:val="93"/>
              </w:rPr>
              <w:t>(888) 736-4859</w:t>
            </w: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0"/>
        </w:trPr>
        <w:tc>
          <w:tcPr>
            <w:tcW w:w="3600" w:type="dxa"/>
            <w:vAlign w:val="bottom"/>
            <w:gridSpan w:val="3"/>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71"/>
        </w:trPr>
        <w:tc>
          <w:tcPr>
            <w:tcW w:w="6080" w:type="dxa"/>
            <w:vAlign w:val="bottom"/>
            <w:gridSpan w:val="8"/>
          </w:tcPr>
          <w:p>
            <w:pPr>
              <w:ind w:left="2560"/>
              <w:spacing w:after="0"/>
              <w:rPr>
                <w:sz w:val="20"/>
                <w:szCs w:val="20"/>
                <w:color w:val="auto"/>
              </w:rPr>
            </w:pPr>
            <w:r>
              <w:rPr>
                <w:rFonts w:ascii="Arial" w:cs="Arial" w:eastAsia="Arial" w:hAnsi="Arial"/>
                <w:sz w:val="16"/>
                <w:szCs w:val="16"/>
                <w:color w:val="auto"/>
                <w:w w:val="93"/>
              </w:rPr>
              <w:t>(Registrant’s telephone number, including area code)</w:t>
            </w:r>
          </w:p>
        </w:tc>
        <w:tc>
          <w:tcPr>
            <w:tcW w:w="2460" w:type="dxa"/>
            <w:vAlign w:val="bottom"/>
          </w:tcPr>
          <w:p>
            <w:pPr>
              <w:spacing w:after="0"/>
              <w:rPr>
                <w:sz w:val="23"/>
                <w:szCs w:val="23"/>
                <w:color w:val="auto"/>
              </w:rPr>
            </w:pPr>
          </w:p>
        </w:tc>
      </w:tr>
    </w:tbl>
    <w:p>
      <w:pPr>
        <w:spacing w:after="0" w:line="91" w:lineRule="exact"/>
        <w:rPr>
          <w:sz w:val="24"/>
          <w:szCs w:val="24"/>
          <w:color w:val="auto"/>
        </w:rPr>
      </w:pPr>
    </w:p>
    <w:p>
      <w:pPr>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8" w:lineRule="exact"/>
        <w:rPr>
          <w:sz w:val="24"/>
          <w:szCs w:val="24"/>
          <w:color w:val="auto"/>
        </w:rPr>
      </w:pPr>
    </w:p>
    <w:p>
      <w:pPr>
        <w:ind w:right="40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8" w:lineRule="exact"/>
        <w:rPr>
          <w:sz w:val="24"/>
          <w:szCs w:val="24"/>
          <w:color w:val="auto"/>
        </w:rPr>
      </w:pPr>
    </w:p>
    <w:p>
      <w:pPr>
        <w:ind w:right="12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8" w:lineRule="exact"/>
        <w:rPr>
          <w:sz w:val="24"/>
          <w:szCs w:val="24"/>
          <w:color w:val="auto"/>
        </w:rPr>
      </w:pPr>
    </w:p>
    <w:tbl>
      <w:tblPr>
        <w:tblLayout w:type="fixed"/>
        <w:tblInd w:w="1140" w:type="dxa"/>
        <w:tblCellMar>
          <w:top w:w="0" w:type="dxa"/>
          <w:left w:w="0" w:type="dxa"/>
          <w:bottom w:w="0" w:type="dxa"/>
          <w:right w:w="0" w:type="dxa"/>
        </w:tblCellMar>
      </w:tblPr>
      <w:tr>
        <w:trPr>
          <w:trHeight w:val="254"/>
        </w:trPr>
        <w:tc>
          <w:tcPr>
            <w:tcW w:w="27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58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rPr>
              <w:t>☐</w:t>
            </w:r>
          </w:p>
        </w:tc>
        <w:tc>
          <w:tcPr>
            <w:tcW w:w="3080" w:type="dxa"/>
            <w:vAlign w:val="bottom"/>
          </w:tcPr>
          <w:p>
            <w:pPr>
              <w:ind w:left="140"/>
              <w:spacing w:after="0"/>
              <w:rPr>
                <w:sz w:val="20"/>
                <w:szCs w:val="20"/>
                <w:color w:val="auto"/>
              </w:rPr>
            </w:pPr>
            <w:r>
              <w:rPr>
                <w:rFonts w:ascii="Arial" w:cs="Arial" w:eastAsia="Arial" w:hAnsi="Arial"/>
                <w:sz w:val="16"/>
                <w:szCs w:val="16"/>
                <w:color w:val="auto"/>
              </w:rPr>
              <w:t>Accelerated filer</w:t>
            </w:r>
          </w:p>
        </w:tc>
        <w:tc>
          <w:tcPr>
            <w:tcW w:w="1300" w:type="dxa"/>
            <w:vAlign w:val="bottom"/>
          </w:tcPr>
          <w:p>
            <w:pPr>
              <w:ind w:left="1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760" w:type="dxa"/>
            <w:vAlign w:val="bottom"/>
          </w:tcPr>
          <w:p>
            <w:pPr>
              <w:spacing w:after="0"/>
              <w:rPr>
                <w:sz w:val="20"/>
                <w:szCs w:val="20"/>
                <w:color w:val="auto"/>
              </w:rPr>
            </w:pPr>
            <w:r>
              <w:rPr>
                <w:rFonts w:ascii="Arial" w:cs="Arial" w:eastAsia="Arial" w:hAnsi="Arial"/>
                <w:sz w:val="16"/>
                <w:szCs w:val="16"/>
                <w:color w:val="auto"/>
              </w:rPr>
              <w:t>Non-accelerated filer</w:t>
            </w:r>
          </w:p>
        </w:tc>
        <w:tc>
          <w:tcPr>
            <w:tcW w:w="158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rPr>
              <w:t>☒</w:t>
            </w:r>
          </w:p>
        </w:tc>
        <w:tc>
          <w:tcPr>
            <w:tcW w:w="3080" w:type="dxa"/>
            <w:vAlign w:val="bottom"/>
          </w:tcPr>
          <w:p>
            <w:pPr>
              <w:ind w:left="140"/>
              <w:spacing w:after="0"/>
              <w:rPr>
                <w:sz w:val="20"/>
                <w:szCs w:val="20"/>
                <w:color w:val="auto"/>
              </w:rPr>
            </w:pPr>
            <w:r>
              <w:rPr>
                <w:rFonts w:ascii="Arial" w:cs="Arial" w:eastAsia="Arial" w:hAnsi="Arial"/>
                <w:sz w:val="16"/>
                <w:szCs w:val="16"/>
                <w:color w:val="auto"/>
              </w:rPr>
              <w:t>Smaller reporting company</w:t>
            </w:r>
          </w:p>
        </w:tc>
        <w:tc>
          <w:tcPr>
            <w:tcW w:w="1300" w:type="dxa"/>
            <w:vAlign w:val="bottom"/>
          </w:tcPr>
          <w:p>
            <w:pPr>
              <w:ind w:left="1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80" w:type="dxa"/>
            <w:vAlign w:val="bottom"/>
          </w:tcPr>
          <w:p>
            <w:pPr>
              <w:ind w:left="140"/>
              <w:spacing w:after="0"/>
              <w:rPr>
                <w:sz w:val="20"/>
                <w:szCs w:val="20"/>
                <w:color w:val="auto"/>
              </w:rPr>
            </w:pPr>
            <w:r>
              <w:rPr>
                <w:rFonts w:ascii="Arial" w:cs="Arial" w:eastAsia="Arial" w:hAnsi="Arial"/>
                <w:sz w:val="16"/>
                <w:szCs w:val="16"/>
                <w:color w:val="auto"/>
              </w:rPr>
              <w:t>Emerging growth company</w:t>
            </w:r>
          </w:p>
        </w:tc>
        <w:tc>
          <w:tcPr>
            <w:tcW w:w="1300" w:type="dxa"/>
            <w:vAlign w:val="bottom"/>
          </w:tcPr>
          <w:p>
            <w:pPr>
              <w:ind w:left="1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215265</wp:posOffset>
            </wp:positionV>
            <wp:extent cx="13804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tbl>
      <w:tblPr>
        <w:tblLayout w:type="fixed"/>
        <w:tblInd w:w="940" w:type="dxa"/>
        <w:tblCellMar>
          <w:top w:w="0" w:type="dxa"/>
          <w:left w:w="0" w:type="dxa"/>
          <w:bottom w:w="0" w:type="dxa"/>
          <w:right w:w="0" w:type="dxa"/>
        </w:tblCellMar>
      </w:tblPr>
      <w:tr>
        <w:trPr>
          <w:trHeight w:val="210"/>
        </w:trPr>
        <w:tc>
          <w:tcPr>
            <w:tcW w:w="2780" w:type="dxa"/>
            <w:vAlign w:val="bottom"/>
          </w:tcPr>
          <w:p>
            <w:pPr>
              <w:spacing w:after="0"/>
              <w:rPr>
                <w:sz w:val="18"/>
                <w:szCs w:val="18"/>
                <w:color w:val="auto"/>
              </w:rPr>
            </w:pPr>
          </w:p>
        </w:tc>
        <w:tc>
          <w:tcPr>
            <w:tcW w:w="6920" w:type="dxa"/>
            <w:vAlign w:val="bottom"/>
            <w:gridSpan w:val="5"/>
          </w:tcPr>
          <w:p>
            <w:pPr>
              <w:jc w:val="center"/>
              <w:ind w:right="2719"/>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r>
      <w:tr>
        <w:trPr>
          <w:trHeight w:val="283"/>
        </w:trPr>
        <w:tc>
          <w:tcPr>
            <w:tcW w:w="2780" w:type="dxa"/>
            <w:vAlign w:val="bottom"/>
            <w:tcBorders>
              <w:bottom w:val="single" w:sz="8" w:color="auto"/>
            </w:tcBorders>
          </w:tcPr>
          <w:p>
            <w:pPr>
              <w:jc w:val="center"/>
              <w:ind w:left="239"/>
              <w:spacing w:after="0"/>
              <w:rPr>
                <w:sz w:val="20"/>
                <w:szCs w:val="20"/>
                <w:color w:val="auto"/>
              </w:rPr>
            </w:pPr>
            <w:r>
              <w:rPr>
                <w:rFonts w:ascii="Arial" w:cs="Arial" w:eastAsia="Arial" w:hAnsi="Arial"/>
                <w:sz w:val="16"/>
                <w:szCs w:val="16"/>
                <w:color w:val="auto"/>
                <w:w w:val="92"/>
              </w:rPr>
              <w:t>Title of each class</w:t>
            </w:r>
          </w:p>
        </w:tc>
        <w:tc>
          <w:tcPr>
            <w:tcW w:w="3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Trading Symbol(s)</w:t>
            </w:r>
          </w:p>
        </w:tc>
        <w:tc>
          <w:tcPr>
            <w:tcW w:w="16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23"/>
        </w:trPr>
        <w:tc>
          <w:tcPr>
            <w:tcW w:w="2780" w:type="dxa"/>
            <w:vAlign w:val="bottom"/>
          </w:tcPr>
          <w:p>
            <w:pPr>
              <w:jc w:val="center"/>
              <w:ind w:left="239"/>
              <w:spacing w:after="0"/>
              <w:rPr>
                <w:sz w:val="20"/>
                <w:szCs w:val="20"/>
                <w:color w:val="auto"/>
              </w:rPr>
            </w:pPr>
            <w:r>
              <w:rPr>
                <w:rFonts w:ascii="Arial" w:cs="Arial" w:eastAsia="Arial" w:hAnsi="Arial"/>
                <w:sz w:val="16"/>
                <w:szCs w:val="16"/>
                <w:color w:val="auto"/>
                <w:w w:val="91"/>
              </w:rPr>
              <w:t>Common Stock, $0.0001 par value</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00" w:type="dxa"/>
            <w:vAlign w:val="bottom"/>
            <w:gridSpan w:val="2"/>
          </w:tcPr>
          <w:p>
            <w:pPr>
              <w:jc w:val="center"/>
              <w:ind w:right="180"/>
              <w:spacing w:after="0"/>
              <w:rPr>
                <w:sz w:val="20"/>
                <w:szCs w:val="20"/>
                <w:color w:val="auto"/>
              </w:rPr>
            </w:pPr>
            <w:r>
              <w:rPr>
                <w:rFonts w:ascii="Arial" w:cs="Arial" w:eastAsia="Arial" w:hAnsi="Arial"/>
                <w:sz w:val="16"/>
                <w:szCs w:val="16"/>
                <w:color w:val="auto"/>
                <w:w w:val="95"/>
              </w:rPr>
              <w:t>RELY</w:t>
            </w:r>
          </w:p>
        </w:tc>
        <w:tc>
          <w:tcPr>
            <w:tcW w:w="3120" w:type="dxa"/>
            <w:vAlign w:val="bottom"/>
          </w:tcPr>
          <w:p>
            <w:pPr>
              <w:jc w:val="center"/>
              <w:spacing w:after="0"/>
              <w:rPr>
                <w:sz w:val="20"/>
                <w:szCs w:val="20"/>
                <w:color w:val="auto"/>
              </w:rPr>
            </w:pPr>
            <w:r>
              <w:rPr>
                <w:rFonts w:ascii="Arial" w:cs="Arial" w:eastAsia="Arial" w:hAnsi="Arial"/>
                <w:sz w:val="16"/>
                <w:szCs w:val="16"/>
                <w:color w:val="auto"/>
                <w:w w:val="91"/>
              </w:rPr>
              <w:t>The Nasdaq Global Select Market</w:t>
            </w:r>
          </w:p>
        </w:tc>
      </w:tr>
    </w:tbl>
    <w:p>
      <w:pPr>
        <w:spacing w:after="0" w:line="253" w:lineRule="exact"/>
        <w:rPr>
          <w:sz w:val="24"/>
          <w:szCs w:val="24"/>
          <w:color w:val="auto"/>
        </w:rPr>
      </w:pPr>
    </w:p>
    <w:p>
      <w:pPr>
        <w:jc w:val="both"/>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7" w:lineRule="exact"/>
        <w:rPr>
          <w:sz w:val="24"/>
          <w:szCs w:val="24"/>
          <w:color w:val="auto"/>
        </w:rPr>
      </w:pPr>
    </w:p>
    <w:p>
      <w:pPr>
        <w:ind w:right="2980"/>
        <w:spacing w:after="0" w:line="29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5, 2022, the registrant had 168,039,750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780415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10500" w:type="dxa"/>
            <w:vAlign w:val="bottom"/>
            <w:gridSpan w:val="18"/>
          </w:tcPr>
          <w:p>
            <w:pPr>
              <w:spacing w:after="0"/>
              <w:rPr>
                <w:sz w:val="20"/>
                <w:szCs w:val="20"/>
                <w:color w:val="auto"/>
              </w:rPr>
            </w:pPr>
            <w:r>
              <w:rPr>
                <w:rFonts w:ascii="Arial" w:cs="Arial" w:eastAsia="Arial" w:hAnsi="Arial"/>
                <w:sz w:val="16"/>
                <w:szCs w:val="16"/>
                <w:b w:val="1"/>
                <w:bCs w:val="1"/>
                <w:color w:val="auto"/>
              </w:rPr>
              <w:t>TABLE OF CONTENTS</w:t>
            </w:r>
          </w:p>
        </w:tc>
        <w:tc>
          <w:tcPr>
            <w:tcW w:w="580" w:type="dxa"/>
            <w:vAlign w:val="bottom"/>
          </w:tcPr>
          <w:p>
            <w:pPr>
              <w:jc w:val="center"/>
              <w:ind w:left="39"/>
              <w:spacing w:after="0"/>
              <w:rPr>
                <w:sz w:val="20"/>
                <w:szCs w:val="20"/>
                <w:color w:val="auto"/>
              </w:rPr>
            </w:pPr>
            <w:r>
              <w:rPr>
                <w:rFonts w:ascii="Arial" w:cs="Arial" w:eastAsia="Arial" w:hAnsi="Arial"/>
                <w:sz w:val="14"/>
                <w:szCs w:val="14"/>
                <w:b w:val="1"/>
                <w:bCs w:val="1"/>
                <w:color w:val="auto"/>
                <w:w w:val="90"/>
              </w:rPr>
              <w:t>Page(s)</w:t>
            </w:r>
          </w:p>
        </w:tc>
        <w:tc>
          <w:tcPr>
            <w:tcW w:w="0" w:type="dxa"/>
            <w:vAlign w:val="bottom"/>
          </w:tcPr>
          <w:p>
            <w:pPr>
              <w:spacing w:after="0"/>
              <w:rPr>
                <w:sz w:val="1"/>
                <w:szCs w:val="1"/>
                <w:color w:val="auto"/>
              </w:rPr>
            </w:pPr>
          </w:p>
        </w:tc>
      </w:tr>
      <w:tr>
        <w:trPr>
          <w:trHeight w:val="243"/>
        </w:trPr>
        <w:tc>
          <w:tcPr>
            <w:tcW w:w="10500" w:type="dxa"/>
            <w:vAlign w:val="bottom"/>
            <w:gridSpan w:val="18"/>
          </w:tcPr>
          <w:p>
            <w:pPr>
              <w:spacing w:after="0"/>
              <w:rPr>
                <w:sz w:val="20"/>
                <w:szCs w:val="20"/>
                <w:color w:val="auto"/>
              </w:rPr>
            </w:pPr>
            <w:r>
              <w:rPr>
                <w:rFonts w:ascii="Arial" w:cs="Arial" w:eastAsia="Arial" w:hAnsi="Arial"/>
                <w:sz w:val="16"/>
                <w:szCs w:val="16"/>
                <w:b w:val="1"/>
                <w:bCs w:val="1"/>
                <w:color w:val="auto"/>
              </w:rPr>
              <w:t>Special Note Regarding Forward-Looking Statements</w:t>
            </w:r>
          </w:p>
        </w:tc>
        <w:tc>
          <w:tcPr>
            <w:tcW w:w="580" w:type="dxa"/>
            <w:vAlign w:val="bottom"/>
          </w:tcPr>
          <w:p>
            <w:pPr>
              <w:jc w:val="center"/>
              <w:ind w:left="39"/>
              <w:spacing w:after="0"/>
              <w:rPr>
                <w:sz w:val="20"/>
                <w:szCs w:val="20"/>
                <w:color w:val="auto"/>
              </w:rPr>
            </w:pPr>
            <w:r>
              <w:rPr>
                <w:rFonts w:ascii="Arial" w:cs="Arial" w:eastAsia="Arial" w:hAnsi="Arial"/>
                <w:sz w:val="16"/>
                <w:szCs w:val="16"/>
                <w:color w:val="auto"/>
              </w:rPr>
              <w:t>ii</w:t>
            </w:r>
          </w:p>
        </w:tc>
        <w:tc>
          <w:tcPr>
            <w:tcW w:w="0" w:type="dxa"/>
            <w:vAlign w:val="bottom"/>
          </w:tcPr>
          <w:p>
            <w:pPr>
              <w:spacing w:after="0"/>
              <w:rPr>
                <w:sz w:val="1"/>
                <w:szCs w:val="1"/>
                <w:color w:val="auto"/>
              </w:rPr>
            </w:pPr>
          </w:p>
        </w:tc>
      </w:tr>
      <w:tr>
        <w:trPr>
          <w:trHeight w:val="500"/>
        </w:trPr>
        <w:tc>
          <w:tcPr>
            <w:tcW w:w="980" w:type="dxa"/>
            <w:vAlign w:val="bottom"/>
          </w:tcPr>
          <w:p>
            <w:pPr>
              <w:spacing w:after="0"/>
              <w:rPr>
                <w:sz w:val="20"/>
                <w:szCs w:val="20"/>
                <w:color w:val="auto"/>
              </w:rPr>
            </w:pPr>
            <w:r>
              <w:rPr>
                <w:rFonts w:ascii="Arial" w:cs="Arial" w:eastAsia="Arial" w:hAnsi="Arial"/>
                <w:sz w:val="16"/>
                <w:szCs w:val="16"/>
                <w:b w:val="1"/>
                <w:bCs w:val="1"/>
                <w:color w:val="auto"/>
              </w:rPr>
              <w:t>Part I</w:t>
            </w:r>
          </w:p>
        </w:tc>
        <w:tc>
          <w:tcPr>
            <w:tcW w:w="9520" w:type="dxa"/>
            <w:vAlign w:val="bottom"/>
            <w:gridSpan w:val="17"/>
          </w:tcPr>
          <w:p>
            <w:pPr>
              <w:spacing w:after="0"/>
              <w:rPr>
                <w:sz w:val="20"/>
                <w:szCs w:val="20"/>
                <w:color w:val="auto"/>
              </w:rPr>
            </w:pPr>
            <w:r>
              <w:rPr>
                <w:rFonts w:ascii="Arial" w:cs="Arial" w:eastAsia="Arial" w:hAnsi="Arial"/>
                <w:sz w:val="16"/>
                <w:szCs w:val="16"/>
                <w:b w:val="1"/>
                <w:bCs w:val="1"/>
                <w:color w:val="auto"/>
              </w:rPr>
              <w:t>Financial Information</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980" w:type="dxa"/>
            <w:vAlign w:val="bottom"/>
          </w:tcPr>
          <w:p>
            <w:pPr>
              <w:spacing w:after="0"/>
              <w:rPr>
                <w:sz w:val="20"/>
                <w:szCs w:val="20"/>
                <w:color w:val="auto"/>
              </w:rPr>
            </w:pPr>
            <w:r>
              <w:rPr>
                <w:rFonts w:ascii="Arial" w:cs="Arial" w:eastAsia="Arial" w:hAnsi="Arial"/>
                <w:sz w:val="16"/>
                <w:szCs w:val="16"/>
                <w:color w:val="auto"/>
              </w:rPr>
              <w:t>Item 1.</w:t>
            </w:r>
          </w:p>
        </w:tc>
        <w:tc>
          <w:tcPr>
            <w:tcW w:w="1360" w:type="dxa"/>
            <w:vAlign w:val="bottom"/>
            <w:tcBorders>
              <w:bottom w:val="single" w:sz="8" w:color="3051F2"/>
            </w:tcBorders>
            <w:gridSpan w:val="5"/>
          </w:tcPr>
          <w:p>
            <w:pPr>
              <w:spacing w:after="0"/>
              <w:rPr>
                <w:sz w:val="20"/>
                <w:szCs w:val="20"/>
                <w:color w:val="auto"/>
              </w:rPr>
            </w:pPr>
            <w:r>
              <w:rPr>
                <w:rFonts w:ascii="Arial" w:cs="Arial" w:eastAsia="Arial" w:hAnsi="Arial"/>
                <w:sz w:val="16"/>
                <w:szCs w:val="16"/>
                <w:color w:val="3051F2"/>
                <w:w w:val="89"/>
              </w:rPr>
              <w:t>Financial Statements</w:t>
            </w:r>
          </w:p>
        </w:tc>
        <w:tc>
          <w:tcPr>
            <w:tcW w:w="8160" w:type="dxa"/>
            <w:vAlign w:val="bottom"/>
            <w:gridSpan w:val="12"/>
          </w:tcPr>
          <w:p>
            <w:pPr>
              <w:spacing w:after="0"/>
              <w:rPr>
                <w:sz w:val="18"/>
                <w:szCs w:val="18"/>
                <w:color w:val="auto"/>
              </w:rPr>
            </w:pPr>
          </w:p>
        </w:tc>
        <w:tc>
          <w:tcPr>
            <w:tcW w:w="580" w:type="dxa"/>
            <w:vAlign w:val="bottom"/>
          </w:tcPr>
          <w:p>
            <w:pPr>
              <w:jc w:val="center"/>
              <w:ind w:left="19"/>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9520" w:type="dxa"/>
            <w:vAlign w:val="bottom"/>
            <w:gridSpan w:val="17"/>
          </w:tcPr>
          <w:p>
            <w:pPr>
              <w:spacing w:after="0"/>
              <w:rPr>
                <w:sz w:val="20"/>
                <w:szCs w:val="20"/>
                <w:color w:val="auto"/>
              </w:rPr>
            </w:pPr>
            <w:r>
              <w:rPr>
                <w:rFonts w:ascii="Arial" w:cs="Arial" w:eastAsia="Arial" w:hAnsi="Arial"/>
                <w:sz w:val="16"/>
                <w:szCs w:val="16"/>
                <w:color w:val="3051F2"/>
              </w:rPr>
              <w:t>Condensed Consolidated Balance Sheets as of June 30, 2022 and December 31, 2021</w:t>
            </w:r>
          </w:p>
        </w:tc>
        <w:tc>
          <w:tcPr>
            <w:tcW w:w="580" w:type="dxa"/>
            <w:vAlign w:val="bottom"/>
          </w:tcPr>
          <w:p>
            <w:pPr>
              <w:jc w:val="center"/>
              <w:ind w:left="19"/>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00" w:type="dxa"/>
            <w:vAlign w:val="bottom"/>
            <w:gridSpan w:val="2"/>
            <w:shd w:val="clear" w:color="auto" w:fill="3051F2"/>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150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1600" w:type="dxa"/>
            <w:vAlign w:val="bottom"/>
            <w:shd w:val="clear" w:color="auto" w:fill="3051F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0" w:type="dxa"/>
            <w:vAlign w:val="bottom"/>
          </w:tcPr>
          <w:p>
            <w:pPr>
              <w:spacing w:after="0"/>
              <w:rPr>
                <w:sz w:val="19"/>
                <w:szCs w:val="19"/>
                <w:color w:val="auto"/>
              </w:rPr>
            </w:pPr>
          </w:p>
        </w:tc>
        <w:tc>
          <w:tcPr>
            <w:tcW w:w="7160" w:type="dxa"/>
            <w:vAlign w:val="bottom"/>
            <w:tcBorders>
              <w:bottom w:val="single" w:sz="8" w:color="3051F2"/>
            </w:tcBorders>
            <w:gridSpan w:val="14"/>
          </w:tcPr>
          <w:p>
            <w:pPr>
              <w:spacing w:after="0"/>
              <w:rPr>
                <w:sz w:val="20"/>
                <w:szCs w:val="20"/>
                <w:color w:val="auto"/>
              </w:rPr>
            </w:pPr>
            <w:r>
              <w:rPr>
                <w:rFonts w:ascii="Arial" w:cs="Arial" w:eastAsia="Arial" w:hAnsi="Arial"/>
                <w:sz w:val="16"/>
                <w:szCs w:val="16"/>
                <w:color w:val="3051F2"/>
                <w:w w:val="89"/>
              </w:rPr>
              <w:t>Condensed Consolidated Statements of Operations for the three and six months ended June 30, 2022 and 2021</w:t>
            </w:r>
          </w:p>
        </w:tc>
        <w:tc>
          <w:tcPr>
            <w:tcW w:w="2360" w:type="dxa"/>
            <w:vAlign w:val="bottom"/>
            <w:gridSpan w:val="3"/>
          </w:tcPr>
          <w:p>
            <w:pPr>
              <w:spacing w:after="0"/>
              <w:rPr>
                <w:sz w:val="19"/>
                <w:szCs w:val="19"/>
                <w:color w:val="auto"/>
              </w:rPr>
            </w:pPr>
          </w:p>
        </w:tc>
        <w:tc>
          <w:tcPr>
            <w:tcW w:w="580" w:type="dxa"/>
            <w:vAlign w:val="bottom"/>
          </w:tcPr>
          <w:p>
            <w:pPr>
              <w:jc w:val="center"/>
              <w:ind w:left="19"/>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9520" w:type="dxa"/>
            <w:vAlign w:val="bottom"/>
            <w:gridSpan w:val="17"/>
          </w:tcPr>
          <w:p>
            <w:pPr>
              <w:spacing w:after="0"/>
              <w:rPr>
                <w:sz w:val="20"/>
                <w:szCs w:val="20"/>
                <w:color w:val="auto"/>
              </w:rPr>
            </w:pPr>
            <w:r>
              <w:rPr>
                <w:rFonts w:ascii="Arial" w:cs="Arial" w:eastAsia="Arial" w:hAnsi="Arial"/>
                <w:sz w:val="16"/>
                <w:szCs w:val="16"/>
                <w:color w:val="3051F2"/>
              </w:rPr>
              <w:t>Condensed Consolidated Statements of Comprehensive Loss for the three and six months ended June 30, 2022 and 2021</w:t>
            </w:r>
          </w:p>
        </w:tc>
        <w:tc>
          <w:tcPr>
            <w:tcW w:w="580" w:type="dxa"/>
            <w:vAlign w:val="bottom"/>
          </w:tcPr>
          <w:p>
            <w:pPr>
              <w:jc w:val="center"/>
              <w:ind w:left="19"/>
              <w:spacing w:after="0"/>
              <w:rPr>
                <w:sz w:val="20"/>
                <w:szCs w:val="20"/>
                <w:color w:val="auto"/>
              </w:rPr>
            </w:pPr>
            <w:r>
              <w:rPr>
                <w:rFonts w:ascii="Arial" w:cs="Arial" w:eastAsia="Arial" w:hAnsi="Arial"/>
                <w:sz w:val="16"/>
                <w:szCs w:val="16"/>
                <w:color w:val="auto"/>
                <w:w w:val="89"/>
              </w:rPr>
              <w:t>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00" w:type="dxa"/>
            <w:vAlign w:val="bottom"/>
            <w:gridSpan w:val="2"/>
            <w:shd w:val="clear" w:color="auto" w:fill="3051F2"/>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150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1900" w:type="dxa"/>
            <w:vAlign w:val="bottom"/>
            <w:gridSpan w:val="2"/>
            <w:shd w:val="clear" w:color="auto" w:fill="3051F2"/>
          </w:tcPr>
          <w:p>
            <w:pPr>
              <w:spacing w:after="0" w:line="20" w:lineRule="exact"/>
              <w:rPr>
                <w:sz w:val="1"/>
                <w:szCs w:val="1"/>
                <w:color w:val="auto"/>
              </w:rPr>
            </w:pPr>
          </w:p>
        </w:tc>
        <w:tc>
          <w:tcPr>
            <w:tcW w:w="700" w:type="dxa"/>
            <w:vAlign w:val="bottom"/>
            <w:shd w:val="clear" w:color="auto" w:fill="3051F2"/>
          </w:tcPr>
          <w:p>
            <w:pPr>
              <w:spacing w:after="0" w:line="20" w:lineRule="exact"/>
              <w:rPr>
                <w:sz w:val="1"/>
                <w:szCs w:val="1"/>
                <w:color w:val="auto"/>
              </w:rPr>
            </w:pPr>
          </w:p>
        </w:tc>
        <w:tc>
          <w:tcPr>
            <w:tcW w:w="1280" w:type="dxa"/>
            <w:vAlign w:val="bottom"/>
            <w:gridSpan w:val="2"/>
            <w:shd w:val="clear" w:color="auto" w:fill="3051F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0" w:type="dxa"/>
            <w:vAlign w:val="bottom"/>
          </w:tcPr>
          <w:p>
            <w:pPr>
              <w:spacing w:after="0"/>
              <w:rPr>
                <w:sz w:val="19"/>
                <w:szCs w:val="19"/>
                <w:color w:val="auto"/>
              </w:rPr>
            </w:pPr>
          </w:p>
        </w:tc>
        <w:tc>
          <w:tcPr>
            <w:tcW w:w="9380" w:type="dxa"/>
            <w:vAlign w:val="bottom"/>
            <w:tcBorders>
              <w:bottom w:val="single" w:sz="8" w:color="3051F2"/>
            </w:tcBorders>
            <w:gridSpan w:val="16"/>
          </w:tcPr>
          <w:p>
            <w:pPr>
              <w:spacing w:after="0"/>
              <w:rPr>
                <w:sz w:val="20"/>
                <w:szCs w:val="20"/>
                <w:color w:val="auto"/>
              </w:rPr>
            </w:pPr>
            <w:r>
              <w:rPr>
                <w:rFonts w:ascii="Arial" w:cs="Arial" w:eastAsia="Arial" w:hAnsi="Arial"/>
                <w:sz w:val="16"/>
                <w:szCs w:val="16"/>
                <w:color w:val="3051F2"/>
                <w:w w:val="91"/>
              </w:rPr>
              <w:t>Condensed Consolidated Statements of Redeemable Convertible Preferred Stock and Stockholders’ Equity (Deficit) for the three and six months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9520" w:type="dxa"/>
            <w:vAlign w:val="bottom"/>
            <w:gridSpan w:val="17"/>
          </w:tcPr>
          <w:p>
            <w:pPr>
              <w:spacing w:after="0" w:line="155" w:lineRule="exact"/>
              <w:rPr>
                <w:sz w:val="20"/>
                <w:szCs w:val="20"/>
                <w:color w:val="auto"/>
              </w:rPr>
            </w:pPr>
            <w:r>
              <w:rPr>
                <w:rFonts w:ascii="Arial" w:cs="Arial" w:eastAsia="Arial" w:hAnsi="Arial"/>
                <w:sz w:val="16"/>
                <w:szCs w:val="16"/>
                <w:color w:val="3051F2"/>
              </w:rPr>
              <w:t>ended June 30, 2022 and 2021</w:t>
            </w:r>
          </w:p>
        </w:tc>
        <w:tc>
          <w:tcPr>
            <w:tcW w:w="580" w:type="dxa"/>
            <w:vAlign w:val="bottom"/>
          </w:tcPr>
          <w:p>
            <w:pPr>
              <w:jc w:val="center"/>
              <w:ind w:left="19"/>
              <w:spacing w:after="0" w:line="155" w:lineRule="exact"/>
              <w:rPr>
                <w:sz w:val="20"/>
                <w:szCs w:val="20"/>
                <w:color w:val="auto"/>
              </w:rPr>
            </w:pPr>
            <w:r>
              <w:rPr>
                <w:rFonts w:ascii="Arial" w:cs="Arial" w:eastAsia="Arial" w:hAnsi="Arial"/>
                <w:sz w:val="16"/>
                <w:szCs w:val="16"/>
                <w:color w:val="auto"/>
                <w:w w:val="89"/>
              </w:rPr>
              <w:t>4</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00" w:type="dxa"/>
            <w:vAlign w:val="bottom"/>
            <w:gridSpan w:val="2"/>
            <w:shd w:val="clear" w:color="auto" w:fill="3051F2"/>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p>
        </w:tc>
        <w:tc>
          <w:tcPr>
            <w:tcW w:w="9520" w:type="dxa"/>
            <w:vAlign w:val="bottom"/>
            <w:gridSpan w:val="17"/>
          </w:tcPr>
          <w:p>
            <w:pPr>
              <w:spacing w:after="0"/>
              <w:rPr>
                <w:sz w:val="20"/>
                <w:szCs w:val="20"/>
                <w:color w:val="auto"/>
              </w:rPr>
            </w:pPr>
            <w:r>
              <w:rPr>
                <w:rFonts w:ascii="Arial" w:cs="Arial" w:eastAsia="Arial" w:hAnsi="Arial"/>
                <w:sz w:val="16"/>
                <w:szCs w:val="16"/>
                <w:color w:val="3051F2"/>
              </w:rPr>
              <w:t>Condensed Consolidated Statements of Cash Flows for the six months ended June 30 2022 and 2021</w:t>
            </w:r>
          </w:p>
        </w:tc>
        <w:tc>
          <w:tcPr>
            <w:tcW w:w="580" w:type="dxa"/>
            <w:vAlign w:val="bottom"/>
          </w:tcPr>
          <w:p>
            <w:pPr>
              <w:jc w:val="center"/>
              <w:ind w:left="19"/>
              <w:spacing w:after="0"/>
              <w:rPr>
                <w:sz w:val="20"/>
                <w:szCs w:val="20"/>
                <w:color w:val="auto"/>
              </w:rPr>
            </w:pPr>
            <w:r>
              <w:rPr>
                <w:rFonts w:ascii="Arial" w:cs="Arial" w:eastAsia="Arial" w:hAnsi="Arial"/>
                <w:sz w:val="16"/>
                <w:szCs w:val="16"/>
                <w:color w:val="auto"/>
                <w:w w:val="89"/>
              </w:rPr>
              <w:t>6</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600" w:type="dxa"/>
            <w:vAlign w:val="bottom"/>
            <w:tcBorders>
              <w:top w:val="single" w:sz="8" w:color="3051F2"/>
              <w:bottom w:val="single" w:sz="8" w:color="3051F2"/>
            </w:tcBorders>
            <w:gridSpan w:val="9"/>
          </w:tcPr>
          <w:p>
            <w:pPr>
              <w:spacing w:after="0"/>
              <w:rPr>
                <w:sz w:val="20"/>
                <w:szCs w:val="20"/>
                <w:color w:val="auto"/>
              </w:rPr>
            </w:pPr>
            <w:r>
              <w:rPr>
                <w:rFonts w:ascii="Arial" w:cs="Arial" w:eastAsia="Arial" w:hAnsi="Arial"/>
                <w:sz w:val="16"/>
                <w:szCs w:val="16"/>
                <w:color w:val="3051F2"/>
                <w:w w:val="90"/>
              </w:rPr>
              <w:t>Notes to Condensed Consolidated Financial Statements</w:t>
            </w:r>
          </w:p>
        </w:tc>
        <w:tc>
          <w:tcPr>
            <w:tcW w:w="2920" w:type="dxa"/>
            <w:vAlign w:val="bottom"/>
            <w:tcBorders>
              <w:top w:val="single" w:sz="8" w:color="3051F2"/>
            </w:tcBorders>
            <w:gridSpan w:val="4"/>
          </w:tcPr>
          <w:p>
            <w:pPr>
              <w:spacing w:after="0"/>
              <w:rPr>
                <w:sz w:val="19"/>
                <w:szCs w:val="19"/>
                <w:color w:val="auto"/>
              </w:rPr>
            </w:pPr>
          </w:p>
        </w:tc>
        <w:tc>
          <w:tcPr>
            <w:tcW w:w="3000" w:type="dxa"/>
            <w:vAlign w:val="bottom"/>
            <w:gridSpan w:val="4"/>
          </w:tcPr>
          <w:p>
            <w:pPr>
              <w:spacing w:after="0"/>
              <w:rPr>
                <w:sz w:val="19"/>
                <w:szCs w:val="19"/>
                <w:color w:val="auto"/>
              </w:rPr>
            </w:pPr>
          </w:p>
        </w:tc>
        <w:tc>
          <w:tcPr>
            <w:tcW w:w="580" w:type="dxa"/>
            <w:vAlign w:val="bottom"/>
          </w:tcPr>
          <w:p>
            <w:pPr>
              <w:jc w:val="center"/>
              <w:ind w:left="19"/>
              <w:spacing w:after="0"/>
              <w:rPr>
                <w:sz w:val="20"/>
                <w:szCs w:val="20"/>
                <w:color w:val="auto"/>
              </w:rPr>
            </w:pPr>
            <w:r>
              <w:rPr>
                <w:rFonts w:ascii="Arial" w:cs="Arial" w:eastAsia="Arial" w:hAnsi="Arial"/>
                <w:sz w:val="16"/>
                <w:szCs w:val="16"/>
                <w:color w:val="auto"/>
                <w:w w:val="89"/>
              </w:rPr>
              <w:t>7</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20"/>
                <w:szCs w:val="20"/>
                <w:color w:val="auto"/>
              </w:rPr>
            </w:pPr>
            <w:r>
              <w:rPr>
                <w:rFonts w:ascii="Arial" w:cs="Arial" w:eastAsia="Arial" w:hAnsi="Arial"/>
                <w:sz w:val="16"/>
                <w:szCs w:val="16"/>
                <w:color w:val="auto"/>
              </w:rPr>
              <w:t>Item 2.</w:t>
            </w:r>
          </w:p>
        </w:tc>
        <w:tc>
          <w:tcPr>
            <w:tcW w:w="5820" w:type="dxa"/>
            <w:vAlign w:val="bottom"/>
            <w:tcBorders>
              <w:bottom w:val="single" w:sz="8" w:color="3051F2"/>
            </w:tcBorders>
            <w:gridSpan w:val="12"/>
          </w:tcPr>
          <w:p>
            <w:pPr>
              <w:spacing w:after="0"/>
              <w:rPr>
                <w:sz w:val="20"/>
                <w:szCs w:val="20"/>
                <w:color w:val="auto"/>
              </w:rPr>
            </w:pPr>
            <w:r>
              <w:rPr>
                <w:rFonts w:ascii="Arial" w:cs="Arial" w:eastAsia="Arial" w:hAnsi="Arial"/>
                <w:sz w:val="16"/>
                <w:szCs w:val="16"/>
                <w:color w:val="3051F2"/>
                <w:w w:val="92"/>
              </w:rPr>
              <w:t>Management’s Discussion and Analysis of Financial Condition and Results of Operations</w:t>
            </w:r>
          </w:p>
        </w:tc>
        <w:tc>
          <w:tcPr>
            <w:tcW w:w="3700" w:type="dxa"/>
            <w:vAlign w:val="bottom"/>
            <w:gridSpan w:val="5"/>
          </w:tcPr>
          <w:p>
            <w:pPr>
              <w:spacing w:after="0"/>
              <w:rPr>
                <w:sz w:val="19"/>
                <w:szCs w:val="19"/>
                <w:color w:val="auto"/>
              </w:rPr>
            </w:pPr>
          </w:p>
        </w:tc>
        <w:tc>
          <w:tcPr>
            <w:tcW w:w="580" w:type="dxa"/>
            <w:vAlign w:val="bottom"/>
          </w:tcPr>
          <w:p>
            <w:pPr>
              <w:jc w:val="center"/>
              <w:ind w:left="19"/>
              <w:spacing w:after="0"/>
              <w:rPr>
                <w:sz w:val="20"/>
                <w:szCs w:val="20"/>
                <w:color w:val="auto"/>
              </w:rPr>
            </w:pPr>
            <w:r>
              <w:rPr>
                <w:rFonts w:ascii="Arial" w:cs="Arial" w:eastAsia="Arial" w:hAnsi="Arial"/>
                <w:sz w:val="16"/>
                <w:szCs w:val="16"/>
                <w:color w:val="auto"/>
                <w:w w:val="89"/>
              </w:rPr>
              <w:t>19</w:t>
            </w:r>
          </w:p>
        </w:tc>
        <w:tc>
          <w:tcPr>
            <w:tcW w:w="0" w:type="dxa"/>
            <w:vAlign w:val="bottom"/>
          </w:tcPr>
          <w:p>
            <w:pPr>
              <w:spacing w:after="0"/>
              <w:rPr>
                <w:sz w:val="1"/>
                <w:szCs w:val="1"/>
                <w:color w:val="auto"/>
              </w:rPr>
            </w:pPr>
          </w:p>
        </w:tc>
      </w:tr>
      <w:tr>
        <w:trPr>
          <w:trHeight w:val="258"/>
        </w:trPr>
        <w:tc>
          <w:tcPr>
            <w:tcW w:w="980" w:type="dxa"/>
            <w:vAlign w:val="bottom"/>
            <w:vMerge w:val="restart"/>
          </w:tcPr>
          <w:p>
            <w:pPr>
              <w:spacing w:after="0"/>
              <w:rPr>
                <w:sz w:val="20"/>
                <w:szCs w:val="20"/>
                <w:color w:val="auto"/>
              </w:rPr>
            </w:pPr>
            <w:r>
              <w:rPr>
                <w:rFonts w:ascii="Arial" w:cs="Arial" w:eastAsia="Arial" w:hAnsi="Arial"/>
                <w:sz w:val="16"/>
                <w:szCs w:val="16"/>
                <w:color w:val="auto"/>
              </w:rPr>
              <w:t>Item 3.</w:t>
            </w:r>
          </w:p>
        </w:tc>
        <w:tc>
          <w:tcPr>
            <w:tcW w:w="9520" w:type="dxa"/>
            <w:vAlign w:val="bottom"/>
            <w:gridSpan w:val="17"/>
            <w:vMerge w:val="restart"/>
          </w:tcPr>
          <w:p>
            <w:pPr>
              <w:spacing w:after="0"/>
              <w:rPr>
                <w:sz w:val="20"/>
                <w:szCs w:val="20"/>
                <w:color w:val="auto"/>
              </w:rPr>
            </w:pPr>
            <w:r>
              <w:rPr>
                <w:rFonts w:ascii="Arial" w:cs="Arial" w:eastAsia="Arial" w:hAnsi="Arial"/>
                <w:sz w:val="16"/>
                <w:szCs w:val="16"/>
                <w:color w:val="3051F2"/>
              </w:rPr>
              <w:t>Quantitative and Qualitative Disclosures About Market Risk</w:t>
            </w:r>
          </w:p>
        </w:tc>
        <w:tc>
          <w:tcPr>
            <w:tcW w:w="580" w:type="dxa"/>
            <w:vAlign w:val="bottom"/>
          </w:tcPr>
          <w:p>
            <w:pPr>
              <w:jc w:val="center"/>
              <w:ind w:left="19"/>
              <w:spacing w:after="0"/>
              <w:rPr>
                <w:sz w:val="20"/>
                <w:szCs w:val="20"/>
                <w:color w:val="auto"/>
              </w:rPr>
            </w:pPr>
            <w:r>
              <w:rPr>
                <w:rFonts w:ascii="Arial" w:cs="Arial" w:eastAsia="Arial" w:hAnsi="Arial"/>
                <w:sz w:val="16"/>
                <w:szCs w:val="16"/>
                <w:color w:val="auto"/>
                <w:w w:val="89"/>
              </w:rPr>
              <w:t>30</w:t>
            </w:r>
          </w:p>
        </w:tc>
        <w:tc>
          <w:tcPr>
            <w:tcW w:w="0" w:type="dxa"/>
            <w:vAlign w:val="bottom"/>
          </w:tcPr>
          <w:p>
            <w:pPr>
              <w:spacing w:after="0"/>
              <w:rPr>
                <w:sz w:val="1"/>
                <w:szCs w:val="1"/>
                <w:color w:val="auto"/>
              </w:rPr>
            </w:pPr>
          </w:p>
        </w:tc>
      </w:tr>
      <w:tr>
        <w:trPr>
          <w:trHeight w:val="127"/>
        </w:trPr>
        <w:tc>
          <w:tcPr>
            <w:tcW w:w="980" w:type="dxa"/>
            <w:vAlign w:val="bottom"/>
            <w:vMerge w:val="continue"/>
          </w:tcPr>
          <w:p>
            <w:pPr>
              <w:spacing w:after="0"/>
              <w:rPr>
                <w:sz w:val="11"/>
                <w:szCs w:val="11"/>
                <w:color w:val="auto"/>
              </w:rPr>
            </w:pPr>
          </w:p>
        </w:tc>
        <w:tc>
          <w:tcPr>
            <w:tcW w:w="9520" w:type="dxa"/>
            <w:vAlign w:val="bottom"/>
            <w:gridSpan w:val="17"/>
            <w:vMerge w:val="continue"/>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980" w:type="dxa"/>
            <w:vAlign w:val="bottom"/>
            <w:vMerge w:val="restart"/>
          </w:tcPr>
          <w:p>
            <w:pPr>
              <w:spacing w:after="0"/>
              <w:rPr>
                <w:sz w:val="20"/>
                <w:szCs w:val="20"/>
                <w:color w:val="auto"/>
              </w:rPr>
            </w:pPr>
            <w:r>
              <w:rPr>
                <w:rFonts w:ascii="Arial" w:cs="Arial" w:eastAsia="Arial" w:hAnsi="Arial"/>
                <w:sz w:val="16"/>
                <w:szCs w:val="16"/>
                <w:color w:val="auto"/>
              </w:rPr>
              <w:t>Item 4</w:t>
            </w:r>
          </w:p>
        </w:tc>
        <w:tc>
          <w:tcPr>
            <w:tcW w:w="1600" w:type="dxa"/>
            <w:vAlign w:val="bottom"/>
            <w:tcBorders>
              <w:top w:val="single" w:sz="8" w:color="3051F2"/>
            </w:tcBorders>
            <w:gridSpan w:val="6"/>
            <w:vMerge w:val="restart"/>
          </w:tcPr>
          <w:p>
            <w:pPr>
              <w:spacing w:after="0"/>
              <w:rPr>
                <w:sz w:val="20"/>
                <w:szCs w:val="20"/>
                <w:color w:val="auto"/>
              </w:rPr>
            </w:pPr>
            <w:r>
              <w:rPr>
                <w:rFonts w:ascii="Arial" w:cs="Arial" w:eastAsia="Arial" w:hAnsi="Arial"/>
                <w:sz w:val="16"/>
                <w:szCs w:val="16"/>
                <w:color w:val="3051F2"/>
                <w:w w:val="89"/>
              </w:rPr>
              <w:t>Controls and Procedures</w:t>
            </w:r>
          </w:p>
        </w:tc>
        <w:tc>
          <w:tcPr>
            <w:tcW w:w="2320" w:type="dxa"/>
            <w:vAlign w:val="bottom"/>
            <w:tcBorders>
              <w:top w:val="single" w:sz="8" w:color="3051F2"/>
            </w:tcBorders>
            <w:gridSpan w:val="4"/>
            <w:vMerge w:val="restart"/>
          </w:tcPr>
          <w:p>
            <w:pPr>
              <w:spacing w:after="0"/>
              <w:rPr>
                <w:sz w:val="22"/>
                <w:szCs w:val="22"/>
                <w:color w:val="auto"/>
              </w:rPr>
            </w:pPr>
          </w:p>
        </w:tc>
        <w:tc>
          <w:tcPr>
            <w:tcW w:w="5600" w:type="dxa"/>
            <w:vAlign w:val="bottom"/>
            <w:gridSpan w:val="7"/>
            <w:vMerge w:val="restart"/>
          </w:tcPr>
          <w:p>
            <w:pPr>
              <w:spacing w:after="0"/>
              <w:rPr>
                <w:sz w:val="22"/>
                <w:szCs w:val="22"/>
                <w:color w:val="auto"/>
              </w:rPr>
            </w:pPr>
          </w:p>
        </w:tc>
        <w:tc>
          <w:tcPr>
            <w:tcW w:w="580" w:type="dxa"/>
            <w:vAlign w:val="bottom"/>
          </w:tcPr>
          <w:p>
            <w:pPr>
              <w:jc w:val="center"/>
              <w:ind w:left="19"/>
              <w:spacing w:after="0"/>
              <w:rPr>
                <w:sz w:val="20"/>
                <w:szCs w:val="20"/>
                <w:color w:val="auto"/>
              </w:rPr>
            </w:pPr>
            <w:r>
              <w:rPr>
                <w:rFonts w:ascii="Arial" w:cs="Arial" w:eastAsia="Arial" w:hAnsi="Arial"/>
                <w:sz w:val="16"/>
                <w:szCs w:val="16"/>
                <w:color w:val="auto"/>
                <w:w w:val="89"/>
              </w:rPr>
              <w:t>31</w:t>
            </w:r>
          </w:p>
        </w:tc>
        <w:tc>
          <w:tcPr>
            <w:tcW w:w="0" w:type="dxa"/>
            <w:vAlign w:val="bottom"/>
          </w:tcPr>
          <w:p>
            <w:pPr>
              <w:spacing w:after="0"/>
              <w:rPr>
                <w:sz w:val="1"/>
                <w:szCs w:val="1"/>
                <w:color w:val="auto"/>
              </w:rPr>
            </w:pPr>
          </w:p>
        </w:tc>
      </w:tr>
      <w:tr>
        <w:trPr>
          <w:trHeight w:val="132"/>
        </w:trPr>
        <w:tc>
          <w:tcPr>
            <w:tcW w:w="980" w:type="dxa"/>
            <w:vAlign w:val="bottom"/>
            <w:vMerge w:val="continue"/>
          </w:tcPr>
          <w:p>
            <w:pPr>
              <w:spacing w:after="0"/>
              <w:rPr>
                <w:sz w:val="11"/>
                <w:szCs w:val="11"/>
                <w:color w:val="auto"/>
              </w:rPr>
            </w:pPr>
          </w:p>
        </w:tc>
        <w:tc>
          <w:tcPr>
            <w:tcW w:w="1600" w:type="dxa"/>
            <w:vAlign w:val="bottom"/>
            <w:tcBorders>
              <w:bottom w:val="single" w:sz="8" w:color="3051F2"/>
            </w:tcBorders>
            <w:gridSpan w:val="6"/>
            <w:vMerge w:val="continue"/>
          </w:tcPr>
          <w:p>
            <w:pPr>
              <w:spacing w:after="0"/>
              <w:rPr>
                <w:sz w:val="11"/>
                <w:szCs w:val="11"/>
                <w:color w:val="auto"/>
              </w:rPr>
            </w:pPr>
          </w:p>
        </w:tc>
        <w:tc>
          <w:tcPr>
            <w:tcW w:w="2320" w:type="dxa"/>
            <w:vAlign w:val="bottom"/>
            <w:gridSpan w:val="4"/>
            <w:vMerge w:val="continue"/>
          </w:tcPr>
          <w:p>
            <w:pPr>
              <w:spacing w:after="0"/>
              <w:rPr>
                <w:sz w:val="11"/>
                <w:szCs w:val="11"/>
                <w:color w:val="auto"/>
              </w:rPr>
            </w:pPr>
          </w:p>
        </w:tc>
        <w:tc>
          <w:tcPr>
            <w:tcW w:w="5600" w:type="dxa"/>
            <w:vAlign w:val="bottom"/>
            <w:gridSpan w:val="7"/>
            <w:vMerge w:val="continue"/>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14"/>
        </w:trPr>
        <w:tc>
          <w:tcPr>
            <w:tcW w:w="980" w:type="dxa"/>
            <w:vAlign w:val="bottom"/>
            <w:vMerge w:val="restart"/>
          </w:tcPr>
          <w:p>
            <w:pPr>
              <w:spacing w:after="0"/>
              <w:rPr>
                <w:sz w:val="20"/>
                <w:szCs w:val="20"/>
                <w:color w:val="auto"/>
              </w:rPr>
            </w:pPr>
            <w:r>
              <w:rPr>
                <w:rFonts w:ascii="Arial" w:cs="Arial" w:eastAsia="Arial" w:hAnsi="Arial"/>
                <w:sz w:val="16"/>
                <w:szCs w:val="16"/>
                <w:b w:val="1"/>
                <w:bCs w:val="1"/>
                <w:color w:val="auto"/>
              </w:rPr>
              <w:t>Part II</w:t>
            </w:r>
          </w:p>
        </w:tc>
        <w:tc>
          <w:tcPr>
            <w:tcW w:w="9520" w:type="dxa"/>
            <w:vAlign w:val="bottom"/>
            <w:gridSpan w:val="17"/>
            <w:vMerge w:val="restart"/>
          </w:tcPr>
          <w:p>
            <w:pPr>
              <w:spacing w:after="0"/>
              <w:rPr>
                <w:sz w:val="20"/>
                <w:szCs w:val="20"/>
                <w:color w:val="auto"/>
              </w:rPr>
            </w:pPr>
            <w:r>
              <w:rPr>
                <w:rFonts w:ascii="Arial" w:cs="Arial" w:eastAsia="Arial" w:hAnsi="Arial"/>
                <w:sz w:val="16"/>
                <w:szCs w:val="16"/>
                <w:b w:val="1"/>
                <w:bCs w:val="1"/>
                <w:color w:val="auto"/>
              </w:rPr>
              <w:t>Other Information</w:t>
            </w:r>
          </w:p>
        </w:tc>
        <w:tc>
          <w:tcPr>
            <w:tcW w:w="580" w:type="dxa"/>
            <w:vAlign w:val="bottom"/>
          </w:tcPr>
          <w:p>
            <w:pPr>
              <w:jc w:val="center"/>
              <w:ind w:left="19"/>
              <w:spacing w:after="0"/>
              <w:rPr>
                <w:sz w:val="20"/>
                <w:szCs w:val="20"/>
                <w:color w:val="auto"/>
              </w:rPr>
            </w:pPr>
            <w:r>
              <w:rPr>
                <w:rFonts w:ascii="Arial" w:cs="Arial" w:eastAsia="Arial" w:hAnsi="Arial"/>
                <w:sz w:val="16"/>
                <w:szCs w:val="16"/>
                <w:color w:val="auto"/>
                <w:w w:val="89"/>
              </w:rPr>
              <w:t>33</w:t>
            </w:r>
          </w:p>
        </w:tc>
        <w:tc>
          <w:tcPr>
            <w:tcW w:w="0" w:type="dxa"/>
            <w:vAlign w:val="bottom"/>
          </w:tcPr>
          <w:p>
            <w:pPr>
              <w:spacing w:after="0"/>
              <w:rPr>
                <w:sz w:val="1"/>
                <w:szCs w:val="1"/>
                <w:color w:val="auto"/>
              </w:rPr>
            </w:pPr>
          </w:p>
        </w:tc>
      </w:tr>
      <w:tr>
        <w:trPr>
          <w:trHeight w:val="162"/>
        </w:trPr>
        <w:tc>
          <w:tcPr>
            <w:tcW w:w="980" w:type="dxa"/>
            <w:vAlign w:val="bottom"/>
            <w:vMerge w:val="continue"/>
          </w:tcPr>
          <w:p>
            <w:pPr>
              <w:spacing w:after="0"/>
              <w:rPr>
                <w:sz w:val="14"/>
                <w:szCs w:val="14"/>
                <w:color w:val="auto"/>
              </w:rPr>
            </w:pPr>
          </w:p>
        </w:tc>
        <w:tc>
          <w:tcPr>
            <w:tcW w:w="9520" w:type="dxa"/>
            <w:vAlign w:val="bottom"/>
            <w:gridSpan w:val="17"/>
            <w:vMerge w:val="continue"/>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980" w:type="dxa"/>
            <w:vAlign w:val="bottom"/>
            <w:vMerge w:val="restart"/>
          </w:tcPr>
          <w:p>
            <w:pPr>
              <w:spacing w:after="0"/>
              <w:rPr>
                <w:sz w:val="20"/>
                <w:szCs w:val="20"/>
                <w:color w:val="auto"/>
              </w:rPr>
            </w:pPr>
            <w:r>
              <w:rPr>
                <w:rFonts w:ascii="Arial" w:cs="Arial" w:eastAsia="Arial" w:hAnsi="Arial"/>
                <w:sz w:val="16"/>
                <w:szCs w:val="16"/>
                <w:color w:val="auto"/>
              </w:rPr>
              <w:t>Item 1.</w:t>
            </w:r>
          </w:p>
        </w:tc>
        <w:tc>
          <w:tcPr>
            <w:tcW w:w="1200" w:type="dxa"/>
            <w:vAlign w:val="bottom"/>
            <w:gridSpan w:val="4"/>
            <w:vMerge w:val="restart"/>
          </w:tcPr>
          <w:p>
            <w:pPr>
              <w:spacing w:after="0"/>
              <w:rPr>
                <w:sz w:val="20"/>
                <w:szCs w:val="20"/>
                <w:color w:val="auto"/>
              </w:rPr>
            </w:pPr>
            <w:r>
              <w:rPr>
                <w:rFonts w:ascii="Arial" w:cs="Arial" w:eastAsia="Arial" w:hAnsi="Arial"/>
                <w:sz w:val="16"/>
                <w:szCs w:val="16"/>
                <w:color w:val="3051F2"/>
                <w:w w:val="89"/>
              </w:rPr>
              <w:t>Legal Proceedings</w:t>
            </w:r>
          </w:p>
        </w:tc>
        <w:tc>
          <w:tcPr>
            <w:tcW w:w="8320" w:type="dxa"/>
            <w:vAlign w:val="bottom"/>
            <w:gridSpan w:val="13"/>
            <w:vMerge w:val="restart"/>
          </w:tcPr>
          <w:p>
            <w:pPr>
              <w:spacing w:after="0"/>
              <w:rPr>
                <w:sz w:val="21"/>
                <w:szCs w:val="21"/>
                <w:color w:val="auto"/>
              </w:rPr>
            </w:pPr>
          </w:p>
        </w:tc>
        <w:tc>
          <w:tcPr>
            <w:tcW w:w="580" w:type="dxa"/>
            <w:vAlign w:val="bottom"/>
          </w:tcPr>
          <w:p>
            <w:pPr>
              <w:jc w:val="center"/>
              <w:ind w:left="19"/>
              <w:spacing w:after="0"/>
              <w:rPr>
                <w:sz w:val="20"/>
                <w:szCs w:val="20"/>
                <w:color w:val="auto"/>
              </w:rPr>
            </w:pPr>
            <w:r>
              <w:rPr>
                <w:rFonts w:ascii="Arial" w:cs="Arial" w:eastAsia="Arial" w:hAnsi="Arial"/>
                <w:sz w:val="16"/>
                <w:szCs w:val="16"/>
                <w:color w:val="auto"/>
                <w:w w:val="89"/>
              </w:rPr>
              <w:t>33</w:t>
            </w:r>
          </w:p>
        </w:tc>
        <w:tc>
          <w:tcPr>
            <w:tcW w:w="0" w:type="dxa"/>
            <w:vAlign w:val="bottom"/>
          </w:tcPr>
          <w:p>
            <w:pPr>
              <w:spacing w:after="0"/>
              <w:rPr>
                <w:sz w:val="1"/>
                <w:szCs w:val="1"/>
                <w:color w:val="auto"/>
              </w:rPr>
            </w:pPr>
          </w:p>
        </w:tc>
      </w:tr>
      <w:tr>
        <w:trPr>
          <w:trHeight w:val="133"/>
        </w:trPr>
        <w:tc>
          <w:tcPr>
            <w:tcW w:w="980" w:type="dxa"/>
            <w:vAlign w:val="bottom"/>
            <w:vMerge w:val="continue"/>
          </w:tcPr>
          <w:p>
            <w:pPr>
              <w:spacing w:after="0"/>
              <w:rPr>
                <w:sz w:val="11"/>
                <w:szCs w:val="11"/>
                <w:color w:val="auto"/>
              </w:rPr>
            </w:pPr>
          </w:p>
        </w:tc>
        <w:tc>
          <w:tcPr>
            <w:tcW w:w="1200" w:type="dxa"/>
            <w:vAlign w:val="bottom"/>
            <w:tcBorders>
              <w:bottom w:val="single" w:sz="8" w:color="3051F2"/>
            </w:tcBorders>
            <w:gridSpan w:val="4"/>
            <w:vMerge w:val="continue"/>
          </w:tcPr>
          <w:p>
            <w:pPr>
              <w:spacing w:after="0"/>
              <w:rPr>
                <w:sz w:val="11"/>
                <w:szCs w:val="11"/>
                <w:color w:val="auto"/>
              </w:rPr>
            </w:pPr>
          </w:p>
        </w:tc>
        <w:tc>
          <w:tcPr>
            <w:tcW w:w="8320" w:type="dxa"/>
            <w:vAlign w:val="bottom"/>
            <w:gridSpan w:val="13"/>
            <w:vMerge w:val="continue"/>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980" w:type="dxa"/>
            <w:vAlign w:val="bottom"/>
            <w:vMerge w:val="restart"/>
          </w:tcPr>
          <w:p>
            <w:pPr>
              <w:spacing w:after="0"/>
              <w:rPr>
                <w:sz w:val="20"/>
                <w:szCs w:val="20"/>
                <w:color w:val="auto"/>
              </w:rPr>
            </w:pPr>
            <w:r>
              <w:rPr>
                <w:rFonts w:ascii="Arial" w:cs="Arial" w:eastAsia="Arial" w:hAnsi="Arial"/>
                <w:sz w:val="16"/>
                <w:szCs w:val="16"/>
                <w:color w:val="auto"/>
              </w:rPr>
              <w:t>Item 1A.</w:t>
            </w:r>
          </w:p>
        </w:tc>
        <w:tc>
          <w:tcPr>
            <w:tcW w:w="820" w:type="dxa"/>
            <w:vAlign w:val="bottom"/>
            <w:gridSpan w:val="2"/>
            <w:vMerge w:val="restart"/>
          </w:tcPr>
          <w:p>
            <w:pPr>
              <w:spacing w:after="0"/>
              <w:rPr>
                <w:sz w:val="20"/>
                <w:szCs w:val="20"/>
                <w:color w:val="auto"/>
              </w:rPr>
            </w:pPr>
            <w:r>
              <w:rPr>
                <w:rFonts w:ascii="Arial" w:cs="Arial" w:eastAsia="Arial" w:hAnsi="Arial"/>
                <w:sz w:val="16"/>
                <w:szCs w:val="16"/>
                <w:color w:val="3051F2"/>
                <w:w w:val="89"/>
              </w:rPr>
              <w:t>Risk Factors</w:t>
            </w:r>
          </w:p>
        </w:tc>
        <w:tc>
          <w:tcPr>
            <w:tcW w:w="8700" w:type="dxa"/>
            <w:vAlign w:val="bottom"/>
            <w:gridSpan w:val="15"/>
            <w:vMerge w:val="restart"/>
          </w:tcPr>
          <w:p>
            <w:pPr>
              <w:spacing w:after="0"/>
              <w:rPr>
                <w:sz w:val="22"/>
                <w:szCs w:val="22"/>
                <w:color w:val="auto"/>
              </w:rPr>
            </w:pPr>
          </w:p>
        </w:tc>
        <w:tc>
          <w:tcPr>
            <w:tcW w:w="580" w:type="dxa"/>
            <w:vAlign w:val="bottom"/>
          </w:tcPr>
          <w:p>
            <w:pPr>
              <w:jc w:val="center"/>
              <w:ind w:left="19"/>
              <w:spacing w:after="0"/>
              <w:rPr>
                <w:sz w:val="20"/>
                <w:szCs w:val="20"/>
                <w:color w:val="auto"/>
              </w:rPr>
            </w:pPr>
            <w:r>
              <w:rPr>
                <w:rFonts w:ascii="Arial" w:cs="Arial" w:eastAsia="Arial" w:hAnsi="Arial"/>
                <w:sz w:val="16"/>
                <w:szCs w:val="16"/>
                <w:color w:val="auto"/>
                <w:w w:val="89"/>
              </w:rPr>
              <w:t>33</w:t>
            </w:r>
          </w:p>
        </w:tc>
        <w:tc>
          <w:tcPr>
            <w:tcW w:w="0" w:type="dxa"/>
            <w:vAlign w:val="bottom"/>
          </w:tcPr>
          <w:p>
            <w:pPr>
              <w:spacing w:after="0"/>
              <w:rPr>
                <w:sz w:val="1"/>
                <w:szCs w:val="1"/>
                <w:color w:val="auto"/>
              </w:rPr>
            </w:pPr>
          </w:p>
        </w:tc>
      </w:tr>
      <w:tr>
        <w:trPr>
          <w:trHeight w:val="133"/>
        </w:trPr>
        <w:tc>
          <w:tcPr>
            <w:tcW w:w="980" w:type="dxa"/>
            <w:vAlign w:val="bottom"/>
            <w:vMerge w:val="continue"/>
          </w:tcPr>
          <w:p>
            <w:pPr>
              <w:spacing w:after="0"/>
              <w:rPr>
                <w:sz w:val="11"/>
                <w:szCs w:val="11"/>
                <w:color w:val="auto"/>
              </w:rPr>
            </w:pPr>
          </w:p>
        </w:tc>
        <w:tc>
          <w:tcPr>
            <w:tcW w:w="820" w:type="dxa"/>
            <w:vAlign w:val="bottom"/>
            <w:tcBorders>
              <w:bottom w:val="single" w:sz="8" w:color="3051F2"/>
            </w:tcBorders>
            <w:gridSpan w:val="2"/>
            <w:vMerge w:val="continue"/>
          </w:tcPr>
          <w:p>
            <w:pPr>
              <w:spacing w:after="0"/>
              <w:rPr>
                <w:sz w:val="11"/>
                <w:szCs w:val="11"/>
                <w:color w:val="auto"/>
              </w:rPr>
            </w:pPr>
          </w:p>
        </w:tc>
        <w:tc>
          <w:tcPr>
            <w:tcW w:w="8700" w:type="dxa"/>
            <w:vAlign w:val="bottom"/>
            <w:gridSpan w:val="15"/>
            <w:vMerge w:val="continue"/>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980" w:type="dxa"/>
            <w:vAlign w:val="bottom"/>
            <w:vMerge w:val="restart"/>
          </w:tcPr>
          <w:p>
            <w:pPr>
              <w:spacing w:after="0"/>
              <w:rPr>
                <w:sz w:val="20"/>
                <w:szCs w:val="20"/>
                <w:color w:val="auto"/>
              </w:rPr>
            </w:pPr>
            <w:r>
              <w:rPr>
                <w:rFonts w:ascii="Arial" w:cs="Arial" w:eastAsia="Arial" w:hAnsi="Arial"/>
                <w:sz w:val="16"/>
                <w:szCs w:val="16"/>
                <w:color w:val="auto"/>
              </w:rPr>
              <w:t>Item 2.</w:t>
            </w:r>
          </w:p>
        </w:tc>
        <w:tc>
          <w:tcPr>
            <w:tcW w:w="3920" w:type="dxa"/>
            <w:vAlign w:val="bottom"/>
            <w:gridSpan w:val="10"/>
            <w:vMerge w:val="restart"/>
          </w:tcPr>
          <w:p>
            <w:pPr>
              <w:spacing w:after="0"/>
              <w:rPr>
                <w:sz w:val="20"/>
                <w:szCs w:val="20"/>
                <w:color w:val="auto"/>
              </w:rPr>
            </w:pPr>
            <w:r>
              <w:rPr>
                <w:rFonts w:ascii="Arial" w:cs="Arial" w:eastAsia="Arial" w:hAnsi="Arial"/>
                <w:sz w:val="16"/>
                <w:szCs w:val="16"/>
                <w:color w:val="3051F2"/>
                <w:w w:val="90"/>
              </w:rPr>
              <w:t>Unregistered Sales of Equity Securities and Use of Proceeds</w:t>
            </w:r>
          </w:p>
        </w:tc>
        <w:tc>
          <w:tcPr>
            <w:tcW w:w="5600" w:type="dxa"/>
            <w:vAlign w:val="bottom"/>
            <w:gridSpan w:val="7"/>
            <w:vMerge w:val="restart"/>
          </w:tcPr>
          <w:p>
            <w:pPr>
              <w:spacing w:after="0"/>
              <w:rPr>
                <w:sz w:val="22"/>
                <w:szCs w:val="22"/>
                <w:color w:val="auto"/>
              </w:rPr>
            </w:pPr>
          </w:p>
        </w:tc>
        <w:tc>
          <w:tcPr>
            <w:tcW w:w="580" w:type="dxa"/>
            <w:vAlign w:val="bottom"/>
          </w:tcPr>
          <w:p>
            <w:pPr>
              <w:jc w:val="center"/>
              <w:ind w:left="19"/>
              <w:spacing w:after="0"/>
              <w:rPr>
                <w:sz w:val="20"/>
                <w:szCs w:val="20"/>
                <w:color w:val="auto"/>
              </w:rPr>
            </w:pPr>
            <w:r>
              <w:rPr>
                <w:rFonts w:ascii="Arial" w:cs="Arial" w:eastAsia="Arial" w:hAnsi="Arial"/>
                <w:sz w:val="16"/>
                <w:szCs w:val="16"/>
                <w:color w:val="auto"/>
                <w:w w:val="89"/>
              </w:rPr>
              <w:t>33</w:t>
            </w:r>
          </w:p>
        </w:tc>
        <w:tc>
          <w:tcPr>
            <w:tcW w:w="0" w:type="dxa"/>
            <w:vAlign w:val="bottom"/>
          </w:tcPr>
          <w:p>
            <w:pPr>
              <w:spacing w:after="0"/>
              <w:rPr>
                <w:sz w:val="1"/>
                <w:szCs w:val="1"/>
                <w:color w:val="auto"/>
              </w:rPr>
            </w:pPr>
          </w:p>
        </w:tc>
      </w:tr>
      <w:tr>
        <w:trPr>
          <w:trHeight w:val="133"/>
        </w:trPr>
        <w:tc>
          <w:tcPr>
            <w:tcW w:w="980" w:type="dxa"/>
            <w:vAlign w:val="bottom"/>
            <w:vMerge w:val="continue"/>
          </w:tcPr>
          <w:p>
            <w:pPr>
              <w:spacing w:after="0"/>
              <w:rPr>
                <w:sz w:val="11"/>
                <w:szCs w:val="11"/>
                <w:color w:val="auto"/>
              </w:rPr>
            </w:pPr>
          </w:p>
        </w:tc>
        <w:tc>
          <w:tcPr>
            <w:tcW w:w="3920" w:type="dxa"/>
            <w:vAlign w:val="bottom"/>
            <w:tcBorders>
              <w:bottom w:val="single" w:sz="8" w:color="3051F2"/>
            </w:tcBorders>
            <w:gridSpan w:val="10"/>
            <w:vMerge w:val="continue"/>
          </w:tcPr>
          <w:p>
            <w:pPr>
              <w:spacing w:after="0"/>
              <w:rPr>
                <w:sz w:val="11"/>
                <w:szCs w:val="11"/>
                <w:color w:val="auto"/>
              </w:rPr>
            </w:pPr>
          </w:p>
        </w:tc>
        <w:tc>
          <w:tcPr>
            <w:tcW w:w="5600" w:type="dxa"/>
            <w:vAlign w:val="bottom"/>
            <w:gridSpan w:val="7"/>
            <w:vMerge w:val="continue"/>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980" w:type="dxa"/>
            <w:vAlign w:val="bottom"/>
            <w:vMerge w:val="restart"/>
          </w:tcPr>
          <w:p>
            <w:pPr>
              <w:spacing w:after="0"/>
              <w:rPr>
                <w:sz w:val="20"/>
                <w:szCs w:val="20"/>
                <w:color w:val="auto"/>
              </w:rPr>
            </w:pPr>
            <w:r>
              <w:rPr>
                <w:rFonts w:ascii="Arial" w:cs="Arial" w:eastAsia="Arial" w:hAnsi="Arial"/>
                <w:sz w:val="16"/>
                <w:szCs w:val="16"/>
                <w:color w:val="auto"/>
              </w:rPr>
              <w:t>Item 3.</w:t>
            </w:r>
          </w:p>
        </w:tc>
        <w:tc>
          <w:tcPr>
            <w:tcW w:w="2100" w:type="dxa"/>
            <w:vAlign w:val="bottom"/>
            <w:gridSpan w:val="8"/>
            <w:vMerge w:val="restart"/>
          </w:tcPr>
          <w:p>
            <w:pPr>
              <w:spacing w:after="0"/>
              <w:rPr>
                <w:sz w:val="20"/>
                <w:szCs w:val="20"/>
                <w:color w:val="auto"/>
              </w:rPr>
            </w:pPr>
            <w:r>
              <w:rPr>
                <w:rFonts w:ascii="Arial" w:cs="Arial" w:eastAsia="Arial" w:hAnsi="Arial"/>
                <w:sz w:val="16"/>
                <w:szCs w:val="16"/>
                <w:color w:val="3051F2"/>
                <w:w w:val="91"/>
              </w:rPr>
              <w:t>Defaults Upon Senior Securities</w:t>
            </w:r>
          </w:p>
        </w:tc>
        <w:tc>
          <w:tcPr>
            <w:tcW w:w="7420" w:type="dxa"/>
            <w:vAlign w:val="bottom"/>
            <w:gridSpan w:val="9"/>
            <w:vMerge w:val="restart"/>
          </w:tcPr>
          <w:p>
            <w:pPr>
              <w:spacing w:after="0"/>
              <w:rPr>
                <w:sz w:val="22"/>
                <w:szCs w:val="22"/>
                <w:color w:val="auto"/>
              </w:rPr>
            </w:pPr>
          </w:p>
        </w:tc>
        <w:tc>
          <w:tcPr>
            <w:tcW w:w="580" w:type="dxa"/>
            <w:vAlign w:val="bottom"/>
          </w:tcPr>
          <w:p>
            <w:pPr>
              <w:jc w:val="center"/>
              <w:ind w:left="19"/>
              <w:spacing w:after="0"/>
              <w:rPr>
                <w:sz w:val="20"/>
                <w:szCs w:val="20"/>
                <w:color w:val="auto"/>
              </w:rPr>
            </w:pPr>
            <w:r>
              <w:rPr>
                <w:rFonts w:ascii="Arial" w:cs="Arial" w:eastAsia="Arial" w:hAnsi="Arial"/>
                <w:sz w:val="16"/>
                <w:szCs w:val="16"/>
                <w:color w:val="auto"/>
                <w:w w:val="89"/>
              </w:rPr>
              <w:t>33</w:t>
            </w:r>
          </w:p>
        </w:tc>
        <w:tc>
          <w:tcPr>
            <w:tcW w:w="0" w:type="dxa"/>
            <w:vAlign w:val="bottom"/>
          </w:tcPr>
          <w:p>
            <w:pPr>
              <w:spacing w:after="0"/>
              <w:rPr>
                <w:sz w:val="1"/>
                <w:szCs w:val="1"/>
                <w:color w:val="auto"/>
              </w:rPr>
            </w:pPr>
          </w:p>
        </w:tc>
      </w:tr>
      <w:tr>
        <w:trPr>
          <w:trHeight w:val="133"/>
        </w:trPr>
        <w:tc>
          <w:tcPr>
            <w:tcW w:w="980" w:type="dxa"/>
            <w:vAlign w:val="bottom"/>
            <w:vMerge w:val="continue"/>
          </w:tcPr>
          <w:p>
            <w:pPr>
              <w:spacing w:after="0"/>
              <w:rPr>
                <w:sz w:val="11"/>
                <w:szCs w:val="11"/>
                <w:color w:val="auto"/>
              </w:rPr>
            </w:pPr>
          </w:p>
        </w:tc>
        <w:tc>
          <w:tcPr>
            <w:tcW w:w="2100" w:type="dxa"/>
            <w:vAlign w:val="bottom"/>
            <w:tcBorders>
              <w:bottom w:val="single" w:sz="8" w:color="3051F2"/>
            </w:tcBorders>
            <w:gridSpan w:val="8"/>
            <w:vMerge w:val="continue"/>
          </w:tcPr>
          <w:p>
            <w:pPr>
              <w:spacing w:after="0"/>
              <w:rPr>
                <w:sz w:val="11"/>
                <w:szCs w:val="11"/>
                <w:color w:val="auto"/>
              </w:rPr>
            </w:pPr>
          </w:p>
        </w:tc>
        <w:tc>
          <w:tcPr>
            <w:tcW w:w="7420" w:type="dxa"/>
            <w:vAlign w:val="bottom"/>
            <w:gridSpan w:val="9"/>
            <w:vMerge w:val="continue"/>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980" w:type="dxa"/>
            <w:vAlign w:val="bottom"/>
            <w:vMerge w:val="restart"/>
          </w:tcPr>
          <w:p>
            <w:pPr>
              <w:spacing w:after="0"/>
              <w:rPr>
                <w:sz w:val="20"/>
                <w:szCs w:val="20"/>
                <w:color w:val="auto"/>
              </w:rPr>
            </w:pPr>
            <w:r>
              <w:rPr>
                <w:rFonts w:ascii="Arial" w:cs="Arial" w:eastAsia="Arial" w:hAnsi="Arial"/>
                <w:sz w:val="16"/>
                <w:szCs w:val="16"/>
                <w:color w:val="auto"/>
              </w:rPr>
              <w:t>Item 4.</w:t>
            </w:r>
          </w:p>
        </w:tc>
        <w:tc>
          <w:tcPr>
            <w:tcW w:w="1600" w:type="dxa"/>
            <w:vAlign w:val="bottom"/>
            <w:gridSpan w:val="6"/>
            <w:vMerge w:val="restart"/>
          </w:tcPr>
          <w:p>
            <w:pPr>
              <w:spacing w:after="0"/>
              <w:rPr>
                <w:sz w:val="20"/>
                <w:szCs w:val="20"/>
                <w:color w:val="auto"/>
              </w:rPr>
            </w:pPr>
            <w:r>
              <w:rPr>
                <w:rFonts w:ascii="Arial" w:cs="Arial" w:eastAsia="Arial" w:hAnsi="Arial"/>
                <w:sz w:val="16"/>
                <w:szCs w:val="16"/>
                <w:color w:val="3051F2"/>
                <w:w w:val="92"/>
              </w:rPr>
              <w:t>Mine Safety Disclosures</w:t>
            </w:r>
          </w:p>
        </w:tc>
        <w:tc>
          <w:tcPr>
            <w:tcW w:w="7920" w:type="dxa"/>
            <w:vAlign w:val="bottom"/>
            <w:gridSpan w:val="11"/>
            <w:vMerge w:val="restart"/>
          </w:tcPr>
          <w:p>
            <w:pPr>
              <w:spacing w:after="0"/>
              <w:rPr>
                <w:sz w:val="22"/>
                <w:szCs w:val="22"/>
                <w:color w:val="auto"/>
              </w:rPr>
            </w:pPr>
          </w:p>
        </w:tc>
        <w:tc>
          <w:tcPr>
            <w:tcW w:w="580" w:type="dxa"/>
            <w:vAlign w:val="bottom"/>
          </w:tcPr>
          <w:p>
            <w:pPr>
              <w:jc w:val="center"/>
              <w:ind w:left="19"/>
              <w:spacing w:after="0"/>
              <w:rPr>
                <w:sz w:val="20"/>
                <w:szCs w:val="20"/>
                <w:color w:val="auto"/>
              </w:rPr>
            </w:pPr>
            <w:r>
              <w:rPr>
                <w:rFonts w:ascii="Arial" w:cs="Arial" w:eastAsia="Arial" w:hAnsi="Arial"/>
                <w:sz w:val="16"/>
                <w:szCs w:val="16"/>
                <w:color w:val="auto"/>
                <w:w w:val="89"/>
              </w:rPr>
              <w:t>33</w:t>
            </w:r>
          </w:p>
        </w:tc>
        <w:tc>
          <w:tcPr>
            <w:tcW w:w="0" w:type="dxa"/>
            <w:vAlign w:val="bottom"/>
          </w:tcPr>
          <w:p>
            <w:pPr>
              <w:spacing w:after="0"/>
              <w:rPr>
                <w:sz w:val="1"/>
                <w:szCs w:val="1"/>
                <w:color w:val="auto"/>
              </w:rPr>
            </w:pPr>
          </w:p>
        </w:tc>
      </w:tr>
      <w:tr>
        <w:trPr>
          <w:trHeight w:val="133"/>
        </w:trPr>
        <w:tc>
          <w:tcPr>
            <w:tcW w:w="980" w:type="dxa"/>
            <w:vAlign w:val="bottom"/>
            <w:vMerge w:val="continue"/>
          </w:tcPr>
          <w:p>
            <w:pPr>
              <w:spacing w:after="0"/>
              <w:rPr>
                <w:sz w:val="11"/>
                <w:szCs w:val="11"/>
                <w:color w:val="auto"/>
              </w:rPr>
            </w:pPr>
          </w:p>
        </w:tc>
        <w:tc>
          <w:tcPr>
            <w:tcW w:w="1600" w:type="dxa"/>
            <w:vAlign w:val="bottom"/>
            <w:tcBorders>
              <w:bottom w:val="single" w:sz="8" w:color="3051F2"/>
            </w:tcBorders>
            <w:gridSpan w:val="6"/>
            <w:vMerge w:val="continue"/>
          </w:tcPr>
          <w:p>
            <w:pPr>
              <w:spacing w:after="0"/>
              <w:rPr>
                <w:sz w:val="11"/>
                <w:szCs w:val="11"/>
                <w:color w:val="auto"/>
              </w:rPr>
            </w:pPr>
          </w:p>
        </w:tc>
        <w:tc>
          <w:tcPr>
            <w:tcW w:w="7920" w:type="dxa"/>
            <w:vAlign w:val="bottom"/>
            <w:gridSpan w:val="11"/>
            <w:vMerge w:val="continue"/>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980" w:type="dxa"/>
            <w:vAlign w:val="bottom"/>
            <w:vMerge w:val="restart"/>
          </w:tcPr>
          <w:p>
            <w:pPr>
              <w:spacing w:after="0"/>
              <w:rPr>
                <w:sz w:val="20"/>
                <w:szCs w:val="20"/>
                <w:color w:val="auto"/>
              </w:rPr>
            </w:pPr>
            <w:r>
              <w:rPr>
                <w:rFonts w:ascii="Arial" w:cs="Arial" w:eastAsia="Arial" w:hAnsi="Arial"/>
                <w:sz w:val="16"/>
                <w:szCs w:val="16"/>
                <w:color w:val="auto"/>
              </w:rPr>
              <w:t>Item 5.</w:t>
            </w:r>
          </w:p>
        </w:tc>
        <w:tc>
          <w:tcPr>
            <w:tcW w:w="9520" w:type="dxa"/>
            <w:vAlign w:val="bottom"/>
            <w:gridSpan w:val="17"/>
            <w:vMerge w:val="restart"/>
          </w:tcPr>
          <w:p>
            <w:pPr>
              <w:spacing w:after="0"/>
              <w:rPr>
                <w:sz w:val="20"/>
                <w:szCs w:val="20"/>
                <w:color w:val="auto"/>
              </w:rPr>
            </w:pPr>
            <w:r>
              <w:rPr>
                <w:rFonts w:ascii="Arial" w:cs="Arial" w:eastAsia="Arial" w:hAnsi="Arial"/>
                <w:sz w:val="16"/>
                <w:szCs w:val="16"/>
                <w:color w:val="3051F2"/>
              </w:rPr>
              <w:t>Other Information</w:t>
            </w:r>
          </w:p>
        </w:tc>
        <w:tc>
          <w:tcPr>
            <w:tcW w:w="580" w:type="dxa"/>
            <w:vAlign w:val="bottom"/>
          </w:tcPr>
          <w:p>
            <w:pPr>
              <w:jc w:val="center"/>
              <w:ind w:left="19"/>
              <w:spacing w:after="0"/>
              <w:rPr>
                <w:sz w:val="20"/>
                <w:szCs w:val="20"/>
                <w:color w:val="auto"/>
              </w:rPr>
            </w:pPr>
            <w:r>
              <w:rPr>
                <w:rFonts w:ascii="Arial" w:cs="Arial" w:eastAsia="Arial" w:hAnsi="Arial"/>
                <w:sz w:val="16"/>
                <w:szCs w:val="16"/>
                <w:color w:val="auto"/>
                <w:w w:val="89"/>
              </w:rPr>
              <w:t>33</w:t>
            </w:r>
          </w:p>
        </w:tc>
        <w:tc>
          <w:tcPr>
            <w:tcW w:w="0" w:type="dxa"/>
            <w:vAlign w:val="bottom"/>
          </w:tcPr>
          <w:p>
            <w:pPr>
              <w:spacing w:after="0"/>
              <w:rPr>
                <w:sz w:val="1"/>
                <w:szCs w:val="1"/>
                <w:color w:val="auto"/>
              </w:rPr>
            </w:pPr>
          </w:p>
        </w:tc>
      </w:tr>
      <w:tr>
        <w:trPr>
          <w:trHeight w:val="128"/>
        </w:trPr>
        <w:tc>
          <w:tcPr>
            <w:tcW w:w="980" w:type="dxa"/>
            <w:vAlign w:val="bottom"/>
            <w:vMerge w:val="continue"/>
          </w:tcPr>
          <w:p>
            <w:pPr>
              <w:spacing w:after="0"/>
              <w:rPr>
                <w:sz w:val="11"/>
                <w:szCs w:val="11"/>
                <w:color w:val="auto"/>
              </w:rPr>
            </w:pPr>
          </w:p>
        </w:tc>
        <w:tc>
          <w:tcPr>
            <w:tcW w:w="9520" w:type="dxa"/>
            <w:vAlign w:val="bottom"/>
            <w:gridSpan w:val="17"/>
            <w:vMerge w:val="continue"/>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980" w:type="dxa"/>
            <w:vAlign w:val="bottom"/>
            <w:vMerge w:val="restart"/>
          </w:tcPr>
          <w:p>
            <w:pPr>
              <w:spacing w:after="0"/>
              <w:rPr>
                <w:sz w:val="20"/>
                <w:szCs w:val="20"/>
                <w:color w:val="auto"/>
              </w:rPr>
            </w:pPr>
            <w:r>
              <w:rPr>
                <w:rFonts w:ascii="Arial" w:cs="Arial" w:eastAsia="Arial" w:hAnsi="Arial"/>
                <w:sz w:val="16"/>
                <w:szCs w:val="16"/>
                <w:color w:val="auto"/>
              </w:rPr>
              <w:t>Item 6.</w:t>
            </w:r>
          </w:p>
        </w:tc>
        <w:tc>
          <w:tcPr>
            <w:tcW w:w="1180" w:type="dxa"/>
            <w:vAlign w:val="bottom"/>
            <w:tcBorders>
              <w:top w:val="single" w:sz="8" w:color="3051F2"/>
            </w:tcBorders>
            <w:gridSpan w:val="3"/>
            <w:vMerge w:val="restart"/>
          </w:tcPr>
          <w:p>
            <w:pPr>
              <w:spacing w:after="0"/>
              <w:rPr>
                <w:sz w:val="20"/>
                <w:szCs w:val="20"/>
                <w:color w:val="auto"/>
              </w:rPr>
            </w:pPr>
            <w:r>
              <w:rPr>
                <w:rFonts w:ascii="Arial" w:cs="Arial" w:eastAsia="Arial" w:hAnsi="Arial"/>
                <w:sz w:val="16"/>
                <w:szCs w:val="16"/>
                <w:color w:val="3051F2"/>
              </w:rPr>
              <w:t>Exhibits</w:t>
            </w:r>
          </w:p>
        </w:tc>
        <w:tc>
          <w:tcPr>
            <w:tcW w:w="8340" w:type="dxa"/>
            <w:vAlign w:val="bottom"/>
            <w:gridSpan w:val="14"/>
            <w:vMerge w:val="restart"/>
          </w:tcPr>
          <w:p>
            <w:pPr>
              <w:spacing w:after="0"/>
              <w:rPr>
                <w:sz w:val="22"/>
                <w:szCs w:val="22"/>
                <w:color w:val="auto"/>
              </w:rPr>
            </w:pPr>
          </w:p>
        </w:tc>
        <w:tc>
          <w:tcPr>
            <w:tcW w:w="580" w:type="dxa"/>
            <w:vAlign w:val="bottom"/>
          </w:tcPr>
          <w:p>
            <w:pPr>
              <w:jc w:val="center"/>
              <w:ind w:left="19"/>
              <w:spacing w:after="0"/>
              <w:rPr>
                <w:sz w:val="20"/>
                <w:szCs w:val="20"/>
                <w:color w:val="auto"/>
              </w:rPr>
            </w:pPr>
            <w:r>
              <w:rPr>
                <w:rFonts w:ascii="Arial" w:cs="Arial" w:eastAsia="Arial" w:hAnsi="Arial"/>
                <w:sz w:val="16"/>
                <w:szCs w:val="16"/>
                <w:color w:val="auto"/>
                <w:w w:val="89"/>
              </w:rPr>
              <w:t>34</w:t>
            </w:r>
          </w:p>
        </w:tc>
        <w:tc>
          <w:tcPr>
            <w:tcW w:w="0" w:type="dxa"/>
            <w:vAlign w:val="bottom"/>
          </w:tcPr>
          <w:p>
            <w:pPr>
              <w:spacing w:after="0"/>
              <w:rPr>
                <w:sz w:val="1"/>
                <w:szCs w:val="1"/>
                <w:color w:val="auto"/>
              </w:rPr>
            </w:pPr>
          </w:p>
        </w:tc>
      </w:tr>
      <w:tr>
        <w:trPr>
          <w:trHeight w:val="128"/>
        </w:trPr>
        <w:tc>
          <w:tcPr>
            <w:tcW w:w="980" w:type="dxa"/>
            <w:vAlign w:val="bottom"/>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8340" w:type="dxa"/>
            <w:vAlign w:val="bottom"/>
            <w:gridSpan w:val="14"/>
            <w:vMerge w:val="continue"/>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14"/>
        </w:trPr>
        <w:tc>
          <w:tcPr>
            <w:tcW w:w="980" w:type="dxa"/>
            <w:vAlign w:val="bottom"/>
            <w:vMerge w:val="restart"/>
          </w:tcPr>
          <w:p>
            <w:pPr>
              <w:spacing w:after="0"/>
              <w:rPr>
                <w:sz w:val="20"/>
                <w:szCs w:val="20"/>
                <w:color w:val="auto"/>
              </w:rPr>
            </w:pPr>
            <w:r>
              <w:rPr>
                <w:rFonts w:ascii="Arial" w:cs="Arial" w:eastAsia="Arial" w:hAnsi="Arial"/>
                <w:sz w:val="16"/>
                <w:szCs w:val="16"/>
                <w:b w:val="1"/>
                <w:bCs w:val="1"/>
                <w:color w:val="auto"/>
              </w:rPr>
              <w:t>Signatures</w:t>
            </w:r>
          </w:p>
        </w:tc>
        <w:tc>
          <w:tcPr>
            <w:tcW w:w="540" w:type="dxa"/>
            <w:vAlign w:val="bottom"/>
            <w:tcBorders>
              <w:top w:val="single" w:sz="8" w:color="3051F2"/>
            </w:tcBorders>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center"/>
              <w:ind w:left="19"/>
              <w:spacing w:after="0"/>
              <w:rPr>
                <w:sz w:val="20"/>
                <w:szCs w:val="20"/>
                <w:color w:val="auto"/>
              </w:rPr>
            </w:pPr>
            <w:r>
              <w:rPr>
                <w:rFonts w:ascii="Arial" w:cs="Arial" w:eastAsia="Arial" w:hAnsi="Arial"/>
                <w:sz w:val="16"/>
                <w:szCs w:val="16"/>
                <w:color w:val="auto"/>
                <w:w w:val="89"/>
              </w:rPr>
              <w:t>35</w:t>
            </w:r>
          </w:p>
        </w:tc>
        <w:tc>
          <w:tcPr>
            <w:tcW w:w="0" w:type="dxa"/>
            <w:vAlign w:val="bottom"/>
          </w:tcPr>
          <w:p>
            <w:pPr>
              <w:spacing w:after="0"/>
              <w:rPr>
                <w:sz w:val="1"/>
                <w:szCs w:val="1"/>
                <w:color w:val="auto"/>
              </w:rPr>
            </w:pPr>
          </w:p>
        </w:tc>
      </w:tr>
      <w:tr>
        <w:trPr>
          <w:trHeight w:val="162"/>
        </w:trPr>
        <w:tc>
          <w:tcPr>
            <w:tcW w:w="98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0" w:right="47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17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6"/>
          <w:szCs w:val="16"/>
          <w:color w:val="auto"/>
        </w:rPr>
        <w:t>This Quarterly Report on Form 10-Q contains forward-looking statements that involve substantial risks and uncertainties. All statements other than statements of historical facts contained in this Quarterly Report on Form 10-Q, including statements regarding future events or our future results of operations, financial condition, business, strategies, financial needs, and the plans and objectives of management, are forward-looking statements. In some cases you can identify forward-looking statements because they contain words such as “anticipate,” “believe,” “continue,” “could,” “estimate,” “expect,” “intend,” “may,” “might,” “likely,” “plan,” “potential,” “predict,” “project,” “seek,” “should,” “target,” “will,” “would,” or similar expressions and the negatives of those terms. These forward-looking statements include, but are not limited to, statements concerning the following:</w:t>
      </w:r>
    </w:p>
    <w:p>
      <w:pPr>
        <w:spacing w:after="0" w:line="145" w:lineRule="exact"/>
        <w:rPr>
          <w:sz w:val="20"/>
          <w:szCs w:val="20"/>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our revenue, expenses, and other operating results;</w:t>
      </w:r>
    </w:p>
    <w:p>
      <w:pPr>
        <w:spacing w:after="0" w:line="59"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acquire new customers and successfully retain existing customers;</w:t>
      </w:r>
    </w:p>
    <w:p>
      <w:pPr>
        <w:spacing w:after="0" w:line="72"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develop new products and services and bring them to market in a timely manner;</w:t>
      </w:r>
    </w:p>
    <w:p>
      <w:pPr>
        <w:spacing w:after="0" w:line="59"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achieve or sustain our profitability;</w:t>
      </w:r>
    </w:p>
    <w:p>
      <w:pPr>
        <w:spacing w:after="0" w:line="59"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and expand our strategic relationships with third parties;</w:t>
      </w:r>
    </w:p>
    <w:p>
      <w:pPr>
        <w:spacing w:after="0" w:line="72"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plan and our ability to effectively manage our growth;</w:t>
      </w:r>
    </w:p>
    <w:p>
      <w:pPr>
        <w:spacing w:after="0" w:line="59"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market opportunity, including our total addressable market;</w:t>
      </w:r>
    </w:p>
    <w:p>
      <w:pPr>
        <w:spacing w:after="0" w:line="59"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anticipated trends, growth rates, and challenges in our business and in the markets in which we operate;</w:t>
      </w:r>
    </w:p>
    <w:p>
      <w:pPr>
        <w:spacing w:after="0" w:line="72"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attract and retain qualified employees;</w:t>
      </w:r>
    </w:p>
    <w:p>
      <w:pPr>
        <w:spacing w:after="0" w:line="59"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COVID-19 pandemic, and its impact on our employees, customers, strategic partners, vendors, results of operations, liquidity, and financial condition;</w:t>
      </w:r>
    </w:p>
    <w:p>
      <w:pPr>
        <w:spacing w:after="0" w:line="84" w:lineRule="exact"/>
        <w:rPr>
          <w:rFonts w:ascii="Arial" w:cs="Arial" w:eastAsia="Arial" w:hAnsi="Arial"/>
          <w:sz w:val="15"/>
          <w:szCs w:val="15"/>
          <w:color w:val="auto"/>
        </w:rPr>
      </w:pPr>
    </w:p>
    <w:p>
      <w:pPr>
        <w:ind w:left="560" w:hanging="228"/>
        <w:spacing w:after="0"/>
        <w:tabs>
          <w:tab w:leader="none" w:pos="560" w:val="left"/>
        </w:tabs>
        <w:numPr>
          <w:ilvl w:val="0"/>
          <w:numId w:val="3"/>
        </w:numPr>
        <w:rPr>
          <w:rFonts w:ascii="Arial" w:cs="Arial" w:eastAsia="Arial" w:hAnsi="Arial"/>
          <w:sz w:val="14"/>
          <w:szCs w:val="14"/>
          <w:color w:val="auto"/>
        </w:rPr>
      </w:pPr>
      <w:r>
        <w:rPr>
          <w:rFonts w:ascii="Arial" w:cs="Arial" w:eastAsia="Arial" w:hAnsi="Arial"/>
          <w:sz w:val="14"/>
          <w:szCs w:val="14"/>
          <w:color w:val="auto"/>
        </w:rPr>
        <w:t>uncertainties regarding the impact of general economic and market conditions, including as a result of regional and global conflicts or related government sanctions;</w:t>
      </w:r>
    </w:p>
    <w:p>
      <w:pPr>
        <w:spacing w:after="0" w:line="82" w:lineRule="exact"/>
        <w:rPr>
          <w:rFonts w:ascii="Arial" w:cs="Arial" w:eastAsia="Arial" w:hAnsi="Arial"/>
          <w:sz w:val="14"/>
          <w:szCs w:val="14"/>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the security and availability of our solutions;</w:t>
      </w:r>
    </w:p>
    <w:p>
      <w:pPr>
        <w:spacing w:after="0" w:line="59"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our money transmission licenses and other regulatory approvals;</w:t>
      </w:r>
    </w:p>
    <w:p>
      <w:pPr>
        <w:spacing w:after="0" w:line="72"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and expand internationally; and</w:t>
      </w:r>
    </w:p>
    <w:p>
      <w:pPr>
        <w:spacing w:after="0" w:line="59"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expectations regarding anticipated technology needs and developments and our ability to address those needs and developments with our solutions.</w:t>
      </w:r>
    </w:p>
    <w:p>
      <w:pPr>
        <w:spacing w:after="0" w:line="192" w:lineRule="exact"/>
        <w:rPr>
          <w:sz w:val="20"/>
          <w:szCs w:val="20"/>
          <w:color w:val="auto"/>
        </w:rPr>
      </w:pPr>
    </w:p>
    <w:p>
      <w:pPr>
        <w:ind w:firstLine="324"/>
        <w:spacing w:after="0" w:line="275" w:lineRule="auto"/>
        <w:rPr>
          <w:sz w:val="20"/>
          <w:szCs w:val="20"/>
          <w:color w:val="auto"/>
        </w:rPr>
      </w:pPr>
      <w:r>
        <w:rPr>
          <w:rFonts w:ascii="Arial" w:cs="Arial" w:eastAsia="Arial" w:hAnsi="Arial"/>
          <w:sz w:val="15"/>
          <w:szCs w:val="15"/>
          <w:color w:val="auto"/>
        </w:rPr>
        <w:t>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Quarterly Report on Form 10-Q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 These forward-looking statements are subject to a number of risks, uncertainties and assumptions, including those described in “Risk Factors” in this Quarterly Report on Form 10-Q.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w:t>
      </w:r>
    </w:p>
    <w:p>
      <w:pPr>
        <w:spacing w:after="0" w:line="125" w:lineRule="exact"/>
        <w:rPr>
          <w:sz w:val="20"/>
          <w:szCs w:val="20"/>
          <w:color w:val="auto"/>
        </w:rPr>
      </w:pPr>
    </w:p>
    <w:p>
      <w:pPr>
        <w:ind w:right="220" w:firstLine="324"/>
        <w:spacing w:after="0" w:line="293" w:lineRule="auto"/>
        <w:rPr>
          <w:sz w:val="20"/>
          <w:szCs w:val="20"/>
          <w:color w:val="auto"/>
        </w:rPr>
      </w:pPr>
      <w:r>
        <w:rPr>
          <w:rFonts w:ascii="Arial" w:cs="Arial" w:eastAsia="Arial" w:hAnsi="Arial"/>
          <w:sz w:val="16"/>
          <w:szCs w:val="16"/>
          <w:color w:val="auto"/>
        </w:rPr>
        <w:t>Unless the context otherwise requires, the terms “Remitly Global,” “Remitly,” “the Company,” “we,” “us,” and “our” in this Quarterly Report on Form 10-Q refer to Remitly Global, Inc. and our consolidated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0"/>
              </w:rPr>
              <w:t>Table of Contents</w:t>
            </w:r>
          </w:p>
        </w:tc>
        <w:tc>
          <w:tcPr>
            <w:tcW w:w="6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27"/>
        </w:trPr>
        <w:tc>
          <w:tcPr>
            <w:tcW w:w="8020" w:type="dxa"/>
            <w:vAlign w:val="bottom"/>
            <w:gridSpan w:val="2"/>
          </w:tcPr>
          <w:p>
            <w:pPr>
              <w:spacing w:after="0"/>
              <w:rPr>
                <w:sz w:val="20"/>
                <w:szCs w:val="20"/>
                <w:color w:val="auto"/>
              </w:rPr>
            </w:pPr>
            <w:r>
              <w:rPr>
                <w:rFonts w:ascii="Arial" w:cs="Arial" w:eastAsia="Arial" w:hAnsi="Arial"/>
                <w:sz w:val="16"/>
                <w:szCs w:val="16"/>
                <w:b w:val="1"/>
                <w:bCs w:val="1"/>
                <w:color w:val="auto"/>
              </w:rPr>
              <w:t>Part 1. Financial Information</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20" w:type="dxa"/>
            <w:vAlign w:val="bottom"/>
            <w:gridSpan w:val="2"/>
          </w:tcPr>
          <w:p>
            <w:pPr>
              <w:spacing w:after="0"/>
              <w:rPr>
                <w:sz w:val="20"/>
                <w:szCs w:val="20"/>
                <w:color w:val="auto"/>
              </w:rPr>
            </w:pPr>
            <w:r>
              <w:rPr>
                <w:rFonts w:ascii="Arial" w:cs="Arial" w:eastAsia="Arial" w:hAnsi="Arial"/>
                <w:sz w:val="16"/>
                <w:szCs w:val="16"/>
                <w:b w:val="1"/>
                <w:bCs w:val="1"/>
                <w:color w:val="auto"/>
              </w:rPr>
              <w:t>Item 1. Financial Statements (Unaudited)</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860" w:type="dxa"/>
            <w:vAlign w:val="bottom"/>
          </w:tcPr>
          <w:p>
            <w:pPr>
              <w:jc w:val="center"/>
              <w:ind w:left="1979"/>
              <w:spacing w:after="0"/>
              <w:rPr>
                <w:sz w:val="20"/>
                <w:szCs w:val="20"/>
                <w:color w:val="auto"/>
              </w:rPr>
            </w:pPr>
            <w:r>
              <w:rPr>
                <w:rFonts w:ascii="Arial" w:cs="Arial" w:eastAsia="Arial" w:hAnsi="Arial"/>
                <w:sz w:val="16"/>
                <w:szCs w:val="16"/>
                <w:b w:val="1"/>
                <w:bCs w:val="1"/>
                <w:color w:val="auto"/>
              </w:rPr>
              <w:t>REMITLY GLOBAL, INC.</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6860" w:type="dxa"/>
            <w:vAlign w:val="bottom"/>
          </w:tcPr>
          <w:p>
            <w:pPr>
              <w:jc w:val="center"/>
              <w:ind w:left="1999"/>
              <w:spacing w:after="0"/>
              <w:rPr>
                <w:sz w:val="20"/>
                <w:szCs w:val="20"/>
                <w:color w:val="auto"/>
              </w:rPr>
            </w:pPr>
            <w:r>
              <w:rPr>
                <w:rFonts w:ascii="Arial" w:cs="Arial" w:eastAsia="Arial" w:hAnsi="Arial"/>
                <w:sz w:val="16"/>
                <w:szCs w:val="16"/>
                <w:b w:val="1"/>
                <w:bCs w:val="1"/>
                <w:color w:val="auto"/>
                <w:w w:val="88"/>
              </w:rPr>
              <w:t>Condensed Consolidated Balance Sheets</w:t>
            </w: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860" w:type="dxa"/>
            <w:vAlign w:val="bottom"/>
          </w:tcPr>
          <w:p>
            <w:pPr>
              <w:jc w:val="center"/>
              <w:ind w:left="1979"/>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i w:val="1"/>
                <w:iCs w:val="1"/>
                <w:color w:val="auto"/>
                <w:w w:val="90"/>
              </w:rPr>
              <w:t>in thousands, except share and per share data</w:t>
            </w:r>
            <w:r>
              <w:rPr>
                <w:rFonts w:ascii="Arial" w:cs="Arial" w:eastAsia="Arial" w:hAnsi="Arial"/>
                <w:sz w:val="16"/>
                <w:szCs w:val="16"/>
                <w:color w:val="auto"/>
                <w:w w:val="90"/>
              </w:rPr>
              <w:t>)</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6860" w:type="dxa"/>
            <w:vAlign w:val="bottom"/>
          </w:tcPr>
          <w:p>
            <w:pPr>
              <w:jc w:val="center"/>
              <w:ind w:left="1999"/>
              <w:spacing w:after="0"/>
              <w:rPr>
                <w:sz w:val="20"/>
                <w:szCs w:val="20"/>
                <w:color w:val="auto"/>
              </w:rPr>
            </w:pPr>
            <w:r>
              <w:rPr>
                <w:rFonts w:ascii="Arial" w:cs="Arial" w:eastAsia="Arial" w:hAnsi="Arial"/>
                <w:sz w:val="16"/>
                <w:szCs w:val="16"/>
                <w:color w:val="auto"/>
                <w:w w:val="91"/>
              </w:rPr>
              <w:t>(unaudited)</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21"/>
                <w:szCs w:val="21"/>
                <w:color w:val="auto"/>
              </w:rPr>
            </w:pPr>
          </w:p>
        </w:tc>
        <w:tc>
          <w:tcPr>
            <w:tcW w:w="1360" w:type="dxa"/>
            <w:vAlign w:val="bottom"/>
          </w:tcPr>
          <w:p>
            <w:pPr>
              <w:jc w:val="right"/>
              <w:ind w:right="239"/>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56"/>
        </w:trPr>
        <w:tc>
          <w:tcPr>
            <w:tcW w:w="1160" w:type="dxa"/>
            <w:vAlign w:val="bottom"/>
            <w:tcBorders>
              <w:bottom w:val="single" w:sz="8" w:color="CCEEFF"/>
            </w:tcBorders>
          </w:tcPr>
          <w:p>
            <w:pPr>
              <w:spacing w:after="0"/>
              <w:rPr>
                <w:sz w:val="22"/>
                <w:szCs w:val="22"/>
                <w:color w:val="auto"/>
              </w:rPr>
            </w:pPr>
          </w:p>
        </w:tc>
        <w:tc>
          <w:tcPr>
            <w:tcW w:w="68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020" w:type="dxa"/>
            <w:vAlign w:val="bottom"/>
            <w:gridSpan w:val="2"/>
          </w:tcPr>
          <w:p>
            <w:pPr>
              <w:ind w:left="2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429,709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403,262</w:t>
            </w:r>
          </w:p>
        </w:tc>
        <w:tc>
          <w:tcPr>
            <w:tcW w:w="0" w:type="dxa"/>
            <w:vAlign w:val="bottom"/>
          </w:tcPr>
          <w:p>
            <w:pPr>
              <w:spacing w:after="0"/>
              <w:rPr>
                <w:sz w:val="1"/>
                <w:szCs w:val="1"/>
                <w:color w:val="auto"/>
              </w:rPr>
            </w:pPr>
          </w:p>
        </w:tc>
      </w:tr>
      <w:tr>
        <w:trPr>
          <w:trHeight w:val="233"/>
        </w:trPr>
        <w:tc>
          <w:tcPr>
            <w:tcW w:w="8020" w:type="dxa"/>
            <w:vAlign w:val="bottom"/>
            <w:gridSpan w:val="2"/>
          </w:tcPr>
          <w:p>
            <w:pPr>
              <w:ind w:left="240"/>
              <w:spacing w:after="0"/>
              <w:rPr>
                <w:sz w:val="20"/>
                <w:szCs w:val="20"/>
                <w:color w:val="auto"/>
              </w:rPr>
            </w:pPr>
            <w:r>
              <w:rPr>
                <w:rFonts w:ascii="Arial" w:cs="Arial" w:eastAsia="Arial" w:hAnsi="Arial"/>
                <w:sz w:val="16"/>
                <w:szCs w:val="16"/>
                <w:color w:val="auto"/>
              </w:rPr>
              <w:t>Disbursement prefunding</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159,500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119,627</w:t>
            </w:r>
          </w:p>
        </w:tc>
        <w:tc>
          <w:tcPr>
            <w:tcW w:w="0" w:type="dxa"/>
            <w:vAlign w:val="bottom"/>
          </w:tcPr>
          <w:p>
            <w:pPr>
              <w:spacing w:after="0"/>
              <w:rPr>
                <w:sz w:val="1"/>
                <w:szCs w:val="1"/>
                <w:color w:val="auto"/>
              </w:rPr>
            </w:pPr>
          </w:p>
        </w:tc>
      </w:tr>
      <w:tr>
        <w:trPr>
          <w:trHeight w:val="253"/>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Customer funds receivable, net</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95,209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67,215</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19,680</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17,448</w:t>
            </w:r>
          </w:p>
        </w:tc>
        <w:tc>
          <w:tcPr>
            <w:tcW w:w="0" w:type="dxa"/>
            <w:vAlign w:val="bottom"/>
          </w:tcPr>
          <w:p>
            <w:pPr>
              <w:spacing w:after="0"/>
              <w:rPr>
                <w:sz w:val="1"/>
                <w:szCs w:val="1"/>
                <w:color w:val="auto"/>
              </w:rPr>
            </w:pPr>
          </w:p>
        </w:tc>
      </w:tr>
      <w:tr>
        <w:trPr>
          <w:trHeight w:val="243"/>
        </w:trPr>
        <w:tc>
          <w:tcPr>
            <w:tcW w:w="80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704,098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607,552</w:t>
            </w:r>
          </w:p>
        </w:tc>
        <w:tc>
          <w:tcPr>
            <w:tcW w:w="0" w:type="dxa"/>
            <w:vAlign w:val="bottom"/>
          </w:tcPr>
          <w:p>
            <w:pPr>
              <w:spacing w:after="0"/>
              <w:rPr>
                <w:sz w:val="1"/>
                <w:szCs w:val="1"/>
                <w:color w:val="auto"/>
              </w:rPr>
            </w:pPr>
          </w:p>
        </w:tc>
      </w:tr>
      <w:tr>
        <w:trPr>
          <w:trHeight w:val="233"/>
        </w:trPr>
        <w:tc>
          <w:tcPr>
            <w:tcW w:w="8020" w:type="dxa"/>
            <w:vAlign w:val="bottom"/>
            <w:gridSpan w:val="2"/>
          </w:tcPr>
          <w:p>
            <w:pPr>
              <w:ind w:left="20"/>
              <w:spacing w:after="0"/>
              <w:rPr>
                <w:sz w:val="20"/>
                <w:szCs w:val="20"/>
                <w:color w:val="auto"/>
              </w:rPr>
            </w:pPr>
            <w:r>
              <w:rPr>
                <w:rFonts w:ascii="Arial" w:cs="Arial" w:eastAsia="Arial" w:hAnsi="Arial"/>
                <w:sz w:val="16"/>
                <w:szCs w:val="16"/>
                <w:color w:val="auto"/>
              </w:rPr>
              <w:t>Restricted cash</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5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9,249</w:t>
            </w:r>
          </w:p>
        </w:tc>
        <w:tc>
          <w:tcPr>
            <w:tcW w:w="0" w:type="dxa"/>
            <w:vAlign w:val="bottom"/>
          </w:tcPr>
          <w:p>
            <w:pPr>
              <w:spacing w:after="0"/>
              <w:rPr>
                <w:sz w:val="1"/>
                <w:szCs w:val="1"/>
                <w:color w:val="auto"/>
              </w:rPr>
            </w:pPr>
          </w:p>
        </w:tc>
      </w:tr>
      <w:tr>
        <w:trPr>
          <w:trHeight w:val="233"/>
        </w:trPr>
        <w:tc>
          <w:tcPr>
            <w:tcW w:w="8020" w:type="dxa"/>
            <w:vAlign w:val="bottom"/>
            <w:gridSpan w:val="2"/>
          </w:tcPr>
          <w:p>
            <w:pPr>
              <w:ind w:left="20"/>
              <w:spacing w:after="0"/>
              <w:rPr>
                <w:sz w:val="20"/>
                <w:szCs w:val="20"/>
                <w:color w:val="auto"/>
              </w:rPr>
            </w:pPr>
            <w:r>
              <w:rPr>
                <w:rFonts w:ascii="Arial" w:cs="Arial" w:eastAsia="Arial" w:hAnsi="Arial"/>
                <w:sz w:val="16"/>
                <w:szCs w:val="16"/>
                <w:color w:val="auto"/>
              </w:rPr>
              <w:t>Operating lease right-of-use assets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10,146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5,302</w:t>
            </w:r>
          </w:p>
        </w:tc>
        <w:tc>
          <w:tcPr>
            <w:tcW w:w="0" w:type="dxa"/>
            <w:vAlign w:val="bottom"/>
          </w:tcPr>
          <w:p>
            <w:pPr>
              <w:spacing w:after="0"/>
              <w:rPr>
                <w:sz w:val="1"/>
                <w:szCs w:val="1"/>
                <w:color w:val="auto"/>
              </w:rPr>
            </w:pPr>
          </w:p>
        </w:tc>
      </w:tr>
      <w:tr>
        <w:trPr>
          <w:trHeight w:val="246"/>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assets, net</w:t>
            </w: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3,578</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3,510</w:t>
            </w:r>
          </w:p>
        </w:tc>
        <w:tc>
          <w:tcPr>
            <w:tcW w:w="0" w:type="dxa"/>
            <w:vAlign w:val="bottom"/>
          </w:tcPr>
          <w:p>
            <w:pPr>
              <w:spacing w:after="0"/>
              <w:rPr>
                <w:sz w:val="1"/>
                <w:szCs w:val="1"/>
                <w:color w:val="auto"/>
              </w:rPr>
            </w:pPr>
          </w:p>
        </w:tc>
      </w:tr>
      <w:tr>
        <w:trPr>
          <w:trHeight w:val="243"/>
        </w:trPr>
        <w:tc>
          <w:tcPr>
            <w:tcW w:w="8020" w:type="dxa"/>
            <w:vAlign w:val="bottom"/>
            <w:gridSpan w:val="2"/>
          </w:tcPr>
          <w:p>
            <w:pPr>
              <w:ind w:left="46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728,110</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625,664</w:t>
            </w:r>
          </w:p>
        </w:tc>
        <w:tc>
          <w:tcPr>
            <w:tcW w:w="0" w:type="dxa"/>
            <w:vAlign w:val="bottom"/>
          </w:tcPr>
          <w:p>
            <w:pPr>
              <w:spacing w:after="0"/>
              <w:rPr>
                <w:sz w:val="1"/>
                <w:szCs w:val="1"/>
                <w:color w:val="auto"/>
              </w:rPr>
            </w:pP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02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w:t>
            </w:r>
          </w:p>
        </w:tc>
        <w:tc>
          <w:tcPr>
            <w:tcW w:w="0" w:type="dxa"/>
            <w:vAlign w:val="bottom"/>
          </w:tcPr>
          <w:p>
            <w:pPr>
              <w:spacing w:after="0"/>
              <w:rPr>
                <w:sz w:val="1"/>
                <w:szCs w:val="1"/>
                <w:color w:val="auto"/>
              </w:rPr>
            </w:pPr>
          </w:p>
        </w:tc>
      </w:tr>
      <w:tr>
        <w:trPr>
          <w:trHeight w:val="233"/>
        </w:trPr>
        <w:tc>
          <w:tcPr>
            <w:tcW w:w="8020" w:type="dxa"/>
            <w:vAlign w:val="bottom"/>
            <w:gridSpan w:val="2"/>
          </w:tcPr>
          <w:p>
            <w:pPr>
              <w:ind w:left="240"/>
              <w:spacing w:after="0"/>
              <w:rPr>
                <w:sz w:val="20"/>
                <w:szCs w:val="20"/>
                <w:color w:val="auto"/>
              </w:rPr>
            </w:pPr>
            <w:r>
              <w:rPr>
                <w:rFonts w:ascii="Arial" w:cs="Arial" w:eastAsia="Arial" w:hAnsi="Arial"/>
                <w:sz w:val="16"/>
                <w:szCs w:val="16"/>
                <w:color w:val="auto"/>
              </w:rPr>
              <w:t>Customer liabilities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129,694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70,483</w:t>
            </w:r>
          </w:p>
        </w:tc>
        <w:tc>
          <w:tcPr>
            <w:tcW w:w="0" w:type="dxa"/>
            <w:vAlign w:val="bottom"/>
          </w:tcPr>
          <w:p>
            <w:pPr>
              <w:spacing w:after="0"/>
              <w:rPr>
                <w:sz w:val="1"/>
                <w:szCs w:val="1"/>
                <w:color w:val="auto"/>
              </w:rPr>
            </w:pPr>
          </w:p>
        </w:tc>
      </w:tr>
      <w:tr>
        <w:trPr>
          <w:trHeight w:val="253"/>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113,998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66,683</w:t>
            </w:r>
          </w:p>
        </w:tc>
        <w:tc>
          <w:tcPr>
            <w:tcW w:w="0" w:type="dxa"/>
            <w:vAlign w:val="bottom"/>
          </w:tcPr>
          <w:p>
            <w:pPr>
              <w:spacing w:after="0"/>
              <w:rPr>
                <w:sz w:val="1"/>
                <w:szCs w:val="1"/>
                <w:color w:val="auto"/>
              </w:rPr>
            </w:pPr>
          </w:p>
        </w:tc>
      </w:tr>
      <w:tr>
        <w:trPr>
          <w:trHeight w:val="236"/>
        </w:trPr>
        <w:tc>
          <w:tcPr>
            <w:tcW w:w="802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Operating lease liabilities</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2,726</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3,240</w:t>
            </w:r>
          </w:p>
        </w:tc>
        <w:tc>
          <w:tcPr>
            <w:tcW w:w="0" w:type="dxa"/>
            <w:vAlign w:val="bottom"/>
          </w:tcPr>
          <w:p>
            <w:pPr>
              <w:spacing w:after="0"/>
              <w:rPr>
                <w:sz w:val="1"/>
                <w:szCs w:val="1"/>
                <w:color w:val="auto"/>
              </w:rPr>
            </w:pPr>
          </w:p>
        </w:tc>
      </w:tr>
      <w:tr>
        <w:trPr>
          <w:trHeight w:val="243"/>
        </w:trPr>
        <w:tc>
          <w:tcPr>
            <w:tcW w:w="80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current liabilities</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251,877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141,616</w:t>
            </w:r>
          </w:p>
        </w:tc>
        <w:tc>
          <w:tcPr>
            <w:tcW w:w="0" w:type="dxa"/>
            <w:vAlign w:val="bottom"/>
          </w:tcPr>
          <w:p>
            <w:pPr>
              <w:spacing w:after="0"/>
              <w:rPr>
                <w:sz w:val="1"/>
                <w:szCs w:val="1"/>
                <w:color w:val="auto"/>
              </w:rPr>
            </w:pPr>
          </w:p>
        </w:tc>
      </w:tr>
      <w:tr>
        <w:trPr>
          <w:trHeight w:val="233"/>
        </w:trPr>
        <w:tc>
          <w:tcPr>
            <w:tcW w:w="8020" w:type="dxa"/>
            <w:vAlign w:val="bottom"/>
            <w:gridSpan w:val="2"/>
          </w:tcPr>
          <w:p>
            <w:pPr>
              <w:ind w:left="20"/>
              <w:spacing w:after="0"/>
              <w:rPr>
                <w:sz w:val="20"/>
                <w:szCs w:val="20"/>
                <w:color w:val="auto"/>
              </w:rPr>
            </w:pPr>
            <w:r>
              <w:rPr>
                <w:rFonts w:ascii="Arial" w:cs="Arial" w:eastAsia="Arial" w:hAnsi="Arial"/>
                <w:sz w:val="16"/>
                <w:szCs w:val="16"/>
                <w:color w:val="auto"/>
              </w:rPr>
              <w:t>Operating lease liabilities, noncurrent</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7,933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2,907</w:t>
            </w:r>
          </w:p>
        </w:tc>
        <w:tc>
          <w:tcPr>
            <w:tcW w:w="0" w:type="dxa"/>
            <w:vAlign w:val="bottom"/>
          </w:tcPr>
          <w:p>
            <w:pPr>
              <w:spacing w:after="0"/>
              <w:rPr>
                <w:sz w:val="1"/>
                <w:szCs w:val="1"/>
                <w:color w:val="auto"/>
              </w:rPr>
            </w:pPr>
          </w:p>
        </w:tc>
      </w:tr>
      <w:tr>
        <w:trPr>
          <w:trHeight w:val="246"/>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1,075</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260,885</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145,336</w:t>
            </w:r>
          </w:p>
        </w:tc>
        <w:tc>
          <w:tcPr>
            <w:tcW w:w="0" w:type="dxa"/>
            <w:vAlign w:val="bottom"/>
          </w:tcPr>
          <w:p>
            <w:pPr>
              <w:spacing w:after="0"/>
              <w:rPr>
                <w:sz w:val="1"/>
                <w:szCs w:val="1"/>
                <w:color w:val="auto"/>
              </w:rPr>
            </w:pPr>
          </w:p>
        </w:tc>
      </w:tr>
      <w:tr>
        <w:trPr>
          <w:trHeight w:val="21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14)</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8020" w:type="dxa"/>
            <w:vAlign w:val="bottom"/>
            <w:gridSpan w:val="2"/>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8020" w:type="dxa"/>
            <w:vAlign w:val="bottom"/>
            <w:gridSpan w:val="2"/>
          </w:tcPr>
          <w:p>
            <w:pPr>
              <w:ind w:left="20"/>
              <w:spacing w:after="0"/>
              <w:rPr>
                <w:sz w:val="20"/>
                <w:szCs w:val="20"/>
                <w:color w:val="auto"/>
              </w:rPr>
            </w:pPr>
            <w:r>
              <w:rPr>
                <w:rFonts w:ascii="Arial" w:cs="Arial" w:eastAsia="Arial" w:hAnsi="Arial"/>
                <w:sz w:val="16"/>
                <w:szCs w:val="16"/>
                <w:color w:val="auto"/>
              </w:rPr>
              <w:t>Stockholders' equity</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w w:val="93"/>
              </w:rPr>
              <w:t>Common stock, $0.0001 par value; 725,000,000 shares authorized as of June 30, 2022 and December 31, 2021 both;</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w w:val="99"/>
              </w:rPr>
              <w:t>167,789,651 and 164,239,555 shares issued and outstanding, as of June 30, 2022 and December 31, 2021,</w:t>
            </w: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02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respectively</w:t>
            </w:r>
          </w:p>
        </w:tc>
        <w:tc>
          <w:tcPr>
            <w:tcW w:w="3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2"/>
        </w:trPr>
        <w:tc>
          <w:tcPr>
            <w:tcW w:w="1160" w:type="dxa"/>
            <w:vAlign w:val="bottom"/>
            <w:shd w:val="clear" w:color="auto" w:fill="CCEEFF"/>
          </w:tcPr>
          <w:p>
            <w:pPr>
              <w:spacing w:after="0"/>
              <w:rPr>
                <w:sz w:val="15"/>
                <w:szCs w:val="15"/>
                <w:color w:val="auto"/>
              </w:rPr>
            </w:pPr>
          </w:p>
        </w:tc>
        <w:tc>
          <w:tcPr>
            <w:tcW w:w="6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8020" w:type="dxa"/>
            <w:vAlign w:val="bottom"/>
            <w:gridSpan w:val="2"/>
          </w:tcPr>
          <w:p>
            <w:pPr>
              <w:ind w:left="240"/>
              <w:spacing w:after="0"/>
              <w:rPr>
                <w:sz w:val="20"/>
                <w:szCs w:val="20"/>
                <w:color w:val="auto"/>
              </w:rPr>
            </w:pPr>
            <w:r>
              <w:rPr>
                <w:rFonts w:ascii="Arial" w:cs="Arial" w:eastAsia="Arial" w:hAnsi="Arial"/>
                <w:sz w:val="16"/>
                <w:szCs w:val="16"/>
                <w:color w:val="auto"/>
              </w:rPr>
              <w:t>Additional paid-in capital</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789,221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739,503</w:t>
            </w:r>
          </w:p>
        </w:tc>
        <w:tc>
          <w:tcPr>
            <w:tcW w:w="0" w:type="dxa"/>
            <w:vAlign w:val="bottom"/>
          </w:tcPr>
          <w:p>
            <w:pPr>
              <w:spacing w:after="0"/>
              <w:rPr>
                <w:sz w:val="1"/>
                <w:szCs w:val="1"/>
                <w:color w:val="auto"/>
              </w:rPr>
            </w:pPr>
          </w:p>
        </w:tc>
      </w:tr>
      <w:tr>
        <w:trPr>
          <w:trHeight w:val="253"/>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(loss) income</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Accumulated deficit</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(320,999)</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(259,444)</w:t>
            </w:r>
          </w:p>
        </w:tc>
        <w:tc>
          <w:tcPr>
            <w:tcW w:w="0" w:type="dxa"/>
            <w:vAlign w:val="bottom"/>
          </w:tcPr>
          <w:p>
            <w:pPr>
              <w:spacing w:after="0"/>
              <w:rPr>
                <w:sz w:val="1"/>
                <w:szCs w:val="1"/>
                <w:color w:val="auto"/>
              </w:rPr>
            </w:pPr>
          </w:p>
        </w:tc>
      </w:tr>
      <w:tr>
        <w:trPr>
          <w:trHeight w:val="236"/>
        </w:trPr>
        <w:tc>
          <w:tcPr>
            <w:tcW w:w="80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467,225</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480,328</w:t>
            </w:r>
          </w:p>
        </w:tc>
        <w:tc>
          <w:tcPr>
            <w:tcW w:w="0" w:type="dxa"/>
            <w:vAlign w:val="bottom"/>
          </w:tcPr>
          <w:p>
            <w:pPr>
              <w:spacing w:after="0"/>
              <w:rPr>
                <w:sz w:val="1"/>
                <w:szCs w:val="1"/>
                <w:color w:val="auto"/>
              </w:rPr>
            </w:pPr>
          </w:p>
        </w:tc>
      </w:tr>
      <w:tr>
        <w:trPr>
          <w:trHeight w:val="243"/>
        </w:trPr>
        <w:tc>
          <w:tcPr>
            <w:tcW w:w="8020" w:type="dxa"/>
            <w:vAlign w:val="bottom"/>
            <w:gridSpan w:val="2"/>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728,110</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625,664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REMITLY GLOBAL,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 thousands, except share and per share data</w:t>
      </w:r>
      <w:r>
        <w:rPr>
          <w:rFonts w:ascii="Arial" w:cs="Arial" w:eastAsia="Arial" w:hAnsi="Arial"/>
          <w:sz w:val="16"/>
          <w:szCs w:val="16"/>
          <w:color w:val="auto"/>
        </w:rPr>
        <w: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8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9"/>
                <w:szCs w:val="19"/>
                <w:color w:val="auto"/>
              </w:rPr>
            </w:pPr>
          </w:p>
        </w:tc>
        <w:tc>
          <w:tcPr>
            <w:tcW w:w="286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Six Months Ended June 30,</w:t>
            </w:r>
          </w:p>
        </w:tc>
      </w:tr>
      <w:tr>
        <w:trPr>
          <w:trHeight w:val="237"/>
        </w:trPr>
        <w:tc>
          <w:tcPr>
            <w:tcW w:w="472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243"/>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157,255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111,050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293,269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202,106</w:t>
            </w:r>
          </w:p>
        </w:tc>
      </w:tr>
      <w:tr>
        <w:trPr>
          <w:trHeight w:val="213"/>
        </w:trPr>
        <w:tc>
          <w:tcPr>
            <w:tcW w:w="472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53"/>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Transaction expenses</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60,826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46,505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117,089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87,615</w:t>
            </w:r>
          </w:p>
        </w:tc>
      </w:tr>
      <w:tr>
        <w:trPr>
          <w:trHeight w:val="243"/>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Customer support and operations</w:t>
            </w:r>
            <w:r>
              <w:rPr>
                <w:rFonts w:ascii="Arial" w:cs="Arial" w:eastAsia="Arial" w:hAnsi="Arial"/>
                <w:sz w:val="21"/>
                <w:szCs w:val="21"/>
                <w:color w:val="auto"/>
                <w:vertAlign w:val="superscript"/>
              </w:rPr>
              <w:t>(1)</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16,855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11,799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30,725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20,430</w:t>
            </w:r>
          </w:p>
        </w:tc>
      </w:tr>
      <w:tr>
        <w:trPr>
          <w:trHeight w:val="243"/>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Marketing</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43,849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26,158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84,470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52,274</w:t>
            </w:r>
          </w:p>
        </w:tc>
      </w:tr>
      <w:tr>
        <w:trPr>
          <w:trHeight w:val="243"/>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Technology and development</w:t>
            </w:r>
            <w:r>
              <w:rPr>
                <w:rFonts w:ascii="Arial" w:cs="Arial" w:eastAsia="Arial" w:hAnsi="Arial"/>
                <w:sz w:val="21"/>
                <w:szCs w:val="21"/>
                <w:color w:val="auto"/>
                <w:vertAlign w:val="superscript"/>
              </w:rPr>
              <w:t>(1)</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36,083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15,198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59,658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26,842</w:t>
            </w:r>
          </w:p>
        </w:tc>
      </w:tr>
      <w:tr>
        <w:trPr>
          <w:trHeight w:val="243"/>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60,851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22,890</w:t>
            </w:r>
          </w:p>
        </w:tc>
      </w:tr>
      <w:tr>
        <w:trPr>
          <w:trHeight w:val="237"/>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1,510</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1,326</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3,027</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2,571</w:t>
            </w:r>
          </w:p>
        </w:tc>
      </w:tr>
      <w:tr>
        <w:trPr>
          <w:trHeight w:val="237"/>
        </w:trPr>
        <w:tc>
          <w:tcPr>
            <w:tcW w:w="47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costs and expenses</w:t>
            </w:r>
          </w:p>
        </w:tc>
        <w:tc>
          <w:tcPr>
            <w:tcW w:w="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196,632</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112,994</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355,820</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212,622</w:t>
            </w:r>
          </w:p>
        </w:tc>
      </w:tr>
      <w:tr>
        <w:trPr>
          <w:trHeight w:val="233"/>
        </w:trPr>
        <w:tc>
          <w:tcPr>
            <w:tcW w:w="4740" w:type="dxa"/>
            <w:vAlign w:val="bottom"/>
            <w:gridSpan w:val="2"/>
          </w:tcPr>
          <w:p>
            <w:pPr>
              <w:ind w:left="680"/>
              <w:spacing w:after="0"/>
              <w:rPr>
                <w:sz w:val="20"/>
                <w:szCs w:val="20"/>
                <w:color w:val="auto"/>
              </w:rPr>
            </w:pPr>
            <w:r>
              <w:rPr>
                <w:rFonts w:ascii="Arial" w:cs="Arial" w:eastAsia="Arial" w:hAnsi="Arial"/>
                <w:sz w:val="16"/>
                <w:szCs w:val="16"/>
                <w:color w:val="auto"/>
              </w:rPr>
              <w:t>Loss from operations</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(39,377)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(1,944)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(62,551)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(10,516)</w:t>
            </w:r>
          </w:p>
        </w:tc>
      </w:tr>
      <w:tr>
        <w:trPr>
          <w:trHeight w:val="253"/>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3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33"/>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(536)</w:t>
            </w:r>
          </w:p>
        </w:tc>
      </w:tr>
      <w:tr>
        <w:trPr>
          <w:trHeight w:val="246"/>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1,687</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2,356</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2,648</w:t>
            </w:r>
          </w:p>
        </w:tc>
      </w:tr>
      <w:tr>
        <w:trPr>
          <w:trHeight w:val="233"/>
        </w:trPr>
        <w:tc>
          <w:tcPr>
            <w:tcW w:w="4740" w:type="dxa"/>
            <w:vAlign w:val="bottom"/>
            <w:gridSpan w:val="2"/>
          </w:tcPr>
          <w:p>
            <w:pPr>
              <w:ind w:left="680"/>
              <w:spacing w:after="0"/>
              <w:rPr>
                <w:sz w:val="20"/>
                <w:szCs w:val="20"/>
                <w:color w:val="auto"/>
              </w:rPr>
            </w:pPr>
            <w:r>
              <w:rPr>
                <w:rFonts w:ascii="Arial" w:cs="Arial" w:eastAsia="Arial" w:hAnsi="Arial"/>
                <w:sz w:val="16"/>
                <w:szCs w:val="16"/>
                <w:color w:val="auto"/>
              </w:rPr>
              <w:t>Loss before provision for income taxes</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(37,583)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(994)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(60,365)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(8,394)</w:t>
            </w:r>
          </w:p>
        </w:tc>
      </w:tr>
      <w:tr>
        <w:trPr>
          <w:trHeight w:val="246"/>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1,190</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w:t>
            </w:r>
          </w:p>
        </w:tc>
      </w:tr>
      <w:tr>
        <w:trPr>
          <w:trHeight w:val="243"/>
        </w:trPr>
        <w:tc>
          <w:tcPr>
            <w:tcW w:w="4740" w:type="dxa"/>
            <w:vAlign w:val="bottom"/>
            <w:gridSpan w:val="2"/>
          </w:tcPr>
          <w:p>
            <w:pPr>
              <w:ind w:left="680"/>
              <w:spacing w:after="0"/>
              <w:rPr>
                <w:sz w:val="20"/>
                <w:szCs w:val="20"/>
                <w:color w:val="auto"/>
              </w:rPr>
            </w:pPr>
            <w:r>
              <w:rPr>
                <w:rFonts w:ascii="Arial" w:cs="Arial" w:eastAsia="Arial" w:hAnsi="Arial"/>
                <w:sz w:val="16"/>
                <w:szCs w:val="16"/>
                <w:color w:val="auto"/>
              </w:rPr>
              <w:t>Net loss attributable to common stockholders</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(38,245)</w:t>
            </w:r>
          </w:p>
        </w:tc>
        <w:tc>
          <w:tcPr>
            <w:tcW w:w="8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(1,448)</w:t>
            </w:r>
          </w:p>
        </w:tc>
        <w:tc>
          <w:tcPr>
            <w:tcW w:w="10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(61,555)</w:t>
            </w:r>
          </w:p>
        </w:tc>
        <w:tc>
          <w:tcPr>
            <w:tcW w:w="8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(9,218)</w:t>
            </w: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per share attributable to common stockholders:</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7"/>
        </w:trPr>
        <w:tc>
          <w:tcPr>
            <w:tcW w:w="47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Basic and diluted</w:t>
            </w: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(0.23)</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(0.37)</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(0.40)</w:t>
            </w:r>
          </w:p>
        </w:tc>
      </w:tr>
      <w:tr>
        <w:trPr>
          <w:trHeight w:val="193"/>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Weighted-average shares used in computing net loss per share</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9"/>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attributable to common stockholders:</w:t>
            </w:r>
          </w:p>
        </w:tc>
        <w:tc>
          <w:tcPr>
            <w:tcW w:w="3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r>
      <w:tr>
        <w:trPr>
          <w:trHeight w:val="237"/>
        </w:trPr>
        <w:tc>
          <w:tcPr>
            <w:tcW w:w="4740" w:type="dxa"/>
            <w:vAlign w:val="bottom"/>
            <w:gridSpan w:val="2"/>
          </w:tcPr>
          <w:p>
            <w:pPr>
              <w:ind w:left="680"/>
              <w:spacing w:after="0"/>
              <w:rPr>
                <w:sz w:val="20"/>
                <w:szCs w:val="20"/>
                <w:color w:val="auto"/>
              </w:rPr>
            </w:pPr>
            <w:r>
              <w:rPr>
                <w:rFonts w:ascii="Arial" w:cs="Arial" w:eastAsia="Arial" w:hAnsi="Arial"/>
                <w:sz w:val="16"/>
                <w:szCs w:val="16"/>
                <w:color w:val="auto"/>
              </w:rPr>
              <w:t>Basic and diluted</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166,498,333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23,717,827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165,450,862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23,216,865</w:t>
            </w:r>
          </w:p>
        </w:tc>
      </w:tr>
      <w:tr>
        <w:trPr>
          <w:trHeight w:val="274"/>
        </w:trPr>
        <w:tc>
          <w:tcPr>
            <w:tcW w:w="4720" w:type="dxa"/>
            <w:vAlign w:val="bottom"/>
          </w:tcPr>
          <w:p>
            <w:pPr>
              <w:spacing w:after="0"/>
              <w:rPr>
                <w:sz w:val="20"/>
                <w:szCs w:val="20"/>
                <w:color w:val="auto"/>
              </w:rPr>
            </w:pPr>
            <w:r>
              <w:rPr>
                <w:rFonts w:ascii="Arial" w:cs="Arial" w:eastAsia="Arial" w:hAnsi="Arial"/>
                <w:sz w:val="16"/>
                <w:szCs w:val="16"/>
                <w:color w:val="auto"/>
              </w:rPr>
              <w:t>__________________</w:t>
            </w:r>
          </w:p>
        </w:tc>
        <w:tc>
          <w:tcPr>
            <w:tcW w:w="2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2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r>
      <w:tr>
        <w:trPr>
          <w:trHeight w:val="206"/>
        </w:trPr>
        <w:tc>
          <w:tcPr>
            <w:tcW w:w="4740" w:type="dxa"/>
            <w:vAlign w:val="bottom"/>
            <w:gridSpan w:val="2"/>
          </w:tcPr>
          <w:p>
            <w:pPr>
              <w:spacing w:after="0"/>
              <w:rPr>
                <w:sz w:val="20"/>
                <w:szCs w:val="20"/>
                <w:color w:val="auto"/>
              </w:rPr>
            </w:pPr>
            <w:r>
              <w:rPr>
                <w:rFonts w:ascii="Arial" w:cs="Arial" w:eastAsia="Arial" w:hAnsi="Arial"/>
                <w:sz w:val="16"/>
                <w:szCs w:val="16"/>
                <w:color w:val="auto"/>
                <w:w w:val="91"/>
              </w:rPr>
              <w:t>(1) Exclusive of depreciation and amortization, shown separately, above.</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bl>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REMITLY GLOBAL,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Loss</w:t>
      </w:r>
    </w:p>
    <w:p>
      <w:pPr>
        <w:spacing w:after="0" w:line="8"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ind w:left="340"/>
              <w:spacing w:after="0"/>
              <w:rPr>
                <w:sz w:val="20"/>
                <w:szCs w:val="20"/>
                <w:color w:val="auto"/>
              </w:rPr>
            </w:pPr>
            <w:r>
              <w:rPr>
                <w:rFonts w:ascii="Arial" w:cs="Arial" w:eastAsia="Arial" w:hAnsi="Arial"/>
                <w:sz w:val="16"/>
                <w:szCs w:val="16"/>
                <w:color w:val="auto"/>
              </w:rPr>
              <w:t>(unaudited)</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17"/>
        </w:trPr>
        <w:tc>
          <w:tcPr>
            <w:tcW w:w="4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4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24"/>
                <w:szCs w:val="24"/>
                <w:color w:val="auto"/>
              </w:rPr>
            </w:pPr>
          </w:p>
        </w:tc>
        <w:tc>
          <w:tcPr>
            <w:tcW w:w="286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Six Months Ended June 30,</w:t>
            </w:r>
          </w:p>
        </w:tc>
      </w:tr>
      <w:tr>
        <w:trPr>
          <w:trHeight w:val="237"/>
        </w:trPr>
        <w:tc>
          <w:tcPr>
            <w:tcW w:w="474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243"/>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(38,245)</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(1,448)</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(61,555)</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(9,218)</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3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(1,271)</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(1,267)</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43"/>
        </w:trPr>
        <w:tc>
          <w:tcPr>
            <w:tcW w:w="474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(39,516)</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(1,432)</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(62,822)</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(9,234)</w:t>
            </w:r>
          </w:p>
        </w:tc>
      </w:tr>
      <w:tr>
        <w:trPr>
          <w:trHeight w:val="20"/>
        </w:trPr>
        <w:tc>
          <w:tcPr>
            <w:tcW w:w="4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REMITLY GLOBAL,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Redeemable Convertible Preferred Stock and Stockholders’ Equity (Deficit)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Months Ended June 30, 2022 and 2021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 thousands, except share data</w:t>
      </w:r>
      <w:r>
        <w:rPr>
          <w:rFonts w:ascii="Arial" w:cs="Arial" w:eastAsia="Arial" w:hAnsi="Arial"/>
          <w:sz w:val="16"/>
          <w:szCs w:val="16"/>
          <w:color w:val="auto"/>
        </w:rPr>
        <w: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0" w:type="dxa"/>
            <w:vAlign w:val="bottom"/>
            <w:gridSpan w:val="8"/>
          </w:tcPr>
          <w:p>
            <w:pPr>
              <w:ind w:left="260"/>
              <w:spacing w:after="0"/>
              <w:rPr>
                <w:sz w:val="20"/>
                <w:szCs w:val="20"/>
                <w:color w:val="auto"/>
              </w:rPr>
            </w:pPr>
            <w:r>
              <w:rPr>
                <w:rFonts w:ascii="Arial" w:cs="Arial" w:eastAsia="Arial" w:hAnsi="Arial"/>
                <w:sz w:val="14"/>
                <w:szCs w:val="14"/>
                <w:b w:val="1"/>
                <w:bCs w:val="1"/>
                <w:color w:val="auto"/>
              </w:rPr>
              <w:t>Three Months Ended June 30, 2022</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4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2400" w:type="dxa"/>
            <w:vAlign w:val="bottom"/>
            <w:tcBorders>
              <w:right w:val="single" w:sz="8" w:color="auto"/>
            </w:tcBorders>
            <w:gridSpan w:val="5"/>
            <w:vMerge w:val="restart"/>
          </w:tcPr>
          <w:p>
            <w:pPr>
              <w:jc w:val="center"/>
              <w:ind w:right="680"/>
              <w:spacing w:after="0"/>
              <w:rPr>
                <w:sz w:val="20"/>
                <w:szCs w:val="20"/>
                <w:color w:val="auto"/>
              </w:rPr>
            </w:pPr>
            <w:r>
              <w:rPr>
                <w:rFonts w:ascii="Arial" w:cs="Arial" w:eastAsia="Arial" w:hAnsi="Arial"/>
                <w:sz w:val="14"/>
                <w:szCs w:val="14"/>
                <w:b w:val="1"/>
                <w:bCs w:val="1"/>
                <w:color w:val="auto"/>
                <w:w w:val="93"/>
              </w:rPr>
              <w:t>Redeemable Convertible</w:t>
            </w: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Accumulated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8"/>
        </w:trPr>
        <w:tc>
          <w:tcPr>
            <w:tcW w:w="2420" w:type="dxa"/>
            <w:vAlign w:val="bottom"/>
          </w:tcPr>
          <w:p>
            <w:pPr>
              <w:spacing w:after="0"/>
              <w:rPr>
                <w:sz w:val="5"/>
                <w:szCs w:val="5"/>
                <w:color w:val="auto"/>
              </w:rPr>
            </w:pPr>
          </w:p>
        </w:tc>
        <w:tc>
          <w:tcPr>
            <w:tcW w:w="2400" w:type="dxa"/>
            <w:vAlign w:val="bottom"/>
            <w:tcBorders>
              <w:right w:val="single" w:sz="8" w:color="auto"/>
            </w:tcBorders>
            <w:gridSpan w:val="5"/>
            <w:vMerge w:val="continue"/>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gridSpan w:val="2"/>
            <w:vMerge w:val="restart"/>
          </w:tcPr>
          <w:p>
            <w:pPr>
              <w:jc w:val="center"/>
              <w:ind w:right="180"/>
              <w:spacing w:after="0" w:line="139" w:lineRule="exact"/>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400" w:type="dxa"/>
            <w:vAlign w:val="bottom"/>
            <w:tcBorders>
              <w:right w:val="single" w:sz="8" w:color="auto"/>
            </w:tcBorders>
            <w:gridSpan w:val="5"/>
            <w:vMerge w:val="restart"/>
          </w:tcPr>
          <w:p>
            <w:pPr>
              <w:jc w:val="center"/>
              <w:ind w:right="700"/>
              <w:spacing w:after="0"/>
              <w:rPr>
                <w:sz w:val="20"/>
                <w:szCs w:val="20"/>
                <w:color w:val="auto"/>
              </w:rPr>
            </w:pPr>
            <w:r>
              <w:rPr>
                <w:rFonts w:ascii="Arial" w:cs="Arial" w:eastAsia="Arial" w:hAnsi="Arial"/>
                <w:sz w:val="14"/>
                <w:szCs w:val="14"/>
                <w:b w:val="1"/>
                <w:bCs w:val="1"/>
                <w:color w:val="auto"/>
                <w:w w:val="93"/>
              </w:rPr>
              <w:t>Preferred Stock</w:t>
            </w:r>
          </w:p>
        </w:tc>
        <w:tc>
          <w:tcPr>
            <w:tcW w:w="660" w:type="dxa"/>
            <w:vAlign w:val="bottom"/>
          </w:tcPr>
          <w:p>
            <w:pPr>
              <w:spacing w:after="0"/>
              <w:rPr>
                <w:sz w:val="7"/>
                <w:szCs w:val="7"/>
                <w:color w:val="auto"/>
              </w:rPr>
            </w:pPr>
          </w:p>
        </w:tc>
        <w:tc>
          <w:tcPr>
            <w:tcW w:w="186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0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420" w:type="dxa"/>
            <w:vAlign w:val="bottom"/>
          </w:tcPr>
          <w:p>
            <w:pPr>
              <w:spacing w:after="0"/>
              <w:rPr>
                <w:sz w:val="9"/>
                <w:szCs w:val="9"/>
                <w:color w:val="auto"/>
              </w:rPr>
            </w:pPr>
          </w:p>
        </w:tc>
        <w:tc>
          <w:tcPr>
            <w:tcW w:w="2400" w:type="dxa"/>
            <w:vAlign w:val="bottom"/>
            <w:tcBorders>
              <w:right w:val="single" w:sz="8" w:color="auto"/>
            </w:tcBorders>
            <w:gridSpan w:val="5"/>
            <w:vMerge w:val="continue"/>
          </w:tcPr>
          <w:p>
            <w:pPr>
              <w:spacing w:after="0"/>
              <w:rPr>
                <w:sz w:val="9"/>
                <w:szCs w:val="9"/>
                <w:color w:val="auto"/>
              </w:rPr>
            </w:pPr>
          </w:p>
        </w:tc>
        <w:tc>
          <w:tcPr>
            <w:tcW w:w="660" w:type="dxa"/>
            <w:vAlign w:val="bottom"/>
          </w:tcPr>
          <w:p>
            <w:pPr>
              <w:spacing w:after="0"/>
              <w:rPr>
                <w:sz w:val="9"/>
                <w:szCs w:val="9"/>
                <w:color w:val="auto"/>
              </w:rPr>
            </w:pPr>
          </w:p>
        </w:tc>
        <w:tc>
          <w:tcPr>
            <w:tcW w:w="186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180"/>
              <w:spacing w:after="0" w:line="138" w:lineRule="exact"/>
              <w:rPr>
                <w:sz w:val="20"/>
                <w:szCs w:val="20"/>
                <w:color w:val="auto"/>
              </w:rPr>
            </w:pPr>
            <w:r>
              <w:rPr>
                <w:rFonts w:ascii="Arial" w:cs="Arial" w:eastAsia="Arial" w:hAnsi="Arial"/>
                <w:sz w:val="14"/>
                <w:szCs w:val="14"/>
                <w:b w:val="1"/>
                <w:bCs w:val="1"/>
                <w:color w:val="auto"/>
                <w:w w:val="98"/>
              </w:rPr>
              <w:t>Paid-in</w:t>
            </w:r>
          </w:p>
        </w:tc>
        <w:tc>
          <w:tcPr>
            <w:tcW w:w="1020" w:type="dxa"/>
            <w:vAlign w:val="bottom"/>
            <w:gridSpan w:val="3"/>
            <w:vMerge w:val="restart"/>
          </w:tcPr>
          <w:p>
            <w:pPr>
              <w:ind w:left="20"/>
              <w:spacing w:after="0" w:line="138" w:lineRule="exact"/>
              <w:rPr>
                <w:sz w:val="20"/>
                <w:szCs w:val="20"/>
                <w:color w:val="auto"/>
              </w:rPr>
            </w:pPr>
            <w:r>
              <w:rPr>
                <w:rFonts w:ascii="Arial" w:cs="Arial" w:eastAsia="Arial" w:hAnsi="Arial"/>
                <w:sz w:val="13"/>
                <w:szCs w:val="13"/>
                <w:b w:val="1"/>
                <w:bCs w:val="1"/>
                <w:color w:val="auto"/>
              </w:rPr>
              <w:t>Comprehensive</w:t>
            </w:r>
          </w:p>
        </w:tc>
        <w:tc>
          <w:tcPr>
            <w:tcW w:w="1000" w:type="dxa"/>
            <w:vAlign w:val="bottom"/>
            <w:gridSpan w:val="3"/>
            <w:vMerge w:val="continue"/>
          </w:tcPr>
          <w:p>
            <w:pPr>
              <w:spacing w:after="0"/>
              <w:rPr>
                <w:sz w:val="9"/>
                <w:szCs w:val="9"/>
                <w:color w:val="auto"/>
              </w:rPr>
            </w:pPr>
          </w:p>
        </w:tc>
        <w:tc>
          <w:tcPr>
            <w:tcW w:w="940" w:type="dxa"/>
            <w:vAlign w:val="bottom"/>
            <w:gridSpan w:val="2"/>
            <w:vMerge w:val="restart"/>
          </w:tcPr>
          <w:p>
            <w:pPr>
              <w:jc w:val="center"/>
              <w:spacing w:after="0" w:line="138"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39"/>
        </w:trPr>
        <w:tc>
          <w:tcPr>
            <w:tcW w:w="24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2420" w:type="dxa"/>
            <w:vAlign w:val="bottom"/>
          </w:tcPr>
          <w:p>
            <w:pPr>
              <w:spacing w:after="0"/>
              <w:rPr>
                <w:sz w:val="17"/>
                <w:szCs w:val="17"/>
                <w:color w:val="auto"/>
              </w:rPr>
            </w:pP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136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660" w:type="dxa"/>
            <w:vAlign w:val="bottom"/>
          </w:tcPr>
          <w:p>
            <w:pPr>
              <w:spacing w:after="0"/>
              <w:rPr>
                <w:sz w:val="17"/>
                <w:szCs w:val="17"/>
                <w:color w:val="auto"/>
              </w:rPr>
            </w:pPr>
          </w:p>
        </w:tc>
        <w:tc>
          <w:tcPr>
            <w:tcW w:w="98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10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2"/>
              </w:rPr>
              <w:t>Income (Loss)</w:t>
            </w:r>
          </w:p>
        </w:tc>
        <w:tc>
          <w:tcPr>
            <w:tcW w:w="18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Deficit</w:t>
            </w:r>
          </w:p>
        </w:tc>
        <w:tc>
          <w:tcPr>
            <w:tcW w:w="180" w:type="dxa"/>
            <w:vAlign w:val="bottom"/>
          </w:tcPr>
          <w:p>
            <w:pPr>
              <w:spacing w:after="0"/>
              <w:rPr>
                <w:sz w:val="17"/>
                <w:szCs w:val="17"/>
                <w:color w:val="auto"/>
              </w:rPr>
            </w:pPr>
          </w:p>
        </w:tc>
        <w:tc>
          <w:tcPr>
            <w:tcW w:w="76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6"/>
        </w:trPr>
        <w:tc>
          <w:tcPr>
            <w:tcW w:w="24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CCEEFF"/>
              <w:right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as of April 1, 2022</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CCEEFF"/>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166,138,369</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753,983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(282,754)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471,503</w:t>
            </w:r>
          </w:p>
        </w:tc>
        <w:tc>
          <w:tcPr>
            <w:tcW w:w="0" w:type="dxa"/>
            <w:vAlign w:val="bottom"/>
          </w:tcPr>
          <w:p>
            <w:pPr>
              <w:spacing w:after="0"/>
              <w:rPr>
                <w:sz w:val="1"/>
                <w:szCs w:val="1"/>
                <w:color w:val="auto"/>
              </w:rPr>
            </w:pPr>
          </w:p>
        </w:tc>
      </w:tr>
      <w:tr>
        <w:trPr>
          <w:trHeight w:val="184"/>
        </w:trPr>
        <w:tc>
          <w:tcPr>
            <w:tcW w:w="2420" w:type="dxa"/>
            <w:vAlign w:val="bottom"/>
          </w:tcPr>
          <w:p>
            <w:pPr>
              <w:ind w:left="20"/>
              <w:spacing w:after="0"/>
              <w:rPr>
                <w:sz w:val="20"/>
                <w:szCs w:val="20"/>
                <w:color w:val="auto"/>
              </w:rPr>
            </w:pPr>
            <w:r>
              <w:rPr>
                <w:rFonts w:ascii="Arial" w:cs="Arial" w:eastAsia="Arial" w:hAnsi="Arial"/>
                <w:sz w:val="14"/>
                <w:szCs w:val="14"/>
                <w:color w:val="auto"/>
                <w:w w:val="92"/>
              </w:rPr>
              <w:t>Issuance of common stock upon exercise</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20" w:type="dxa"/>
            <w:vAlign w:val="bottom"/>
          </w:tcPr>
          <w:p>
            <w:pPr>
              <w:ind w:left="180"/>
              <w:spacing w:after="0"/>
              <w:rPr>
                <w:sz w:val="20"/>
                <w:szCs w:val="20"/>
                <w:color w:val="auto"/>
              </w:rPr>
            </w:pPr>
            <w:r>
              <w:rPr>
                <w:rFonts w:ascii="Arial" w:cs="Arial" w:eastAsia="Arial" w:hAnsi="Arial"/>
                <w:sz w:val="14"/>
                <w:szCs w:val="14"/>
                <w:color w:val="auto"/>
              </w:rPr>
              <w:t>of stock options, including early</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20" w:type="dxa"/>
            <w:vAlign w:val="bottom"/>
          </w:tcPr>
          <w:p>
            <w:pPr>
              <w:ind w:left="180"/>
              <w:spacing w:after="0"/>
              <w:rPr>
                <w:sz w:val="20"/>
                <w:szCs w:val="20"/>
                <w:color w:val="auto"/>
              </w:rPr>
            </w:pPr>
            <w:r>
              <w:rPr>
                <w:rFonts w:ascii="Arial" w:cs="Arial" w:eastAsia="Arial" w:hAnsi="Arial"/>
                <w:sz w:val="14"/>
                <w:szCs w:val="14"/>
                <w:color w:val="auto"/>
              </w:rPr>
              <w:t>exercised options, and vesting of</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420" w:type="dxa"/>
            <w:vAlign w:val="bottom"/>
          </w:tcPr>
          <w:p>
            <w:pPr>
              <w:ind w:left="180"/>
              <w:spacing w:after="0"/>
              <w:rPr>
                <w:sz w:val="20"/>
                <w:szCs w:val="20"/>
                <w:color w:val="auto"/>
              </w:rPr>
            </w:pPr>
            <w:r>
              <w:rPr>
                <w:rFonts w:ascii="Arial" w:cs="Arial" w:eastAsia="Arial" w:hAnsi="Arial"/>
                <w:sz w:val="14"/>
                <w:szCs w:val="14"/>
                <w:color w:val="auto"/>
              </w:rPr>
              <w:t>restricted stock units</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6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1,653,909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2,154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2,154</w:t>
            </w:r>
          </w:p>
        </w:tc>
        <w:tc>
          <w:tcPr>
            <w:tcW w:w="0" w:type="dxa"/>
            <w:vAlign w:val="bottom"/>
          </w:tcPr>
          <w:p>
            <w:pPr>
              <w:spacing w:after="0"/>
              <w:rPr>
                <w:sz w:val="1"/>
                <w:szCs w:val="1"/>
                <w:color w:val="auto"/>
              </w:rPr>
            </w:pPr>
          </w:p>
        </w:tc>
      </w:tr>
      <w:tr>
        <w:trPr>
          <w:trHeight w:val="39"/>
        </w:trPr>
        <w:tc>
          <w:tcPr>
            <w:tcW w:w="2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24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1"/>
              </w:rPr>
              <w:t>Taxes paid related to net share settlement</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of equity awards</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(2,627)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90"/>
        </w:trPr>
        <w:tc>
          <w:tcPr>
            <w:tcW w:w="242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6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33,114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33,114</w:t>
            </w:r>
          </w:p>
        </w:tc>
        <w:tc>
          <w:tcPr>
            <w:tcW w:w="0" w:type="dxa"/>
            <w:vAlign w:val="bottom"/>
          </w:tcPr>
          <w:p>
            <w:pPr>
              <w:spacing w:after="0"/>
              <w:rPr>
                <w:sz w:val="1"/>
                <w:szCs w:val="1"/>
                <w:color w:val="auto"/>
              </w:rPr>
            </w:pPr>
          </w:p>
        </w:tc>
      </w:tr>
      <w:tr>
        <w:trPr>
          <w:trHeight w:val="39"/>
        </w:trPr>
        <w:tc>
          <w:tcPr>
            <w:tcW w:w="2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(1,271)</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(1,271)</w:t>
            </w:r>
          </w:p>
        </w:tc>
        <w:tc>
          <w:tcPr>
            <w:tcW w:w="0" w:type="dxa"/>
            <w:vAlign w:val="bottom"/>
          </w:tcPr>
          <w:p>
            <w:pPr>
              <w:spacing w:after="0"/>
              <w:rPr>
                <w:sz w:val="1"/>
                <w:szCs w:val="1"/>
                <w:color w:val="auto"/>
              </w:rPr>
            </w:pPr>
          </w:p>
        </w:tc>
      </w:tr>
      <w:tr>
        <w:trPr>
          <w:trHeight w:val="190"/>
        </w:trPr>
        <w:tc>
          <w:tcPr>
            <w:tcW w:w="2420" w:type="dxa"/>
            <w:vAlign w:val="bottom"/>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6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(38,245)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(38,245)</w:t>
            </w:r>
          </w:p>
        </w:tc>
        <w:tc>
          <w:tcPr>
            <w:tcW w:w="0" w:type="dxa"/>
            <w:vAlign w:val="bottom"/>
          </w:tcPr>
          <w:p>
            <w:pPr>
              <w:spacing w:after="0"/>
              <w:rPr>
                <w:sz w:val="1"/>
                <w:szCs w:val="1"/>
                <w:color w:val="auto"/>
              </w:rPr>
            </w:pPr>
          </w:p>
        </w:tc>
      </w:tr>
      <w:tr>
        <w:trPr>
          <w:trHeight w:val="39"/>
        </w:trPr>
        <w:tc>
          <w:tcPr>
            <w:tcW w:w="242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00" w:type="dxa"/>
            <w:vAlign w:val="bottom"/>
            <w:tcBorders>
              <w:bottom w:val="single" w:sz="8" w:color="CCEEFF"/>
              <w:right w:val="single" w:sz="8" w:color="auto"/>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June 30, 2022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right w:val="single" w:sz="8" w:color="auto"/>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167,789,651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789,221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(320,999)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467,225</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0" w:type="dxa"/>
            <w:vAlign w:val="bottom"/>
            <w:gridSpan w:val="8"/>
          </w:tcPr>
          <w:p>
            <w:pPr>
              <w:ind w:left="260"/>
              <w:spacing w:after="0"/>
              <w:rPr>
                <w:sz w:val="20"/>
                <w:szCs w:val="20"/>
                <w:color w:val="auto"/>
              </w:rPr>
            </w:pPr>
            <w:r>
              <w:rPr>
                <w:rFonts w:ascii="Arial" w:cs="Arial" w:eastAsia="Arial" w:hAnsi="Arial"/>
                <w:sz w:val="14"/>
                <w:szCs w:val="14"/>
                <w:b w:val="1"/>
                <w:bCs w:val="1"/>
                <w:color w:val="auto"/>
              </w:rPr>
              <w:t>Three Months Ended June 30, 2021</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4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2400" w:type="dxa"/>
            <w:vAlign w:val="bottom"/>
            <w:tcBorders>
              <w:right w:val="single" w:sz="8" w:color="auto"/>
            </w:tcBorders>
            <w:gridSpan w:val="5"/>
            <w:vMerge w:val="restart"/>
          </w:tcPr>
          <w:p>
            <w:pPr>
              <w:jc w:val="center"/>
              <w:ind w:right="680"/>
              <w:spacing w:after="0"/>
              <w:rPr>
                <w:sz w:val="20"/>
                <w:szCs w:val="20"/>
                <w:color w:val="auto"/>
              </w:rPr>
            </w:pPr>
            <w:r>
              <w:rPr>
                <w:rFonts w:ascii="Arial" w:cs="Arial" w:eastAsia="Arial" w:hAnsi="Arial"/>
                <w:sz w:val="14"/>
                <w:szCs w:val="14"/>
                <w:b w:val="1"/>
                <w:bCs w:val="1"/>
                <w:color w:val="auto"/>
                <w:w w:val="93"/>
              </w:rPr>
              <w:t>Redeemable Convertible</w:t>
            </w: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Accumulated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8"/>
        </w:trPr>
        <w:tc>
          <w:tcPr>
            <w:tcW w:w="2420" w:type="dxa"/>
            <w:vAlign w:val="bottom"/>
          </w:tcPr>
          <w:p>
            <w:pPr>
              <w:spacing w:after="0"/>
              <w:rPr>
                <w:sz w:val="5"/>
                <w:szCs w:val="5"/>
                <w:color w:val="auto"/>
              </w:rPr>
            </w:pPr>
          </w:p>
        </w:tc>
        <w:tc>
          <w:tcPr>
            <w:tcW w:w="2400" w:type="dxa"/>
            <w:vAlign w:val="bottom"/>
            <w:tcBorders>
              <w:right w:val="single" w:sz="8" w:color="auto"/>
            </w:tcBorders>
            <w:gridSpan w:val="5"/>
            <w:vMerge w:val="continue"/>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gridSpan w:val="2"/>
            <w:vMerge w:val="restart"/>
          </w:tcPr>
          <w:p>
            <w:pPr>
              <w:jc w:val="center"/>
              <w:ind w:right="180"/>
              <w:spacing w:after="0" w:line="139" w:lineRule="exact"/>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400" w:type="dxa"/>
            <w:vAlign w:val="bottom"/>
            <w:tcBorders>
              <w:right w:val="single" w:sz="8" w:color="auto"/>
            </w:tcBorders>
            <w:gridSpan w:val="5"/>
            <w:vMerge w:val="restart"/>
          </w:tcPr>
          <w:p>
            <w:pPr>
              <w:jc w:val="center"/>
              <w:ind w:right="700"/>
              <w:spacing w:after="0"/>
              <w:rPr>
                <w:sz w:val="20"/>
                <w:szCs w:val="20"/>
                <w:color w:val="auto"/>
              </w:rPr>
            </w:pPr>
            <w:r>
              <w:rPr>
                <w:rFonts w:ascii="Arial" w:cs="Arial" w:eastAsia="Arial" w:hAnsi="Arial"/>
                <w:sz w:val="14"/>
                <w:szCs w:val="14"/>
                <w:b w:val="1"/>
                <w:bCs w:val="1"/>
                <w:color w:val="auto"/>
                <w:w w:val="93"/>
              </w:rPr>
              <w:t>Preferred Stock</w:t>
            </w:r>
          </w:p>
        </w:tc>
        <w:tc>
          <w:tcPr>
            <w:tcW w:w="660" w:type="dxa"/>
            <w:vAlign w:val="bottom"/>
          </w:tcPr>
          <w:p>
            <w:pPr>
              <w:spacing w:after="0"/>
              <w:rPr>
                <w:sz w:val="7"/>
                <w:szCs w:val="7"/>
                <w:color w:val="auto"/>
              </w:rPr>
            </w:pPr>
          </w:p>
        </w:tc>
        <w:tc>
          <w:tcPr>
            <w:tcW w:w="186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0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420" w:type="dxa"/>
            <w:vAlign w:val="bottom"/>
          </w:tcPr>
          <w:p>
            <w:pPr>
              <w:spacing w:after="0"/>
              <w:rPr>
                <w:sz w:val="9"/>
                <w:szCs w:val="9"/>
                <w:color w:val="auto"/>
              </w:rPr>
            </w:pPr>
          </w:p>
        </w:tc>
        <w:tc>
          <w:tcPr>
            <w:tcW w:w="2400" w:type="dxa"/>
            <w:vAlign w:val="bottom"/>
            <w:tcBorders>
              <w:right w:val="single" w:sz="8" w:color="auto"/>
            </w:tcBorders>
            <w:gridSpan w:val="5"/>
            <w:vMerge w:val="continue"/>
          </w:tcPr>
          <w:p>
            <w:pPr>
              <w:spacing w:after="0"/>
              <w:rPr>
                <w:sz w:val="9"/>
                <w:szCs w:val="9"/>
                <w:color w:val="auto"/>
              </w:rPr>
            </w:pPr>
          </w:p>
        </w:tc>
        <w:tc>
          <w:tcPr>
            <w:tcW w:w="660" w:type="dxa"/>
            <w:vAlign w:val="bottom"/>
          </w:tcPr>
          <w:p>
            <w:pPr>
              <w:spacing w:after="0"/>
              <w:rPr>
                <w:sz w:val="9"/>
                <w:szCs w:val="9"/>
                <w:color w:val="auto"/>
              </w:rPr>
            </w:pPr>
          </w:p>
        </w:tc>
        <w:tc>
          <w:tcPr>
            <w:tcW w:w="186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180"/>
              <w:spacing w:after="0" w:line="138" w:lineRule="exact"/>
              <w:rPr>
                <w:sz w:val="20"/>
                <w:szCs w:val="20"/>
                <w:color w:val="auto"/>
              </w:rPr>
            </w:pPr>
            <w:r>
              <w:rPr>
                <w:rFonts w:ascii="Arial" w:cs="Arial" w:eastAsia="Arial" w:hAnsi="Arial"/>
                <w:sz w:val="14"/>
                <w:szCs w:val="14"/>
                <w:b w:val="1"/>
                <w:bCs w:val="1"/>
                <w:color w:val="auto"/>
                <w:w w:val="98"/>
              </w:rPr>
              <w:t>Paid-in</w:t>
            </w:r>
          </w:p>
        </w:tc>
        <w:tc>
          <w:tcPr>
            <w:tcW w:w="1020" w:type="dxa"/>
            <w:vAlign w:val="bottom"/>
            <w:gridSpan w:val="3"/>
            <w:vMerge w:val="restart"/>
          </w:tcPr>
          <w:p>
            <w:pPr>
              <w:jc w:val="center"/>
              <w:ind w:right="80"/>
              <w:spacing w:after="0" w:line="138" w:lineRule="exact"/>
              <w:rPr>
                <w:sz w:val="20"/>
                <w:szCs w:val="20"/>
                <w:color w:val="auto"/>
              </w:rPr>
            </w:pPr>
            <w:r>
              <w:rPr>
                <w:rFonts w:ascii="Arial" w:cs="Arial" w:eastAsia="Arial" w:hAnsi="Arial"/>
                <w:sz w:val="13"/>
                <w:szCs w:val="13"/>
                <w:b w:val="1"/>
                <w:bCs w:val="1"/>
                <w:color w:val="auto"/>
                <w:w w:val="92"/>
              </w:rPr>
              <w:t>Comprehensive</w:t>
            </w:r>
          </w:p>
        </w:tc>
        <w:tc>
          <w:tcPr>
            <w:tcW w:w="1000" w:type="dxa"/>
            <w:vAlign w:val="bottom"/>
            <w:gridSpan w:val="3"/>
            <w:vMerge w:val="continue"/>
          </w:tcPr>
          <w:p>
            <w:pPr>
              <w:spacing w:after="0"/>
              <w:rPr>
                <w:sz w:val="9"/>
                <w:szCs w:val="9"/>
                <w:color w:val="auto"/>
              </w:rPr>
            </w:pPr>
          </w:p>
        </w:tc>
        <w:tc>
          <w:tcPr>
            <w:tcW w:w="940" w:type="dxa"/>
            <w:vAlign w:val="bottom"/>
            <w:gridSpan w:val="2"/>
            <w:vMerge w:val="restart"/>
          </w:tcPr>
          <w:p>
            <w:pPr>
              <w:jc w:val="center"/>
              <w:spacing w:after="0" w:line="138"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39"/>
        </w:trPr>
        <w:tc>
          <w:tcPr>
            <w:tcW w:w="242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420" w:type="dxa"/>
            <w:vAlign w:val="bottom"/>
          </w:tcPr>
          <w:p>
            <w:pPr>
              <w:spacing w:after="0"/>
              <w:rPr>
                <w:sz w:val="17"/>
                <w:szCs w:val="17"/>
                <w:color w:val="auto"/>
              </w:rPr>
            </w:pP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136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660" w:type="dxa"/>
            <w:vAlign w:val="bottom"/>
          </w:tcPr>
          <w:p>
            <w:pPr>
              <w:spacing w:after="0"/>
              <w:rPr>
                <w:sz w:val="17"/>
                <w:szCs w:val="17"/>
                <w:color w:val="auto"/>
              </w:rPr>
            </w:pPr>
          </w:p>
        </w:tc>
        <w:tc>
          <w:tcPr>
            <w:tcW w:w="98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7"/>
                <w:szCs w:val="17"/>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Income</w:t>
            </w:r>
          </w:p>
        </w:tc>
        <w:tc>
          <w:tcPr>
            <w:tcW w:w="18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Deficit</w:t>
            </w:r>
          </w:p>
        </w:tc>
        <w:tc>
          <w:tcPr>
            <w:tcW w:w="180" w:type="dxa"/>
            <w:vAlign w:val="bottom"/>
          </w:tcPr>
          <w:p>
            <w:pPr>
              <w:spacing w:after="0"/>
              <w:rPr>
                <w:sz w:val="17"/>
                <w:szCs w:val="17"/>
                <w:color w:val="auto"/>
              </w:rPr>
            </w:pPr>
          </w:p>
        </w:tc>
        <w:tc>
          <w:tcPr>
            <w:tcW w:w="76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26"/>
        </w:trPr>
        <w:tc>
          <w:tcPr>
            <w:tcW w:w="24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CCEEFF"/>
              <w:right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as of April 1, 2021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127,410,631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390,707</w:t>
            </w:r>
          </w:p>
        </w:tc>
        <w:tc>
          <w:tcPr>
            <w:tcW w:w="700" w:type="dxa"/>
            <w:vAlign w:val="bottom"/>
            <w:tcBorders>
              <w:bottom w:val="single" w:sz="8" w:color="CCEEFF"/>
              <w:right w:val="single" w:sz="8" w:color="auto"/>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24,996,854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11,392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559</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(228,458)</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(216,505)</w:t>
            </w:r>
          </w:p>
        </w:tc>
        <w:tc>
          <w:tcPr>
            <w:tcW w:w="0" w:type="dxa"/>
            <w:vAlign w:val="bottom"/>
          </w:tcPr>
          <w:p>
            <w:pPr>
              <w:spacing w:after="0"/>
              <w:rPr>
                <w:sz w:val="1"/>
                <w:szCs w:val="1"/>
                <w:color w:val="auto"/>
              </w:rPr>
            </w:pPr>
          </w:p>
        </w:tc>
      </w:tr>
      <w:tr>
        <w:trPr>
          <w:trHeight w:val="184"/>
        </w:trPr>
        <w:tc>
          <w:tcPr>
            <w:tcW w:w="2420" w:type="dxa"/>
            <w:vAlign w:val="bottom"/>
          </w:tcPr>
          <w:p>
            <w:pPr>
              <w:ind w:left="20"/>
              <w:spacing w:after="0"/>
              <w:rPr>
                <w:sz w:val="20"/>
                <w:szCs w:val="20"/>
                <w:color w:val="auto"/>
              </w:rPr>
            </w:pPr>
            <w:r>
              <w:rPr>
                <w:rFonts w:ascii="Arial" w:cs="Arial" w:eastAsia="Arial" w:hAnsi="Arial"/>
                <w:sz w:val="14"/>
                <w:szCs w:val="14"/>
                <w:color w:val="auto"/>
                <w:w w:val="95"/>
              </w:rPr>
              <w:t>Issuance costs incurred for the issuance</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20" w:type="dxa"/>
            <w:vAlign w:val="bottom"/>
          </w:tcPr>
          <w:p>
            <w:pPr>
              <w:ind w:left="20"/>
              <w:spacing w:after="0"/>
              <w:rPr>
                <w:sz w:val="20"/>
                <w:szCs w:val="20"/>
                <w:color w:val="auto"/>
              </w:rPr>
            </w:pPr>
            <w:r>
              <w:rPr>
                <w:rFonts w:ascii="Arial" w:cs="Arial" w:eastAsia="Arial" w:hAnsi="Arial"/>
                <w:sz w:val="14"/>
                <w:szCs w:val="14"/>
                <w:color w:val="auto"/>
              </w:rPr>
              <w:t>of Series F redeemable convertible</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70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20" w:type="dxa"/>
            <w:vAlign w:val="bottom"/>
            <w:gridSpan w:val="2"/>
            <w:vMerge w:val="restart"/>
          </w:tcPr>
          <w:p>
            <w:pPr>
              <w:ind w:left="5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420" w:type="dxa"/>
            <w:vAlign w:val="bottom"/>
          </w:tcPr>
          <w:p>
            <w:pPr>
              <w:ind w:left="20"/>
              <w:spacing w:after="0"/>
              <w:rPr>
                <w:sz w:val="20"/>
                <w:szCs w:val="20"/>
                <w:color w:val="auto"/>
              </w:rPr>
            </w:pPr>
            <w:r>
              <w:rPr>
                <w:rFonts w:ascii="Arial" w:cs="Arial" w:eastAsia="Arial" w:hAnsi="Arial"/>
                <w:sz w:val="14"/>
                <w:szCs w:val="14"/>
                <w:color w:val="auto"/>
              </w:rPr>
              <w:t>preferred stock</w:t>
            </w: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of common stock</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25,759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84"/>
        </w:trPr>
        <w:tc>
          <w:tcPr>
            <w:tcW w:w="2420" w:type="dxa"/>
            <w:vAlign w:val="bottom"/>
          </w:tcPr>
          <w:p>
            <w:pPr>
              <w:ind w:left="20"/>
              <w:spacing w:after="0"/>
              <w:rPr>
                <w:sz w:val="20"/>
                <w:szCs w:val="20"/>
                <w:color w:val="auto"/>
              </w:rPr>
            </w:pPr>
            <w:r>
              <w:rPr>
                <w:rFonts w:ascii="Arial" w:cs="Arial" w:eastAsia="Arial" w:hAnsi="Arial"/>
                <w:sz w:val="14"/>
                <w:szCs w:val="14"/>
                <w:color w:val="auto"/>
                <w:w w:val="92"/>
              </w:rPr>
              <w:t>Issuance of common stock upon exercise</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20" w:type="dxa"/>
            <w:vAlign w:val="bottom"/>
          </w:tcPr>
          <w:p>
            <w:pPr>
              <w:ind w:left="180"/>
              <w:spacing w:after="0"/>
              <w:rPr>
                <w:sz w:val="20"/>
                <w:szCs w:val="20"/>
                <w:color w:val="auto"/>
              </w:rPr>
            </w:pPr>
            <w:r>
              <w:rPr>
                <w:rFonts w:ascii="Arial" w:cs="Arial" w:eastAsia="Arial" w:hAnsi="Arial"/>
                <w:sz w:val="14"/>
                <w:szCs w:val="14"/>
                <w:color w:val="auto"/>
              </w:rPr>
              <w:t>of stock options, including early</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20" w:type="dxa"/>
            <w:vAlign w:val="bottom"/>
          </w:tcPr>
          <w:p>
            <w:pPr>
              <w:ind w:left="180"/>
              <w:spacing w:after="0"/>
              <w:rPr>
                <w:sz w:val="20"/>
                <w:szCs w:val="20"/>
                <w:color w:val="auto"/>
              </w:rPr>
            </w:pPr>
            <w:r>
              <w:rPr>
                <w:rFonts w:ascii="Arial" w:cs="Arial" w:eastAsia="Arial" w:hAnsi="Arial"/>
                <w:sz w:val="14"/>
                <w:szCs w:val="14"/>
                <w:color w:val="auto"/>
              </w:rPr>
              <w:t>exercised options, and vesting</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420" w:type="dxa"/>
            <w:vAlign w:val="bottom"/>
          </w:tcPr>
          <w:p>
            <w:pPr>
              <w:ind w:left="180"/>
              <w:spacing w:after="0"/>
              <w:rPr>
                <w:sz w:val="20"/>
                <w:szCs w:val="20"/>
                <w:color w:val="auto"/>
              </w:rPr>
            </w:pPr>
            <w:r>
              <w:rPr>
                <w:rFonts w:ascii="Arial" w:cs="Arial" w:eastAsia="Arial" w:hAnsi="Arial"/>
                <w:sz w:val="14"/>
                <w:szCs w:val="14"/>
                <w:color w:val="auto"/>
              </w:rPr>
              <w:t>restricted stock units</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6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1,363,030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2,929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2,930</w:t>
            </w:r>
          </w:p>
        </w:tc>
        <w:tc>
          <w:tcPr>
            <w:tcW w:w="0" w:type="dxa"/>
            <w:vAlign w:val="bottom"/>
          </w:tcPr>
          <w:p>
            <w:pPr>
              <w:spacing w:after="0"/>
              <w:rPr>
                <w:sz w:val="1"/>
                <w:szCs w:val="1"/>
                <w:color w:val="auto"/>
              </w:rPr>
            </w:pPr>
          </w:p>
        </w:tc>
      </w:tr>
      <w:tr>
        <w:trPr>
          <w:trHeight w:val="39"/>
        </w:trPr>
        <w:tc>
          <w:tcPr>
            <w:tcW w:w="2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2,703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2,703</w:t>
            </w:r>
          </w:p>
        </w:tc>
        <w:tc>
          <w:tcPr>
            <w:tcW w:w="0" w:type="dxa"/>
            <w:vAlign w:val="bottom"/>
          </w:tcPr>
          <w:p>
            <w:pPr>
              <w:spacing w:after="0"/>
              <w:rPr>
                <w:sz w:val="1"/>
                <w:szCs w:val="1"/>
                <w:color w:val="auto"/>
              </w:rPr>
            </w:pPr>
          </w:p>
        </w:tc>
      </w:tr>
      <w:tr>
        <w:trPr>
          <w:trHeight w:val="190"/>
        </w:trPr>
        <w:tc>
          <w:tcPr>
            <w:tcW w:w="242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6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39"/>
        </w:trPr>
        <w:tc>
          <w:tcPr>
            <w:tcW w:w="2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(1,448)</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(1,448)</w:t>
            </w:r>
          </w:p>
        </w:tc>
        <w:tc>
          <w:tcPr>
            <w:tcW w:w="0" w:type="dxa"/>
            <w:vAlign w:val="bottom"/>
          </w:tcPr>
          <w:p>
            <w:pPr>
              <w:spacing w:after="0"/>
              <w:rPr>
                <w:sz w:val="1"/>
                <w:szCs w:val="1"/>
                <w:color w:val="auto"/>
              </w:rPr>
            </w:pPr>
          </w:p>
        </w:tc>
      </w:tr>
      <w:tr>
        <w:trPr>
          <w:trHeight w:val="257"/>
        </w:trPr>
        <w:tc>
          <w:tcPr>
            <w:tcW w:w="2420" w:type="dxa"/>
            <w:vAlign w:val="bottom"/>
          </w:tcPr>
          <w:p>
            <w:pPr>
              <w:ind w:left="20"/>
              <w:spacing w:after="0"/>
              <w:rPr>
                <w:sz w:val="20"/>
                <w:szCs w:val="20"/>
                <w:color w:val="auto"/>
              </w:rPr>
            </w:pPr>
            <w:r>
              <w:rPr>
                <w:rFonts w:ascii="Arial" w:cs="Arial" w:eastAsia="Arial" w:hAnsi="Arial"/>
                <w:sz w:val="14"/>
                <w:szCs w:val="14"/>
                <w:color w:val="auto"/>
              </w:rPr>
              <w:t>Balance as of June 30, 2021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127,410,631</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390,687</w:t>
            </w:r>
          </w:p>
        </w:tc>
        <w:tc>
          <w:tcPr>
            <w:tcW w:w="700" w:type="dxa"/>
            <w:vAlign w:val="bottom"/>
            <w:tcBorders>
              <w:right w:val="single" w:sz="8" w:color="auto"/>
            </w:tcBorders>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26,385,643</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17,193</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575</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(229,906)</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(212,135)</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660"/>
        <w:spacing w:after="0"/>
        <w:rPr>
          <w:sz w:val="20"/>
          <w:szCs w:val="20"/>
          <w:color w:val="auto"/>
        </w:rPr>
      </w:pPr>
      <w:r>
        <w:rPr>
          <w:rFonts w:ascii="Arial" w:cs="Arial" w:eastAsia="Arial" w:hAnsi="Arial"/>
          <w:sz w:val="16"/>
          <w:szCs w:val="16"/>
          <w:b w:val="1"/>
          <w:bCs w:val="1"/>
          <w:color w:val="auto"/>
        </w:rPr>
        <w:t>REMITLY GLOBAL, INC.</w:t>
      </w:r>
    </w:p>
    <w:p>
      <w:pPr>
        <w:spacing w:after="0" w:line="167" w:lineRule="exact"/>
        <w:rPr>
          <w:sz w:val="20"/>
          <w:szCs w:val="20"/>
          <w:color w:val="auto"/>
        </w:rPr>
      </w:pPr>
    </w:p>
    <w:p>
      <w:pPr>
        <w:ind w:left="1620"/>
        <w:spacing w:after="0"/>
        <w:rPr>
          <w:sz w:val="20"/>
          <w:szCs w:val="20"/>
          <w:color w:val="auto"/>
        </w:rPr>
      </w:pPr>
      <w:r>
        <w:rPr>
          <w:rFonts w:ascii="Arial" w:cs="Arial" w:eastAsia="Arial" w:hAnsi="Arial"/>
          <w:sz w:val="16"/>
          <w:szCs w:val="16"/>
          <w:b w:val="1"/>
          <w:bCs w:val="1"/>
          <w:color w:val="auto"/>
        </w:rPr>
        <w:t>Condensed Consolidated Statements of Redeemable Convertible Preferred Stock and Stockholders’ Equity (Deficit)</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Six Months Ended June 30, 2022 and 2021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 thousands, except share data</w:t>
      </w:r>
      <w:r>
        <w:rPr>
          <w:rFonts w:ascii="Arial" w:cs="Arial" w:eastAsia="Arial" w:hAnsi="Arial"/>
          <w:sz w:val="16"/>
          <w:szCs w:val="16"/>
          <w:color w:val="auto"/>
        </w:rPr>
        <w: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780" w:type="dxa"/>
            <w:vAlign w:val="bottom"/>
            <w:gridSpan w:val="8"/>
          </w:tcPr>
          <w:p>
            <w:pPr>
              <w:ind w:left="280"/>
              <w:spacing w:after="0"/>
              <w:rPr>
                <w:sz w:val="20"/>
                <w:szCs w:val="20"/>
                <w:color w:val="auto"/>
              </w:rPr>
            </w:pPr>
            <w:r>
              <w:rPr>
                <w:rFonts w:ascii="Arial" w:cs="Arial" w:eastAsia="Arial" w:hAnsi="Arial"/>
                <w:sz w:val="14"/>
                <w:szCs w:val="14"/>
                <w:b w:val="1"/>
                <w:bCs w:val="1"/>
                <w:color w:val="auto"/>
              </w:rPr>
              <w:t>Six Months Ended June 30, 2022</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50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500" w:type="dxa"/>
            <w:vAlign w:val="bottom"/>
          </w:tcPr>
          <w:p>
            <w:pPr>
              <w:spacing w:after="0"/>
              <w:rPr>
                <w:sz w:val="13"/>
                <w:szCs w:val="13"/>
                <w:color w:val="auto"/>
              </w:rPr>
            </w:pPr>
          </w:p>
        </w:tc>
        <w:tc>
          <w:tcPr>
            <w:tcW w:w="2420" w:type="dxa"/>
            <w:vAlign w:val="bottom"/>
            <w:tcBorders>
              <w:right w:val="single" w:sz="8" w:color="auto"/>
            </w:tcBorders>
            <w:gridSpan w:val="6"/>
            <w:vMerge w:val="restart"/>
          </w:tcPr>
          <w:p>
            <w:pPr>
              <w:jc w:val="center"/>
              <w:ind w:right="700"/>
              <w:spacing w:after="0"/>
              <w:rPr>
                <w:sz w:val="20"/>
                <w:szCs w:val="20"/>
                <w:color w:val="auto"/>
              </w:rPr>
            </w:pPr>
            <w:r>
              <w:rPr>
                <w:rFonts w:ascii="Arial" w:cs="Arial" w:eastAsia="Arial" w:hAnsi="Arial"/>
                <w:sz w:val="13"/>
                <w:szCs w:val="13"/>
                <w:b w:val="1"/>
                <w:bCs w:val="1"/>
                <w:color w:val="auto"/>
                <w:w w:val="86"/>
              </w:rPr>
              <w:t>Redeemable Convertible</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500" w:type="dxa"/>
            <w:vAlign w:val="bottom"/>
          </w:tcPr>
          <w:p>
            <w:pPr>
              <w:spacing w:after="0"/>
              <w:rPr>
                <w:sz w:val="7"/>
                <w:szCs w:val="7"/>
                <w:color w:val="auto"/>
              </w:rPr>
            </w:pPr>
          </w:p>
        </w:tc>
        <w:tc>
          <w:tcPr>
            <w:tcW w:w="2420" w:type="dxa"/>
            <w:vAlign w:val="bottom"/>
            <w:tcBorders>
              <w:right w:val="single" w:sz="8" w:color="auto"/>
            </w:tcBorders>
            <w:gridSpan w:val="6"/>
            <w:vMerge w:val="continue"/>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7"/>
                <w:szCs w:val="7"/>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vMerge w:val="restart"/>
          </w:tcPr>
          <w:p>
            <w:pPr>
              <w:jc w:val="center"/>
              <w:ind w:right="110"/>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2420" w:type="dxa"/>
            <w:vAlign w:val="bottom"/>
            <w:tcBorders>
              <w:right w:val="single" w:sz="8" w:color="auto"/>
            </w:tcBorders>
            <w:gridSpan w:val="6"/>
            <w:vMerge w:val="restart"/>
          </w:tcPr>
          <w:p>
            <w:pPr>
              <w:jc w:val="center"/>
              <w:ind w:right="700"/>
              <w:spacing w:after="0"/>
              <w:rPr>
                <w:sz w:val="20"/>
                <w:szCs w:val="20"/>
                <w:color w:val="auto"/>
              </w:rPr>
            </w:pPr>
            <w:r>
              <w:rPr>
                <w:rFonts w:ascii="Arial" w:cs="Arial" w:eastAsia="Arial" w:hAnsi="Arial"/>
                <w:sz w:val="13"/>
                <w:szCs w:val="13"/>
                <w:b w:val="1"/>
                <w:bCs w:val="1"/>
                <w:color w:val="auto"/>
                <w:w w:val="86"/>
              </w:rPr>
              <w:t>Preferred Stock</w:t>
            </w:r>
          </w:p>
        </w:tc>
        <w:tc>
          <w:tcPr>
            <w:tcW w:w="660" w:type="dxa"/>
            <w:vAlign w:val="bottom"/>
          </w:tcPr>
          <w:p>
            <w:pPr>
              <w:spacing w:after="0"/>
              <w:rPr>
                <w:sz w:val="5"/>
                <w:szCs w:val="5"/>
                <w:color w:val="auto"/>
              </w:rPr>
            </w:pPr>
          </w:p>
        </w:tc>
        <w:tc>
          <w:tcPr>
            <w:tcW w:w="1860" w:type="dxa"/>
            <w:vAlign w:val="bottom"/>
            <w:gridSpan w:val="5"/>
            <w:vMerge w:val="restart"/>
          </w:tcPr>
          <w:p>
            <w:pPr>
              <w:ind w:left="48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500" w:type="dxa"/>
            <w:vAlign w:val="bottom"/>
          </w:tcPr>
          <w:p>
            <w:pPr>
              <w:spacing w:after="0"/>
              <w:rPr>
                <w:sz w:val="8"/>
                <w:szCs w:val="8"/>
                <w:color w:val="auto"/>
              </w:rPr>
            </w:pPr>
          </w:p>
        </w:tc>
        <w:tc>
          <w:tcPr>
            <w:tcW w:w="2420" w:type="dxa"/>
            <w:vAlign w:val="bottom"/>
            <w:tcBorders>
              <w:right w:val="single" w:sz="8" w:color="auto"/>
            </w:tcBorders>
            <w:gridSpan w:val="6"/>
            <w:vMerge w:val="continue"/>
          </w:tcPr>
          <w:p>
            <w:pPr>
              <w:spacing w:after="0"/>
              <w:rPr>
                <w:sz w:val="8"/>
                <w:szCs w:val="8"/>
                <w:color w:val="auto"/>
              </w:rPr>
            </w:pPr>
          </w:p>
        </w:tc>
        <w:tc>
          <w:tcPr>
            <w:tcW w:w="660" w:type="dxa"/>
            <w:vAlign w:val="bottom"/>
          </w:tcPr>
          <w:p>
            <w:pPr>
              <w:spacing w:after="0"/>
              <w:rPr>
                <w:sz w:val="8"/>
                <w:szCs w:val="8"/>
                <w:color w:val="auto"/>
              </w:rPr>
            </w:pPr>
          </w:p>
        </w:tc>
        <w:tc>
          <w:tcPr>
            <w:tcW w:w="186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center"/>
              <w:ind w:right="200"/>
              <w:spacing w:after="0" w:line="120" w:lineRule="exact"/>
              <w:rPr>
                <w:sz w:val="20"/>
                <w:szCs w:val="20"/>
                <w:color w:val="auto"/>
              </w:rPr>
            </w:pPr>
            <w:r>
              <w:rPr>
                <w:rFonts w:ascii="Arial" w:cs="Arial" w:eastAsia="Arial" w:hAnsi="Arial"/>
                <w:sz w:val="13"/>
                <w:szCs w:val="13"/>
                <w:b w:val="1"/>
                <w:bCs w:val="1"/>
                <w:color w:val="auto"/>
                <w:w w:val="87"/>
              </w:rPr>
              <w:t>Paid-in</w:t>
            </w:r>
          </w:p>
        </w:tc>
        <w:tc>
          <w:tcPr>
            <w:tcW w:w="1000" w:type="dxa"/>
            <w:vAlign w:val="bottom"/>
            <w:gridSpan w:val="3"/>
            <w:vMerge w:val="restart"/>
          </w:tcPr>
          <w:p>
            <w:pPr>
              <w:jc w:val="center"/>
              <w:ind w:right="80"/>
              <w:spacing w:after="0" w:line="120" w:lineRule="exact"/>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8"/>
                <w:szCs w:val="8"/>
                <w:color w:val="auto"/>
              </w:rPr>
            </w:pPr>
          </w:p>
        </w:tc>
        <w:tc>
          <w:tcPr>
            <w:tcW w:w="880" w:type="dxa"/>
            <w:vAlign w:val="bottom"/>
            <w:gridSpan w:val="2"/>
            <w:vMerge w:val="restart"/>
          </w:tcPr>
          <w:p>
            <w:pPr>
              <w:spacing w:after="0" w:line="120" w:lineRule="exact"/>
              <w:rPr>
                <w:sz w:val="20"/>
                <w:szCs w:val="20"/>
                <w:color w:val="auto"/>
              </w:rPr>
            </w:pPr>
            <w:r>
              <w:rPr>
                <w:rFonts w:ascii="Arial" w:cs="Arial" w:eastAsia="Arial" w:hAnsi="Arial"/>
                <w:sz w:val="13"/>
                <w:szCs w:val="13"/>
                <w:b w:val="1"/>
                <w:bCs w:val="1"/>
                <w:color w:val="auto"/>
              </w:rPr>
              <w:t>Accumulated</w:t>
            </w:r>
          </w:p>
        </w:tc>
        <w:tc>
          <w:tcPr>
            <w:tcW w:w="900" w:type="dxa"/>
            <w:vAlign w:val="bottom"/>
            <w:gridSpan w:val="2"/>
            <w:vMerge w:val="restart"/>
          </w:tcPr>
          <w:p>
            <w:pPr>
              <w:jc w:val="center"/>
              <w:spacing w:after="0" w:line="120"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29"/>
        </w:trPr>
        <w:tc>
          <w:tcPr>
            <w:tcW w:w="25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640" w:type="dxa"/>
            <w:vAlign w:val="bottom"/>
          </w:tcPr>
          <w:p>
            <w:pPr>
              <w:ind w:left="260"/>
              <w:spacing w:after="0"/>
              <w:rPr>
                <w:sz w:val="20"/>
                <w:szCs w:val="20"/>
                <w:color w:val="auto"/>
              </w:rPr>
            </w:pPr>
            <w:r>
              <w:rPr>
                <w:rFonts w:ascii="Arial" w:cs="Arial" w:eastAsia="Arial" w:hAnsi="Arial"/>
                <w:sz w:val="13"/>
                <w:szCs w:val="13"/>
                <w:b w:val="1"/>
                <w:bCs w:val="1"/>
                <w:color w:val="auto"/>
                <w:w w:val="82"/>
              </w:rPr>
              <w:t>Shares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660" w:type="dxa"/>
            <w:vAlign w:val="bottom"/>
          </w:tcPr>
          <w:p>
            <w:pPr>
              <w:spacing w:after="0"/>
              <w:rPr>
                <w:sz w:val="15"/>
                <w:szCs w:val="15"/>
                <w:color w:val="auto"/>
              </w:rPr>
            </w:pPr>
          </w:p>
        </w:tc>
        <w:tc>
          <w:tcPr>
            <w:tcW w:w="98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Capital</w:t>
            </w:r>
          </w:p>
        </w:tc>
        <w:tc>
          <w:tcPr>
            <w:tcW w:w="100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Pr>
          <w:p>
            <w:pPr>
              <w:spacing w:after="0"/>
              <w:rPr>
                <w:sz w:val="15"/>
                <w:szCs w:val="15"/>
                <w:color w:val="auto"/>
              </w:rPr>
            </w:pPr>
          </w:p>
        </w:tc>
        <w:tc>
          <w:tcPr>
            <w:tcW w:w="880" w:type="dxa"/>
            <w:vAlign w:val="bottom"/>
            <w:gridSpan w:val="2"/>
          </w:tcPr>
          <w:p>
            <w:pPr>
              <w:ind w:left="180"/>
              <w:spacing w:after="0"/>
              <w:rPr>
                <w:sz w:val="20"/>
                <w:szCs w:val="20"/>
                <w:color w:val="auto"/>
              </w:rPr>
            </w:pPr>
            <w:r>
              <w:rPr>
                <w:rFonts w:ascii="Arial" w:cs="Arial" w:eastAsia="Arial" w:hAnsi="Arial"/>
                <w:sz w:val="13"/>
                <w:szCs w:val="13"/>
                <w:b w:val="1"/>
                <w:bCs w:val="1"/>
                <w:color w:val="auto"/>
              </w:rPr>
              <w:t>Deficit</w:t>
            </w:r>
          </w:p>
        </w:tc>
        <w:tc>
          <w:tcPr>
            <w:tcW w:w="180" w:type="dxa"/>
            <w:vAlign w:val="bottom"/>
          </w:tcPr>
          <w:p>
            <w:pPr>
              <w:spacing w:after="0"/>
              <w:rPr>
                <w:sz w:val="15"/>
                <w:szCs w:val="15"/>
                <w:color w:val="auto"/>
              </w:rPr>
            </w:pPr>
          </w:p>
        </w:tc>
        <w:tc>
          <w:tcPr>
            <w:tcW w:w="720" w:type="dxa"/>
            <w:vAlign w:val="bottom"/>
          </w:tcPr>
          <w:p>
            <w:pPr>
              <w:jc w:val="center"/>
              <w:ind w:right="13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9"/>
        </w:trPr>
        <w:tc>
          <w:tcPr>
            <w:tcW w:w="25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CCEEFF"/>
              <w:right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as of January 1, 2022</w:t>
            </w:r>
          </w:p>
        </w:tc>
        <w:tc>
          <w:tcPr>
            <w:tcW w:w="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CCEEFF"/>
              <w:right w:val="single" w:sz="8" w:color="auto"/>
            </w:tcBorders>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164,239,555</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739,503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(259,444)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480,328</w:t>
            </w:r>
          </w:p>
        </w:tc>
        <w:tc>
          <w:tcPr>
            <w:tcW w:w="0" w:type="dxa"/>
            <w:vAlign w:val="bottom"/>
          </w:tcPr>
          <w:p>
            <w:pPr>
              <w:spacing w:after="0"/>
              <w:rPr>
                <w:sz w:val="1"/>
                <w:szCs w:val="1"/>
                <w:color w:val="auto"/>
              </w:rPr>
            </w:pPr>
          </w:p>
        </w:tc>
      </w:tr>
      <w:tr>
        <w:trPr>
          <w:trHeight w:val="184"/>
        </w:trPr>
        <w:tc>
          <w:tcPr>
            <w:tcW w:w="3140" w:type="dxa"/>
            <w:vAlign w:val="bottom"/>
            <w:gridSpan w:val="2"/>
          </w:tcPr>
          <w:p>
            <w:pPr>
              <w:ind w:left="20"/>
              <w:spacing w:after="0"/>
              <w:rPr>
                <w:sz w:val="20"/>
                <w:szCs w:val="20"/>
                <w:color w:val="auto"/>
              </w:rPr>
            </w:pPr>
            <w:r>
              <w:rPr>
                <w:rFonts w:ascii="Arial" w:cs="Arial" w:eastAsia="Arial" w:hAnsi="Arial"/>
                <w:sz w:val="14"/>
                <w:szCs w:val="14"/>
                <w:color w:val="auto"/>
              </w:rPr>
              <w:t>Issuance of common stock in connection</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140" w:type="dxa"/>
            <w:vAlign w:val="bottom"/>
            <w:gridSpan w:val="2"/>
          </w:tcPr>
          <w:p>
            <w:pPr>
              <w:ind w:left="20"/>
              <w:spacing w:after="0"/>
              <w:rPr>
                <w:sz w:val="20"/>
                <w:szCs w:val="20"/>
                <w:color w:val="auto"/>
              </w:rPr>
            </w:pPr>
            <w:r>
              <w:rPr>
                <w:rFonts w:ascii="Arial" w:cs="Arial" w:eastAsia="Arial" w:hAnsi="Arial"/>
                <w:sz w:val="14"/>
                <w:szCs w:val="14"/>
                <w:color w:val="auto"/>
              </w:rPr>
              <w:t>with ESPP</w:t>
            </w: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60" w:type="dxa"/>
            <w:vAlign w:val="bottom"/>
            <w:tcBorders>
              <w:right w:val="single" w:sz="8" w:color="auto"/>
            </w:tcBorders>
            <w:gridSpan w:val="2"/>
          </w:tcPr>
          <w:p>
            <w:pPr>
              <w:ind w:left="4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202,213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1,882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1,882</w:t>
            </w:r>
          </w:p>
        </w:tc>
        <w:tc>
          <w:tcPr>
            <w:tcW w:w="0" w:type="dxa"/>
            <w:vAlign w:val="bottom"/>
          </w:tcPr>
          <w:p>
            <w:pPr>
              <w:spacing w:after="0"/>
              <w:rPr>
                <w:sz w:val="1"/>
                <w:szCs w:val="1"/>
                <w:color w:val="auto"/>
              </w:rPr>
            </w:pPr>
          </w:p>
        </w:tc>
      </w:tr>
      <w:tr>
        <w:trPr>
          <w:trHeight w:val="39"/>
        </w:trPr>
        <w:tc>
          <w:tcPr>
            <w:tcW w:w="2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Issuance of common stock upon exercise</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of stock options, including early</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1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exercised options, and vesting</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restricted stock units</w:t>
            </w:r>
          </w:p>
        </w:tc>
        <w:tc>
          <w:tcPr>
            <w:tcW w:w="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right w:val="single" w:sz="8" w:color="auto"/>
            </w:tcBorders>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3,350,510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4,831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4,832</w:t>
            </w:r>
          </w:p>
        </w:tc>
        <w:tc>
          <w:tcPr>
            <w:tcW w:w="0" w:type="dxa"/>
            <w:vAlign w:val="bottom"/>
          </w:tcPr>
          <w:p>
            <w:pPr>
              <w:spacing w:after="0"/>
              <w:rPr>
                <w:sz w:val="1"/>
                <w:szCs w:val="1"/>
                <w:color w:val="auto"/>
              </w:rPr>
            </w:pPr>
          </w:p>
        </w:tc>
      </w:tr>
      <w:tr>
        <w:trPr>
          <w:trHeight w:val="184"/>
        </w:trPr>
        <w:tc>
          <w:tcPr>
            <w:tcW w:w="3140" w:type="dxa"/>
            <w:vAlign w:val="bottom"/>
            <w:gridSpan w:val="2"/>
          </w:tcPr>
          <w:p>
            <w:pPr>
              <w:ind w:left="20"/>
              <w:spacing w:after="0"/>
              <w:rPr>
                <w:sz w:val="20"/>
                <w:szCs w:val="20"/>
                <w:color w:val="auto"/>
              </w:rPr>
            </w:pPr>
            <w:r>
              <w:rPr>
                <w:rFonts w:ascii="Arial" w:cs="Arial" w:eastAsia="Arial" w:hAnsi="Arial"/>
                <w:sz w:val="14"/>
                <w:szCs w:val="14"/>
                <w:color w:val="auto"/>
              </w:rPr>
              <w:t>Taxes paid related to net shares settlement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140" w:type="dxa"/>
            <w:vAlign w:val="bottom"/>
            <w:gridSpan w:val="2"/>
          </w:tcPr>
          <w:p>
            <w:pPr>
              <w:ind w:left="180"/>
              <w:spacing w:after="0"/>
              <w:rPr>
                <w:sz w:val="20"/>
                <w:szCs w:val="20"/>
                <w:color w:val="auto"/>
              </w:rPr>
            </w:pPr>
            <w:r>
              <w:rPr>
                <w:rFonts w:ascii="Arial" w:cs="Arial" w:eastAsia="Arial" w:hAnsi="Arial"/>
                <w:sz w:val="14"/>
                <w:szCs w:val="14"/>
                <w:color w:val="auto"/>
              </w:rPr>
              <w:t>of equity awards</w:t>
            </w: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60" w:type="dxa"/>
            <w:vAlign w:val="bottom"/>
            <w:tcBorders>
              <w:right w:val="single" w:sz="8" w:color="auto"/>
            </w:tcBorders>
            <w:gridSpan w:val="2"/>
          </w:tcPr>
          <w:p>
            <w:pPr>
              <w:ind w:left="4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(2,627)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39"/>
        </w:trPr>
        <w:tc>
          <w:tcPr>
            <w:tcW w:w="2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right w:val="single" w:sz="8" w:color="auto"/>
            </w:tcBorders>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43,035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43,035</w:t>
            </w:r>
          </w:p>
        </w:tc>
        <w:tc>
          <w:tcPr>
            <w:tcW w:w="0" w:type="dxa"/>
            <w:vAlign w:val="bottom"/>
          </w:tcPr>
          <w:p>
            <w:pPr>
              <w:spacing w:after="0"/>
              <w:rPr>
                <w:sz w:val="1"/>
                <w:szCs w:val="1"/>
                <w:color w:val="auto"/>
              </w:rPr>
            </w:pPr>
          </w:p>
        </w:tc>
      </w:tr>
      <w:tr>
        <w:trPr>
          <w:trHeight w:val="190"/>
        </w:trPr>
        <w:tc>
          <w:tcPr>
            <w:tcW w:w="3140" w:type="dxa"/>
            <w:vAlign w:val="bottom"/>
            <w:gridSpan w:val="2"/>
          </w:tcPr>
          <w:p>
            <w:pPr>
              <w:ind w:left="20"/>
              <w:spacing w:after="0"/>
              <w:rPr>
                <w:sz w:val="20"/>
                <w:szCs w:val="20"/>
                <w:color w:val="auto"/>
              </w:rPr>
            </w:pPr>
            <w:r>
              <w:rPr>
                <w:rFonts w:ascii="Arial" w:cs="Arial" w:eastAsia="Arial" w:hAnsi="Arial"/>
                <w:sz w:val="14"/>
                <w:szCs w:val="14"/>
                <w:color w:val="auto"/>
              </w:rPr>
              <w:t>Other comprehensive loss</w:t>
            </w: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60" w:type="dxa"/>
            <w:vAlign w:val="bottom"/>
            <w:tcBorders>
              <w:right w:val="single" w:sz="8" w:color="auto"/>
            </w:tcBorders>
            <w:gridSpan w:val="2"/>
          </w:tcPr>
          <w:p>
            <w:pPr>
              <w:ind w:left="4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(1,267)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(1,267)</w:t>
            </w:r>
          </w:p>
        </w:tc>
        <w:tc>
          <w:tcPr>
            <w:tcW w:w="0" w:type="dxa"/>
            <w:vAlign w:val="bottom"/>
          </w:tcPr>
          <w:p>
            <w:pPr>
              <w:spacing w:after="0"/>
              <w:rPr>
                <w:sz w:val="1"/>
                <w:szCs w:val="1"/>
                <w:color w:val="auto"/>
              </w:rPr>
            </w:pPr>
          </w:p>
        </w:tc>
      </w:tr>
      <w:tr>
        <w:trPr>
          <w:trHeight w:val="39"/>
        </w:trPr>
        <w:tc>
          <w:tcPr>
            <w:tcW w:w="2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6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right w:val="single" w:sz="8" w:color="auto"/>
            </w:tcBorders>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(61,555)</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(61,555)</w:t>
            </w:r>
          </w:p>
        </w:tc>
        <w:tc>
          <w:tcPr>
            <w:tcW w:w="0" w:type="dxa"/>
            <w:vAlign w:val="bottom"/>
          </w:tcPr>
          <w:p>
            <w:pPr>
              <w:spacing w:after="0"/>
              <w:rPr>
                <w:sz w:val="1"/>
                <w:szCs w:val="1"/>
                <w:color w:val="auto"/>
              </w:rPr>
            </w:pPr>
          </w:p>
        </w:tc>
      </w:tr>
      <w:tr>
        <w:trPr>
          <w:trHeight w:val="257"/>
        </w:trPr>
        <w:tc>
          <w:tcPr>
            <w:tcW w:w="2500" w:type="dxa"/>
            <w:vAlign w:val="bottom"/>
          </w:tcPr>
          <w:p>
            <w:pPr>
              <w:ind w:left="20"/>
              <w:spacing w:after="0"/>
              <w:rPr>
                <w:sz w:val="20"/>
                <w:szCs w:val="20"/>
                <w:color w:val="auto"/>
              </w:rPr>
            </w:pPr>
            <w:r>
              <w:rPr>
                <w:rFonts w:ascii="Arial" w:cs="Arial" w:eastAsia="Arial" w:hAnsi="Arial"/>
                <w:sz w:val="14"/>
                <w:szCs w:val="14"/>
                <w:color w:val="auto"/>
              </w:rPr>
              <w:t>Balance as of June 30, 2022</w:t>
            </w:r>
          </w:p>
        </w:tc>
        <w:tc>
          <w:tcPr>
            <w:tcW w:w="64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auto"/>
            </w:tcBorders>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167,789,651</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789,221</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(1,014)</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(320,999)</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467,225</w:t>
            </w:r>
          </w:p>
        </w:tc>
        <w:tc>
          <w:tcPr>
            <w:tcW w:w="0" w:type="dxa"/>
            <w:vAlign w:val="bottom"/>
          </w:tcPr>
          <w:p>
            <w:pPr>
              <w:spacing w:after="0"/>
              <w:rPr>
                <w:sz w:val="1"/>
                <w:szCs w:val="1"/>
                <w:color w:val="auto"/>
              </w:rPr>
            </w:pPr>
          </w:p>
        </w:tc>
      </w:tr>
    </w:tbl>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780" w:type="dxa"/>
            <w:vAlign w:val="bottom"/>
            <w:gridSpan w:val="8"/>
          </w:tcPr>
          <w:p>
            <w:pPr>
              <w:ind w:left="280"/>
              <w:spacing w:after="0"/>
              <w:rPr>
                <w:sz w:val="20"/>
                <w:szCs w:val="20"/>
                <w:color w:val="auto"/>
              </w:rPr>
            </w:pPr>
            <w:r>
              <w:rPr>
                <w:rFonts w:ascii="Arial" w:cs="Arial" w:eastAsia="Arial" w:hAnsi="Arial"/>
                <w:sz w:val="14"/>
                <w:szCs w:val="14"/>
                <w:b w:val="1"/>
                <w:bCs w:val="1"/>
                <w:color w:val="auto"/>
              </w:rPr>
              <w:t>Six Months Ended June 30, 2021</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5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500" w:type="dxa"/>
            <w:vAlign w:val="bottom"/>
          </w:tcPr>
          <w:p>
            <w:pPr>
              <w:spacing w:after="0"/>
              <w:rPr>
                <w:sz w:val="13"/>
                <w:szCs w:val="13"/>
                <w:color w:val="auto"/>
              </w:rPr>
            </w:pPr>
          </w:p>
        </w:tc>
        <w:tc>
          <w:tcPr>
            <w:tcW w:w="2420" w:type="dxa"/>
            <w:vAlign w:val="bottom"/>
            <w:tcBorders>
              <w:right w:val="single" w:sz="8" w:color="auto"/>
            </w:tcBorders>
            <w:gridSpan w:val="5"/>
            <w:vMerge w:val="restart"/>
          </w:tcPr>
          <w:p>
            <w:pPr>
              <w:jc w:val="center"/>
              <w:ind w:right="700"/>
              <w:spacing w:after="0"/>
              <w:rPr>
                <w:sz w:val="20"/>
                <w:szCs w:val="20"/>
                <w:color w:val="auto"/>
              </w:rPr>
            </w:pPr>
            <w:r>
              <w:rPr>
                <w:rFonts w:ascii="Arial" w:cs="Arial" w:eastAsia="Arial" w:hAnsi="Arial"/>
                <w:sz w:val="13"/>
                <w:szCs w:val="13"/>
                <w:b w:val="1"/>
                <w:bCs w:val="1"/>
                <w:color w:val="auto"/>
                <w:w w:val="86"/>
              </w:rPr>
              <w:t>Redeemable Convertible</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500" w:type="dxa"/>
            <w:vAlign w:val="bottom"/>
          </w:tcPr>
          <w:p>
            <w:pPr>
              <w:spacing w:after="0"/>
              <w:rPr>
                <w:sz w:val="7"/>
                <w:szCs w:val="7"/>
                <w:color w:val="auto"/>
              </w:rPr>
            </w:pPr>
          </w:p>
        </w:tc>
        <w:tc>
          <w:tcPr>
            <w:tcW w:w="2420" w:type="dxa"/>
            <w:vAlign w:val="bottom"/>
            <w:tcBorders>
              <w:right w:val="single" w:sz="8" w:color="auto"/>
            </w:tcBorders>
            <w:gridSpan w:val="5"/>
            <w:vMerge w:val="continue"/>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7"/>
                <w:szCs w:val="7"/>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vMerge w:val="restart"/>
          </w:tcPr>
          <w:p>
            <w:pPr>
              <w:jc w:val="center"/>
              <w:ind w:right="110"/>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2420" w:type="dxa"/>
            <w:vAlign w:val="bottom"/>
            <w:tcBorders>
              <w:right w:val="single" w:sz="8" w:color="auto"/>
            </w:tcBorders>
            <w:gridSpan w:val="5"/>
            <w:vMerge w:val="restart"/>
          </w:tcPr>
          <w:p>
            <w:pPr>
              <w:jc w:val="center"/>
              <w:ind w:right="700"/>
              <w:spacing w:after="0"/>
              <w:rPr>
                <w:sz w:val="20"/>
                <w:szCs w:val="20"/>
                <w:color w:val="auto"/>
              </w:rPr>
            </w:pPr>
            <w:r>
              <w:rPr>
                <w:rFonts w:ascii="Arial" w:cs="Arial" w:eastAsia="Arial" w:hAnsi="Arial"/>
                <w:sz w:val="13"/>
                <w:szCs w:val="13"/>
                <w:b w:val="1"/>
                <w:bCs w:val="1"/>
                <w:color w:val="auto"/>
                <w:w w:val="86"/>
              </w:rPr>
              <w:t>Preferred Stock</w:t>
            </w:r>
          </w:p>
        </w:tc>
        <w:tc>
          <w:tcPr>
            <w:tcW w:w="660" w:type="dxa"/>
            <w:vAlign w:val="bottom"/>
          </w:tcPr>
          <w:p>
            <w:pPr>
              <w:spacing w:after="0"/>
              <w:rPr>
                <w:sz w:val="5"/>
                <w:szCs w:val="5"/>
                <w:color w:val="auto"/>
              </w:rPr>
            </w:pPr>
          </w:p>
        </w:tc>
        <w:tc>
          <w:tcPr>
            <w:tcW w:w="1860" w:type="dxa"/>
            <w:vAlign w:val="bottom"/>
            <w:gridSpan w:val="5"/>
            <w:vMerge w:val="restart"/>
          </w:tcPr>
          <w:p>
            <w:pPr>
              <w:ind w:left="48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500" w:type="dxa"/>
            <w:vAlign w:val="bottom"/>
          </w:tcPr>
          <w:p>
            <w:pPr>
              <w:spacing w:after="0"/>
              <w:rPr>
                <w:sz w:val="8"/>
                <w:szCs w:val="8"/>
                <w:color w:val="auto"/>
              </w:rPr>
            </w:pPr>
          </w:p>
        </w:tc>
        <w:tc>
          <w:tcPr>
            <w:tcW w:w="2420" w:type="dxa"/>
            <w:vAlign w:val="bottom"/>
            <w:tcBorders>
              <w:right w:val="single" w:sz="8" w:color="auto"/>
            </w:tcBorders>
            <w:gridSpan w:val="5"/>
            <w:vMerge w:val="continue"/>
          </w:tcPr>
          <w:p>
            <w:pPr>
              <w:spacing w:after="0"/>
              <w:rPr>
                <w:sz w:val="8"/>
                <w:szCs w:val="8"/>
                <w:color w:val="auto"/>
              </w:rPr>
            </w:pPr>
          </w:p>
        </w:tc>
        <w:tc>
          <w:tcPr>
            <w:tcW w:w="660" w:type="dxa"/>
            <w:vAlign w:val="bottom"/>
          </w:tcPr>
          <w:p>
            <w:pPr>
              <w:spacing w:after="0"/>
              <w:rPr>
                <w:sz w:val="8"/>
                <w:szCs w:val="8"/>
                <w:color w:val="auto"/>
              </w:rPr>
            </w:pPr>
          </w:p>
        </w:tc>
        <w:tc>
          <w:tcPr>
            <w:tcW w:w="186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center"/>
              <w:ind w:right="200"/>
              <w:spacing w:after="0" w:line="120" w:lineRule="exact"/>
              <w:rPr>
                <w:sz w:val="20"/>
                <w:szCs w:val="20"/>
                <w:color w:val="auto"/>
              </w:rPr>
            </w:pPr>
            <w:r>
              <w:rPr>
                <w:rFonts w:ascii="Arial" w:cs="Arial" w:eastAsia="Arial" w:hAnsi="Arial"/>
                <w:sz w:val="13"/>
                <w:szCs w:val="13"/>
                <w:b w:val="1"/>
                <w:bCs w:val="1"/>
                <w:color w:val="auto"/>
                <w:w w:val="87"/>
              </w:rPr>
              <w:t>Paid-in</w:t>
            </w:r>
          </w:p>
        </w:tc>
        <w:tc>
          <w:tcPr>
            <w:tcW w:w="1000" w:type="dxa"/>
            <w:vAlign w:val="bottom"/>
            <w:gridSpan w:val="3"/>
            <w:vMerge w:val="restart"/>
          </w:tcPr>
          <w:p>
            <w:pPr>
              <w:jc w:val="center"/>
              <w:ind w:right="80"/>
              <w:spacing w:after="0" w:line="120" w:lineRule="exact"/>
              <w:rPr>
                <w:sz w:val="20"/>
                <w:szCs w:val="20"/>
                <w:color w:val="auto"/>
              </w:rPr>
            </w:pPr>
            <w:r>
              <w:rPr>
                <w:rFonts w:ascii="Arial" w:cs="Arial" w:eastAsia="Arial" w:hAnsi="Arial"/>
                <w:sz w:val="13"/>
                <w:szCs w:val="13"/>
                <w:b w:val="1"/>
                <w:bCs w:val="1"/>
                <w:color w:val="auto"/>
                <w:w w:val="86"/>
              </w:rPr>
              <w:t>Comprehensive</w:t>
            </w:r>
          </w:p>
        </w:tc>
        <w:tc>
          <w:tcPr>
            <w:tcW w:w="100" w:type="dxa"/>
            <w:vAlign w:val="bottom"/>
          </w:tcPr>
          <w:p>
            <w:pPr>
              <w:spacing w:after="0"/>
              <w:rPr>
                <w:sz w:val="8"/>
                <w:szCs w:val="8"/>
                <w:color w:val="auto"/>
              </w:rPr>
            </w:pPr>
          </w:p>
        </w:tc>
        <w:tc>
          <w:tcPr>
            <w:tcW w:w="880" w:type="dxa"/>
            <w:vAlign w:val="bottom"/>
            <w:gridSpan w:val="2"/>
            <w:vMerge w:val="restart"/>
          </w:tcPr>
          <w:p>
            <w:pPr>
              <w:spacing w:after="0" w:line="120" w:lineRule="exact"/>
              <w:rPr>
                <w:sz w:val="20"/>
                <w:szCs w:val="20"/>
                <w:color w:val="auto"/>
              </w:rPr>
            </w:pPr>
            <w:r>
              <w:rPr>
                <w:rFonts w:ascii="Arial" w:cs="Arial" w:eastAsia="Arial" w:hAnsi="Arial"/>
                <w:sz w:val="13"/>
                <w:szCs w:val="13"/>
                <w:b w:val="1"/>
                <w:bCs w:val="1"/>
                <w:color w:val="auto"/>
              </w:rPr>
              <w:t>Accumulated</w:t>
            </w:r>
          </w:p>
        </w:tc>
        <w:tc>
          <w:tcPr>
            <w:tcW w:w="900" w:type="dxa"/>
            <w:vAlign w:val="bottom"/>
            <w:gridSpan w:val="2"/>
            <w:vMerge w:val="restart"/>
          </w:tcPr>
          <w:p>
            <w:pPr>
              <w:jc w:val="center"/>
              <w:spacing w:after="0" w:line="120"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30"/>
        </w:trPr>
        <w:tc>
          <w:tcPr>
            <w:tcW w:w="25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94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136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660" w:type="dxa"/>
            <w:vAlign w:val="bottom"/>
          </w:tcPr>
          <w:p>
            <w:pPr>
              <w:spacing w:after="0"/>
              <w:rPr>
                <w:sz w:val="15"/>
                <w:szCs w:val="15"/>
                <w:color w:val="auto"/>
              </w:rPr>
            </w:pPr>
          </w:p>
        </w:tc>
        <w:tc>
          <w:tcPr>
            <w:tcW w:w="98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Income</w:t>
            </w:r>
          </w:p>
        </w:tc>
        <w:tc>
          <w:tcPr>
            <w:tcW w:w="100" w:type="dxa"/>
            <w:vAlign w:val="bottom"/>
          </w:tcPr>
          <w:p>
            <w:pPr>
              <w:spacing w:after="0"/>
              <w:rPr>
                <w:sz w:val="15"/>
                <w:szCs w:val="15"/>
                <w:color w:val="auto"/>
              </w:rPr>
            </w:pPr>
          </w:p>
        </w:tc>
        <w:tc>
          <w:tcPr>
            <w:tcW w:w="880" w:type="dxa"/>
            <w:vAlign w:val="bottom"/>
            <w:gridSpan w:val="2"/>
          </w:tcPr>
          <w:p>
            <w:pPr>
              <w:ind w:left="180"/>
              <w:spacing w:after="0"/>
              <w:rPr>
                <w:sz w:val="20"/>
                <w:szCs w:val="20"/>
                <w:color w:val="auto"/>
              </w:rPr>
            </w:pPr>
            <w:r>
              <w:rPr>
                <w:rFonts w:ascii="Arial" w:cs="Arial" w:eastAsia="Arial" w:hAnsi="Arial"/>
                <w:sz w:val="13"/>
                <w:szCs w:val="13"/>
                <w:b w:val="1"/>
                <w:bCs w:val="1"/>
                <w:color w:val="auto"/>
              </w:rPr>
              <w:t>Deficit</w:t>
            </w:r>
          </w:p>
        </w:tc>
        <w:tc>
          <w:tcPr>
            <w:tcW w:w="180" w:type="dxa"/>
            <w:vAlign w:val="bottom"/>
          </w:tcPr>
          <w:p>
            <w:pPr>
              <w:spacing w:after="0"/>
              <w:rPr>
                <w:sz w:val="15"/>
                <w:szCs w:val="15"/>
                <w:color w:val="auto"/>
              </w:rPr>
            </w:pPr>
          </w:p>
        </w:tc>
        <w:tc>
          <w:tcPr>
            <w:tcW w:w="720" w:type="dxa"/>
            <w:vAlign w:val="bottom"/>
          </w:tcPr>
          <w:p>
            <w:pPr>
              <w:jc w:val="center"/>
              <w:ind w:right="13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30"/>
        </w:trPr>
        <w:tc>
          <w:tcPr>
            <w:tcW w:w="25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CCEEFF"/>
              <w:right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January 1, 2021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127,082,605</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387,707</w:t>
            </w:r>
          </w:p>
        </w:tc>
        <w:tc>
          <w:tcPr>
            <w:tcW w:w="700" w:type="dxa"/>
            <w:vAlign w:val="bottom"/>
            <w:tcBorders>
              <w:bottom w:val="single" w:sz="8" w:color="CCEEFF"/>
              <w:right w:val="single" w:sz="8" w:color="auto"/>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24,289,906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8,766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(220,688)</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(211,329)</w:t>
            </w:r>
          </w:p>
        </w:tc>
        <w:tc>
          <w:tcPr>
            <w:tcW w:w="0" w:type="dxa"/>
            <w:vAlign w:val="bottom"/>
          </w:tcPr>
          <w:p>
            <w:pPr>
              <w:spacing w:after="0"/>
              <w:rPr>
                <w:sz w:val="1"/>
                <w:szCs w:val="1"/>
                <w:color w:val="auto"/>
              </w:rPr>
            </w:pPr>
          </w:p>
        </w:tc>
      </w:tr>
      <w:tr>
        <w:trPr>
          <w:trHeight w:val="184"/>
        </w:trPr>
        <w:tc>
          <w:tcPr>
            <w:tcW w:w="2500" w:type="dxa"/>
            <w:vAlign w:val="bottom"/>
          </w:tcPr>
          <w:p>
            <w:pPr>
              <w:ind w:left="20"/>
              <w:spacing w:after="0"/>
              <w:rPr>
                <w:sz w:val="20"/>
                <w:szCs w:val="20"/>
                <w:color w:val="auto"/>
              </w:rPr>
            </w:pPr>
            <w:r>
              <w:rPr>
                <w:rFonts w:ascii="Arial" w:cs="Arial" w:eastAsia="Arial" w:hAnsi="Arial"/>
                <w:sz w:val="14"/>
                <w:szCs w:val="14"/>
                <w:color w:val="auto"/>
              </w:rPr>
              <w:t>Issuance of Series F redeemable</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00" w:type="dxa"/>
            <w:vAlign w:val="bottom"/>
          </w:tcPr>
          <w:p>
            <w:pPr>
              <w:ind w:left="20"/>
              <w:spacing w:after="0"/>
              <w:rPr>
                <w:sz w:val="20"/>
                <w:szCs w:val="20"/>
                <w:color w:val="auto"/>
              </w:rPr>
            </w:pPr>
            <w:r>
              <w:rPr>
                <w:rFonts w:ascii="Arial" w:cs="Arial" w:eastAsia="Arial" w:hAnsi="Arial"/>
                <w:sz w:val="14"/>
                <w:szCs w:val="14"/>
                <w:color w:val="auto"/>
              </w:rPr>
              <w:t>convertible preferred stock, net of</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328,026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2,980</w:t>
            </w:r>
          </w:p>
        </w:tc>
        <w:tc>
          <w:tcPr>
            <w:tcW w:w="70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vMerge w:val="restart"/>
          </w:tcPr>
          <w:p>
            <w:pPr>
              <w:ind w:left="5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500" w:type="dxa"/>
            <w:vAlign w:val="bottom"/>
          </w:tcPr>
          <w:p>
            <w:pPr>
              <w:ind w:left="20"/>
              <w:spacing w:after="0"/>
              <w:rPr>
                <w:sz w:val="20"/>
                <w:szCs w:val="20"/>
                <w:color w:val="auto"/>
              </w:rPr>
            </w:pPr>
            <w:r>
              <w:rPr>
                <w:rFonts w:ascii="Arial" w:cs="Arial" w:eastAsia="Arial" w:hAnsi="Arial"/>
                <w:sz w:val="14"/>
                <w:szCs w:val="14"/>
                <w:color w:val="auto"/>
              </w:rPr>
              <w:t>issuance costs</w:t>
            </w: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of common stock</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25,759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84"/>
        </w:trPr>
        <w:tc>
          <w:tcPr>
            <w:tcW w:w="2500" w:type="dxa"/>
            <w:vAlign w:val="bottom"/>
          </w:tcPr>
          <w:p>
            <w:pPr>
              <w:ind w:left="20"/>
              <w:spacing w:after="0"/>
              <w:rPr>
                <w:sz w:val="20"/>
                <w:szCs w:val="20"/>
                <w:color w:val="auto"/>
              </w:rPr>
            </w:pPr>
            <w:r>
              <w:rPr>
                <w:rFonts w:ascii="Arial" w:cs="Arial" w:eastAsia="Arial" w:hAnsi="Arial"/>
                <w:sz w:val="14"/>
                <w:szCs w:val="14"/>
                <w:color w:val="auto"/>
                <w:w w:val="95"/>
              </w:rPr>
              <w:t>Issuance of common stock upon exercise</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00" w:type="dxa"/>
            <w:vAlign w:val="bottom"/>
          </w:tcPr>
          <w:p>
            <w:pPr>
              <w:ind w:left="180"/>
              <w:spacing w:after="0"/>
              <w:rPr>
                <w:sz w:val="20"/>
                <w:szCs w:val="20"/>
                <w:color w:val="auto"/>
              </w:rPr>
            </w:pPr>
            <w:r>
              <w:rPr>
                <w:rFonts w:ascii="Arial" w:cs="Arial" w:eastAsia="Arial" w:hAnsi="Arial"/>
                <w:sz w:val="14"/>
                <w:szCs w:val="14"/>
                <w:color w:val="auto"/>
              </w:rPr>
              <w:t>of stock options, including early</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180"/>
              <w:spacing w:after="0"/>
              <w:rPr>
                <w:sz w:val="20"/>
                <w:szCs w:val="20"/>
                <w:color w:val="auto"/>
              </w:rPr>
            </w:pPr>
            <w:r>
              <w:rPr>
                <w:rFonts w:ascii="Arial" w:cs="Arial" w:eastAsia="Arial" w:hAnsi="Arial"/>
                <w:sz w:val="14"/>
                <w:szCs w:val="14"/>
                <w:color w:val="auto"/>
              </w:rPr>
              <w:t>exercised options, and vesting</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500" w:type="dxa"/>
            <w:vAlign w:val="bottom"/>
          </w:tcPr>
          <w:p>
            <w:pPr>
              <w:ind w:left="180"/>
              <w:spacing w:after="0"/>
              <w:rPr>
                <w:sz w:val="20"/>
                <w:szCs w:val="20"/>
                <w:color w:val="auto"/>
              </w:rPr>
            </w:pPr>
            <w:r>
              <w:rPr>
                <w:rFonts w:ascii="Arial" w:cs="Arial" w:eastAsia="Arial" w:hAnsi="Arial"/>
                <w:sz w:val="14"/>
                <w:szCs w:val="14"/>
                <w:color w:val="auto"/>
              </w:rPr>
              <w:t>restricted stock units</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6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2,069,978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4,033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4,034</w:t>
            </w:r>
          </w:p>
        </w:tc>
        <w:tc>
          <w:tcPr>
            <w:tcW w:w="0" w:type="dxa"/>
            <w:vAlign w:val="bottom"/>
          </w:tcPr>
          <w:p>
            <w:pPr>
              <w:spacing w:after="0"/>
              <w:rPr>
                <w:sz w:val="1"/>
                <w:szCs w:val="1"/>
                <w:color w:val="auto"/>
              </w:rPr>
            </w:pPr>
          </w:p>
        </w:tc>
      </w:tr>
      <w:tr>
        <w:trPr>
          <w:trHeight w:val="39"/>
        </w:trPr>
        <w:tc>
          <w:tcPr>
            <w:tcW w:w="2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4,225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4,225</w:t>
            </w:r>
          </w:p>
        </w:tc>
        <w:tc>
          <w:tcPr>
            <w:tcW w:w="0" w:type="dxa"/>
            <w:vAlign w:val="bottom"/>
          </w:tcPr>
          <w:p>
            <w:pPr>
              <w:spacing w:after="0"/>
              <w:rPr>
                <w:sz w:val="1"/>
                <w:szCs w:val="1"/>
                <w:color w:val="auto"/>
              </w:rPr>
            </w:pPr>
          </w:p>
        </w:tc>
      </w:tr>
      <w:tr>
        <w:trPr>
          <w:trHeight w:val="191"/>
        </w:trPr>
        <w:tc>
          <w:tcPr>
            <w:tcW w:w="250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6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39"/>
        </w:trPr>
        <w:tc>
          <w:tcPr>
            <w:tcW w:w="2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(9,218)</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(9,218)</w:t>
            </w:r>
          </w:p>
        </w:tc>
        <w:tc>
          <w:tcPr>
            <w:tcW w:w="0" w:type="dxa"/>
            <w:vAlign w:val="bottom"/>
          </w:tcPr>
          <w:p>
            <w:pPr>
              <w:spacing w:after="0"/>
              <w:rPr>
                <w:sz w:val="1"/>
                <w:szCs w:val="1"/>
                <w:color w:val="auto"/>
              </w:rPr>
            </w:pPr>
          </w:p>
        </w:tc>
      </w:tr>
      <w:tr>
        <w:trPr>
          <w:trHeight w:val="257"/>
        </w:trPr>
        <w:tc>
          <w:tcPr>
            <w:tcW w:w="2500" w:type="dxa"/>
            <w:vAlign w:val="bottom"/>
          </w:tcPr>
          <w:p>
            <w:pPr>
              <w:ind w:left="20"/>
              <w:spacing w:after="0"/>
              <w:rPr>
                <w:sz w:val="20"/>
                <w:szCs w:val="20"/>
                <w:color w:val="auto"/>
              </w:rPr>
            </w:pPr>
            <w:r>
              <w:rPr>
                <w:rFonts w:ascii="Arial" w:cs="Arial" w:eastAsia="Arial" w:hAnsi="Arial"/>
                <w:sz w:val="14"/>
                <w:szCs w:val="14"/>
                <w:color w:val="auto"/>
              </w:rPr>
              <w:t>Balance as of June 30, 2021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127,410,631</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390,687</w:t>
            </w:r>
          </w:p>
        </w:tc>
        <w:tc>
          <w:tcPr>
            <w:tcW w:w="700" w:type="dxa"/>
            <w:vAlign w:val="bottom"/>
            <w:tcBorders>
              <w:right w:val="single" w:sz="8" w:color="auto"/>
            </w:tcBorders>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26,385,643</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17,193</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575</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(229,906)</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(212,135)</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REMITLY GLOBAL,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tcPr>
          <w:p>
            <w:pPr>
              <w:spacing w:after="0"/>
              <w:rPr>
                <w:sz w:val="19"/>
                <w:szCs w:val="19"/>
                <w:color w:val="auto"/>
              </w:rPr>
            </w:pPr>
          </w:p>
        </w:tc>
        <w:tc>
          <w:tcPr>
            <w:tcW w:w="26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600" w:type="dxa"/>
            <w:vAlign w:val="bottom"/>
            <w:tcBorders>
              <w:bottom w:val="single" w:sz="8" w:color="auto"/>
            </w:tcBorders>
          </w:tcPr>
          <w:p>
            <w:pPr>
              <w:spacing w:after="0"/>
              <w:rPr>
                <w:sz w:val="19"/>
                <w:szCs w:val="19"/>
                <w:color w:val="auto"/>
              </w:rPr>
            </w:pPr>
          </w:p>
        </w:tc>
      </w:tr>
      <w:tr>
        <w:trPr>
          <w:trHeight w:val="236"/>
        </w:trPr>
        <w:tc>
          <w:tcPr>
            <w:tcW w:w="80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20"/>
                <w:szCs w:val="20"/>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Net loss</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3"/>
              </w:rPr>
              <w:t>(61,555)</w:t>
            </w:r>
          </w:p>
        </w:tc>
        <w:tc>
          <w:tcPr>
            <w:tcW w:w="80" w:type="dxa"/>
            <w:vAlign w:val="bottom"/>
          </w:tcPr>
          <w:p>
            <w:pPr>
              <w:spacing w:after="0"/>
              <w:rPr>
                <w:sz w:val="20"/>
                <w:szCs w:val="20"/>
                <w:color w:val="auto"/>
              </w:rPr>
            </w:pP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(9,218)</w:t>
            </w: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r>
      <w:tr>
        <w:trPr>
          <w:trHeight w:val="233"/>
        </w:trPr>
        <w:tc>
          <w:tcPr>
            <w:tcW w:w="802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3,027</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2,571</w:t>
            </w:r>
          </w:p>
        </w:tc>
      </w:tr>
      <w:tr>
        <w:trPr>
          <w:trHeight w:val="253"/>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 net</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42,135</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4,225</w:t>
            </w:r>
          </w:p>
        </w:tc>
      </w:tr>
      <w:tr>
        <w:trPr>
          <w:trHeight w:val="233"/>
        </w:trPr>
        <w:tc>
          <w:tcPr>
            <w:tcW w:w="8020" w:type="dxa"/>
            <w:vAlign w:val="bottom"/>
          </w:tcPr>
          <w:p>
            <w:pPr>
              <w:ind w:left="240"/>
              <w:spacing w:after="0"/>
              <w:rPr>
                <w:sz w:val="20"/>
                <w:szCs w:val="20"/>
                <w:color w:val="auto"/>
              </w:rPr>
            </w:pPr>
            <w:r>
              <w:rPr>
                <w:rFonts w:ascii="Arial" w:cs="Arial" w:eastAsia="Arial" w:hAnsi="Arial"/>
                <w:sz w:val="16"/>
                <w:szCs w:val="16"/>
                <w:color w:val="auto"/>
              </w:rPr>
              <w:t>Other</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179</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53"/>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Changes in operating assets and liabilities: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r>
      <w:tr>
        <w:trPr>
          <w:trHeight w:val="233"/>
        </w:trPr>
        <w:tc>
          <w:tcPr>
            <w:tcW w:w="8020" w:type="dxa"/>
            <w:vAlign w:val="bottom"/>
          </w:tcPr>
          <w:p>
            <w:pPr>
              <w:ind w:left="460"/>
              <w:spacing w:after="0"/>
              <w:rPr>
                <w:sz w:val="20"/>
                <w:szCs w:val="20"/>
                <w:color w:val="auto"/>
              </w:rPr>
            </w:pPr>
            <w:r>
              <w:rPr>
                <w:rFonts w:ascii="Arial" w:cs="Arial" w:eastAsia="Arial" w:hAnsi="Arial"/>
                <w:sz w:val="16"/>
                <w:szCs w:val="16"/>
                <w:color w:val="auto"/>
              </w:rPr>
              <w:t>Disbursement prefunding</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(39,873)</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50,310</w:t>
            </w:r>
          </w:p>
        </w:tc>
      </w:tr>
      <w:tr>
        <w:trPr>
          <w:trHeight w:val="253"/>
        </w:trPr>
        <w:tc>
          <w:tcPr>
            <w:tcW w:w="8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Customer funds receivable</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(29,868)</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(8,863)</w:t>
            </w:r>
          </w:p>
        </w:tc>
      </w:tr>
      <w:tr>
        <w:trPr>
          <w:trHeight w:val="233"/>
        </w:trPr>
        <w:tc>
          <w:tcPr>
            <w:tcW w:w="8020" w:type="dxa"/>
            <w:vAlign w:val="bottom"/>
          </w:tcPr>
          <w:p>
            <w:pPr>
              <w:ind w:left="460"/>
              <w:spacing w:after="0"/>
              <w:rPr>
                <w:sz w:val="20"/>
                <w:szCs w:val="20"/>
                <w:color w:val="auto"/>
              </w:rPr>
            </w:pPr>
            <w:r>
              <w:rPr>
                <w:rFonts w:ascii="Arial" w:cs="Arial" w:eastAsia="Arial" w:hAnsi="Arial"/>
                <w:sz w:val="16"/>
                <w:szCs w:val="16"/>
                <w:color w:val="auto"/>
              </w:rPr>
              <w:t>Prepaid expenses and other assets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(2,687)</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(5,527)</w:t>
            </w:r>
          </w:p>
        </w:tc>
      </w:tr>
      <w:tr>
        <w:trPr>
          <w:trHeight w:val="253"/>
        </w:trPr>
        <w:tc>
          <w:tcPr>
            <w:tcW w:w="8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Operating lease right-of-use assets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w:t>
            </w:r>
          </w:p>
        </w:tc>
      </w:tr>
      <w:tr>
        <w:trPr>
          <w:trHeight w:val="233"/>
        </w:trPr>
        <w:tc>
          <w:tcPr>
            <w:tcW w:w="8020" w:type="dxa"/>
            <w:vAlign w:val="bottom"/>
          </w:tcPr>
          <w:p>
            <w:pPr>
              <w:ind w:left="460"/>
              <w:spacing w:after="0"/>
              <w:rPr>
                <w:sz w:val="20"/>
                <w:szCs w:val="20"/>
                <w:color w:val="auto"/>
              </w:rPr>
            </w:pPr>
            <w:r>
              <w:rPr>
                <w:rFonts w:ascii="Arial" w:cs="Arial" w:eastAsia="Arial" w:hAnsi="Arial"/>
                <w:sz w:val="16"/>
                <w:szCs w:val="16"/>
                <w:color w:val="auto"/>
              </w:rPr>
              <w:t>Accounts payable</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4,317</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1,845</w:t>
            </w:r>
          </w:p>
        </w:tc>
      </w:tr>
      <w:tr>
        <w:trPr>
          <w:trHeight w:val="253"/>
        </w:trPr>
        <w:tc>
          <w:tcPr>
            <w:tcW w:w="8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Customer liabilities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60,279</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17,376</w:t>
            </w:r>
          </w:p>
        </w:tc>
      </w:tr>
      <w:tr>
        <w:trPr>
          <w:trHeight w:val="233"/>
        </w:trPr>
        <w:tc>
          <w:tcPr>
            <w:tcW w:w="8020" w:type="dxa"/>
            <w:vAlign w:val="bottom"/>
          </w:tcPr>
          <w:p>
            <w:pPr>
              <w:ind w:left="460"/>
              <w:spacing w:after="0"/>
              <w:rPr>
                <w:sz w:val="20"/>
                <w:szCs w:val="20"/>
                <w:color w:val="auto"/>
              </w:rPr>
            </w:pPr>
            <w:r>
              <w:rPr>
                <w:rFonts w:ascii="Arial" w:cs="Arial" w:eastAsia="Arial" w:hAnsi="Arial"/>
                <w:sz w:val="16"/>
                <w:szCs w:val="16"/>
                <w:color w:val="auto"/>
              </w:rPr>
              <w:t>Accrued expenses and other liabilities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50,395</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7,937</w:t>
            </w:r>
          </w:p>
        </w:tc>
      </w:tr>
      <w:tr>
        <w:trPr>
          <w:trHeight w:val="246"/>
        </w:trPr>
        <w:tc>
          <w:tcPr>
            <w:tcW w:w="80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Operating lease liabilities</w:t>
            </w:r>
          </w:p>
        </w:tc>
        <w:tc>
          <w:tcPr>
            <w:tcW w:w="9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(2,062)</w:t>
            </w:r>
          </w:p>
        </w:tc>
        <w:tc>
          <w:tcPr>
            <w:tcW w:w="8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(1,678)</w:t>
            </w:r>
          </w:p>
        </w:tc>
      </w:tr>
      <w:tr>
        <w:trPr>
          <w:trHeight w:val="237"/>
        </w:trPr>
        <w:tc>
          <w:tcPr>
            <w:tcW w:w="80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provided by operating activities</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26,030</w:t>
            </w: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60,276</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(1,492)</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(671)</w:t>
            </w:r>
          </w:p>
        </w:tc>
      </w:tr>
      <w:tr>
        <w:trPr>
          <w:trHeight w:val="24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internal-use software costs</w:t>
            </w:r>
          </w:p>
        </w:tc>
        <w:tc>
          <w:tcPr>
            <w:tcW w:w="9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(1,688)</w:t>
            </w:r>
          </w:p>
        </w:tc>
        <w:tc>
          <w:tcPr>
            <w:tcW w:w="8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(1,581)</w:t>
            </w:r>
          </w:p>
        </w:tc>
      </w:tr>
      <w:tr>
        <w:trPr>
          <w:trHeight w:val="237"/>
        </w:trPr>
        <w:tc>
          <w:tcPr>
            <w:tcW w:w="80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used in investing activities</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(3,180)</w:t>
            </w: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(2,252)</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Proceeds from issuance of Series F convertible preferred stock, net of issuance costs</w:t>
            </w:r>
          </w:p>
        </w:tc>
        <w:tc>
          <w:tcPr>
            <w:tcW w:w="96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2,980</w:t>
            </w: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exercise of stock options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4,467</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4,374</w:t>
            </w: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Taxes paid related to net share settlement of equity awards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Repayments of revolving credit facility borrowings, net</w:t>
            </w:r>
          </w:p>
        </w:tc>
        <w:tc>
          <w:tcPr>
            <w:tcW w:w="9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(80,000)</w:t>
            </w:r>
          </w:p>
        </w:tc>
      </w:tr>
      <w:tr>
        <w:trPr>
          <w:trHeight w:val="237"/>
        </w:trPr>
        <w:tc>
          <w:tcPr>
            <w:tcW w:w="80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provided by (used in) financing activities</w:t>
            </w:r>
          </w:p>
        </w:tc>
        <w:tc>
          <w:tcPr>
            <w:tcW w:w="9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4,437</w:t>
            </w:r>
          </w:p>
        </w:tc>
        <w:tc>
          <w:tcPr>
            <w:tcW w:w="80" w:type="dxa"/>
            <w:vAlign w:val="bottom"/>
            <w:tcBorders>
              <w:bottom w:val="single" w:sz="8" w:color="CCEEFF"/>
            </w:tcBorders>
          </w:tcPr>
          <w:p>
            <w:pPr>
              <w:spacing w:after="0"/>
              <w:rPr>
                <w:sz w:val="20"/>
                <w:szCs w:val="20"/>
                <w:color w:val="auto"/>
              </w:rPr>
            </w:pPr>
          </w:p>
        </w:tc>
        <w:tc>
          <w:tcPr>
            <w:tcW w:w="9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(72,646)</w:t>
            </w:r>
          </w:p>
        </w:tc>
      </w:tr>
      <w:tr>
        <w:trPr>
          <w:trHeight w:val="23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foreign exchange rate changes on cash, cash equivalents and restricted cash</w:t>
            </w:r>
          </w:p>
        </w:tc>
        <w:tc>
          <w:tcPr>
            <w:tcW w:w="9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w:t>
            </w:r>
          </w:p>
        </w:tc>
        <w:tc>
          <w:tcPr>
            <w:tcW w:w="80" w:type="dxa"/>
            <w:vAlign w:val="bottom"/>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26,447</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3"/>
              </w:rPr>
              <w:t>(14,441)</w:t>
            </w:r>
          </w:p>
        </w:tc>
      </w:tr>
      <w:tr>
        <w:trPr>
          <w:trHeight w:val="24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9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403,313</w:t>
            </w:r>
          </w:p>
        </w:tc>
        <w:tc>
          <w:tcPr>
            <w:tcW w:w="8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188,075</w:t>
            </w:r>
          </w:p>
        </w:tc>
      </w:tr>
      <w:tr>
        <w:trPr>
          <w:trHeight w:val="243"/>
        </w:trPr>
        <w:tc>
          <w:tcPr>
            <w:tcW w:w="802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429,760</w:t>
            </w:r>
          </w:p>
        </w:tc>
        <w:tc>
          <w:tcPr>
            <w:tcW w:w="80" w:type="dxa"/>
            <w:vAlign w:val="bottom"/>
          </w:tcPr>
          <w:p>
            <w:pPr>
              <w:spacing w:after="0"/>
              <w:rPr>
                <w:sz w:val="21"/>
                <w:szCs w:val="21"/>
                <w:color w:val="auto"/>
              </w:rPr>
            </w:pP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173,634</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465</w:t>
            </w:r>
          </w:p>
        </w:tc>
        <w:tc>
          <w:tcPr>
            <w:tcW w:w="80" w:type="dxa"/>
            <w:vAlign w:val="bottom"/>
          </w:tcPr>
          <w:p>
            <w:pPr>
              <w:spacing w:after="0"/>
              <w:rPr>
                <w:sz w:val="20"/>
                <w:szCs w:val="20"/>
                <w:color w:val="auto"/>
              </w:rPr>
            </w:pP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497</w:t>
            </w: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income taxes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 obtained in exchange for operating lease liabilities</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6,932</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Vesting of early exercised options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393</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issuance shares through Employee Stock Purchase Plan</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1,882</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Stock compensation capitalized to internal-use software</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900</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IPO costs incurred but not yet paid</w:t>
            </w:r>
          </w:p>
        </w:tc>
        <w:tc>
          <w:tcPr>
            <w:tcW w:w="9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w:t>
            </w: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Reconciliation of cash, cash equivalents and restricted cash</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429,709</w:t>
            </w:r>
          </w:p>
        </w:tc>
        <w:tc>
          <w:tcPr>
            <w:tcW w:w="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173,363</w:t>
            </w:r>
          </w:p>
        </w:tc>
      </w:tr>
      <w:tr>
        <w:trPr>
          <w:trHeight w:val="23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8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r>
      <w:tr>
        <w:trPr>
          <w:trHeight w:val="26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429,760</w:t>
            </w:r>
          </w:p>
        </w:tc>
        <w:tc>
          <w:tcPr>
            <w:tcW w:w="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173,634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REMITLY GLOBAL,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40" w:lineRule="exact"/>
        <w:rPr>
          <w:sz w:val="20"/>
          <w:szCs w:val="20"/>
          <w:color w:val="auto"/>
        </w:rPr>
      </w:pPr>
    </w:p>
    <w:p>
      <w:pPr>
        <w:ind w:right="8080" w:firstLine="8"/>
        <w:spacing w:after="0" w:line="469" w:lineRule="auto"/>
        <w:tabs>
          <w:tab w:leader="none" w:pos="283"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 and Description of Business Description of Business</w:t>
      </w:r>
    </w:p>
    <w:p>
      <w:pPr>
        <w:ind w:right="440" w:firstLine="324"/>
        <w:spacing w:after="0" w:line="275" w:lineRule="auto"/>
        <w:rPr>
          <w:sz w:val="20"/>
          <w:szCs w:val="20"/>
          <w:color w:val="auto"/>
        </w:rPr>
      </w:pPr>
      <w:r>
        <w:rPr>
          <w:rFonts w:ascii="Arial" w:cs="Arial" w:eastAsia="Arial" w:hAnsi="Arial"/>
          <w:sz w:val="16"/>
          <w:szCs w:val="16"/>
          <w:color w:val="auto"/>
        </w:rPr>
        <w:t>Remitly Global, Inc. (the “Company” or “Remitly”) was incorporated in the State of Delaware in October 2018 and is headquartered in Seattle, Washington, with various other global office locations.</w:t>
      </w:r>
    </w:p>
    <w:p>
      <w:pPr>
        <w:spacing w:after="0" w:line="132"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color w:val="auto"/>
        </w:rPr>
        <w:t>Remitly is a leading digital financial services provider for immigrants and their families in over 170 countries, helping customers send money internationally in a quick, reliable, and more cost-effective manner, by leveraging digital channels and supporting cross-border transmissions across the globe.</w:t>
      </w:r>
    </w:p>
    <w:p>
      <w:pPr>
        <w:spacing w:after="0" w:line="132" w:lineRule="exact"/>
        <w:rPr>
          <w:sz w:val="20"/>
          <w:szCs w:val="20"/>
          <w:color w:val="auto"/>
        </w:rPr>
      </w:pPr>
    </w:p>
    <w:p>
      <w:pPr>
        <w:ind w:right="340" w:firstLine="324"/>
        <w:spacing w:after="0" w:line="275" w:lineRule="auto"/>
        <w:rPr>
          <w:sz w:val="20"/>
          <w:szCs w:val="20"/>
          <w:color w:val="auto"/>
        </w:rPr>
      </w:pPr>
      <w:r>
        <w:rPr>
          <w:rFonts w:ascii="Arial" w:cs="Arial" w:eastAsia="Arial" w:hAnsi="Arial"/>
          <w:sz w:val="16"/>
          <w:szCs w:val="16"/>
          <w:color w:val="auto"/>
        </w:rPr>
        <w:t>Unless otherwise expressly stated or the context otherwise requires, the terms “Remitly” and the “Company” in these notes to the condensed consolidated financial statements refer to Remitly Global, Inc. and its wholly owned subsidiaries.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Initial Public Offering and Private Placement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 September 2021, the Company completed its initial public offering (the “IPO”), in which the Company issued and sold 7,000,000 shares of its common stock at</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$43.00 per share. Concurrently, 5,162,777 shares were sold by certain of the Company’s existing stockholders. In addition, the Company issued 581,395 shares of common</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stock to an existing stockholder in a private placement at the same offering price as the IPO. The Company received net proceeds of $305.2 million for the IPO and private</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placement, after deducting underwriting discounts and other fees of $20.8 million. In connection with the IPO, 127,410,631 shares of outstanding redeemable convertible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preferred stock automatically converted into an equivalent number of shares of common stock on a one-to-one basis.</w:t>
      </w:r>
    </w:p>
    <w:p>
      <w:pPr>
        <w:spacing w:after="0" w:line="163" w:lineRule="exact"/>
        <w:rPr>
          <w:sz w:val="20"/>
          <w:szCs w:val="20"/>
          <w:color w:val="auto"/>
        </w:rPr>
      </w:pPr>
    </w:p>
    <w:p>
      <w:pPr>
        <w:ind w:right="6120" w:firstLine="8"/>
        <w:spacing w:after="0" w:line="460" w:lineRule="auto"/>
        <w:tabs>
          <w:tab w:leader="none" w:pos="283"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Basis of Presentation and Summary of Significant Accounting Policies Basis of Presentation</w:t>
      </w:r>
    </w:p>
    <w:p>
      <w:pPr>
        <w:spacing w:after="0" w:line="1" w:lineRule="exact"/>
        <w:rPr>
          <w:sz w:val="20"/>
          <w:szCs w:val="20"/>
          <w:color w:val="auto"/>
        </w:rPr>
      </w:pPr>
    </w:p>
    <w:p>
      <w:pPr>
        <w:ind w:right="220" w:firstLine="324"/>
        <w:spacing w:after="0" w:line="284"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accounting principles generally accepted in the United States of America (“GAAP”) and applicable rules and regulations of the U.S. Securities and Exchange Commission (the “SEC”) regarding interim financial reporting. The year-end condensed balance sheet data was derived from audited financial statements, but does not include all disclosures required by GAAP and therefore the information included in this Quarterly Report on Form 10-Q should be read in conjunction with the historical audited annual consolidated financial statements and related notes included in the Company’s Annual Report on Form 10-K, for the year ended December 31, 2021.</w:t>
      </w:r>
    </w:p>
    <w:p>
      <w:pPr>
        <w:spacing w:after="0" w:line="113" w:lineRule="exact"/>
        <w:rPr>
          <w:sz w:val="20"/>
          <w:szCs w:val="20"/>
          <w:color w:val="auto"/>
        </w:rPr>
      </w:pPr>
    </w:p>
    <w:p>
      <w:pPr>
        <w:ind w:right="80" w:firstLine="324"/>
        <w:spacing w:after="0" w:line="291" w:lineRule="auto"/>
        <w:rPr>
          <w:sz w:val="20"/>
          <w:szCs w:val="20"/>
          <w:color w:val="auto"/>
        </w:rPr>
      </w:pPr>
      <w:r>
        <w:rPr>
          <w:rFonts w:ascii="Arial" w:cs="Arial" w:eastAsia="Arial" w:hAnsi="Arial"/>
          <w:sz w:val="15"/>
          <w:szCs w:val="15"/>
          <w:color w:val="auto"/>
        </w:rPr>
        <w:t>The accompanying unaudited interim condensed consolidated financial statements have been prepared on the same basis as the audited consolidated financial statements and, in the opinion of management, reflect all adjustments of a normal recurring nature considered necessary to state fairly the Company’s consolidated financial position, results of operations, comprehensive loss, and cash flows for the interim periods. The interim results for the three and six months ended June 30, 2022 are not necessarily indicative of the results that may be expected for the year ending December 31, 2022, or for any other future annual or interim period.</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Principles of Consolidation</w:t>
      </w:r>
    </w:p>
    <w:p>
      <w:pPr>
        <w:spacing w:after="0" w:line="171" w:lineRule="exact"/>
        <w:rPr>
          <w:sz w:val="20"/>
          <w:szCs w:val="20"/>
          <w:color w:val="auto"/>
        </w:rPr>
      </w:pPr>
    </w:p>
    <w:p>
      <w:pPr>
        <w:ind w:right="280" w:firstLine="324"/>
        <w:spacing w:after="0" w:line="293" w:lineRule="auto"/>
        <w:rPr>
          <w:sz w:val="20"/>
          <w:szCs w:val="20"/>
          <w:color w:val="auto"/>
        </w:rPr>
      </w:pPr>
      <w:r>
        <w:rPr>
          <w:rFonts w:ascii="Arial" w:cs="Arial" w:eastAsia="Arial" w:hAnsi="Arial"/>
          <w:sz w:val="16"/>
          <w:szCs w:val="16"/>
          <w:color w:val="auto"/>
        </w:rPr>
        <w:t>The condensed consolidated financial statements include the accounts of Remitly Global, Inc. and its wholly owned subsidiaries. All intercompany transactions and balances have been eliminated in consolidation.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185" w:lineRule="exact"/>
        <w:rPr>
          <w:sz w:val="20"/>
          <w:szCs w:val="20"/>
          <w:color w:val="auto"/>
        </w:rPr>
      </w:pPr>
    </w:p>
    <w:p>
      <w:pPr>
        <w:ind w:right="20" w:firstLine="324"/>
        <w:spacing w:after="0" w:line="299" w:lineRule="auto"/>
        <w:rPr>
          <w:sz w:val="20"/>
          <w:szCs w:val="20"/>
          <w:color w:val="auto"/>
        </w:rPr>
      </w:pPr>
      <w:r>
        <w:rPr>
          <w:rFonts w:ascii="Arial" w:cs="Arial" w:eastAsia="Arial" w:hAnsi="Arial"/>
          <w:sz w:val="14"/>
          <w:szCs w:val="14"/>
          <w:color w:val="auto"/>
        </w:rPr>
        <w:t>The preparation of the accompanying condensed consolidated financial statements in conformity with GAAP requires management to make estimates and assumptions that affect the amounts reported and disclosed in the condensed consolidated financial statements and accompanying notes. These estimates and assumptions include, but are not limited to, revenue recognition including the treatment of sales incentive programs, reserves for transaction losses, stock-based compensation expense including the estimated fair value per share of common stock, the carrying value of operating lease right-of-use assets, the recoverability of deferred tax assets, and capitalization of software development costs. The Company bases its estimates on historical experience and on assumptions that management considers reasonable. Actual results could differ from these estimates and assumptions, and these differences could be material to the condensed consolidated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Credit Risk</w:t>
      </w:r>
    </w:p>
    <w:p>
      <w:pPr>
        <w:spacing w:after="0" w:line="171" w:lineRule="exact"/>
        <w:rPr>
          <w:sz w:val="20"/>
          <w:szCs w:val="20"/>
          <w:color w:val="auto"/>
        </w:rPr>
      </w:pPr>
    </w:p>
    <w:p>
      <w:pPr>
        <w:ind w:right="260" w:firstLine="324"/>
        <w:spacing w:after="0" w:line="262" w:lineRule="auto"/>
        <w:rPr>
          <w:sz w:val="20"/>
          <w:szCs w:val="20"/>
          <w:color w:val="auto"/>
        </w:rPr>
      </w:pPr>
      <w:r>
        <w:rPr>
          <w:rFonts w:ascii="Arial" w:cs="Arial" w:eastAsia="Arial" w:hAnsi="Arial"/>
          <w:sz w:val="16"/>
          <w:szCs w:val="16"/>
          <w:color w:val="auto"/>
        </w:rPr>
        <w:t>Financial instruments that potentially expose the Company to concentrations of credit risk consist primarily of cash and cash equivalents, disbursement prefunding, restricted cash, and customer funds receivable. The Company maintains cash and cash equivalents and restricted cash balances that may exceed the insured limits by the Federal Deposit Insurance Corporation. In addition, the Company funds its international operations using accounts with institutions in the major countries where its subsidiaries operate. The Company also prefunds amounts which are held by its disbursement partners, which are typically located in India, Philippines and Mexico. The Company has not experienced any significant losses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color w:val="auto"/>
        </w:rPr>
        <w:t>on its deposits of cash and cash equivalents, disbursement prefunding, restricted cash or customer funds receivable in the three and six months ended June 30, 2022 and 2021.</w:t>
      </w:r>
    </w:p>
    <w:p>
      <w:pPr>
        <w:spacing w:after="0" w:line="132" w:lineRule="exact"/>
        <w:rPr>
          <w:sz w:val="20"/>
          <w:szCs w:val="20"/>
          <w:color w:val="auto"/>
        </w:rPr>
      </w:pPr>
    </w:p>
    <w:p>
      <w:pPr>
        <w:ind w:right="500" w:firstLine="324"/>
        <w:spacing w:after="0" w:line="275" w:lineRule="auto"/>
        <w:rPr>
          <w:sz w:val="20"/>
          <w:szCs w:val="20"/>
          <w:color w:val="auto"/>
        </w:rPr>
      </w:pPr>
      <w:r>
        <w:rPr>
          <w:rFonts w:ascii="Arial" w:cs="Arial" w:eastAsia="Arial" w:hAnsi="Arial"/>
          <w:sz w:val="16"/>
          <w:szCs w:val="16"/>
          <w:color w:val="auto"/>
        </w:rPr>
        <w:t>For the three and six months ended June 30, 2022 and 2021, no individual customer represented 10% or more of the Company’s total revenue or customer funds receivable.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Trade Settlement Liabilities</w:t>
      </w:r>
    </w:p>
    <w:p>
      <w:pPr>
        <w:spacing w:after="0" w:line="17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6"/>
          <w:szCs w:val="16"/>
          <w:color w:val="auto"/>
        </w:rPr>
        <w:t xml:space="preserve">Our trade settlement liability represents the total of book overdrafts and disbursement postfunding liabilities owed to our disbursement partners. Book overdrafts are created when the sum of outstanding checks related to a specific bank account are in excess of funds on deposit for the respective bank account. Disbursement postfunding liabilities are created when the sum of customer transactions related to a specific account held with a disbursement partner are in excess of funds on deposit for the respective account. Book overdrafts and disbursement postfunding liabilities totaled $63.8 million and $18.9 million as of June 30, 2022 and December 31, 2021, respectively, and were classified as </w:t>
      </w:r>
      <w:r>
        <w:rPr>
          <w:rFonts w:ascii="Arial" w:cs="Arial" w:eastAsia="Arial" w:hAnsi="Arial"/>
          <w:sz w:val="16"/>
          <w:szCs w:val="16"/>
          <w:i w:val="1"/>
          <w:iCs w:val="1"/>
          <w:color w:val="auto"/>
        </w:rPr>
        <w:t>‘Accrued expenses and other current liabilities’</w:t>
      </w:r>
      <w:r>
        <w:rPr>
          <w:rFonts w:ascii="Arial" w:cs="Arial" w:eastAsia="Arial" w:hAnsi="Arial"/>
          <w:sz w:val="16"/>
          <w:szCs w:val="16"/>
          <w:color w:val="auto"/>
        </w:rPr>
        <w:t xml:space="preserve"> in the Condensed Consolidated Balance Sheets. The Company’s policy is to report the change in book overdrafts and prefunding liabilities as an operating activity in the Consolidated Statements of Cash Flows based on the underlying nature of the transactions.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Offering Costs</w:t>
      </w:r>
    </w:p>
    <w:p>
      <w:pPr>
        <w:spacing w:after="0" w:line="171" w:lineRule="exact"/>
        <w:rPr>
          <w:sz w:val="20"/>
          <w:szCs w:val="20"/>
          <w:color w:val="auto"/>
        </w:rPr>
      </w:pPr>
    </w:p>
    <w:p>
      <w:pPr>
        <w:ind w:right="60" w:firstLine="324"/>
        <w:spacing w:after="0" w:line="269" w:lineRule="auto"/>
        <w:rPr>
          <w:sz w:val="20"/>
          <w:szCs w:val="20"/>
          <w:color w:val="auto"/>
        </w:rPr>
      </w:pPr>
      <w:r>
        <w:rPr>
          <w:rFonts w:ascii="Arial" w:cs="Arial" w:eastAsia="Arial" w:hAnsi="Arial"/>
          <w:sz w:val="16"/>
          <w:szCs w:val="16"/>
          <w:color w:val="auto"/>
        </w:rPr>
        <w:t>Prior to the IPO, deferred offering costs, which consist of direct incremental legal, accounting, and consulting fees relating to the IPO, were capitalized and included in ‘</w:t>
      </w:r>
      <w:r>
        <w:rPr>
          <w:rFonts w:ascii="Arial" w:cs="Arial" w:eastAsia="Arial" w:hAnsi="Arial"/>
          <w:sz w:val="16"/>
          <w:szCs w:val="16"/>
          <w:i w:val="1"/>
          <w:iCs w:val="1"/>
          <w:color w:val="auto"/>
        </w:rPr>
        <w:t>Other noncurrent assets</w:t>
      </w:r>
      <w:r>
        <w:rPr>
          <w:rFonts w:ascii="Arial" w:cs="Arial" w:eastAsia="Arial" w:hAnsi="Arial"/>
          <w:sz w:val="16"/>
          <w:szCs w:val="16"/>
          <w:color w:val="auto"/>
        </w:rPr>
        <w:t>’ on the Condensed Consolidated Balance Sheets. Upon completion of the IPO in September 2021, the Company reclassified $4.3 million of deferred offering costs to additional-paid-in capital offsetting the IPO proceeds.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Advertising</w:t>
      </w:r>
    </w:p>
    <w:p>
      <w:pPr>
        <w:spacing w:after="0" w:line="185" w:lineRule="exact"/>
        <w:rPr>
          <w:sz w:val="20"/>
          <w:szCs w:val="20"/>
          <w:color w:val="auto"/>
        </w:rPr>
      </w:pPr>
    </w:p>
    <w:p>
      <w:pPr>
        <w:ind w:right="120"/>
        <w:spacing w:after="0" w:line="315" w:lineRule="auto"/>
        <w:rPr>
          <w:sz w:val="20"/>
          <w:szCs w:val="20"/>
          <w:color w:val="auto"/>
        </w:rPr>
      </w:pPr>
      <w:r>
        <w:rPr>
          <w:rFonts w:ascii="Arial" w:cs="Arial" w:eastAsia="Arial" w:hAnsi="Arial"/>
          <w:sz w:val="14"/>
          <w:szCs w:val="14"/>
          <w:color w:val="auto"/>
        </w:rPr>
        <w:t xml:space="preserve">Advertising expenses are charged to operations as incurred and are included as a component of </w:t>
      </w:r>
      <w:r>
        <w:rPr>
          <w:rFonts w:ascii="Arial" w:cs="Arial" w:eastAsia="Arial" w:hAnsi="Arial"/>
          <w:sz w:val="14"/>
          <w:szCs w:val="14"/>
          <w:i w:val="1"/>
          <w:iCs w:val="1"/>
          <w:color w:val="auto"/>
        </w:rPr>
        <w:t>Marketing Expenses</w:t>
      </w:r>
      <w:r>
        <w:rPr>
          <w:rFonts w:ascii="Arial" w:cs="Arial" w:eastAsia="Arial" w:hAnsi="Arial"/>
          <w:sz w:val="14"/>
          <w:szCs w:val="14"/>
          <w:color w:val="auto"/>
        </w:rPr>
        <w:t xml:space="preserve"> within the Condensed Consolidated Statements of Operations. Advertising expenses are used primarily to attract new customers. Advertising expenses totaled $36.0 million and $22.0 million during the three months ended June 30, 2022 and 2021, respectively. Advertising expenses totaled $70.6 million and $44.5 million during the six months ended June 30, 2022 and 2021, respectively.</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Out-of-Period Adjustment</w:t>
      </w:r>
    </w:p>
    <w:p>
      <w:pPr>
        <w:spacing w:after="0" w:line="171" w:lineRule="exact"/>
        <w:rPr>
          <w:sz w:val="20"/>
          <w:szCs w:val="20"/>
          <w:color w:val="auto"/>
        </w:rPr>
      </w:pPr>
    </w:p>
    <w:p>
      <w:pPr>
        <w:jc w:val="both"/>
        <w:ind w:right="60" w:firstLine="324"/>
        <w:spacing w:after="0" w:line="295" w:lineRule="auto"/>
        <w:rPr>
          <w:sz w:val="20"/>
          <w:szCs w:val="20"/>
          <w:color w:val="auto"/>
        </w:rPr>
      </w:pPr>
      <w:r>
        <w:rPr>
          <w:rFonts w:ascii="Arial" w:cs="Arial" w:eastAsia="Arial" w:hAnsi="Arial"/>
          <w:sz w:val="14"/>
          <w:szCs w:val="14"/>
          <w:color w:val="auto"/>
        </w:rPr>
        <w:t>The condensed consolidated financial statements for the three months ended June 30, 2022 include an adjustment of $6.3 million to stock-based compensation expense and additional paid-in capital, to correct for an error identified by management during the preparation of the financial statements for the three months ended June 30, 2022. This adjustment is to reflect the straight-lining of expense over the full service period for graded-vested stock-based compensation awards under ASC 718, of which</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 xml:space="preserve">$1.9 million relates to the three months ended March 31, 2022, and the remaining $4.4 million amount relates to prior annual fiscal periods. Management has determined that this error was not material to the historical financial statements in any individual period or in the aggregate and did not result in the previously issued financial statements being materially misstated. Additionally, although the impact to the three months ended June 30, 2022 is material, the impact to full year 2022 expected results is not material. As such, management recorded the correction as an out-of-period adjustment in the three months ended June 30, 2022. Substantially all of the cumulative adjustment was related to stock-based compensation for personnel who support our general and administrative functions and was recorded to </w:t>
      </w:r>
      <w:r>
        <w:rPr>
          <w:rFonts w:ascii="Arial" w:cs="Arial" w:eastAsia="Arial" w:hAnsi="Arial"/>
          <w:sz w:val="16"/>
          <w:szCs w:val="16"/>
          <w:i w:val="1"/>
          <w:iCs w:val="1"/>
          <w:color w:val="auto"/>
        </w:rPr>
        <w:t>general and administrative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expenses </w:t>
      </w:r>
      <w:r>
        <w:rPr>
          <w:rFonts w:ascii="Arial" w:cs="Arial" w:eastAsia="Arial" w:hAnsi="Arial"/>
          <w:sz w:val="16"/>
          <w:szCs w:val="16"/>
          <w:color w:val="auto"/>
        </w:rPr>
        <w:t>in the three months ended June 30, 2022.</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Significant Accounting Policies</w:t>
      </w:r>
    </w:p>
    <w:p>
      <w:pPr>
        <w:spacing w:after="0" w:line="171" w:lineRule="exact"/>
        <w:rPr>
          <w:sz w:val="20"/>
          <w:szCs w:val="20"/>
          <w:color w:val="auto"/>
        </w:rPr>
      </w:pPr>
    </w:p>
    <w:p>
      <w:pPr>
        <w:ind w:right="40" w:firstLine="324"/>
        <w:spacing w:after="0" w:line="269" w:lineRule="auto"/>
        <w:rPr>
          <w:sz w:val="20"/>
          <w:szCs w:val="20"/>
          <w:color w:val="auto"/>
        </w:rPr>
      </w:pPr>
      <w:r>
        <w:rPr>
          <w:rFonts w:ascii="Arial" w:cs="Arial" w:eastAsia="Arial" w:hAnsi="Arial"/>
          <w:sz w:val="16"/>
          <w:szCs w:val="16"/>
          <w:color w:val="auto"/>
        </w:rPr>
        <w:t>The Company’s significant accounting policies are discussed in Note 2, “Basis of Presentation and Summary of Significant Accounting Policies” in the Notes to Consolidated Financial Statements included in the Company’s Annual Report on Form 10-K for the year ended December 31, 2021. There have been no significant changes to these policies during the three months ended June 30, 2022, except as noted below.</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Recently Adopted Accounting Pronouncements </w:t>
      </w:r>
      <w:r>
        <w:rPr>
          <w:rFonts w:ascii="Arial" w:cs="Arial" w:eastAsia="Arial" w:hAnsi="Arial"/>
          <w:sz w:val="16"/>
          <w:szCs w:val="16"/>
          <w:i w:val="1"/>
          <w:iCs w:val="1"/>
          <w:color w:val="auto"/>
        </w:rPr>
        <w:t>(“ASU”)</w:t>
      </w:r>
    </w:p>
    <w:p>
      <w:pPr>
        <w:spacing w:after="0" w:line="167" w:lineRule="exact"/>
        <w:rPr>
          <w:sz w:val="20"/>
          <w:szCs w:val="20"/>
          <w:color w:val="auto"/>
        </w:rPr>
      </w:pPr>
    </w:p>
    <w:p>
      <w:pPr>
        <w:ind w:right="220" w:firstLine="324"/>
        <w:spacing w:after="0" w:line="294" w:lineRule="auto"/>
        <w:rPr>
          <w:sz w:val="20"/>
          <w:szCs w:val="20"/>
          <w:color w:val="auto"/>
        </w:rPr>
      </w:pPr>
      <w:r>
        <w:rPr>
          <w:rFonts w:ascii="Arial" w:cs="Arial" w:eastAsia="Arial" w:hAnsi="Arial"/>
          <w:sz w:val="14"/>
          <w:szCs w:val="14"/>
          <w:color w:val="auto"/>
        </w:rPr>
        <w:t xml:space="preserve">In August 2018, the FASB issued ASU No. 2018-15, </w:t>
      </w:r>
      <w:r>
        <w:rPr>
          <w:rFonts w:ascii="Arial" w:cs="Arial" w:eastAsia="Arial" w:hAnsi="Arial"/>
          <w:sz w:val="14"/>
          <w:szCs w:val="14"/>
          <w:i w:val="1"/>
          <w:iCs w:val="1"/>
          <w:color w:val="auto"/>
        </w:rPr>
        <w:t>Intangibles - Goodwill and Other Internal-Use Software (Subtopic 350-40),Customer’s Accounting for</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Implementation Costs Incurred in a Cloud Computing Arrangement That is a Service Contract. </w:t>
      </w:r>
      <w:r>
        <w:rPr>
          <w:rFonts w:ascii="Arial" w:cs="Arial" w:eastAsia="Arial" w:hAnsi="Arial"/>
          <w:sz w:val="14"/>
          <w:szCs w:val="14"/>
          <w:color w:val="auto"/>
        </w:rPr>
        <w:t>Under existing U.S. GAAP, there is diversity in practice in accounting for</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color w:val="auto"/>
        </w:rPr>
        <w:t>the costs of implementing cloud computing arrangements (“CCA”) that are service contracts. The standard aligns the requirements for capitalizing implementation costs incurred in a hosting arrangement that is a service contract with the requirements for capitalizing implementation costs incurred to develop or obtain internal-use software. The standard also requires the presentation of the amortization of the capitalized implementation costs in the same line item in the consolidated statements of comprehensive loss as the fees associated with the hosting arrangement. The new standard is effective for fiscal years beginning after December 15, 2020, and interim periods within fiscal years beginning after December 15, 2021 with early adoption permitted. This ASU was adopted on a prospective basis for the fiscal year ended December 31, 2021. The Company assessed the impact of the guidance to its consolidated financial statements for the three and six months ended June 30, 2021 and concluded that the standard did not have a material impact on its financial statements. See Note 4. for further disclosure of the ongoing impact of ASU 2018-15 to the Company’s condensed consolidated financial statements for the three and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Accounting Pronouncements Not Yet Adopted</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 xml:space="preserve">In June 2016, the FASB issued ASU No. 2016-13, </w:t>
      </w:r>
      <w:r>
        <w:rPr>
          <w:rFonts w:ascii="Arial" w:cs="Arial" w:eastAsia="Arial" w:hAnsi="Arial"/>
          <w:sz w:val="15"/>
          <w:szCs w:val="15"/>
          <w:i w:val="1"/>
          <w:iCs w:val="1"/>
          <w:color w:val="auto"/>
        </w:rPr>
        <w:t>Financial Instruments- Credit Losses (Topic 326): Measurement of Credit Losses on Financial Instruments</w:t>
      </w:r>
      <w:r>
        <w:rPr>
          <w:rFonts w:ascii="Arial" w:cs="Arial" w:eastAsia="Arial" w:hAnsi="Arial"/>
          <w:sz w:val="15"/>
          <w:szCs w:val="15"/>
          <w:color w:val="auto"/>
        </w:rPr>
        <w:t>. This</w:t>
      </w:r>
    </w:p>
    <w:p>
      <w:pPr>
        <w:spacing w:after="0" w:line="3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ASU replaces the existing incurred loss impairment methodology that recognizes credit losses when a probable loss has been incurred with new methodology pursuant to which loss estimates are based upon lifetime expected credit losses. The amendments in this ASU require a financial asset that is measured at amortized cost to be presented at the net amount expected to be collected. The consolidated statements of operations would then reflect the measurement of credit losses for newly recognized financial assets as well as changes to the expected credit losses that have taken place during the reporting period. The change in allowance recognized as a result of adoption will occur through a cumulative-effect adjustment to retained earnings as of the beginning of the first reporting period in which the ASU is adopted. The new standard is effective for fiscal years beginning after December 15, 2022, and interim periods within that fiscal year with early adoption permitted. The Company is currently assessing the impact of the guidance on its consolidated financial statements.</w:t>
      </w:r>
    </w:p>
    <w:p>
      <w:pPr>
        <w:spacing w:after="0" w:line="148" w:lineRule="exact"/>
        <w:rPr>
          <w:sz w:val="20"/>
          <w:szCs w:val="20"/>
          <w:color w:val="auto"/>
        </w:rPr>
      </w:pPr>
    </w:p>
    <w:p>
      <w:pPr>
        <w:ind w:right="720" w:firstLine="324"/>
        <w:spacing w:after="0" w:line="275" w:lineRule="auto"/>
        <w:rPr>
          <w:sz w:val="20"/>
          <w:szCs w:val="20"/>
          <w:color w:val="auto"/>
        </w:rPr>
      </w:pPr>
      <w:r>
        <w:rPr>
          <w:rFonts w:ascii="Arial" w:cs="Arial" w:eastAsia="Arial" w:hAnsi="Arial"/>
          <w:sz w:val="16"/>
          <w:szCs w:val="16"/>
          <w:color w:val="auto"/>
        </w:rPr>
        <w:t>There are new accounting pronouncements issued by the FASB that we have adopted or will adopt, as applicable. We do not believe any of these accounting pronouncements have had, or will have, a material impact on our consolidated financial statements or disclosures.</w:t>
      </w:r>
    </w:p>
    <w:p>
      <w:pPr>
        <w:spacing w:after="0" w:line="114"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Revenue</w:t>
      </w:r>
    </w:p>
    <w:p>
      <w:pPr>
        <w:spacing w:after="0" w:line="185" w:lineRule="exact"/>
        <w:rPr>
          <w:sz w:val="20"/>
          <w:szCs w:val="20"/>
          <w:color w:val="auto"/>
        </w:rPr>
      </w:pPr>
    </w:p>
    <w:p>
      <w:pPr>
        <w:ind w:right="40" w:firstLine="324"/>
        <w:spacing w:after="0" w:line="303" w:lineRule="auto"/>
        <w:rPr>
          <w:sz w:val="20"/>
          <w:szCs w:val="20"/>
          <w:color w:val="auto"/>
        </w:rPr>
      </w:pPr>
      <w:r>
        <w:rPr>
          <w:rFonts w:ascii="Arial" w:cs="Arial" w:eastAsia="Arial" w:hAnsi="Arial"/>
          <w:sz w:val="14"/>
          <w:szCs w:val="14"/>
          <w:color w:val="auto"/>
        </w:rPr>
        <w:t xml:space="preserve">The Company’s primary source of revenue is generated from its remittance business. Revenue is earned from transaction fees charged to customers who are sending remittances and the foreign exchange spreads earned between the foreign exchange rate offered to customers and the foreign exchange rate on the Company’s currency purchases. Revenue is recognized when control of these services is transferred to the Company’s customers, which is the time the funds have been delivered to the intended recipient in an amount that reflects the consideration the Company expects to be entitled to in exchange for services provided. The Company accounts for revenue in accordance with Accounting Standards Codification (“ASC”)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(Topic 606), which includes the following steps:</w:t>
      </w:r>
    </w:p>
    <w:p>
      <w:pPr>
        <w:spacing w:after="0" w:line="11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identification of the contract with a customer;</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180"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recognition of revenue when, or as, the Company satisfies a performance obligation.</w:t>
      </w:r>
    </w:p>
    <w:p>
      <w:pPr>
        <w:spacing w:after="0" w:line="181" w:lineRule="exact"/>
        <w:rPr>
          <w:sz w:val="20"/>
          <w:szCs w:val="20"/>
          <w:color w:val="auto"/>
        </w:rPr>
      </w:pPr>
    </w:p>
    <w:p>
      <w:pPr>
        <w:ind w:right="420" w:firstLine="324"/>
        <w:spacing w:after="0" w:line="261" w:lineRule="auto"/>
        <w:rPr>
          <w:sz w:val="20"/>
          <w:szCs w:val="20"/>
          <w:color w:val="auto"/>
        </w:rPr>
      </w:pPr>
      <w:r>
        <w:rPr>
          <w:rFonts w:ascii="Arial" w:cs="Arial" w:eastAsia="Arial" w:hAnsi="Arial"/>
          <w:sz w:val="16"/>
          <w:szCs w:val="16"/>
          <w:color w:val="auto"/>
        </w:rPr>
        <w:t>Customers engage the Company to perform one integrated service — collect the customer’s money and deliver funds to the intended recipient in the currency requested. Payment is generally due from the customer upfront upon initiation of a transaction, when the customer simultaneously agrees to the Company’s terms and conditions.</w:t>
      </w:r>
    </w:p>
    <w:p>
      <w:pPr>
        <w:spacing w:after="0" w:line="142" w:lineRule="exact"/>
        <w:rPr>
          <w:sz w:val="20"/>
          <w:szCs w:val="20"/>
          <w:color w:val="auto"/>
        </w:rPr>
      </w:pPr>
    </w:p>
    <w:p>
      <w:pPr>
        <w:ind w:right="60" w:firstLine="324"/>
        <w:spacing w:after="0" w:line="262" w:lineRule="auto"/>
        <w:rPr>
          <w:sz w:val="20"/>
          <w:szCs w:val="20"/>
          <w:color w:val="auto"/>
        </w:rPr>
      </w:pPr>
      <w:r>
        <w:rPr>
          <w:rFonts w:ascii="Arial" w:cs="Arial" w:eastAsia="Arial" w:hAnsi="Arial"/>
          <w:sz w:val="16"/>
          <w:szCs w:val="16"/>
          <w:color w:val="auto"/>
        </w:rPr>
        <w:t>Revenue is derived from each transaction and varies based on the funding method chosen by the customer, the size of the transaction, the currency to be ultimately disbursed, the rate at which the currency was purchased, and the countries to which the funds are transferred. The Company’s contract with customers can be terminated by the customer without a termination penalty up until the time the funds have been delivered to the intended recipient. Therefore, the Company’s contracts are defined at the transaction level and do not extend beyond the service already provided.</w:t>
      </w:r>
    </w:p>
    <w:p>
      <w:pPr>
        <w:spacing w:after="0" w:line="128" w:lineRule="exact"/>
        <w:rPr>
          <w:sz w:val="20"/>
          <w:szCs w:val="20"/>
          <w:color w:val="auto"/>
        </w:rPr>
      </w:pPr>
    </w:p>
    <w:p>
      <w:pPr>
        <w:ind w:firstLine="324"/>
        <w:spacing w:after="0" w:line="317" w:lineRule="auto"/>
        <w:rPr>
          <w:sz w:val="20"/>
          <w:szCs w:val="20"/>
          <w:color w:val="auto"/>
        </w:rPr>
      </w:pPr>
      <w:r>
        <w:rPr>
          <w:rFonts w:ascii="Arial" w:cs="Arial" w:eastAsia="Arial" w:hAnsi="Arial"/>
          <w:sz w:val="14"/>
          <w:szCs w:val="14"/>
          <w:color w:val="auto"/>
        </w:rPr>
        <w:t>The Company’s service comprises a single performance obligation to complete transactions for the Company’s customers. Using compliance and risk assessment tools, the Company performs a transaction risk assessment on individual transactions to determine whether a transaction should be accepted. When the Company accepts a transaction and processes the designated payment method of the customer, the Company becomes obligated to its customer to complete the payment transaction, at which time a receivable is recorded, along with a corresponding customer liability. None of the Company’s contracts contain a significant financing component.</w:t>
      </w:r>
    </w:p>
    <w:p>
      <w:pPr>
        <w:spacing w:after="0" w:line="94" w:lineRule="exact"/>
        <w:rPr>
          <w:sz w:val="20"/>
          <w:szCs w:val="20"/>
          <w:color w:val="auto"/>
        </w:rPr>
      </w:pPr>
    </w:p>
    <w:p>
      <w:pPr>
        <w:ind w:right="40" w:firstLine="324"/>
        <w:spacing w:after="0" w:line="257" w:lineRule="auto"/>
        <w:rPr>
          <w:sz w:val="20"/>
          <w:szCs w:val="20"/>
          <w:color w:val="auto"/>
        </w:rPr>
      </w:pPr>
      <w:r>
        <w:rPr>
          <w:rFonts w:ascii="Arial" w:cs="Arial" w:eastAsia="Arial" w:hAnsi="Arial"/>
          <w:sz w:val="16"/>
          <w:szCs w:val="16"/>
          <w:color w:val="auto"/>
        </w:rPr>
        <w:t>The Company recognizes transaction revenue on a gross basis as it is the principal for fulfilling payment transactions. As the principal to the transaction, the Company controls the service of completing payments on its payment platform. The Company bears primary responsibility for the fulfillment of the payment service, is the merchant of record, contracts directly with its customers, controls the product specifications, and defines the value proposition of its services. The Company is also responsible for providing customer support. Further, the Company has full discretion over determining the fee charged to its customers, which is independent of the cost it incurs in instances where it may utilize payment processors or other financial institutions to perform services on its behalf. These fees paid to payment processors and other financial institutions are recognized as transaction expenses in the condensed consolidated statements of operations. The Company does not have any capitalized contract acquisition costs.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spacing w:after="0"/>
              <w:rPr>
                <w:sz w:val="20"/>
                <w:szCs w:val="20"/>
                <w:color w:val="auto"/>
              </w:rPr>
            </w:pPr>
            <w:r>
              <w:rPr>
                <w:rFonts w:ascii="Arial" w:cs="Arial" w:eastAsia="Arial" w:hAnsi="Arial"/>
                <w:sz w:val="16"/>
                <w:szCs w:val="16"/>
                <w:b w:val="1"/>
                <w:bCs w:val="1"/>
                <w:color w:val="auto"/>
              </w:rPr>
              <w:t>Deferred Revenue</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51"/>
        </w:trPr>
        <w:tc>
          <w:tcPr>
            <w:tcW w:w="6400" w:type="dxa"/>
            <w:vAlign w:val="bottom"/>
            <w:gridSpan w:val="4"/>
          </w:tcPr>
          <w:p>
            <w:pPr>
              <w:ind w:left="340"/>
              <w:spacing w:after="0"/>
              <w:rPr>
                <w:sz w:val="20"/>
                <w:szCs w:val="20"/>
                <w:color w:val="auto"/>
              </w:rPr>
            </w:pPr>
            <w:r>
              <w:rPr>
                <w:rFonts w:ascii="Arial" w:cs="Arial" w:eastAsia="Arial" w:hAnsi="Arial"/>
                <w:sz w:val="16"/>
                <w:szCs w:val="16"/>
                <w:color w:val="auto"/>
              </w:rPr>
              <w:t>The deferred revenue balances from contracts with customers were as follows: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32"/>
        </w:trPr>
        <w:tc>
          <w:tcPr>
            <w:tcW w:w="4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24"/>
                <w:szCs w:val="24"/>
                <w:color w:val="auto"/>
              </w:rPr>
            </w:pPr>
          </w:p>
        </w:tc>
        <w:tc>
          <w:tcPr>
            <w:tcW w:w="286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Six Months Ended June 30,</w:t>
            </w:r>
          </w:p>
        </w:tc>
      </w:tr>
      <w:tr>
        <w:trPr>
          <w:trHeight w:val="237"/>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243"/>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beginning of the period</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w:t>
            </w:r>
          </w:p>
        </w:tc>
      </w:tr>
      <w:tr>
        <w:trPr>
          <w:trHeight w:val="233"/>
        </w:trPr>
        <w:tc>
          <w:tcPr>
            <w:tcW w:w="4760" w:type="dxa"/>
            <w:vAlign w:val="bottom"/>
          </w:tcPr>
          <w:p>
            <w:pPr>
              <w:ind w:left="20"/>
              <w:spacing w:after="0"/>
              <w:rPr>
                <w:sz w:val="20"/>
                <w:szCs w:val="20"/>
                <w:color w:val="auto"/>
              </w:rPr>
            </w:pPr>
            <w:r>
              <w:rPr>
                <w:rFonts w:ascii="Arial" w:cs="Arial" w:eastAsia="Arial" w:hAnsi="Arial"/>
                <w:sz w:val="16"/>
                <w:szCs w:val="16"/>
                <w:color w:val="auto"/>
              </w:rPr>
              <w:t>Deferred revenue, end of the period</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1,084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1,126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1,084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1,126</w:t>
            </w:r>
          </w:p>
        </w:tc>
      </w:tr>
      <w:tr>
        <w:trPr>
          <w:trHeight w:val="253"/>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deferred revenue during the period</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bl>
    <w:p>
      <w:pPr>
        <w:spacing w:after="0" w:line="233" w:lineRule="exact"/>
        <w:rPr>
          <w:sz w:val="20"/>
          <w:szCs w:val="20"/>
          <w:color w:val="auto"/>
        </w:rPr>
      </w:pPr>
    </w:p>
    <w:p>
      <w:pPr>
        <w:jc w:val="both"/>
        <w:ind w:right="60" w:firstLine="324"/>
        <w:spacing w:after="0" w:line="293" w:lineRule="auto"/>
        <w:rPr>
          <w:sz w:val="20"/>
          <w:szCs w:val="20"/>
          <w:color w:val="auto"/>
        </w:rPr>
      </w:pPr>
      <w:r>
        <w:rPr>
          <w:rFonts w:ascii="Arial" w:cs="Arial" w:eastAsia="Arial" w:hAnsi="Arial"/>
          <w:sz w:val="16"/>
          <w:szCs w:val="16"/>
          <w:color w:val="auto"/>
        </w:rPr>
        <w:t>Revenue recognized during the three month periods ended June 30, 2022 and 2021 from amounts included in deferred revenue at the beginning of the period were $0.4 million and $0.3 million, respectively.</w:t>
      </w:r>
    </w:p>
    <w:p>
      <w:pPr>
        <w:spacing w:after="0" w:line="104"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Revenue recognized during the six month periods ended June 30, 2022 and 2021 from amounts included in deferred revenue at the beginning of the period were $0.5 million and $0.3 million, respectively.</w:t>
      </w:r>
    </w:p>
    <w:p>
      <w:pPr>
        <w:spacing w:after="0" w:line="104" w:lineRule="exact"/>
        <w:rPr>
          <w:sz w:val="20"/>
          <w:szCs w:val="20"/>
          <w:color w:val="auto"/>
        </w:rPr>
      </w:pPr>
    </w:p>
    <w:p>
      <w:pPr>
        <w:ind w:right="20" w:firstLine="324"/>
        <w:spacing w:after="0" w:line="269" w:lineRule="auto"/>
        <w:rPr>
          <w:sz w:val="20"/>
          <w:szCs w:val="20"/>
          <w:color w:val="auto"/>
        </w:rPr>
      </w:pPr>
      <w:r>
        <w:rPr>
          <w:rFonts w:ascii="Arial" w:cs="Arial" w:eastAsia="Arial" w:hAnsi="Arial"/>
          <w:sz w:val="16"/>
          <w:szCs w:val="16"/>
          <w:color w:val="auto"/>
        </w:rPr>
        <w:t>Deferred revenue represents amounts received from customers for which the performance obligations are not yet fulfilled. Deferred revenue is primarily included within ‘</w:t>
      </w:r>
      <w:r>
        <w:rPr>
          <w:rFonts w:ascii="Arial" w:cs="Arial" w:eastAsia="Arial" w:hAnsi="Arial"/>
          <w:sz w:val="16"/>
          <w:szCs w:val="16"/>
          <w:i w:val="1"/>
          <w:iCs w:val="1"/>
          <w:color w:val="auto"/>
        </w:rPr>
        <w:t>Accrued expenses and other current liabilities’</w:t>
      </w:r>
      <w:r>
        <w:rPr>
          <w:rFonts w:ascii="Arial" w:cs="Arial" w:eastAsia="Arial" w:hAnsi="Arial"/>
          <w:sz w:val="16"/>
          <w:szCs w:val="16"/>
          <w:color w:val="auto"/>
        </w:rPr>
        <w:t xml:space="preserve"> on the Condensed Consolidated Balance Sheets, as the performance obligations are expected to be fulfilled within the next year.</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Incentives</w:t>
      </w:r>
    </w:p>
    <w:p>
      <w:pPr>
        <w:spacing w:after="0" w:line="185" w:lineRule="exact"/>
        <w:rPr>
          <w:sz w:val="20"/>
          <w:szCs w:val="20"/>
          <w:color w:val="auto"/>
        </w:rPr>
      </w:pPr>
    </w:p>
    <w:p>
      <w:pPr>
        <w:ind w:right="100" w:firstLine="324"/>
        <w:spacing w:after="0" w:line="262" w:lineRule="auto"/>
        <w:rPr>
          <w:sz w:val="20"/>
          <w:szCs w:val="20"/>
          <w:color w:val="auto"/>
        </w:rPr>
      </w:pPr>
      <w:r>
        <w:rPr>
          <w:rFonts w:ascii="Arial" w:cs="Arial" w:eastAsia="Arial" w:hAnsi="Arial"/>
          <w:sz w:val="16"/>
          <w:szCs w:val="16"/>
          <w:color w:val="auto"/>
        </w:rPr>
        <w:t>The Company provides sales incentives to customers in a variety of forms. Cash incentives given to customers are accounted for as reductions to revenue, up to the point where net historical cumulative revenue, at the customer level, is reduced to zero. Those additional incentive costs that would have caused the customer level revenue to be negative are classified as advertising expenses and are included as a component of ‘</w:t>
      </w:r>
      <w:r>
        <w:rPr>
          <w:rFonts w:ascii="Arial" w:cs="Arial" w:eastAsia="Arial" w:hAnsi="Arial"/>
          <w:sz w:val="16"/>
          <w:szCs w:val="16"/>
          <w:i w:val="1"/>
          <w:iCs w:val="1"/>
          <w:color w:val="auto"/>
        </w:rPr>
        <w:t>Marketing expenses</w:t>
      </w:r>
      <w:r>
        <w:rPr>
          <w:rFonts w:ascii="Arial" w:cs="Arial" w:eastAsia="Arial" w:hAnsi="Arial"/>
          <w:sz w:val="16"/>
          <w:szCs w:val="16"/>
          <w:color w:val="auto"/>
        </w:rPr>
        <w:t>’ within the Condensed Consolidated Statement of Operations. In addition, referral credits given to a referrer are classified as marketing expenses.</w:t>
      </w:r>
    </w:p>
    <w:p>
      <w:pPr>
        <w:spacing w:after="0" w:line="128"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During the three months ended June 30, 2022 and 2021, payments made to customers resulted in reductions to revenue of $5.9 million and $4.7 million, respectively, and charges to sales and marketing expense of $4.9 million and $2.9 million, respectively.</w:t>
      </w:r>
    </w:p>
    <w:p>
      <w:pPr>
        <w:spacing w:after="0" w:line="104" w:lineRule="exact"/>
        <w:rPr>
          <w:sz w:val="20"/>
          <w:szCs w:val="20"/>
          <w:color w:val="auto"/>
        </w:rPr>
      </w:pPr>
    </w:p>
    <w:p>
      <w:pPr>
        <w:ind w:right="260" w:firstLine="324"/>
        <w:spacing w:after="0" w:line="275" w:lineRule="auto"/>
        <w:rPr>
          <w:sz w:val="20"/>
          <w:szCs w:val="20"/>
          <w:color w:val="auto"/>
        </w:rPr>
      </w:pPr>
      <w:r>
        <w:rPr>
          <w:rFonts w:ascii="Arial" w:cs="Arial" w:eastAsia="Arial" w:hAnsi="Arial"/>
          <w:sz w:val="16"/>
          <w:szCs w:val="16"/>
          <w:color w:val="auto"/>
        </w:rPr>
        <w:t>During the six months ended June 30, 2022 and 2021, payments made to customers resulted in reductions to revenue of $10.8 million and $9.0 million, respectively, and charges to sales and marketing expense of $8.6 million and $5.8 million, respectively.</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20" w:type="dxa"/>
            <w:vAlign w:val="bottom"/>
          </w:tcPr>
          <w:p>
            <w:pPr>
              <w:spacing w:after="0"/>
              <w:rPr>
                <w:sz w:val="20"/>
                <w:szCs w:val="20"/>
                <w:color w:val="auto"/>
              </w:rPr>
            </w:pPr>
            <w:r>
              <w:rPr>
                <w:rFonts w:ascii="Arial" w:cs="Arial" w:eastAsia="Arial" w:hAnsi="Arial"/>
                <w:sz w:val="16"/>
                <w:szCs w:val="16"/>
                <w:b w:val="1"/>
                <w:bCs w:val="1"/>
                <w:color w:val="auto"/>
              </w:rPr>
              <w:t>4.  Property and Equipment</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51"/>
        </w:trPr>
        <w:tc>
          <w:tcPr>
            <w:tcW w:w="8020" w:type="dxa"/>
            <w:vAlign w:val="bottom"/>
          </w:tcPr>
          <w:p>
            <w:pPr>
              <w:ind w:left="340"/>
              <w:spacing w:after="0"/>
              <w:rPr>
                <w:sz w:val="20"/>
                <w:szCs w:val="20"/>
                <w:color w:val="auto"/>
              </w:rPr>
            </w:pPr>
            <w:r>
              <w:rPr>
                <w:rFonts w:ascii="Arial" w:cs="Arial" w:eastAsia="Arial" w:hAnsi="Arial"/>
                <w:sz w:val="16"/>
                <w:szCs w:val="16"/>
                <w:color w:val="auto"/>
              </w:rPr>
              <w:t>Property and equipment, net consisted of the following:</w:t>
            </w: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05"/>
        </w:trPr>
        <w:tc>
          <w:tcPr>
            <w:tcW w:w="8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24"/>
                <w:szCs w:val="24"/>
                <w:color w:val="auto"/>
              </w:rPr>
            </w:pPr>
          </w:p>
        </w:tc>
        <w:tc>
          <w:tcPr>
            <w:tcW w:w="1360" w:type="dxa"/>
            <w:vAlign w:val="bottom"/>
          </w:tcPr>
          <w:p>
            <w:pPr>
              <w:jc w:val="right"/>
              <w:ind w:right="239"/>
              <w:spacing w:after="0"/>
              <w:rPr>
                <w:sz w:val="20"/>
                <w:szCs w:val="20"/>
                <w:color w:val="auto"/>
              </w:rPr>
            </w:pPr>
            <w:r>
              <w:rPr>
                <w:rFonts w:ascii="Arial" w:cs="Arial" w:eastAsia="Arial" w:hAnsi="Arial"/>
                <w:sz w:val="16"/>
                <w:szCs w:val="16"/>
                <w:b w:val="1"/>
                <w:bCs w:val="1"/>
                <w:color w:val="auto"/>
                <w:w w:val="97"/>
              </w:rPr>
              <w:t>December 31,</w:t>
            </w:r>
          </w:p>
        </w:tc>
      </w:tr>
      <w:tr>
        <w:trPr>
          <w:trHeight w:val="25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internal-use software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9,022</w:t>
            </w: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Computer and office equipment</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5,220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4,700</w:t>
            </w: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w:t>
            </w: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Leasehold improvements</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6,640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6,655</w:t>
            </w:r>
          </w:p>
        </w:tc>
      </w:tr>
      <w:tr>
        <w:trPr>
          <w:trHeight w:val="24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Projects in Process</w:t>
            </w: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w:t>
            </w:r>
          </w:p>
        </w:tc>
      </w:tr>
      <w:tr>
        <w:trPr>
          <w:trHeight w:val="233"/>
        </w:trPr>
        <w:tc>
          <w:tcPr>
            <w:tcW w:w="8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25,576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22,355</w:t>
            </w:r>
          </w:p>
        </w:tc>
      </w:tr>
      <w:tr>
        <w:trPr>
          <w:trHeight w:val="24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 and amortization</w:t>
            </w: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(15,339)</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(13,106)</w:t>
            </w:r>
          </w:p>
        </w:tc>
      </w:tr>
      <w:tr>
        <w:trPr>
          <w:trHeight w:val="243"/>
        </w:trPr>
        <w:tc>
          <w:tcPr>
            <w:tcW w:w="8020" w:type="dxa"/>
            <w:vAlign w:val="bottom"/>
          </w:tcPr>
          <w:p>
            <w:pPr>
              <w:ind w:left="240"/>
              <w:spacing w:after="0"/>
              <w:rPr>
                <w:sz w:val="20"/>
                <w:szCs w:val="20"/>
                <w:color w:val="auto"/>
              </w:rPr>
            </w:pPr>
            <w:r>
              <w:rPr>
                <w:rFonts w:ascii="Arial" w:cs="Arial" w:eastAsia="Arial" w:hAnsi="Arial"/>
                <w:sz w:val="16"/>
                <w:szCs w:val="16"/>
                <w:color w:val="auto"/>
              </w:rPr>
              <w:t>Property and equipment, net</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10,237</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9,249</w:t>
            </w:r>
          </w:p>
        </w:tc>
      </w:tr>
      <w:tr>
        <w:trPr>
          <w:trHeight w:val="20"/>
        </w:trPr>
        <w:tc>
          <w:tcPr>
            <w:tcW w:w="8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right="640" w:firstLine="324"/>
        <w:spacing w:after="0" w:line="293" w:lineRule="auto"/>
        <w:rPr>
          <w:sz w:val="20"/>
          <w:szCs w:val="20"/>
          <w:color w:val="auto"/>
        </w:rPr>
      </w:pPr>
      <w:r>
        <w:rPr>
          <w:rFonts w:ascii="Arial" w:cs="Arial" w:eastAsia="Arial" w:hAnsi="Arial"/>
          <w:sz w:val="16"/>
          <w:szCs w:val="16"/>
          <w:color w:val="auto"/>
        </w:rPr>
        <w:t>Depreciation and amortization expense related to property and equipment was $1.5 million and $3.0 million for the three and six months ended June 30, 2022, respectively, and $1.4 million and $2.6 million for the three and six months ended June 30, 2021,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Capitalized Internal-Use Software Costs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has been no impairment of previously capitalized costs during the three and six months ended June 30, 2022 and 2021.</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Three months ended June 30, 2022 and 2021</w:t>
      </w:r>
    </w:p>
    <w:p>
      <w:pPr>
        <w:spacing w:after="0" w:line="167" w:lineRule="exact"/>
        <w:rPr>
          <w:sz w:val="20"/>
          <w:szCs w:val="20"/>
          <w:color w:val="auto"/>
        </w:rPr>
      </w:pPr>
    </w:p>
    <w:p>
      <w:pPr>
        <w:ind w:right="80" w:firstLine="324"/>
        <w:spacing w:after="0" w:line="269" w:lineRule="auto"/>
        <w:rPr>
          <w:sz w:val="20"/>
          <w:szCs w:val="20"/>
          <w:color w:val="auto"/>
        </w:rPr>
      </w:pPr>
      <w:r>
        <w:rPr>
          <w:rFonts w:ascii="Arial" w:cs="Arial" w:eastAsia="Arial" w:hAnsi="Arial"/>
          <w:sz w:val="16"/>
          <w:szCs w:val="16"/>
          <w:color w:val="auto"/>
        </w:rPr>
        <w:t>The Company capitalized $1.5 million and $0.6 million for internal-use software costs for three month periods ended June 30, 2022 and 2021, respectively. The Company capitalized $0.6 million of stock-based compensation costs to internal-use software during the three month period ended June 30, 2022. The Company capitalized inconsequential amounts of stock-based compensation costs to internal-use software during the three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840"/>
        <w:spacing w:after="0" w:line="275" w:lineRule="auto"/>
        <w:rPr>
          <w:sz w:val="20"/>
          <w:szCs w:val="20"/>
          <w:color w:val="auto"/>
        </w:rPr>
      </w:pPr>
      <w:r>
        <w:rPr>
          <w:rFonts w:ascii="Arial" w:cs="Arial" w:eastAsia="Arial" w:hAnsi="Arial"/>
          <w:sz w:val="16"/>
          <w:szCs w:val="16"/>
          <w:color w:val="auto"/>
        </w:rPr>
        <w:t>months ended June 30, 2021. The Company recorded amortization expense of $0.7 million and $0.6 million for the three months ended June 30, 2022 and 2021, respectively.</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Six months ended June 30, 2022 and 2021</w:t>
      </w:r>
    </w:p>
    <w:p>
      <w:pPr>
        <w:spacing w:after="0" w:line="167" w:lineRule="exact"/>
        <w:rPr>
          <w:sz w:val="20"/>
          <w:szCs w:val="20"/>
          <w:color w:val="auto"/>
        </w:rPr>
      </w:pPr>
    </w:p>
    <w:p>
      <w:pPr>
        <w:ind w:right="480" w:firstLine="324"/>
        <w:spacing w:after="0" w:line="284" w:lineRule="auto"/>
        <w:rPr>
          <w:sz w:val="20"/>
          <w:szCs w:val="20"/>
          <w:color w:val="auto"/>
        </w:rPr>
      </w:pPr>
      <w:r>
        <w:rPr>
          <w:rFonts w:ascii="Arial" w:cs="Arial" w:eastAsia="Arial" w:hAnsi="Arial"/>
          <w:sz w:val="15"/>
          <w:szCs w:val="15"/>
          <w:color w:val="auto"/>
        </w:rPr>
        <w:t>The Company capitalized $2.6 million and $1.5 million for internal-use software costs during the six months ended June 30, 2022 and 2021, respectively. The Company capitalized $0.9 million of stock-based compensation costs to internal-use software during the six months ended June 30, 2022. The Company capitalized inconsequential amounts of stock-based compensation costs to internal-use software during the six months ended June 30, 2021. The Company recorded amortization expense of $1.4 million and $1.2 million for the six months ended June 30, 2022 and 2021,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Capitalized Cloud Computing Arrangements</w:t>
      </w:r>
    </w:p>
    <w:p>
      <w:pPr>
        <w:spacing w:after="0" w:line="252" w:lineRule="exact"/>
        <w:rPr>
          <w:sz w:val="20"/>
          <w:szCs w:val="20"/>
          <w:color w:val="auto"/>
        </w:rPr>
      </w:pPr>
    </w:p>
    <w:p>
      <w:pPr>
        <w:ind w:right="60" w:firstLine="324"/>
        <w:spacing w:after="0" w:line="262" w:lineRule="auto"/>
        <w:rPr>
          <w:sz w:val="20"/>
          <w:szCs w:val="20"/>
          <w:color w:val="auto"/>
        </w:rPr>
      </w:pPr>
      <w:r>
        <w:rPr>
          <w:rFonts w:ascii="Arial" w:cs="Arial" w:eastAsia="Arial" w:hAnsi="Arial"/>
          <w:sz w:val="16"/>
          <w:szCs w:val="16"/>
          <w:color w:val="auto"/>
        </w:rPr>
        <w:t>The Company capitalized $0.3 million and $0.7 million related to the implementation of cloud computing arrangements and recorded amortization expense of $0.1 million and $0.3 million during the three and six months ended June 30, 2022. As of June 30, 2022, capitalized costs, net of accumulated amortization, were approximately $1.3 million, of which $0.3 million was recorded within ‘</w:t>
      </w:r>
      <w:r>
        <w:rPr>
          <w:rFonts w:ascii="Arial" w:cs="Arial" w:eastAsia="Arial" w:hAnsi="Arial"/>
          <w:sz w:val="16"/>
          <w:szCs w:val="16"/>
          <w:i w:val="1"/>
          <w:iCs w:val="1"/>
          <w:color w:val="auto"/>
        </w:rPr>
        <w:t>Prepaid expenses and other current assets’</w:t>
      </w:r>
      <w:r>
        <w:rPr>
          <w:rFonts w:ascii="Arial" w:cs="Arial" w:eastAsia="Arial" w:hAnsi="Arial"/>
          <w:sz w:val="16"/>
          <w:szCs w:val="16"/>
          <w:color w:val="auto"/>
        </w:rPr>
        <w:t xml:space="preserve"> and $1.0 million was recorded within ‘</w:t>
      </w:r>
      <w:r>
        <w:rPr>
          <w:rFonts w:ascii="Arial" w:cs="Arial" w:eastAsia="Arial" w:hAnsi="Arial"/>
          <w:sz w:val="16"/>
          <w:szCs w:val="16"/>
          <w:i w:val="1"/>
          <w:iCs w:val="1"/>
          <w:color w:val="auto"/>
        </w:rPr>
        <w:t>Other noncurrent assets, net</w:t>
      </w:r>
      <w:r>
        <w:rPr>
          <w:rFonts w:ascii="Arial" w:cs="Arial" w:eastAsia="Arial" w:hAnsi="Arial"/>
          <w:sz w:val="16"/>
          <w:szCs w:val="16"/>
          <w:color w:val="auto"/>
        </w:rPr>
        <w:t>’ on the Company’s Condensed Consolidated Balance Sheets.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Amortization expense related to cloud computing arrangements for the three and six months ended June 30, 2022 was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99"/>
              </w:rPr>
              <w:t>Three Months Ended</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6"/>
              </w:rPr>
              <w:t>Six Months Ended</w:t>
            </w:r>
          </w:p>
        </w:tc>
      </w:tr>
      <w:tr>
        <w:trPr>
          <w:trHeight w:val="236"/>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3"/>
          </w:tcPr>
          <w:p>
            <w:pPr>
              <w:jc w:val="right"/>
              <w:ind w:right="1439"/>
              <w:spacing w:after="0"/>
              <w:rPr>
                <w:sz w:val="20"/>
                <w:szCs w:val="20"/>
                <w:color w:val="auto"/>
              </w:rPr>
            </w:pPr>
            <w:r>
              <w:rPr>
                <w:rFonts w:ascii="Arial" w:cs="Arial" w:eastAsia="Arial" w:hAnsi="Arial"/>
                <w:sz w:val="16"/>
                <w:szCs w:val="16"/>
                <w:b w:val="1"/>
                <w:bCs w:val="1"/>
                <w:color w:val="auto"/>
              </w:rPr>
              <w:t>June 30, 2022</w:t>
            </w:r>
          </w:p>
        </w:tc>
      </w:tr>
      <w:tr>
        <w:trPr>
          <w:trHeight w:val="243"/>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r>
      <w:tr>
        <w:trPr>
          <w:trHeight w:val="237"/>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37"/>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amortization</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w:t>
            </w:r>
          </w:p>
        </w:tc>
      </w:tr>
    </w:tbl>
    <w:p>
      <w:pPr>
        <w:spacing w:after="0" w:line="247" w:lineRule="exact"/>
        <w:rPr>
          <w:sz w:val="20"/>
          <w:szCs w:val="20"/>
          <w:color w:val="auto"/>
        </w:rPr>
      </w:pPr>
    </w:p>
    <w:p>
      <w:pPr>
        <w:ind w:right="260" w:firstLine="324"/>
        <w:spacing w:after="0" w:line="275" w:lineRule="auto"/>
        <w:rPr>
          <w:sz w:val="20"/>
          <w:szCs w:val="20"/>
          <w:color w:val="auto"/>
        </w:rPr>
      </w:pPr>
      <w:r>
        <w:rPr>
          <w:rFonts w:ascii="Arial" w:cs="Arial" w:eastAsia="Arial" w:hAnsi="Arial"/>
          <w:sz w:val="16"/>
          <w:szCs w:val="16"/>
          <w:color w:val="auto"/>
        </w:rPr>
        <w:t>The Company assessed the impact of the guidance to its consolidated financial statements for the three and six months ended and as of June 30, 2021 and concluded that the standard did not have a material impact on its financial statements.</w:t>
      </w:r>
    </w:p>
    <w:p>
      <w:pPr>
        <w:spacing w:after="0" w:line="209"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Measurements</w:t>
      </w:r>
    </w:p>
    <w:p>
      <w:pPr>
        <w:spacing w:after="0" w:line="171" w:lineRule="exact"/>
        <w:rPr>
          <w:sz w:val="20"/>
          <w:szCs w:val="20"/>
          <w:color w:val="auto"/>
        </w:rPr>
      </w:pPr>
    </w:p>
    <w:p>
      <w:pPr>
        <w:ind w:right="40" w:firstLine="324"/>
        <w:spacing w:after="0" w:line="275" w:lineRule="auto"/>
        <w:rPr>
          <w:sz w:val="20"/>
          <w:szCs w:val="20"/>
          <w:color w:val="auto"/>
        </w:rPr>
      </w:pPr>
      <w:r>
        <w:rPr>
          <w:rFonts w:ascii="Arial" w:cs="Arial" w:eastAsia="Arial" w:hAnsi="Arial"/>
          <w:sz w:val="16"/>
          <w:szCs w:val="16"/>
          <w:color w:val="auto"/>
        </w:rPr>
        <w:t>The following table presents information about the Company’s financial assets and liabilities that are measured at fair value and indicates the fair value hierarchy of the valuation inputs used as of June 30, 2022: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4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6"/>
                <w:szCs w:val="16"/>
                <w:b w:val="1"/>
                <w:bCs w:val="1"/>
                <w:color w:val="auto"/>
              </w:rPr>
              <w:t>As of June 30, 2022</w:t>
            </w: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237"/>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Level 1</w:t>
            </w: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2</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Level 3</w:t>
            </w: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3"/>
        </w:trPr>
        <w:tc>
          <w:tcPr>
            <w:tcW w:w="47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6"/>
        </w:trPr>
        <w:tc>
          <w:tcPr>
            <w:tcW w:w="4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Term deposits</w:t>
            </w: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50,000</w:t>
            </w:r>
          </w:p>
        </w:tc>
        <w:tc>
          <w:tcPr>
            <w:tcW w:w="8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r>
      <w:tr>
        <w:trPr>
          <w:trHeight w:val="237"/>
        </w:trPr>
        <w:tc>
          <w:tcPr>
            <w:tcW w:w="4740" w:type="dxa"/>
            <w:vAlign w:val="bottom"/>
          </w:tcPr>
          <w:p>
            <w:pPr>
              <w:ind w:left="360"/>
              <w:spacing w:after="0"/>
              <w:rPr>
                <w:sz w:val="20"/>
                <w:szCs w:val="20"/>
                <w:color w:val="auto"/>
              </w:rPr>
            </w:pPr>
            <w:r>
              <w:rPr>
                <w:rFonts w:ascii="Arial" w:cs="Arial" w:eastAsia="Arial" w:hAnsi="Arial"/>
                <w:sz w:val="16"/>
                <w:szCs w:val="16"/>
                <w:color w:val="auto"/>
              </w:rPr>
              <w:t>Total assets</w:t>
            </w:r>
          </w:p>
        </w:tc>
        <w:tc>
          <w:tcPr>
            <w:tcW w:w="118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50,000</w:t>
            </w:r>
          </w:p>
        </w:tc>
        <w:tc>
          <w:tcPr>
            <w:tcW w:w="80" w:type="dxa"/>
            <w:vAlign w:val="bottom"/>
          </w:tcPr>
          <w:p>
            <w:pPr>
              <w:spacing w:after="0"/>
              <w:rPr>
                <w:sz w:val="20"/>
                <w:szCs w:val="20"/>
                <w:color w:val="auto"/>
              </w:rPr>
            </w:pPr>
          </w:p>
        </w:tc>
        <w:tc>
          <w:tcPr>
            <w:tcW w:w="120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w:t>
            </w:r>
          </w:p>
        </w:tc>
      </w:tr>
    </w:tbl>
    <w:p>
      <w:pPr>
        <w:spacing w:after="0" w:line="233" w:lineRule="exact"/>
        <w:rPr>
          <w:sz w:val="20"/>
          <w:szCs w:val="20"/>
          <w:color w:val="auto"/>
        </w:rPr>
      </w:pPr>
    </w:p>
    <w:p>
      <w:pPr>
        <w:ind w:firstLine="324"/>
        <w:spacing w:after="0" w:line="262" w:lineRule="auto"/>
        <w:rPr>
          <w:sz w:val="20"/>
          <w:szCs w:val="20"/>
          <w:color w:val="auto"/>
        </w:rPr>
      </w:pPr>
      <w:r>
        <w:rPr>
          <w:rFonts w:ascii="Arial" w:cs="Arial" w:eastAsia="Arial" w:hAnsi="Arial"/>
          <w:sz w:val="16"/>
          <w:szCs w:val="16"/>
          <w:color w:val="auto"/>
        </w:rPr>
        <w:t xml:space="preserve">Term deposits as of June 30, 2022 were classified as cash equivalents on the Company’s condensed consolidated balance sheet, as such amounts were considered highly liquid and have an original maturity of three months or less at the time of purchase. The carrying value of term deposits approximated their respective fair value due to the short maturity of the amounts. For further information on the Company’s </w:t>
      </w:r>
      <w:r>
        <w:rPr>
          <w:rFonts w:ascii="Arial" w:cs="Arial" w:eastAsia="Arial" w:hAnsi="Arial"/>
          <w:sz w:val="16"/>
          <w:szCs w:val="16"/>
          <w:i w:val="1"/>
          <w:iCs w:val="1"/>
          <w:color w:val="auto"/>
        </w:rPr>
        <w:t>Cash and Cash Equivalents</w:t>
      </w:r>
      <w:r>
        <w:rPr>
          <w:rFonts w:ascii="Arial" w:cs="Arial" w:eastAsia="Arial" w:hAnsi="Arial"/>
          <w:sz w:val="16"/>
          <w:szCs w:val="16"/>
          <w:color w:val="auto"/>
        </w:rPr>
        <w:t xml:space="preserve"> and </w:t>
      </w:r>
      <w:r>
        <w:rPr>
          <w:rFonts w:ascii="Arial" w:cs="Arial" w:eastAsia="Arial" w:hAnsi="Arial"/>
          <w:sz w:val="16"/>
          <w:szCs w:val="16"/>
          <w:i w:val="1"/>
          <w:iCs w:val="1"/>
          <w:color w:val="auto"/>
        </w:rPr>
        <w:t>Fair Value of Financial Instruments</w:t>
      </w:r>
      <w:r>
        <w:rPr>
          <w:rFonts w:ascii="Arial" w:cs="Arial" w:eastAsia="Arial" w:hAnsi="Arial"/>
          <w:sz w:val="16"/>
          <w:szCs w:val="16"/>
          <w:color w:val="auto"/>
        </w:rPr>
        <w:t xml:space="preserve"> policies, see Note 2, “Basis of Presentation and Summary of Significant Accounting Policies”, in the notes to the Company’s consolidated financial statements included in the Company’s Annual Report on Form 10-K for the year ended December 31, 2021.</w:t>
      </w:r>
    </w:p>
    <w:p>
      <w:pPr>
        <w:spacing w:after="0" w:line="130" w:lineRule="exact"/>
        <w:rPr>
          <w:sz w:val="20"/>
          <w:szCs w:val="20"/>
          <w:color w:val="auto"/>
        </w:rPr>
      </w:pPr>
    </w:p>
    <w:p>
      <w:pPr>
        <w:ind w:right="20" w:firstLine="324"/>
        <w:spacing w:after="0" w:line="262" w:lineRule="auto"/>
        <w:rPr>
          <w:sz w:val="20"/>
          <w:szCs w:val="20"/>
          <w:color w:val="auto"/>
        </w:rPr>
      </w:pPr>
      <w:r>
        <w:rPr>
          <w:rFonts w:ascii="Arial" w:cs="Arial" w:eastAsia="Arial" w:hAnsi="Arial"/>
          <w:sz w:val="16"/>
          <w:szCs w:val="16"/>
          <w:color w:val="auto"/>
        </w:rPr>
        <w:t>The carrying values of certain financial instruments, including disbursement prefunding, customer funds receivable, accounts payable, accrued expenses and other current liabilities, customer liabilities, and borrowings approximate their respective fair values due to their relative short maturities and are excluded from the fair value table above. If these financial instruments were measured at fair value in the financial statements, they would be classified as Level 2. There are no other financial assets and liabilities that are measured at fair value as of June 30, 2022.</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were no financial assets and liabilities that are measured at fair value as of December 31, 2021.</w:t>
      </w:r>
    </w:p>
    <w:p>
      <w:pPr>
        <w:spacing w:after="0" w:line="167" w:lineRule="exact"/>
        <w:rPr>
          <w:sz w:val="20"/>
          <w:szCs w:val="20"/>
          <w:color w:val="auto"/>
        </w:rPr>
      </w:pPr>
    </w:p>
    <w:p>
      <w:pPr>
        <w:ind w:right="280" w:firstLine="324"/>
        <w:spacing w:after="0" w:line="293" w:lineRule="auto"/>
        <w:rPr>
          <w:sz w:val="20"/>
          <w:szCs w:val="20"/>
          <w:color w:val="auto"/>
        </w:rPr>
      </w:pPr>
      <w:r>
        <w:rPr>
          <w:rFonts w:ascii="Arial" w:cs="Arial" w:eastAsia="Arial" w:hAnsi="Arial"/>
          <w:sz w:val="16"/>
          <w:szCs w:val="16"/>
          <w:color w:val="auto"/>
        </w:rPr>
        <w:t>There were no transfers between Level 1 and Level 2 during the three and six months ended June 30, 2022 and 2021, other than the investment of our cash and cash equivalents into a term deposit during 2022.</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Debt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Secured Revolving Credit Facility</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New Revolving Credit Facility</w:t>
      </w:r>
    </w:p>
    <w:p>
      <w:pPr>
        <w:spacing w:after="0" w:line="167" w:lineRule="exact"/>
        <w:rPr>
          <w:sz w:val="20"/>
          <w:szCs w:val="20"/>
          <w:color w:val="auto"/>
        </w:rPr>
      </w:pPr>
    </w:p>
    <w:p>
      <w:pPr>
        <w:ind w:right="20" w:firstLine="324"/>
        <w:spacing w:after="0" w:line="256" w:lineRule="auto"/>
        <w:rPr>
          <w:sz w:val="20"/>
          <w:szCs w:val="20"/>
          <w:color w:val="auto"/>
        </w:rPr>
      </w:pPr>
      <w:r>
        <w:rPr>
          <w:rFonts w:ascii="Arial" w:cs="Arial" w:eastAsia="Arial" w:hAnsi="Arial"/>
          <w:sz w:val="16"/>
          <w:szCs w:val="16"/>
          <w:color w:val="auto"/>
        </w:rPr>
        <w:t xml:space="preserve">On September 13, 2021, Remitly Global, Inc. and Remitly, Inc., a wholly owned subsidiary of Remitly Global, Inc., as co-borrowers, entered into a credit agreement (the “New Revolving Credit Facility”) with certain lenders and JPMorgan Chase Bank, N.A. acting as administrative agent and collateral agent, that provides for revolving commitments of $250.0 million (including a $60.0 million letter of credit sub-facility) and terminated its then-existing 2020 Credit Agreement (as defined below). Proceeds under the New Revolving Credit Facility are available for working capital and general corporate purposes. As part of the refinancing, the Company performed a debt modification analysis, utilizing the borrowing capacity test within ASC 470-50, </w:t>
      </w:r>
      <w:r>
        <w:rPr>
          <w:rFonts w:ascii="Arial" w:cs="Arial" w:eastAsia="Arial" w:hAnsi="Arial"/>
          <w:sz w:val="16"/>
          <w:szCs w:val="16"/>
          <w:i w:val="1"/>
          <w:iCs w:val="1"/>
          <w:color w:val="auto"/>
        </w:rPr>
        <w:t>Debt — Modification and Extinguishment</w:t>
      </w:r>
      <w:r>
        <w:rPr>
          <w:rFonts w:ascii="Arial" w:cs="Arial" w:eastAsia="Arial" w:hAnsi="Arial"/>
          <w:sz w:val="16"/>
          <w:szCs w:val="16"/>
          <w:color w:val="auto"/>
        </w:rPr>
        <w:t>, on a lender-by-lender basis, resulting in the capitalization of $1.4 million of new debt issuance costs incurred in connection with the New Revolving Credit Facility during the third quarter of 2021. Such amounts were capitalized and recorded within ‘</w:t>
      </w:r>
      <w:r>
        <w:rPr>
          <w:rFonts w:ascii="Arial" w:cs="Arial" w:eastAsia="Arial" w:hAnsi="Arial"/>
          <w:sz w:val="16"/>
          <w:szCs w:val="16"/>
          <w:i w:val="1"/>
          <w:iCs w:val="1"/>
          <w:color w:val="auto"/>
        </w:rPr>
        <w:t>Other noncurrent assets, net’</w:t>
      </w:r>
      <w:r>
        <w:rPr>
          <w:rFonts w:ascii="Arial" w:cs="Arial" w:eastAsia="Arial" w:hAnsi="Arial"/>
          <w:sz w:val="16"/>
          <w:szCs w:val="16"/>
          <w:color w:val="auto"/>
        </w:rPr>
        <w:t xml:space="preserve"> on the Condensed Consolidated Balance Sheet, and will be amortized to interest expense over the term of the New Revolving Credit Facility. The Company previously had $0.5 million of unamortized debt issuance costs associated with its existing Revolving Credit Facility. As a result of the debt modification analysis, the Company continues to amortize $0.4 million of unamortized debt issuance costs over the term of the New Revolving Credit Facility. The remaining $0.1 million was expensed as a debt extinguishment cost within interest expense in the condensed consolidated statements of operations during the third quarter of 2021.</w:t>
      </w:r>
    </w:p>
    <w:p>
      <w:pPr>
        <w:spacing w:after="0" w:line="217" w:lineRule="exact"/>
        <w:rPr>
          <w:sz w:val="20"/>
          <w:szCs w:val="20"/>
          <w:color w:val="auto"/>
        </w:rPr>
      </w:pPr>
    </w:p>
    <w:p>
      <w:pPr>
        <w:ind w:right="40" w:firstLine="324"/>
        <w:spacing w:after="0" w:line="303" w:lineRule="auto"/>
        <w:rPr>
          <w:sz w:val="20"/>
          <w:szCs w:val="20"/>
          <w:color w:val="auto"/>
        </w:rPr>
      </w:pPr>
      <w:r>
        <w:rPr>
          <w:rFonts w:ascii="Arial" w:cs="Arial" w:eastAsia="Arial" w:hAnsi="Arial"/>
          <w:sz w:val="14"/>
          <w:szCs w:val="14"/>
          <w:color w:val="auto"/>
        </w:rPr>
        <w:t>The New Revolving Credit Facility was used to refinance its existing 2020 Credit Agreement. The New Revolving Credit Facility has a maturity date of September 13, 2026. Borrowings under the New Revolving Credit Facility accrue interest at a floating rate per annum equal to, at the Company’s option, (1) the Alternate Base Rate (defined in the New Revolving Credit Facility as the rate per annum equal to the highest of (a) the Prime Rate in effect on such day, (b) the NYFRB Rate in effect for such day plus 0.50% and (c) the Adjusted LIBO Rate plus 1.00%, subject to a floor of 1.00% plus 0.50% or (2) the Adjusted LIBO Rate (subject to a floor of 0.00%) plus 1.50%. Such interest is payable (a) with respect to Alternate Base Rate loans, the last day of each March, June, September and December and (b) with respect to Adjusted LIBO Rate loans, at the end of each applicable interest period, but in no event less frequently than every three months. In addition, an unused commitment fee, which accrues at a rate per annum equal to 0.25% of the unused portion of the revolving commitments, is payable on the last day of each March, June, September and December.</w:t>
      </w:r>
    </w:p>
    <w:p>
      <w:pPr>
        <w:spacing w:after="0" w:line="184" w:lineRule="exact"/>
        <w:rPr>
          <w:sz w:val="20"/>
          <w:szCs w:val="20"/>
          <w:color w:val="auto"/>
        </w:rPr>
      </w:pPr>
    </w:p>
    <w:p>
      <w:pPr>
        <w:ind w:right="40" w:firstLine="324"/>
        <w:spacing w:after="0" w:line="308" w:lineRule="auto"/>
        <w:rPr>
          <w:sz w:val="20"/>
          <w:szCs w:val="20"/>
          <w:color w:val="auto"/>
        </w:rPr>
      </w:pPr>
      <w:r>
        <w:rPr>
          <w:rFonts w:ascii="Arial" w:cs="Arial" w:eastAsia="Arial" w:hAnsi="Arial"/>
          <w:sz w:val="14"/>
          <w:szCs w:val="14"/>
          <w:color w:val="auto"/>
        </w:rPr>
        <w:t>The New Revolving Credit Facility contains customary conditions to borrowing, events of default and covenants, including covenants that restrict the ability to dispose of assets, merge with other entities, incur indebtedness, grant liens, pay dividends or make other distributions to holders of its capital stock, make investments, enter into restrictive agreements or engage in transactions with affiliates. As of June 30, 2022, financial covenants in the New Revolving Credit Facility include (1) a requirement to maintain a minimum Adjusted Quick Ratio of 1.50:1.00, which is tested quarterly and (2) a requirement to maintain a minimum Liquidity of $100.0 million, which is tested quarterly. The Company was in compliance with all financial covenants under the New Revolving Credit Facility as of June 30, 2022 and December 31, 2021.</w:t>
      </w:r>
    </w:p>
    <w:p>
      <w:pPr>
        <w:spacing w:after="0" w:line="182" w:lineRule="exact"/>
        <w:rPr>
          <w:sz w:val="20"/>
          <w:szCs w:val="20"/>
          <w:color w:val="auto"/>
        </w:rPr>
      </w:pPr>
    </w:p>
    <w:p>
      <w:pPr>
        <w:ind w:firstLine="324"/>
        <w:spacing w:after="0" w:line="269" w:lineRule="auto"/>
        <w:rPr>
          <w:sz w:val="20"/>
          <w:szCs w:val="20"/>
          <w:color w:val="auto"/>
        </w:rPr>
      </w:pPr>
      <w:r>
        <w:rPr>
          <w:rFonts w:ascii="Arial" w:cs="Arial" w:eastAsia="Arial" w:hAnsi="Arial"/>
          <w:sz w:val="16"/>
          <w:szCs w:val="16"/>
          <w:color w:val="auto"/>
        </w:rPr>
        <w:t>The obligations under the New Revolving Credit Facility are guaranteed by the material domestic subsidiaries of Remitly Global, Inc., subject to customary exceptions, and are secured by substantially all of the assets of the borrowers and guarantors thereunder, subject to customary exceptions. Amounts of borrowings under the New Revolving Credit Facility may fluctuate depending upon transaction volumes and seasonality.</w:t>
      </w:r>
    </w:p>
    <w:p>
      <w:pPr>
        <w:spacing w:after="0" w:line="205" w:lineRule="exact"/>
        <w:rPr>
          <w:sz w:val="20"/>
          <w:szCs w:val="20"/>
          <w:color w:val="auto"/>
        </w:rPr>
      </w:pPr>
    </w:p>
    <w:p>
      <w:pPr>
        <w:ind w:firstLine="324"/>
        <w:spacing w:after="0" w:line="295" w:lineRule="auto"/>
        <w:rPr>
          <w:sz w:val="20"/>
          <w:szCs w:val="20"/>
          <w:color w:val="auto"/>
        </w:rPr>
      </w:pPr>
      <w:r>
        <w:rPr>
          <w:rFonts w:ascii="Arial" w:cs="Arial" w:eastAsia="Arial" w:hAnsi="Arial"/>
          <w:sz w:val="15"/>
          <w:szCs w:val="15"/>
          <w:color w:val="auto"/>
        </w:rPr>
        <w:t>As of June 30, 2022 and December 31, 2021, the Company had no outstanding borrowings under the New Revolving Credit Facility. As of June 30, 2022 and December 31, 2021, the Company had $19.6 million and $18.9 million, respectively, in issued, but undrawn, standby letters of credit. As of June 30, 2022 and December 31, 2021, the Company had unused borrowing capacity of $230.4 million and $231.1 million, respectively, under the New Revolving Credit Facility.</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2020 Credit Agreement</w:t>
      </w:r>
    </w:p>
    <w:p>
      <w:pPr>
        <w:spacing w:after="0" w:line="167" w:lineRule="exact"/>
        <w:rPr>
          <w:sz w:val="20"/>
          <w:szCs w:val="20"/>
          <w:color w:val="auto"/>
        </w:rPr>
      </w:pPr>
    </w:p>
    <w:p>
      <w:pPr>
        <w:ind w:right="40" w:firstLine="324"/>
        <w:spacing w:after="0" w:line="279" w:lineRule="auto"/>
        <w:rPr>
          <w:sz w:val="20"/>
          <w:szCs w:val="20"/>
          <w:color w:val="auto"/>
        </w:rPr>
      </w:pPr>
      <w:r>
        <w:rPr>
          <w:rFonts w:ascii="Arial" w:cs="Arial" w:eastAsia="Arial" w:hAnsi="Arial"/>
          <w:sz w:val="15"/>
          <w:szCs w:val="15"/>
          <w:color w:val="auto"/>
        </w:rPr>
        <w:t>Since 2013, the Company had access to a variable rate credit facility. In November 2020, Remitly Global, Inc. and Remitly, Inc., a wholly owned subsidiary of Remitly Global, Inc., as borrower, further modified its then-existing credit agreement (the “2020 Credit Agreement”). Following such modification, the 2020 Credit Agreement provided Remitly, Inc. with access up to $150.0 million in revolving credit facility borrowings (including a $30.0 million letter of credit sub-facility) with a maturity date of November 16, 2023. As noted above, in September 2021, the New Revolving Credit Facility was used to refinance the 2020 Credit Agreement. As a result of the refinancing, the 2020 Credit Agreement was terminated and all amounts outstanding, including any accrued interest, were repaid in full.</w:t>
      </w:r>
    </w:p>
    <w:p>
      <w:pPr>
        <w:spacing w:after="0" w:line="131" w:lineRule="exact"/>
        <w:rPr>
          <w:sz w:val="20"/>
          <w:szCs w:val="20"/>
          <w:color w:val="auto"/>
        </w:rPr>
      </w:pPr>
    </w:p>
    <w:p>
      <w:pPr>
        <w:jc w:val="both"/>
        <w:ind w:right="120" w:firstLine="324"/>
        <w:spacing w:after="0" w:line="295" w:lineRule="auto"/>
        <w:rPr>
          <w:sz w:val="20"/>
          <w:szCs w:val="20"/>
          <w:color w:val="auto"/>
        </w:rPr>
      </w:pPr>
      <w:r>
        <w:rPr>
          <w:rFonts w:ascii="Arial" w:cs="Arial" w:eastAsia="Arial" w:hAnsi="Arial"/>
          <w:sz w:val="14"/>
          <w:szCs w:val="14"/>
          <w:color w:val="auto"/>
        </w:rPr>
        <w:t>Borrowings under the 2020 Credit Agreement were subject to mandatory repayment within 20 business days in an amount necessary to reduce the borrowings, in the aggregate, to an amount less than the Company’s customer funds account maintained with the lender. Interest on borrowings under the 2020 Credit Agreement accrued at a floating rate per annum equal to (i) ABR (defined in the 2020 Credit Agreement as the rate per annum equal to the highest of (a) the Prime Rate in effect on such day, (b)</w:t>
      </w:r>
    </w:p>
    <w:p>
      <w:pPr>
        <w:spacing w:after="0" w:line="1" w:lineRule="exact"/>
        <w:rPr>
          <w:sz w:val="20"/>
          <w:szCs w:val="20"/>
          <w:color w:val="auto"/>
        </w:rPr>
      </w:pPr>
    </w:p>
    <w:p>
      <w:pPr>
        <w:ind w:right="180"/>
        <w:spacing w:after="0" w:line="257" w:lineRule="auto"/>
        <w:rPr>
          <w:sz w:val="20"/>
          <w:szCs w:val="20"/>
          <w:color w:val="auto"/>
        </w:rPr>
      </w:pPr>
      <w:r>
        <w:rPr>
          <w:rFonts w:ascii="Arial" w:cs="Arial" w:eastAsia="Arial" w:hAnsi="Arial"/>
          <w:sz w:val="16"/>
          <w:szCs w:val="16"/>
          <w:color w:val="auto"/>
        </w:rPr>
        <w:t>3.25% and (c) the Federal Funds Effective Rate in effect for such day plus 0.50% plus (ii) 1.0%. In addition, an unused revolving line facility fee accrued at a floating rate per annum equal to 0.40% of the unused portion of the line, payable monthly.</w:t>
      </w:r>
    </w:p>
    <w:p>
      <w:pPr>
        <w:spacing w:after="0" w:line="226" w:lineRule="exact"/>
        <w:rPr>
          <w:sz w:val="20"/>
          <w:szCs w:val="20"/>
          <w:color w:val="auto"/>
        </w:rPr>
      </w:pPr>
    </w:p>
    <w:p>
      <w:pPr>
        <w:ind w:right="160" w:firstLine="324"/>
        <w:spacing w:after="0" w:line="269" w:lineRule="auto"/>
        <w:rPr>
          <w:sz w:val="20"/>
          <w:szCs w:val="20"/>
          <w:color w:val="auto"/>
        </w:rPr>
      </w:pPr>
      <w:r>
        <w:rPr>
          <w:rFonts w:ascii="Arial" w:cs="Arial" w:eastAsia="Arial" w:hAnsi="Arial"/>
          <w:sz w:val="16"/>
          <w:szCs w:val="16"/>
          <w:color w:val="auto"/>
        </w:rPr>
        <w:t>The 2020 Credit Agreement contained customary conditions to borrowing, events of default and covenants, including covenants that restrict the Company’s ability to dispose of assets, merge with or acquire other entities, incur indebtedness, pay dividends, incur encumbrances, make distributions to holders of its capital stock, make investments or engage in transactions with affiliates. Defined events of default included the</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occurrence of a Material Adverse Effect (as defined in the 2020 Credit Agreement) on the business or financial condition of the Company. Financial covenants included (1) a requirement to maintain a minimum Adjusted Quick Ratio of 1.50:1.00, which was tested monthly and (2) a requirement to maintain minimum trailing twelve month Consolidated Adjusted EBITDA (as defined in the 2020 Credit Agreement), which was tested quarterly.</w:t>
      </w:r>
    </w:p>
    <w:p>
      <w:pPr>
        <w:spacing w:after="0" w:line="205" w:lineRule="exact"/>
        <w:rPr>
          <w:sz w:val="20"/>
          <w:szCs w:val="20"/>
          <w:color w:val="auto"/>
        </w:rPr>
      </w:pPr>
    </w:p>
    <w:p>
      <w:pPr>
        <w:ind w:right="380" w:firstLine="324"/>
        <w:spacing w:after="0" w:line="293" w:lineRule="auto"/>
        <w:rPr>
          <w:sz w:val="20"/>
          <w:szCs w:val="20"/>
          <w:color w:val="auto"/>
        </w:rPr>
      </w:pPr>
      <w:r>
        <w:rPr>
          <w:rFonts w:ascii="Arial" w:cs="Arial" w:eastAsia="Arial" w:hAnsi="Arial"/>
          <w:sz w:val="16"/>
          <w:szCs w:val="16"/>
          <w:color w:val="auto"/>
        </w:rPr>
        <w:t>The obligations under the 2020 Credit Agreement were guaranteed by the material subsidiaries of Remitly Global, Inc., subject to customary exceptions, and were secured by substantially all of the assets of the borrowers and guarantors thereunder, other than intellectual property.</w:t>
      </w:r>
    </w:p>
    <w:p>
      <w:pPr>
        <w:spacing w:after="0" w:line="181" w:lineRule="exact"/>
        <w:rPr>
          <w:sz w:val="20"/>
          <w:szCs w:val="20"/>
          <w:color w:val="auto"/>
        </w:rPr>
      </w:pPr>
    </w:p>
    <w:p>
      <w:pPr>
        <w:ind w:left="300" w:hanging="292"/>
        <w:spacing w:after="0"/>
        <w:tabs>
          <w:tab w:leader="none" w:pos="30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Net Loss Per Common Share</w:t>
      </w:r>
    </w:p>
    <w:p>
      <w:pPr>
        <w:spacing w:after="0" w:line="171" w:lineRule="exact"/>
        <w:rPr>
          <w:sz w:val="20"/>
          <w:szCs w:val="20"/>
          <w:color w:val="auto"/>
        </w:rPr>
      </w:pPr>
    </w:p>
    <w:p>
      <w:pPr>
        <w:ind w:right="400" w:firstLine="324"/>
        <w:spacing w:after="0" w:line="269" w:lineRule="auto"/>
        <w:rPr>
          <w:sz w:val="20"/>
          <w:szCs w:val="20"/>
          <w:color w:val="auto"/>
        </w:rPr>
      </w:pPr>
      <w:r>
        <w:rPr>
          <w:rFonts w:ascii="Arial" w:cs="Arial" w:eastAsia="Arial" w:hAnsi="Arial"/>
          <w:sz w:val="16"/>
          <w:szCs w:val="16"/>
          <w:color w:val="auto"/>
        </w:rPr>
        <w:t>The following table presents the calculation of basic and diluted net loss per share attributable to common stockholders for the periods indicated. As the Company reported a net loss, diluted net loss per share was the same as basic net loss per share because the effects of potentially dilutive items were anti-dilutive for all periods presented.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6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9"/>
                <w:szCs w:val="19"/>
                <w:color w:val="auto"/>
              </w:rPr>
            </w:pPr>
          </w:p>
        </w:tc>
        <w:tc>
          <w:tcPr>
            <w:tcW w:w="286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Six Months Ended June 30,</w:t>
            </w:r>
          </w:p>
        </w:tc>
      </w:tr>
      <w:tr>
        <w:trPr>
          <w:trHeight w:val="237"/>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3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Net loss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(38,245)</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(1,448)</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(61,555)</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(9,218)</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Denominator:</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6"/>
        </w:trPr>
        <w:tc>
          <w:tcPr>
            <w:tcW w:w="4740" w:type="dxa"/>
            <w:vAlign w:val="bottom"/>
          </w:tcPr>
          <w:p>
            <w:pPr>
              <w:ind w:left="140"/>
              <w:spacing w:after="0"/>
              <w:rPr>
                <w:sz w:val="20"/>
                <w:szCs w:val="20"/>
                <w:color w:val="auto"/>
              </w:rPr>
            </w:pPr>
            <w:r>
              <w:rPr>
                <w:rFonts w:ascii="Arial" w:cs="Arial" w:eastAsia="Arial" w:hAnsi="Arial"/>
                <w:sz w:val="16"/>
                <w:szCs w:val="16"/>
                <w:color w:val="auto"/>
              </w:rPr>
              <w:t>Weighted-average shares used in computing net loss per share</w:t>
            </w: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6"/>
        </w:trPr>
        <w:tc>
          <w:tcPr>
            <w:tcW w:w="4740" w:type="dxa"/>
            <w:vAlign w:val="bottom"/>
          </w:tcPr>
          <w:p>
            <w:pPr>
              <w:ind w:left="140"/>
              <w:spacing w:after="0"/>
              <w:rPr>
                <w:sz w:val="20"/>
                <w:szCs w:val="20"/>
                <w:color w:val="auto"/>
              </w:rPr>
            </w:pPr>
            <w:r>
              <w:rPr>
                <w:rFonts w:ascii="Arial" w:cs="Arial" w:eastAsia="Arial" w:hAnsi="Arial"/>
                <w:sz w:val="16"/>
                <w:szCs w:val="16"/>
                <w:color w:val="auto"/>
              </w:rPr>
              <w:t>attributable to common stockholders:</w:t>
            </w: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33"/>
        </w:trPr>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 and diluted</w:t>
            </w:r>
          </w:p>
        </w:tc>
        <w:tc>
          <w:tcPr>
            <w:tcW w:w="3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166,498,333</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23,717,827</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165,450,862</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23,216,865</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Net loss per share attributable to common stockholders: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6"/>
        </w:trPr>
        <w:tc>
          <w:tcPr>
            <w:tcW w:w="4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 and diluted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(0.23)</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(0.40)</w:t>
            </w:r>
          </w:p>
        </w:tc>
      </w:tr>
    </w:tbl>
    <w:p>
      <w:pPr>
        <w:spacing w:after="0" w:line="233"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following potentially dilutive securities were excluded from the computation of diluted net loss per share calculations for the periods presented because the impact of including them would have been antidilutive: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20" w:type="dxa"/>
            <w:vAlign w:val="bottom"/>
          </w:tcPr>
          <w:p>
            <w:pPr>
              <w:spacing w:after="0"/>
              <w:rPr>
                <w:sz w:val="19"/>
                <w:szCs w:val="19"/>
                <w:color w:val="auto"/>
              </w:rPr>
            </w:pPr>
          </w:p>
        </w:tc>
        <w:tc>
          <w:tcPr>
            <w:tcW w:w="2260" w:type="dxa"/>
            <w:vAlign w:val="bottom"/>
            <w:tcBorders>
              <w:bottom w:val="single" w:sz="8" w:color="auto"/>
            </w:tcBorders>
            <w:gridSpan w:val="3"/>
          </w:tcPr>
          <w:p>
            <w:pPr>
              <w:ind w:left="1180"/>
              <w:spacing w:after="0"/>
              <w:rPr>
                <w:sz w:val="20"/>
                <w:szCs w:val="20"/>
                <w:color w:val="auto"/>
              </w:rPr>
            </w:pPr>
            <w:r>
              <w:rPr>
                <w:rFonts w:ascii="Arial" w:cs="Arial" w:eastAsia="Arial" w:hAnsi="Arial"/>
                <w:sz w:val="16"/>
                <w:szCs w:val="16"/>
                <w:b w:val="1"/>
                <w:bCs w:val="1"/>
                <w:color w:val="auto"/>
                <w:w w:val="97"/>
              </w:rPr>
              <w:t>As of June 30,</w:t>
            </w: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92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43"/>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convertible preferred stock</w:t>
            </w:r>
          </w:p>
        </w:tc>
        <w:tc>
          <w:tcPr>
            <w:tcW w:w="2260" w:type="dxa"/>
            <w:vAlign w:val="bottom"/>
            <w:gridSpan w:val="3"/>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127,410,631</w:t>
            </w:r>
          </w:p>
        </w:tc>
        <w:tc>
          <w:tcPr>
            <w:tcW w:w="0" w:type="dxa"/>
            <w:vAlign w:val="bottom"/>
          </w:tcPr>
          <w:p>
            <w:pPr>
              <w:spacing w:after="0"/>
              <w:rPr>
                <w:sz w:val="1"/>
                <w:szCs w:val="1"/>
                <w:color w:val="auto"/>
              </w:rPr>
            </w:pPr>
          </w:p>
        </w:tc>
      </w:tr>
      <w:tr>
        <w:trPr>
          <w:trHeight w:val="233"/>
        </w:trPr>
        <w:tc>
          <w:tcPr>
            <w:tcW w:w="7920" w:type="dxa"/>
            <w:vAlign w:val="bottom"/>
          </w:tcPr>
          <w:p>
            <w:pPr>
              <w:ind w:left="20"/>
              <w:spacing w:after="0"/>
              <w:rPr>
                <w:sz w:val="20"/>
                <w:szCs w:val="20"/>
                <w:color w:val="auto"/>
              </w:rPr>
            </w:pPr>
            <w:r>
              <w:rPr>
                <w:rFonts w:ascii="Arial" w:cs="Arial" w:eastAsia="Arial" w:hAnsi="Arial"/>
                <w:sz w:val="16"/>
                <w:szCs w:val="16"/>
                <w:color w:val="auto"/>
              </w:rPr>
              <w:t>Common stock warrants</w:t>
            </w:r>
          </w:p>
        </w:tc>
        <w:tc>
          <w:tcPr>
            <w:tcW w:w="2260" w:type="dxa"/>
            <w:vAlign w:val="bottom"/>
            <w:gridSpan w:val="3"/>
          </w:tcPr>
          <w:p>
            <w:pPr>
              <w:jc w:val="right"/>
              <w:ind w:right="6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256,250</w:t>
            </w:r>
          </w:p>
        </w:tc>
        <w:tc>
          <w:tcPr>
            <w:tcW w:w="0" w:type="dxa"/>
            <w:vAlign w:val="bottom"/>
          </w:tcPr>
          <w:p>
            <w:pPr>
              <w:spacing w:after="0"/>
              <w:rPr>
                <w:sz w:val="1"/>
                <w:szCs w:val="1"/>
                <w:color w:val="auto"/>
              </w:rPr>
            </w:pPr>
          </w:p>
        </w:tc>
      </w:tr>
      <w:tr>
        <w:trPr>
          <w:trHeight w:val="253"/>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 outstanding</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20,158,090</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25,355,906</w:t>
            </w:r>
          </w:p>
        </w:tc>
        <w:tc>
          <w:tcPr>
            <w:tcW w:w="0" w:type="dxa"/>
            <w:vAlign w:val="bottom"/>
          </w:tcPr>
          <w:p>
            <w:pPr>
              <w:spacing w:after="0"/>
              <w:rPr>
                <w:sz w:val="1"/>
                <w:szCs w:val="1"/>
                <w:color w:val="auto"/>
              </w:rPr>
            </w:pPr>
          </w:p>
        </w:tc>
      </w:tr>
      <w:tr>
        <w:trPr>
          <w:trHeight w:val="292"/>
        </w:trPr>
        <w:tc>
          <w:tcPr>
            <w:tcW w:w="7920" w:type="dxa"/>
            <w:vAlign w:val="bottom"/>
          </w:tcPr>
          <w:p>
            <w:pPr>
              <w:ind w:left="20"/>
              <w:spacing w:after="0"/>
              <w:rPr>
                <w:sz w:val="20"/>
                <w:szCs w:val="20"/>
                <w:color w:val="auto"/>
              </w:rPr>
            </w:pPr>
            <w:r>
              <w:rPr>
                <w:rFonts w:ascii="Arial" w:cs="Arial" w:eastAsia="Arial" w:hAnsi="Arial"/>
                <w:sz w:val="16"/>
                <w:szCs w:val="16"/>
                <w:color w:val="auto"/>
              </w:rPr>
              <w:t>RSUs outstanding</w:t>
            </w:r>
            <w:r>
              <w:rPr>
                <w:rFonts w:ascii="Arial" w:cs="Arial" w:eastAsia="Arial" w:hAnsi="Arial"/>
                <w:sz w:val="21"/>
                <w:szCs w:val="21"/>
                <w:color w:val="auto"/>
                <w:vertAlign w:val="superscript"/>
              </w:rPr>
              <w:t>(1)</w:t>
            </w:r>
          </w:p>
        </w:tc>
        <w:tc>
          <w:tcPr>
            <w:tcW w:w="1680" w:type="dxa"/>
            <w:vAlign w:val="bottom"/>
            <w:vMerge w:val="restart"/>
          </w:tcPr>
          <w:p>
            <w:pPr>
              <w:jc w:val="right"/>
              <w:spacing w:after="0"/>
              <w:rPr>
                <w:sz w:val="20"/>
                <w:szCs w:val="20"/>
                <w:color w:val="auto"/>
              </w:rPr>
            </w:pPr>
            <w:r>
              <w:rPr>
                <w:rFonts w:ascii="Arial" w:cs="Arial" w:eastAsia="Arial" w:hAnsi="Arial"/>
                <w:sz w:val="16"/>
                <w:szCs w:val="16"/>
                <w:color w:val="auto"/>
              </w:rPr>
              <w:t>17,245,351</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617,696</w:t>
            </w:r>
          </w:p>
        </w:tc>
        <w:tc>
          <w:tcPr>
            <w:tcW w:w="0" w:type="dxa"/>
            <w:vAlign w:val="bottom"/>
          </w:tcPr>
          <w:p>
            <w:pPr>
              <w:spacing w:after="0"/>
              <w:rPr>
                <w:sz w:val="1"/>
                <w:szCs w:val="1"/>
                <w:color w:val="auto"/>
              </w:rPr>
            </w:pPr>
          </w:p>
        </w:tc>
      </w:tr>
      <w:tr>
        <w:trPr>
          <w:trHeight w:val="103"/>
        </w:trPr>
        <w:tc>
          <w:tcPr>
            <w:tcW w:w="7920" w:type="dxa"/>
            <w:vAlign w:val="bottom"/>
          </w:tcPr>
          <w:p>
            <w:pPr>
              <w:spacing w:after="0"/>
              <w:rPr>
                <w:sz w:val="8"/>
                <w:szCs w:val="8"/>
                <w:color w:val="auto"/>
              </w:rPr>
            </w:pPr>
          </w:p>
        </w:tc>
        <w:tc>
          <w:tcPr>
            <w:tcW w:w="16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ESPP</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1,693,831</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Shares subject to repurchase</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278,155</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1,979,669</w:t>
            </w:r>
          </w:p>
        </w:tc>
        <w:tc>
          <w:tcPr>
            <w:tcW w:w="0" w:type="dxa"/>
            <w:vAlign w:val="bottom"/>
          </w:tcPr>
          <w:p>
            <w:pPr>
              <w:spacing w:after="0"/>
              <w:rPr>
                <w:sz w:val="1"/>
                <w:szCs w:val="1"/>
                <w:color w:val="auto"/>
              </w:rPr>
            </w:pPr>
          </w:p>
        </w:tc>
      </w:tr>
      <w:tr>
        <w:trPr>
          <w:trHeight w:val="268"/>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39,375,427</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155,620,152</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480" w:hanging="148"/>
        <w:spacing w:after="0"/>
        <w:tabs>
          <w:tab w:leader="none" w:pos="480" w:val="left"/>
        </w:tabs>
        <w:numPr>
          <w:ilvl w:val="1"/>
          <w:numId w:val="11"/>
        </w:numPr>
        <w:rPr>
          <w:rFonts w:ascii="Arial" w:cs="Arial" w:eastAsia="Arial" w:hAnsi="Arial"/>
          <w:sz w:val="18"/>
          <w:szCs w:val="18"/>
          <w:color w:val="auto"/>
          <w:vertAlign w:val="superscript"/>
        </w:rPr>
      </w:pPr>
      <w:r>
        <w:rPr>
          <w:rFonts w:ascii="Arial" w:cs="Arial" w:eastAsia="Arial" w:hAnsi="Arial"/>
          <w:sz w:val="14"/>
          <w:szCs w:val="14"/>
          <w:color w:val="auto"/>
        </w:rPr>
        <w:t>A portion of these RSUs were subject to a performance-based vesting condition until September 22, 2021. See Note 10 for details on these awards.</w:t>
      </w:r>
    </w:p>
    <w:p>
      <w:pPr>
        <w:spacing w:after="0" w:line="140" w:lineRule="exact"/>
        <w:rPr>
          <w:rFonts w:ascii="Arial" w:cs="Arial" w:eastAsia="Arial" w:hAnsi="Arial"/>
          <w:sz w:val="18"/>
          <w:szCs w:val="18"/>
          <w:color w:val="auto"/>
          <w:vertAlign w:val="superscript"/>
        </w:rPr>
      </w:pPr>
    </w:p>
    <w:p>
      <w:pPr>
        <w:ind w:left="300" w:hanging="292"/>
        <w:spacing w:after="0"/>
        <w:tabs>
          <w:tab w:leader="none" w:pos="30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Common Stock</w:t>
      </w:r>
    </w:p>
    <w:p>
      <w:pPr>
        <w:spacing w:after="0" w:line="171" w:lineRule="exact"/>
        <w:rPr>
          <w:sz w:val="20"/>
          <w:szCs w:val="20"/>
          <w:color w:val="auto"/>
        </w:rPr>
      </w:pPr>
    </w:p>
    <w:p>
      <w:pPr>
        <w:jc w:val="both"/>
        <w:ind w:right="60" w:firstLine="324"/>
        <w:spacing w:after="0" w:line="295" w:lineRule="auto"/>
        <w:rPr>
          <w:sz w:val="20"/>
          <w:szCs w:val="20"/>
          <w:color w:val="auto"/>
        </w:rPr>
      </w:pPr>
      <w:r>
        <w:rPr>
          <w:rFonts w:ascii="Arial" w:cs="Arial" w:eastAsia="Arial" w:hAnsi="Arial"/>
          <w:sz w:val="15"/>
          <w:szCs w:val="15"/>
          <w:color w:val="auto"/>
        </w:rPr>
        <w:t>As of June 30, 2022, the Company has authorized 725,000,000 shares of common stock with a par value of $0.0001 per share. Each holder of a share of common stock is entitled to one vote for each share held at all meetings of stockholders and is entitled to receive dividends whenever funds are legally available and when declared by the Company’s board of directors. Through June 30, 2022 and June 30, 2021, no dividends have been declared or paid by the Company.</w:t>
      </w:r>
    </w:p>
    <w:p>
      <w:pPr>
        <w:spacing w:after="0" w:line="116" w:lineRule="exact"/>
        <w:rPr>
          <w:sz w:val="20"/>
          <w:szCs w:val="20"/>
          <w:color w:val="auto"/>
        </w:rPr>
      </w:pPr>
    </w:p>
    <w:p>
      <w:pPr>
        <w:ind w:left="300" w:hanging="292"/>
        <w:spacing w:after="0"/>
        <w:tabs>
          <w:tab w:leader="none" w:pos="30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Redeemable Convertible Preferred Stock</w:t>
      </w:r>
    </w:p>
    <w:p>
      <w:pPr>
        <w:spacing w:after="0" w:line="171" w:lineRule="exact"/>
        <w:rPr>
          <w:sz w:val="20"/>
          <w:szCs w:val="20"/>
          <w:color w:val="auto"/>
        </w:rPr>
      </w:pPr>
    </w:p>
    <w:p>
      <w:pPr>
        <w:ind w:right="40" w:firstLine="324"/>
        <w:spacing w:after="0" w:line="295" w:lineRule="auto"/>
        <w:rPr>
          <w:sz w:val="20"/>
          <w:szCs w:val="20"/>
          <w:color w:val="auto"/>
        </w:rPr>
      </w:pPr>
      <w:r>
        <w:rPr>
          <w:rFonts w:ascii="Arial" w:cs="Arial" w:eastAsia="Arial" w:hAnsi="Arial"/>
          <w:sz w:val="15"/>
          <w:szCs w:val="15"/>
          <w:color w:val="auto"/>
        </w:rPr>
        <w:t>In connection with the IPO, the Company’s amended and restated certificate of incorporation became effective, which authorized the issuance of 50,000,000 shares of undesignated preferred stock with a par value of $0.0001 per share with right and preferences, including voting rights, designated from time to time by the Company’s board of directors. As of June 30, 2022 and December 31, 2021, there were no shares of redeemable convertible preferred stock issued and outstanding.</w:t>
      </w:r>
    </w:p>
    <w:p>
      <w:pPr>
        <w:spacing w:after="0" w:line="102"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10.</w:t>
      </w:r>
      <w:r>
        <w:rPr>
          <w:sz w:val="20"/>
          <w:szCs w:val="20"/>
          <w:color w:val="auto"/>
        </w:rPr>
        <w:tab/>
      </w:r>
      <w:r>
        <w:rPr>
          <w:rFonts w:ascii="Arial" w:cs="Arial" w:eastAsia="Arial" w:hAnsi="Arial"/>
          <w:sz w:val="14"/>
          <w:szCs w:val="14"/>
          <w:b w:val="1"/>
          <w:bCs w:val="1"/>
          <w:color w:val="auto"/>
        </w:rPr>
        <w:t>Stock-Based Compensation</w:t>
      </w:r>
    </w:p>
    <w:p>
      <w:pPr>
        <w:spacing w:after="0" w:line="185" w:lineRule="exact"/>
        <w:rPr>
          <w:sz w:val="20"/>
          <w:szCs w:val="20"/>
          <w:color w:val="auto"/>
        </w:rPr>
      </w:pPr>
    </w:p>
    <w:p>
      <w:pPr>
        <w:ind w:right="180" w:firstLine="324"/>
        <w:spacing w:after="0" w:line="310" w:lineRule="auto"/>
        <w:rPr>
          <w:sz w:val="20"/>
          <w:szCs w:val="20"/>
          <w:color w:val="auto"/>
        </w:rPr>
      </w:pPr>
      <w:r>
        <w:rPr>
          <w:rFonts w:ascii="Arial" w:cs="Arial" w:eastAsia="Arial" w:hAnsi="Arial"/>
          <w:sz w:val="15"/>
          <w:szCs w:val="15"/>
          <w:color w:val="auto"/>
        </w:rPr>
        <w:t>In 2011, the Company adopted the Equity Incentive Plan (the “2011 Plan”), as amended, which provided for the issuance of up to 43,899,677 incentive stock options, nonqualified stock options, restricted common stock, RSUs and stock appreciation rights to employees, directors, officers, and consultants of the Company.</w:t>
      </w:r>
    </w:p>
    <w:p>
      <w:pPr>
        <w:spacing w:after="0" w:line="94" w:lineRule="exact"/>
        <w:rPr>
          <w:sz w:val="20"/>
          <w:szCs w:val="20"/>
          <w:color w:val="auto"/>
        </w:rPr>
      </w:pPr>
    </w:p>
    <w:p>
      <w:pPr>
        <w:ind w:right="400" w:firstLine="324"/>
        <w:spacing w:after="0" w:line="293" w:lineRule="auto"/>
        <w:rPr>
          <w:sz w:val="20"/>
          <w:szCs w:val="20"/>
          <w:color w:val="auto"/>
        </w:rPr>
      </w:pPr>
      <w:r>
        <w:rPr>
          <w:rFonts w:ascii="Arial" w:cs="Arial" w:eastAsia="Arial" w:hAnsi="Arial"/>
          <w:sz w:val="16"/>
          <w:szCs w:val="16"/>
          <w:color w:val="auto"/>
        </w:rPr>
        <w:t>In September 2021, the Company adopted the Remitly Global, Inc. 2021 Equity Incentive Plan (the “2021 Plan”, and together with the 2011 Plan, the “Plan”) as a successor to the 2011 Plan. The 2021 Plan authorizes the issuance of incentive stock options, nonqualified stock options,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line="275" w:lineRule="auto"/>
        <w:rPr>
          <w:sz w:val="20"/>
          <w:szCs w:val="20"/>
          <w:color w:val="auto"/>
        </w:rPr>
      </w:pPr>
      <w:r>
        <w:rPr>
          <w:rFonts w:ascii="Arial" w:cs="Arial" w:eastAsia="Arial" w:hAnsi="Arial"/>
          <w:sz w:val="15"/>
          <w:szCs w:val="15"/>
          <w:color w:val="auto"/>
        </w:rPr>
        <w:t>restricted common stock, stock appreciation rights, RSUs, and performance and stock bonus awards. Pursuant to the 2021 Plan, incentive stock options may be granted only to Company employees. The Company may grant all other types of awards to its employees, directors, and consultants. The 2021 Plan is administered by the Company’s board of directors, which determines the terms of the grants, including exercise price, number of equity awards granted, and vesting schedule. The 2021 Plan provided for the initial issuance of up to 25,000,000 shares of common stock, plus any reserved shares not issued or subject to outstanding grants under the 2011 Plan, which was 552,736 on the effective date of the 2021 Plan, for a total of 25,552,736 shares initially reserved for issuance under the 2021 Plan. Beginning in January 2022, the number of shares reserved for issuance under the 2021 Plan will increase automatically on January 1 of each year through 2031 by the number of shares equal to 5% of the aggregate number of outstanding shares of all classes of common stock as of the immediately preceding December 31, or a lesser number as may be determined by the Company’s talent and compensation committee, or by the Company’s board of directors acting in place of the talent and compensation committee. In January 2022, there was an increase in the shares reserved for issuance under the 2021 Plan, in accordance with the automatic increase provision.</w:t>
      </w:r>
    </w:p>
    <w:p>
      <w:pPr>
        <w:spacing w:after="0" w:line="138" w:lineRule="exact"/>
        <w:rPr>
          <w:sz w:val="20"/>
          <w:szCs w:val="20"/>
          <w:color w:val="auto"/>
        </w:rPr>
      </w:pPr>
    </w:p>
    <w:p>
      <w:pPr>
        <w:ind w:firstLine="324"/>
        <w:spacing w:after="0" w:line="256" w:lineRule="auto"/>
        <w:rPr>
          <w:sz w:val="20"/>
          <w:szCs w:val="20"/>
          <w:color w:val="auto"/>
        </w:rPr>
      </w:pPr>
      <w:r>
        <w:rPr>
          <w:rFonts w:ascii="Arial" w:cs="Arial" w:eastAsia="Arial" w:hAnsi="Arial"/>
          <w:sz w:val="16"/>
          <w:szCs w:val="16"/>
          <w:color w:val="auto"/>
        </w:rPr>
        <w:t>In addition, in September 2021, the Company adopted the Remitly Global, Inc. 2021 ESPP (the “ESPP”) to enable eligible employees to purchase shares of common stock with accumulated payroll deductions at a discount. The ESPP provided for the initial issuance of up to 3,500,000 shares of common stock. Beginning in January 2022, the number of shares reserved for issuance and sale under the ESPP will increase automatically on January 1 of each year through 2031 by the number of shares equal to 1% of the aggregate number of outstanding shares of all classes of common stock as of the immediately preceding December 31, or a lesser number as may be determined by the Company’s talent and compensation committee, or by the Company’s board of directors acting in place of the talent and compensation committee. Subject to stock splits, recapitalizations, or similar events, no more than 35,000,000 shares of common stock may be issued over the term of the ESPP. The ESPP is intended to qualify under Section 423 of the Code, provided that the administrator may adopt sub-plans under the ESPP designed to be outside of the scope of Section 423 for participants who are non-U.S. residents. In January 2022, there was an increase in the shares reserved for issuance under the 2021 ESPP Plan, in accordance with the automatic increase provision.</w:t>
      </w:r>
    </w:p>
    <w:p>
      <w:pPr>
        <w:spacing w:after="0" w:line="218"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6"/>
          <w:szCs w:val="16"/>
          <w:color w:val="auto"/>
        </w:rPr>
        <w:t>As of June 30, 2022, 17,943,086 equity incentive awards remain available for issuance under the 2021 Plan and 4,940,182 shares of common stock remain available for issuance under the ESPP.</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Options</w:t>
      </w:r>
    </w:p>
    <w:p>
      <w:pPr>
        <w:spacing w:after="0" w:line="171" w:lineRule="exact"/>
        <w:rPr>
          <w:sz w:val="20"/>
          <w:szCs w:val="20"/>
          <w:color w:val="auto"/>
        </w:rPr>
      </w:pPr>
    </w:p>
    <w:p>
      <w:pPr>
        <w:jc w:val="both"/>
        <w:ind w:right="20" w:firstLine="324"/>
        <w:spacing w:after="0" w:line="284" w:lineRule="auto"/>
        <w:rPr>
          <w:sz w:val="20"/>
          <w:szCs w:val="20"/>
          <w:color w:val="auto"/>
        </w:rPr>
      </w:pPr>
      <w:r>
        <w:rPr>
          <w:rFonts w:ascii="Arial" w:cs="Arial" w:eastAsia="Arial" w:hAnsi="Arial"/>
          <w:sz w:val="15"/>
          <w:szCs w:val="15"/>
          <w:color w:val="auto"/>
        </w:rPr>
        <w:t>Stock options granted under the Plan generally vest over a period from two years to four years from the vesting commencement date on a monthly basis with or without a one-year cliff or, for nonemployees, ratably on a monthly basis over a shorter period, depending upon anticipated duration of services. Other vesting terms are determined by the Company’s board of directors. All options granted under the Plan are exercisable for up to ten years from the grant date, subject to vesting. In the event of termination of service, options will generally remain exercisable, to the extent vested, for three months following the termination of service.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the Company’s stock option activity during the six months ended June 30, 2022: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40" w:type="dxa"/>
            <w:vAlign w:val="bottom"/>
            <w:gridSpan w:val="4"/>
          </w:tcPr>
          <w:p>
            <w:pPr>
              <w:ind w:left="1020"/>
              <w:spacing w:after="0"/>
              <w:rPr>
                <w:sz w:val="20"/>
                <w:szCs w:val="20"/>
                <w:color w:val="auto"/>
              </w:rPr>
            </w:pPr>
            <w:r>
              <w:rPr>
                <w:rFonts w:ascii="Arial" w:cs="Arial" w:eastAsia="Arial" w:hAnsi="Arial"/>
                <w:sz w:val="14"/>
                <w:szCs w:val="14"/>
                <w:b w:val="1"/>
                <w:bCs w:val="1"/>
                <w:color w:val="auto"/>
              </w:rPr>
              <w:t>Stock Options</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74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156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Number of Options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Weighted-Average</w:t>
            </w: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Weighted-Average</w:t>
            </w:r>
          </w:p>
        </w:tc>
        <w:tc>
          <w:tcPr>
            <w:tcW w:w="140" w:type="dxa"/>
            <w:vAlign w:val="bottom"/>
          </w:tcPr>
          <w:p>
            <w:pPr>
              <w:spacing w:after="0"/>
              <w:rPr>
                <w:sz w:val="15"/>
                <w:szCs w:val="15"/>
                <w:color w:val="auto"/>
              </w:rPr>
            </w:pPr>
          </w:p>
        </w:tc>
        <w:tc>
          <w:tcPr>
            <w:tcW w:w="142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w w:val="95"/>
              </w:rPr>
              <w:t>Aggregate Intrinsic</w:t>
            </w:r>
          </w:p>
        </w:tc>
        <w:tc>
          <w:tcPr>
            <w:tcW w:w="0" w:type="dxa"/>
            <w:vAlign w:val="bottom"/>
          </w:tcPr>
          <w:p>
            <w:pPr>
              <w:spacing w:after="0"/>
              <w:rPr>
                <w:sz w:val="1"/>
                <w:szCs w:val="1"/>
                <w:color w:val="auto"/>
              </w:rPr>
            </w:pPr>
          </w:p>
        </w:tc>
      </w:tr>
      <w:tr>
        <w:trPr>
          <w:trHeight w:val="159"/>
        </w:trPr>
        <w:tc>
          <w:tcPr>
            <w:tcW w:w="474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166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auto"/>
                <w:w w:val="95"/>
              </w:rPr>
              <w:t>Remaining Contractual</w:t>
            </w:r>
          </w:p>
        </w:tc>
        <w:tc>
          <w:tcPr>
            <w:tcW w:w="14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15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Outstanding</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Exercise Price</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 (Years)</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23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January 1, 2022</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23,386,942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395,676</w:t>
            </w:r>
          </w:p>
        </w:tc>
        <w:tc>
          <w:tcPr>
            <w:tcW w:w="0" w:type="dxa"/>
            <w:vAlign w:val="bottom"/>
          </w:tcPr>
          <w:p>
            <w:pPr>
              <w:spacing w:after="0"/>
              <w:rPr>
                <w:sz w:val="1"/>
                <w:szCs w:val="1"/>
                <w:color w:val="auto"/>
              </w:rPr>
            </w:pPr>
          </w:p>
        </w:tc>
      </w:tr>
      <w:tr>
        <w:trPr>
          <w:trHeight w:val="233"/>
        </w:trPr>
        <w:tc>
          <w:tcPr>
            <w:tcW w:w="4740" w:type="dxa"/>
            <w:vAlign w:val="bottom"/>
          </w:tcPr>
          <w:p>
            <w:pPr>
              <w:ind w:left="20"/>
              <w:spacing w:after="0"/>
              <w:rPr>
                <w:sz w:val="20"/>
                <w:szCs w:val="20"/>
                <w:color w:val="auto"/>
              </w:rPr>
            </w:pPr>
            <w:r>
              <w:rPr>
                <w:rFonts w:ascii="Arial" w:cs="Arial" w:eastAsia="Arial" w:hAnsi="Arial"/>
                <w:sz w:val="16"/>
                <w:szCs w:val="16"/>
                <w:color w:val="auto"/>
              </w:rPr>
              <w:t>Granted</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(2,420,413)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19,282</w:t>
            </w:r>
          </w:p>
        </w:tc>
        <w:tc>
          <w:tcPr>
            <w:tcW w:w="0" w:type="dxa"/>
            <w:vAlign w:val="bottom"/>
          </w:tcPr>
          <w:p>
            <w:pPr>
              <w:spacing w:after="0"/>
              <w:rPr>
                <w:sz w:val="1"/>
                <w:szCs w:val="1"/>
                <w:color w:val="auto"/>
              </w:rPr>
            </w:pPr>
          </w:p>
        </w:tc>
      </w:tr>
      <w:tr>
        <w:trPr>
          <w:trHeight w:val="236"/>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(808,439)</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4.48</w:t>
            </w:r>
          </w:p>
        </w:tc>
        <w:tc>
          <w:tcPr>
            <w:tcW w:w="80" w:type="dxa"/>
            <w:vAlign w:val="bottom"/>
            <w:tcBorders>
              <w:bottom w:val="single" w:sz="8" w:color="CCEEFF"/>
            </w:tcBorders>
          </w:tcPr>
          <w:p>
            <w:pPr>
              <w:spacing w:after="0"/>
              <w:rPr>
                <w:sz w:val="20"/>
                <w:szCs w:val="20"/>
                <w:color w:val="auto"/>
              </w:rPr>
            </w:pPr>
          </w:p>
        </w:tc>
        <w:tc>
          <w:tcPr>
            <w:tcW w:w="15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June 30, 2022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20,158,090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81,886</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6"/>
                <w:szCs w:val="16"/>
                <w:color w:val="auto"/>
              </w:rPr>
              <w:t>Vested and exercisable as of June 30, 2022</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10,856,326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2.33</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6.40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58,377</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and expected to vest as of June 30, 2022</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20,391,245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82,955</w:t>
            </w:r>
          </w:p>
        </w:tc>
        <w:tc>
          <w:tcPr>
            <w:tcW w:w="0" w:type="dxa"/>
            <w:vAlign w:val="bottom"/>
          </w:tcPr>
          <w:p>
            <w:pPr>
              <w:spacing w:after="0"/>
              <w:rPr>
                <w:sz w:val="1"/>
                <w:szCs w:val="1"/>
                <w:color w:val="auto"/>
              </w:rPr>
            </w:pPr>
          </w:p>
        </w:tc>
      </w:tr>
      <w:tr>
        <w:trPr>
          <w:trHeight w:val="288"/>
        </w:trPr>
        <w:tc>
          <w:tcPr>
            <w:tcW w:w="4740" w:type="dxa"/>
            <w:vAlign w:val="bottom"/>
          </w:tcPr>
          <w:p>
            <w:pPr>
              <w:spacing w:after="0"/>
              <w:rPr>
                <w:sz w:val="20"/>
                <w:szCs w:val="20"/>
                <w:color w:val="auto"/>
              </w:rPr>
            </w:pPr>
            <w:r>
              <w:rPr>
                <w:rFonts w:ascii="Arial" w:cs="Arial" w:eastAsia="Arial" w:hAnsi="Arial"/>
                <w:sz w:val="16"/>
                <w:szCs w:val="16"/>
                <w:color w:val="auto"/>
              </w:rPr>
              <w:t>_________________</w:t>
            </w: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right="700" w:hanging="328"/>
        <w:spacing w:after="0" w:line="275"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aggregate intrinsic value is calculated as the difference between the exercise price of the underlying stock options and the estimated fair value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40" w:firstLine="324"/>
        <w:spacing w:after="0" w:line="275" w:lineRule="auto"/>
        <w:rPr>
          <w:sz w:val="20"/>
          <w:szCs w:val="20"/>
          <w:color w:val="auto"/>
        </w:rPr>
      </w:pPr>
      <w:r>
        <w:rPr>
          <w:rFonts w:ascii="Arial" w:cs="Arial" w:eastAsia="Arial" w:hAnsi="Arial"/>
          <w:sz w:val="16"/>
          <w:szCs w:val="16"/>
          <w:color w:val="auto"/>
        </w:rPr>
        <w:t>The fair value of each employee stock option granted during the three and six months ended June 30, 2021 was estimated on the date of grant using the Black-Scholes option pricing model with the following assumptions: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Three Months Ended</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2"/>
              </w:rPr>
              <w:t>Six Months Ended</w:t>
            </w:r>
          </w:p>
        </w:tc>
      </w:tr>
      <w:tr>
        <w:trPr>
          <w:trHeight w:val="210"/>
        </w:trPr>
        <w:tc>
          <w:tcPr>
            <w:tcW w:w="7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June 30,</w:t>
            </w:r>
          </w:p>
        </w:tc>
        <w:tc>
          <w:tcPr>
            <w:tcW w:w="156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June 30,</w:t>
            </w:r>
          </w:p>
        </w:tc>
      </w:tr>
      <w:tr>
        <w:trPr>
          <w:trHeight w:val="33"/>
        </w:trPr>
        <w:tc>
          <w:tcPr>
            <w:tcW w:w="78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78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243"/>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Risk-free interest rates</w:t>
            </w:r>
          </w:p>
        </w:tc>
        <w:tc>
          <w:tcPr>
            <w:tcW w:w="174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3"/>
              </w:rPr>
              <w:t>0.83% to 1.19%</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0.32% to 1.19%</w:t>
            </w:r>
          </w:p>
        </w:tc>
      </w:tr>
      <w:tr>
        <w:trPr>
          <w:trHeight w:val="233"/>
        </w:trPr>
        <w:tc>
          <w:tcPr>
            <w:tcW w:w="7940" w:type="dxa"/>
            <w:vAlign w:val="bottom"/>
            <w:gridSpan w:val="2"/>
          </w:tcPr>
          <w:p>
            <w:pPr>
              <w:ind w:left="20"/>
              <w:spacing w:after="0"/>
              <w:rPr>
                <w:sz w:val="20"/>
                <w:szCs w:val="20"/>
                <w:color w:val="auto"/>
              </w:rPr>
            </w:pPr>
            <w:r>
              <w:rPr>
                <w:rFonts w:ascii="Arial" w:cs="Arial" w:eastAsia="Arial" w:hAnsi="Arial"/>
                <w:sz w:val="16"/>
                <w:szCs w:val="16"/>
                <w:color w:val="auto"/>
              </w:rPr>
              <w:t>Expected term</w:t>
            </w:r>
          </w:p>
        </w:tc>
        <w:tc>
          <w:tcPr>
            <w:tcW w:w="1740" w:type="dxa"/>
            <w:vAlign w:val="bottom"/>
            <w:gridSpan w:val="2"/>
          </w:tcPr>
          <w:p>
            <w:pPr>
              <w:jc w:val="center"/>
              <w:ind w:right="160"/>
              <w:spacing w:after="0"/>
              <w:rPr>
                <w:sz w:val="20"/>
                <w:szCs w:val="20"/>
                <w:color w:val="auto"/>
              </w:rPr>
            </w:pPr>
            <w:r>
              <w:rPr>
                <w:rFonts w:ascii="Arial" w:cs="Arial" w:eastAsia="Arial" w:hAnsi="Arial"/>
                <w:sz w:val="16"/>
                <w:szCs w:val="16"/>
                <w:color w:val="auto"/>
                <w:w w:val="88"/>
              </w:rPr>
              <w:t>5.0 to 6.8 years</w:t>
            </w:r>
          </w:p>
        </w:tc>
        <w:tc>
          <w:tcPr>
            <w:tcW w:w="1560" w:type="dxa"/>
            <w:vAlign w:val="bottom"/>
          </w:tcPr>
          <w:p>
            <w:pPr>
              <w:jc w:val="center"/>
              <w:spacing w:after="0"/>
              <w:rPr>
                <w:sz w:val="20"/>
                <w:szCs w:val="20"/>
                <w:color w:val="auto"/>
              </w:rPr>
            </w:pPr>
            <w:r>
              <w:rPr>
                <w:rFonts w:ascii="Arial" w:cs="Arial" w:eastAsia="Arial" w:hAnsi="Arial"/>
                <w:sz w:val="16"/>
                <w:szCs w:val="16"/>
                <w:color w:val="auto"/>
                <w:w w:val="90"/>
              </w:rPr>
              <w:t>3.5 to 6.8 years</w:t>
            </w:r>
          </w:p>
        </w:tc>
      </w:tr>
      <w:tr>
        <w:trPr>
          <w:trHeight w:val="253"/>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Volatility</w:t>
            </w:r>
          </w:p>
        </w:tc>
        <w:tc>
          <w:tcPr>
            <w:tcW w:w="1740" w:type="dxa"/>
            <w:vAlign w:val="bottom"/>
            <w:gridSpan w:val="2"/>
            <w:shd w:val="clear" w:color="auto" w:fill="CCEEFF"/>
          </w:tcPr>
          <w:p>
            <w:pPr>
              <w:jc w:val="center"/>
              <w:ind w:right="160"/>
              <w:spacing w:after="0"/>
              <w:rPr>
                <w:sz w:val="20"/>
                <w:szCs w:val="20"/>
                <w:color w:val="auto"/>
              </w:rPr>
            </w:pPr>
            <w:r>
              <w:rPr>
                <w:rFonts w:ascii="Arial" w:cs="Arial" w:eastAsia="Arial" w:hAnsi="Arial"/>
                <w:sz w:val="16"/>
                <w:szCs w:val="16"/>
                <w:color w:val="auto"/>
                <w:w w:val="93"/>
              </w:rPr>
              <w:t>37.8% to 38.3%</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37.8% to 41.4%</w:t>
            </w:r>
          </w:p>
        </w:tc>
      </w:tr>
      <w:tr>
        <w:trPr>
          <w:trHeight w:val="224"/>
        </w:trPr>
        <w:tc>
          <w:tcPr>
            <w:tcW w:w="7940" w:type="dxa"/>
            <w:vAlign w:val="bottom"/>
            <w:gridSpan w:val="2"/>
          </w:tcPr>
          <w:p>
            <w:pPr>
              <w:ind w:left="20"/>
              <w:spacing w:after="0"/>
              <w:rPr>
                <w:sz w:val="20"/>
                <w:szCs w:val="20"/>
                <w:color w:val="auto"/>
              </w:rPr>
            </w:pPr>
            <w:r>
              <w:rPr>
                <w:rFonts w:ascii="Arial" w:cs="Arial" w:eastAsia="Arial" w:hAnsi="Arial"/>
                <w:sz w:val="16"/>
                <w:szCs w:val="16"/>
                <w:color w:val="auto"/>
              </w:rPr>
              <w:t>Dividend rate</w:t>
            </w:r>
          </w:p>
        </w:tc>
        <w:tc>
          <w:tcPr>
            <w:tcW w:w="1740" w:type="dxa"/>
            <w:vAlign w:val="bottom"/>
            <w:gridSpan w:val="2"/>
          </w:tcPr>
          <w:p>
            <w:pPr>
              <w:jc w:val="center"/>
              <w:ind w:right="160"/>
              <w:spacing w:after="0"/>
              <w:rPr>
                <w:sz w:val="20"/>
                <w:szCs w:val="20"/>
                <w:color w:val="auto"/>
              </w:rPr>
            </w:pPr>
            <w:r>
              <w:rPr>
                <w:rFonts w:ascii="Arial" w:cs="Arial" w:eastAsia="Arial" w:hAnsi="Arial"/>
                <w:sz w:val="16"/>
                <w:szCs w:val="16"/>
                <w:color w:val="auto"/>
                <w:w w:val="99"/>
              </w:rPr>
              <w:t>—%</w:t>
            </w:r>
          </w:p>
        </w:tc>
        <w:tc>
          <w:tcPr>
            <w:tcW w:w="1560" w:type="dxa"/>
            <w:vAlign w:val="bottom"/>
          </w:tcPr>
          <w:p>
            <w:pPr>
              <w:jc w:val="center"/>
              <w:spacing w:after="0"/>
              <w:rPr>
                <w:sz w:val="20"/>
                <w:szCs w:val="20"/>
                <w:color w:val="auto"/>
              </w:rPr>
            </w:pPr>
            <w:r>
              <w:rPr>
                <w:rFonts w:ascii="Arial" w:cs="Arial" w:eastAsia="Arial" w:hAnsi="Arial"/>
                <w:sz w:val="16"/>
                <w:szCs w:val="16"/>
                <w:color w:val="auto"/>
                <w:w w:val="99"/>
              </w:rPr>
              <w:t>—%</w:t>
            </w:r>
          </w:p>
        </w:tc>
      </w:tr>
    </w:tbl>
    <w:p>
      <w:pPr>
        <w:spacing w:after="0" w:line="253"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Fair value of underlying common stock</w:t>
      </w:r>
    </w:p>
    <w:p>
      <w:pPr>
        <w:spacing w:after="0" w:line="18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5"/>
          <w:szCs w:val="15"/>
          <w:color w:val="auto"/>
        </w:rPr>
        <w:t>Prior to the completion of the IPO, the Company’s board of directors considered numerous objective and subjective factors to determine the fair value of the Company’s common stock at each meeting in which awards were approved. The factors considered included, but were not limited to: (i) the results of contemporaneous independent third-party valuations of the Company’s common stock; (ii) the prices, rights, preferences, and privileges of the Company’s redeemable convertible preferred stock relative to those of its common stock; (iii) the lack of marketability of the Company’s common stock; (iv) actual operating and financial results; (v) current business conditions and projections; (vi) the likelihood of achieving a liquidity event, such as an initial public offering or sale of the Company, given prevailing market conditions; and (vii) precedent transactions involving the Company’s shares. After the completion of the IPO, the fair value of the Company’s common stock is determined by the closing price, on the date of grant, of its common stock, which is traded on the NASDAQ.</w:t>
      </w:r>
    </w:p>
    <w:p>
      <w:pPr>
        <w:spacing w:after="0" w:line="132" w:lineRule="exact"/>
        <w:rPr>
          <w:sz w:val="20"/>
          <w:szCs w:val="20"/>
          <w:color w:val="auto"/>
        </w:rPr>
      </w:pPr>
    </w:p>
    <w:p>
      <w:pPr>
        <w:ind w:right="40" w:firstLine="324"/>
        <w:spacing w:after="0" w:line="275" w:lineRule="auto"/>
        <w:rPr>
          <w:sz w:val="20"/>
          <w:szCs w:val="20"/>
          <w:color w:val="auto"/>
        </w:rPr>
      </w:pPr>
      <w:r>
        <w:rPr>
          <w:rFonts w:ascii="Arial" w:cs="Arial" w:eastAsia="Arial" w:hAnsi="Arial"/>
          <w:sz w:val="16"/>
          <w:szCs w:val="16"/>
          <w:color w:val="auto"/>
        </w:rPr>
        <w:t>No stock options were granted during the three and six months ended June 30, 2022. The weighted-average grant date fair value of options granted during the three and six months ended June 30, 2021 was $3.84 and $3.76, respectively.</w:t>
      </w:r>
    </w:p>
    <w:p>
      <w:pPr>
        <w:spacing w:after="0" w:line="118"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The aggregate grant-date fair value of options vested for the three and six months ended June 30, 2022 was $4.3 million and $7.1 million, respectively, and for the three and six months ended June 30, 2021 was $1.9 million and $3.3 million,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Stock Units</w:t>
      </w:r>
    </w:p>
    <w:p>
      <w:pPr>
        <w:spacing w:after="0" w:line="185" w:lineRule="exact"/>
        <w:rPr>
          <w:sz w:val="20"/>
          <w:szCs w:val="20"/>
          <w:color w:val="auto"/>
        </w:rPr>
      </w:pPr>
    </w:p>
    <w:p>
      <w:pPr>
        <w:ind w:right="80" w:firstLine="324"/>
        <w:spacing w:after="0" w:line="275" w:lineRule="auto"/>
        <w:rPr>
          <w:sz w:val="20"/>
          <w:szCs w:val="20"/>
          <w:color w:val="auto"/>
        </w:rPr>
      </w:pPr>
      <w:r>
        <w:rPr>
          <w:rFonts w:ascii="Arial" w:cs="Arial" w:eastAsia="Arial" w:hAnsi="Arial"/>
          <w:sz w:val="15"/>
          <w:szCs w:val="15"/>
          <w:color w:val="auto"/>
        </w:rPr>
        <w:t>Prior to the IPO, the Company granted performance-based RSUs (“PRSUs”) to employees and directors that contained both service-based and performance-based vesting conditions. The service-based vesting condition for these awards is typically satisfied over four years with a cliff-vesting period of one year and continued vesting quarterly thereafter. The performance-based vesting condition is satisfied on the earlier of (i) the effective date of a registration statement of the Company filed under the Securities Act for the sale of the Company’s common stock or (ii) immediately prior to the closing of a change in control of the Company. Both events were not deemed probable until consummated, and therefore, stock-based compensation expense related to these PRSUs remained unrecognized prior to the effectiveness of the IPO. Upon the effectiveness of the IPO the performance-based vesting condition was satisfied, and therefore, the Company recognized cumulative stock-based compensation expense of $1.1 million, using the accelerated attribution method for the portion of the awards for which the service-based vesting condition has been fully or partially satisfied. The remaining grant-date fair value of these PRSUs is being recognized over the remaining requisite service period.</w:t>
      </w:r>
    </w:p>
    <w:p>
      <w:pPr>
        <w:spacing w:after="0" w:line="133" w:lineRule="exact"/>
        <w:rPr>
          <w:sz w:val="20"/>
          <w:szCs w:val="20"/>
          <w:color w:val="auto"/>
        </w:rPr>
      </w:pPr>
    </w:p>
    <w:p>
      <w:pPr>
        <w:ind w:right="140" w:firstLine="324"/>
        <w:spacing w:after="0" w:line="261" w:lineRule="auto"/>
        <w:rPr>
          <w:sz w:val="20"/>
          <w:szCs w:val="20"/>
          <w:color w:val="auto"/>
        </w:rPr>
      </w:pPr>
      <w:r>
        <w:rPr>
          <w:rFonts w:ascii="Arial" w:cs="Arial" w:eastAsia="Arial" w:hAnsi="Arial"/>
          <w:sz w:val="16"/>
          <w:szCs w:val="16"/>
          <w:color w:val="auto"/>
        </w:rPr>
        <w:t>Beginning in August 2021, the Company began granting RSUs to employees and directors with service-based vesting conditions. The service-based vesting condition for these awards is typically satisfied over four years with a cliff vesting period of one year and continued vesting quarterly thereafter. The grant-date fair value of these RSUs will be recognized over the requisite service period.</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Restricted stock unit activity, including PRSUs, during the six months ended June 30, 2022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center"/>
              <w:ind w:right="82"/>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75"/>
        </w:trPr>
        <w:tc>
          <w:tcPr>
            <w:tcW w:w="8020" w:type="dxa"/>
            <w:vAlign w:val="bottom"/>
          </w:tcPr>
          <w:p>
            <w:pPr>
              <w:spacing w:after="0"/>
              <w:rPr>
                <w:sz w:val="15"/>
                <w:szCs w:val="15"/>
                <w:color w:val="auto"/>
              </w:rPr>
            </w:pPr>
          </w:p>
        </w:tc>
        <w:tc>
          <w:tcPr>
            <w:tcW w:w="158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5"/>
                <w:szCs w:val="15"/>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Grant-Date Fair Value</w:t>
            </w:r>
          </w:p>
        </w:tc>
        <w:tc>
          <w:tcPr>
            <w:tcW w:w="0" w:type="dxa"/>
            <w:vAlign w:val="bottom"/>
          </w:tcPr>
          <w:p>
            <w:pPr>
              <w:spacing w:after="0"/>
              <w:rPr>
                <w:sz w:val="1"/>
                <w:szCs w:val="1"/>
                <w:color w:val="auto"/>
              </w:rPr>
            </w:pPr>
          </w:p>
        </w:tc>
      </w:tr>
      <w:tr>
        <w:trPr>
          <w:trHeight w:val="186"/>
        </w:trPr>
        <w:tc>
          <w:tcPr>
            <w:tcW w:w="802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82"/>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5"/>
        </w:trPr>
        <w:tc>
          <w:tcPr>
            <w:tcW w:w="80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at January 1, 2022</w:t>
            </w: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3,372,585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24.83</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Granted</w:t>
            </w:r>
          </w:p>
        </w:tc>
        <w:tc>
          <w:tcPr>
            <w:tcW w:w="1580" w:type="dxa"/>
            <w:vAlign w:val="bottom"/>
          </w:tcPr>
          <w:p>
            <w:pPr>
              <w:jc w:val="right"/>
              <w:ind w:right="1"/>
              <w:spacing w:after="0"/>
              <w:rPr>
                <w:sz w:val="20"/>
                <w:szCs w:val="20"/>
                <w:color w:val="auto"/>
              </w:rPr>
            </w:pPr>
            <w:r>
              <w:rPr>
                <w:rFonts w:ascii="Arial" w:cs="Arial" w:eastAsia="Arial" w:hAnsi="Arial"/>
                <w:sz w:val="16"/>
                <w:szCs w:val="16"/>
                <w:color w:val="auto"/>
              </w:rPr>
              <w:t>15,354,755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10.68</w:t>
            </w: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(812,858)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Cancelled/forfeited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(675,918)</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16.55</w:t>
            </w:r>
          </w:p>
        </w:tc>
        <w:tc>
          <w:tcPr>
            <w:tcW w:w="0" w:type="dxa"/>
            <w:vAlign w:val="bottom"/>
          </w:tcPr>
          <w:p>
            <w:pPr>
              <w:spacing w:after="0"/>
              <w:rPr>
                <w:sz w:val="1"/>
                <w:szCs w:val="1"/>
                <w:color w:val="auto"/>
              </w:rPr>
            </w:pPr>
          </w:p>
        </w:tc>
      </w:tr>
      <w:tr>
        <w:trPr>
          <w:trHeight w:val="26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at June 30, 2022</w:t>
            </w:r>
          </w:p>
        </w:tc>
        <w:tc>
          <w:tcPr>
            <w:tcW w:w="1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17,238,564</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In addition, during the three months ended March 31, 2022, as a result of the expiration of the lock-up agreement related to its IPO, the Company issued 124,026 shares of common stock subject to RSUs that were vested as of December 31, 2021, but not yet settled.</w:t>
      </w:r>
    </w:p>
    <w:p>
      <w:pPr>
        <w:spacing w:after="0" w:line="132"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The weighted-average grant date fair value of RSUs, including PRSUs, granted during the six months ended June 30, 2022 and 2021 was $10.68 and $4.95, respectively. The aggregate grant-date fair value of RSUs, including PRSUs, vested for the six months ended June 30, 2022 was $8.2 million. No RSUs or PRSUs vested during the three and six months ended June 30, 2021.</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 Stock Purchase Plan</w:t>
      </w:r>
    </w:p>
    <w:p>
      <w:pPr>
        <w:spacing w:after="0" w:line="171"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color w:val="auto"/>
        </w:rPr>
        <w:t>The ESPP provides for consecutive offering periods during which eligible employees can participate in the ESPP and be granted the right to purchase shares. Except for the first offering period, which commenced on September 22, 2021, offering periods shall commence on each subsequent March 1 and September 1, with each offering period consisting of four six-month purchase periods, for a total of a 24-month offering period. No offering periods may last longer than 27 months. The offering period that commenced on September 22, 2021, ended on February 28, 2022, due to a decline in the Company’s stock price at the end of the purchase period, triggering a new offering period, as required by the ESPP plan documents. A new 24-month offering period commenced on March 1, 2022. This event was accounted for as a modification under US GAAP in the first quarter of 2022, resulting in incremental stock-based compensation expense of $3.6 million, which will be recognized over the requisite service period, which is deemed to be the new offering period.</w:t>
      </w:r>
    </w:p>
    <w:p>
      <w:pPr>
        <w:spacing w:after="0" w:line="130" w:lineRule="exact"/>
        <w:rPr>
          <w:sz w:val="20"/>
          <w:szCs w:val="20"/>
          <w:color w:val="auto"/>
        </w:rPr>
      </w:pPr>
    </w:p>
    <w:p>
      <w:pPr>
        <w:jc w:val="both"/>
        <w:ind w:right="340" w:firstLine="324"/>
        <w:spacing w:after="0" w:line="269" w:lineRule="auto"/>
        <w:rPr>
          <w:sz w:val="20"/>
          <w:szCs w:val="20"/>
          <w:color w:val="auto"/>
        </w:rPr>
      </w:pPr>
      <w:r>
        <w:rPr>
          <w:rFonts w:ascii="Arial" w:cs="Arial" w:eastAsia="Arial" w:hAnsi="Arial"/>
          <w:sz w:val="16"/>
          <w:szCs w:val="16"/>
          <w:color w:val="auto"/>
        </w:rPr>
        <w:t>Eligible employees can contribute up to 15% of their eligible compensation, subject to limitation as provided for in the ESPP, and purchase the common stock at a purchase price per share equal to 85% of the lesser of the fair market value of the common stock on (i) the offering date, which is defined as the first business day of the offering period, or (ii) the purchase date, which is the final business day of the purchase period.</w:t>
      </w:r>
    </w:p>
    <w:p>
      <w:pPr>
        <w:spacing w:after="0" w:line="124" w:lineRule="exact"/>
        <w:rPr>
          <w:sz w:val="20"/>
          <w:szCs w:val="20"/>
          <w:color w:val="auto"/>
        </w:rPr>
      </w:pPr>
    </w:p>
    <w:p>
      <w:pPr>
        <w:ind w:right="680" w:firstLine="324"/>
        <w:spacing w:after="0" w:line="293" w:lineRule="auto"/>
        <w:rPr>
          <w:sz w:val="20"/>
          <w:szCs w:val="20"/>
          <w:color w:val="auto"/>
        </w:rPr>
      </w:pPr>
      <w:r>
        <w:rPr>
          <w:rFonts w:ascii="Arial" w:cs="Arial" w:eastAsia="Arial" w:hAnsi="Arial"/>
          <w:sz w:val="16"/>
          <w:szCs w:val="16"/>
          <w:color w:val="auto"/>
        </w:rPr>
        <w:t>The fair value of the ESPP offering was estimated using the Black-Scholes option-pricing model as of the offering date of March 1, 2022, using the following assumptions: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800" w:type="dxa"/>
            <w:vAlign w:val="bottom"/>
          </w:tcPr>
          <w:p>
            <w:pPr>
              <w:spacing w:after="0"/>
              <w:rPr>
                <w:sz w:val="19"/>
                <w:szCs w:val="19"/>
                <w:color w:val="auto"/>
              </w:rPr>
            </w:pPr>
          </w:p>
        </w:tc>
        <w:tc>
          <w:tcPr>
            <w:tcW w:w="2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Six Months Ended June 30,</w:t>
            </w:r>
          </w:p>
        </w:tc>
      </w:tr>
      <w:tr>
        <w:trPr>
          <w:trHeight w:val="237"/>
        </w:trPr>
        <w:tc>
          <w:tcPr>
            <w:tcW w:w="8800" w:type="dxa"/>
            <w:vAlign w:val="bottom"/>
            <w:tcBorders>
              <w:bottom w:val="single" w:sz="8" w:color="CCEEFF"/>
            </w:tcBorders>
          </w:tcPr>
          <w:p>
            <w:pPr>
              <w:spacing w:after="0"/>
              <w:rPr>
                <w:sz w:val="20"/>
                <w:szCs w:val="20"/>
                <w:color w:val="auto"/>
              </w:rPr>
            </w:pPr>
          </w:p>
        </w:tc>
        <w:tc>
          <w:tcPr>
            <w:tcW w:w="244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b w:val="1"/>
                <w:bCs w:val="1"/>
                <w:color w:val="auto"/>
              </w:rPr>
              <w:t>2022</w:t>
            </w:r>
          </w:p>
        </w:tc>
      </w:tr>
      <w:tr>
        <w:trPr>
          <w:trHeight w:val="243"/>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rates</w:t>
            </w:r>
          </w:p>
        </w:tc>
        <w:tc>
          <w:tcPr>
            <w:tcW w:w="2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0.60% to 1.31%</w:t>
            </w:r>
          </w:p>
        </w:tc>
      </w:tr>
      <w:tr>
        <w:trPr>
          <w:trHeight w:val="233"/>
        </w:trPr>
        <w:tc>
          <w:tcPr>
            <w:tcW w:w="8800" w:type="dxa"/>
            <w:vAlign w:val="bottom"/>
          </w:tcPr>
          <w:p>
            <w:pPr>
              <w:ind w:left="20"/>
              <w:spacing w:after="0"/>
              <w:rPr>
                <w:sz w:val="20"/>
                <w:szCs w:val="20"/>
                <w:color w:val="auto"/>
              </w:rPr>
            </w:pPr>
            <w:r>
              <w:rPr>
                <w:rFonts w:ascii="Arial" w:cs="Arial" w:eastAsia="Arial" w:hAnsi="Arial"/>
                <w:sz w:val="16"/>
                <w:szCs w:val="16"/>
                <w:color w:val="auto"/>
              </w:rPr>
              <w:t>Expected term</w:t>
            </w:r>
          </w:p>
        </w:tc>
        <w:tc>
          <w:tcPr>
            <w:tcW w:w="2440" w:type="dxa"/>
            <w:vAlign w:val="bottom"/>
          </w:tcPr>
          <w:p>
            <w:pPr>
              <w:jc w:val="right"/>
              <w:spacing w:after="0"/>
              <w:rPr>
                <w:sz w:val="20"/>
                <w:szCs w:val="20"/>
                <w:color w:val="auto"/>
              </w:rPr>
            </w:pPr>
            <w:r>
              <w:rPr>
                <w:rFonts w:ascii="Arial" w:cs="Arial" w:eastAsia="Arial" w:hAnsi="Arial"/>
                <w:sz w:val="16"/>
                <w:szCs w:val="16"/>
                <w:color w:val="auto"/>
              </w:rPr>
              <w:t>0.5 to 2.0 years</w:t>
            </w:r>
          </w:p>
        </w:tc>
      </w:tr>
      <w:tr>
        <w:trPr>
          <w:trHeight w:val="253"/>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Volatility</w:t>
            </w:r>
          </w:p>
        </w:tc>
        <w:tc>
          <w:tcPr>
            <w:tcW w:w="2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 to 73.0%</w:t>
            </w:r>
          </w:p>
        </w:tc>
      </w:tr>
      <w:tr>
        <w:trPr>
          <w:trHeight w:val="223"/>
        </w:trPr>
        <w:tc>
          <w:tcPr>
            <w:tcW w:w="8800" w:type="dxa"/>
            <w:vAlign w:val="bottom"/>
          </w:tcPr>
          <w:p>
            <w:pPr>
              <w:ind w:left="20"/>
              <w:spacing w:after="0"/>
              <w:rPr>
                <w:sz w:val="20"/>
                <w:szCs w:val="20"/>
                <w:color w:val="auto"/>
              </w:rPr>
            </w:pPr>
            <w:r>
              <w:rPr>
                <w:rFonts w:ascii="Arial" w:cs="Arial" w:eastAsia="Arial" w:hAnsi="Arial"/>
                <w:sz w:val="16"/>
                <w:szCs w:val="16"/>
                <w:color w:val="auto"/>
              </w:rPr>
              <w:t>Dividend rate</w:t>
            </w:r>
          </w:p>
        </w:tc>
        <w:tc>
          <w:tcPr>
            <w:tcW w:w="2440" w:type="dxa"/>
            <w:vAlign w:val="bottom"/>
          </w:tcPr>
          <w:p>
            <w:pPr>
              <w:jc w:val="right"/>
              <w:spacing w:after="0"/>
              <w:rPr>
                <w:sz w:val="20"/>
                <w:szCs w:val="20"/>
                <w:color w:val="auto"/>
              </w:rPr>
            </w:pPr>
            <w:r>
              <w:rPr>
                <w:rFonts w:ascii="Arial" w:cs="Arial" w:eastAsia="Arial" w:hAnsi="Arial"/>
                <w:sz w:val="16"/>
                <w:szCs w:val="16"/>
                <w:color w:val="auto"/>
              </w:rPr>
              <w:t>— %</w:t>
            </w:r>
          </w:p>
        </w:tc>
      </w:tr>
    </w:tbl>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 Expense</w:t>
      </w:r>
    </w:p>
    <w:p>
      <w:pPr>
        <w:spacing w:after="0" w:line="171"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Stock-based compensation expense for stock options, RSUs, PRSUs, and the ESPP, included in the condensed consolidated statements of operations, net of amounts capitalized to internal-use software, as described in Note 4, was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20" w:type="dxa"/>
            <w:vAlign w:val="bottom"/>
          </w:tcPr>
          <w:p>
            <w:pPr>
              <w:spacing w:after="0"/>
              <w:rPr>
                <w:sz w:val="19"/>
                <w:szCs w:val="19"/>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Six Months Ended June 30,</w:t>
            </w:r>
          </w:p>
        </w:tc>
      </w:tr>
      <w:tr>
        <w:trPr>
          <w:trHeight w:val="237"/>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243"/>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support and operations</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33"/>
        </w:trPr>
        <w:tc>
          <w:tcPr>
            <w:tcW w:w="4720" w:type="dxa"/>
            <w:vAlign w:val="bottom"/>
          </w:tcPr>
          <w:p>
            <w:pPr>
              <w:ind w:left="20"/>
              <w:spacing w:after="0"/>
              <w:rPr>
                <w:sz w:val="20"/>
                <w:szCs w:val="20"/>
                <w:color w:val="auto"/>
              </w:rPr>
            </w:pPr>
            <w:r>
              <w:rPr>
                <w:rFonts w:ascii="Arial" w:cs="Arial" w:eastAsia="Arial" w:hAnsi="Arial"/>
                <w:sz w:val="16"/>
                <w:szCs w:val="16"/>
                <w:color w:val="auto"/>
              </w:rPr>
              <w:t>Marketing</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2,765</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436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3,797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721</w:t>
            </w:r>
          </w:p>
        </w:tc>
      </w:tr>
      <w:tr>
        <w:trPr>
          <w:trHeight w:val="253"/>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9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13,649</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1,234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17,721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1,824</w:t>
            </w:r>
          </w:p>
        </w:tc>
      </w:tr>
      <w:tr>
        <w:trPr>
          <w:trHeight w:val="237"/>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15,850</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1,004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20,247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1,643</w:t>
            </w:r>
          </w:p>
        </w:tc>
      </w:tr>
      <w:tr>
        <w:trPr>
          <w:trHeight w:val="268"/>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32,541</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2,703</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42,135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4,225</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ind w:right="40" w:firstLine="324"/>
        <w:spacing w:after="0" w:line="261" w:lineRule="auto"/>
        <w:rPr>
          <w:sz w:val="20"/>
          <w:szCs w:val="20"/>
          <w:color w:val="auto"/>
        </w:rPr>
      </w:pPr>
      <w:r>
        <w:rPr>
          <w:rFonts w:ascii="Arial" w:cs="Arial" w:eastAsia="Arial" w:hAnsi="Arial"/>
          <w:sz w:val="16"/>
          <w:szCs w:val="16"/>
          <w:color w:val="auto"/>
        </w:rPr>
        <w:t>As of June 30, 2022, the total unamortized compensation cost related to all non-vested equity awards, including options, RSUs, and PRSUs was $231.8 million, which will be amortized over a weighted-average remaining requisite service period of approximately 2.9 years. As of June 30, 2022, the total unrecognized compensation expense related to the ESPP was $5.3 million, which is expected to be amortized over the next 1.7 years.</w:t>
      </w:r>
    </w:p>
    <w:p>
      <w:pPr>
        <w:spacing w:after="0" w:line="142" w:lineRule="exact"/>
        <w:rPr>
          <w:sz w:val="20"/>
          <w:szCs w:val="20"/>
          <w:color w:val="auto"/>
        </w:rPr>
      </w:pPr>
    </w:p>
    <w:p>
      <w:pPr>
        <w:ind w:right="120" w:firstLine="324"/>
        <w:spacing w:after="0" w:line="269" w:lineRule="auto"/>
        <w:rPr>
          <w:sz w:val="20"/>
          <w:szCs w:val="20"/>
          <w:color w:val="auto"/>
        </w:rPr>
      </w:pPr>
      <w:r>
        <w:rPr>
          <w:rFonts w:ascii="Arial" w:cs="Arial" w:eastAsia="Arial" w:hAnsi="Arial"/>
          <w:sz w:val="16"/>
          <w:szCs w:val="16"/>
          <w:color w:val="auto"/>
        </w:rPr>
        <w:t>The Company did not record a material income tax benefit related to stock-based compensation expense and stock option exercises, during the three and six months ended June 30, 2022 and 2021, since the Company currently maintains a full valuation allowance against its net deferred tax assets in the jurisdictions where material stock compensation expense charges are incurred, and stock option exercises occurred.</w:t>
      </w:r>
    </w:p>
    <w:p>
      <w:pPr>
        <w:spacing w:after="0" w:line="120"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Related Party Arrangements</w:t>
      </w:r>
    </w:p>
    <w:p>
      <w:pPr>
        <w:spacing w:after="0" w:line="171" w:lineRule="exact"/>
        <w:rPr>
          <w:sz w:val="20"/>
          <w:szCs w:val="20"/>
          <w:color w:val="auto"/>
        </w:rPr>
      </w:pPr>
    </w:p>
    <w:p>
      <w:pPr>
        <w:ind w:right="40" w:firstLine="324"/>
        <w:spacing w:after="0" w:line="280" w:lineRule="auto"/>
        <w:rPr>
          <w:sz w:val="20"/>
          <w:szCs w:val="20"/>
          <w:color w:val="auto"/>
        </w:rPr>
      </w:pPr>
      <w:r>
        <w:rPr>
          <w:rFonts w:ascii="Arial" w:cs="Arial" w:eastAsia="Arial" w:hAnsi="Arial"/>
          <w:sz w:val="15"/>
          <w:szCs w:val="15"/>
          <w:color w:val="auto"/>
        </w:rPr>
        <w:t>The Company entered into promissory note agreements in October 2018 which were fully repaid in August 2021. The promissory note agreements were entered into with two executive employees in conjunction with their early exercise of stock options to purchase 1,800,000 shares of the Company’s common stock. The principal amount of the notes was $3.1 million, and interest accrued at 2.83% on the outstanding principal amount annually. The notes were secured by the shares that were exercised. Based on the nonrecourse nature of these agreements, the agreements were accounted for as grants of options to purchase common stock. The fair value of the stock options, determined using the Black-Scholes option pricing model was being recognized over the requisite service period. The associated shares are legally outstanding and included in shares of common stock outstanding in the condensed consolidated financial statements, but were historically excluded from the Company’s net loss per common share calculations, as these shares of common stock were considered unvested until the underlying promissory notes were repaid.</w:t>
      </w:r>
    </w:p>
    <w:p>
      <w:pPr>
        <w:spacing w:after="0" w:line="117" w:lineRule="exact"/>
        <w:rPr>
          <w:sz w:val="20"/>
          <w:szCs w:val="20"/>
          <w:color w:val="auto"/>
        </w:rPr>
      </w:pPr>
    </w:p>
    <w:p>
      <w:pPr>
        <w:ind w:right="40" w:firstLine="324"/>
        <w:spacing w:after="0" w:line="275" w:lineRule="auto"/>
        <w:rPr>
          <w:sz w:val="20"/>
          <w:szCs w:val="20"/>
          <w:color w:val="auto"/>
        </w:rPr>
      </w:pPr>
      <w:r>
        <w:rPr>
          <w:rFonts w:ascii="Arial" w:cs="Arial" w:eastAsia="Arial" w:hAnsi="Arial"/>
          <w:sz w:val="16"/>
          <w:szCs w:val="16"/>
          <w:color w:val="auto"/>
        </w:rPr>
        <w:t>On August 23, 2021, the promissory notes were paid in full, including all accrued interest. After repayment of the loan, these shares are now considered outstanding for purposes of the Company’s net loss per common share calculations to the extent the shares are vested.</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12.</w:t>
      </w:r>
      <w:r>
        <w:rPr>
          <w:sz w:val="20"/>
          <w:szCs w:val="20"/>
          <w:color w:val="auto"/>
        </w:rPr>
        <w:tab/>
      </w:r>
      <w:r>
        <w:rPr>
          <w:rFonts w:ascii="Arial" w:cs="Arial" w:eastAsia="Arial" w:hAnsi="Arial"/>
          <w:sz w:val="14"/>
          <w:szCs w:val="14"/>
          <w:b w:val="1"/>
          <w:bCs w:val="1"/>
          <w:color w:val="auto"/>
        </w:rPr>
        <w:t>Income Taxes</w:t>
      </w:r>
    </w:p>
    <w:p>
      <w:pPr>
        <w:spacing w:after="0" w:line="171"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The Company computes its tax provision for interim periods by applying the estimated annual effective tax rate to year-to-date income from recurring operations and adjusting for discrete items arising in that quarter.</w:t>
      </w:r>
    </w:p>
    <w:p>
      <w:pPr>
        <w:spacing w:after="0" w:line="158" w:lineRule="exact"/>
        <w:rPr>
          <w:sz w:val="20"/>
          <w:szCs w:val="20"/>
          <w:color w:val="auto"/>
        </w:rPr>
      </w:pPr>
    </w:p>
    <w:p>
      <w:pPr>
        <w:jc w:val="both"/>
        <w:ind w:right="60" w:firstLine="324"/>
        <w:spacing w:after="0" w:line="269" w:lineRule="auto"/>
        <w:rPr>
          <w:sz w:val="20"/>
          <w:szCs w:val="20"/>
          <w:color w:val="auto"/>
        </w:rPr>
      </w:pPr>
      <w:r>
        <w:rPr>
          <w:rFonts w:ascii="Arial" w:cs="Arial" w:eastAsia="Arial" w:hAnsi="Arial"/>
          <w:sz w:val="16"/>
          <w:szCs w:val="16"/>
          <w:color w:val="auto"/>
        </w:rPr>
        <w:t>The Company’s effective tax rates on pretax income were (1.8)% and (45.7)% for the three months ended June 30, 2022 and 2021, respectively and (2.0)% and (9.8)% for the six months ended June 30, 2022 and 2021, respectively. The difference between the effective tax rate and the U.S. federal statutory rate of 21.0% in both periods was primarily the result of foreign income taxed at different rates and changes in the U.S. valuation allowance.</w:t>
      </w:r>
    </w:p>
    <w:p>
      <w:pPr>
        <w:spacing w:after="0" w:line="124"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The Company maintains a full valuation allowance against the U.S. net deferred tax assets, as it believes that these deferred tax assets do not meet the more likely than not threshold.</w:t>
      </w:r>
    </w:p>
    <w:p>
      <w:pPr>
        <w:spacing w:after="0" w:line="104"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Company files income tax returns in the U.S. federal jurisdiction, various state jurisdictions, and internationally. As of June 30, 2022, tax years 2011 through 2021 remain open for examination by taxing authorities.</w:t>
      </w:r>
    </w:p>
    <w:p>
      <w:pPr>
        <w:spacing w:after="0" w:line="104" w:lineRule="exact"/>
        <w:rPr>
          <w:sz w:val="20"/>
          <w:szCs w:val="20"/>
          <w:color w:val="auto"/>
        </w:rPr>
      </w:pPr>
    </w:p>
    <w:p>
      <w:pPr>
        <w:ind w:right="100" w:firstLine="324"/>
        <w:spacing w:after="0" w:line="269" w:lineRule="auto"/>
        <w:rPr>
          <w:sz w:val="20"/>
          <w:szCs w:val="20"/>
          <w:color w:val="auto"/>
        </w:rPr>
      </w:pPr>
      <w:r>
        <w:rPr>
          <w:rFonts w:ascii="Arial" w:cs="Arial" w:eastAsia="Arial" w:hAnsi="Arial"/>
          <w:sz w:val="16"/>
          <w:szCs w:val="16"/>
          <w:color w:val="auto"/>
        </w:rPr>
        <w:t xml:space="preserve">The Company has applied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and has determined that it has no uncertain tax positions both during the three and six months ended June 30, 2022 and 2021. The Company recognizes interest and, if applicable, penalties for any uncertain tax positions. Interest and penalties are recorded as a component of income tax expense.</w:t>
      </w:r>
    </w:p>
    <w:p>
      <w:pPr>
        <w:spacing w:after="0" w:line="120"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13.</w:t>
      </w:r>
      <w:r>
        <w:rPr>
          <w:sz w:val="20"/>
          <w:szCs w:val="20"/>
          <w:color w:val="auto"/>
        </w:rPr>
        <w:tab/>
      </w:r>
      <w:r>
        <w:rPr>
          <w:rFonts w:ascii="Arial" w:cs="Arial" w:eastAsia="Arial" w:hAnsi="Arial"/>
          <w:sz w:val="14"/>
          <w:szCs w:val="14"/>
          <w:b w:val="1"/>
          <w:bCs w:val="1"/>
          <w:color w:val="auto"/>
        </w:rPr>
        <w:t>401(k) Defined Contribution Plan</w:t>
      </w:r>
    </w:p>
    <w:p>
      <w:pPr>
        <w:spacing w:after="0" w:line="171" w:lineRule="exact"/>
        <w:rPr>
          <w:sz w:val="20"/>
          <w:szCs w:val="20"/>
          <w:color w:val="auto"/>
        </w:rPr>
      </w:pPr>
    </w:p>
    <w:p>
      <w:pPr>
        <w:ind w:firstLine="324"/>
        <w:spacing w:after="0" w:line="279" w:lineRule="auto"/>
        <w:rPr>
          <w:sz w:val="20"/>
          <w:szCs w:val="20"/>
          <w:color w:val="auto"/>
        </w:rPr>
      </w:pPr>
      <w:r>
        <w:rPr>
          <w:rFonts w:ascii="Arial" w:cs="Arial" w:eastAsia="Arial" w:hAnsi="Arial"/>
          <w:sz w:val="15"/>
          <w:szCs w:val="15"/>
          <w:color w:val="auto"/>
        </w:rPr>
        <w:t>The Company has a defined contribution savings plan under Section 401(k) of the Internal Revenue Code. This plan covers substantially all domestic employees who meet minimum age and service requirements and allows participants to defer a portion of their annual compensation on a pretax basis. The Company makes discretionary matching contributions that are funded in the following year. The Company matches 50% of the first 3% of compensation that a participant contributes to the 401(k) plan, up to a maximum of $1,000 per plan year. The Company contributed $0.3 million and $0.2 million to the 401(k) plan during each of the six months ended June 30, 2022 and 2021, respectively, which represents the current period contribution for the prior plan year. The Company may also make discretionary profit-sharing contributions. No profit-sharing contributions were made during the three and six months ended June 30, 2022 and 2021.</w:t>
      </w:r>
    </w:p>
    <w:p>
      <w:pPr>
        <w:spacing w:after="0" w:line="129" w:lineRule="exact"/>
        <w:rPr>
          <w:sz w:val="20"/>
          <w:szCs w:val="20"/>
          <w:color w:val="auto"/>
        </w:rPr>
      </w:pPr>
    </w:p>
    <w:p>
      <w:pPr>
        <w:ind w:right="8580" w:firstLine="8"/>
        <w:spacing w:after="0" w:line="536" w:lineRule="auto"/>
        <w:tabs>
          <w:tab w:leader="none" w:pos="364"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 Guarantees and Indemnification</w:t>
      </w:r>
    </w:p>
    <w:p>
      <w:pPr>
        <w:ind w:right="40" w:firstLine="324"/>
        <w:spacing w:after="0" w:line="262" w:lineRule="auto"/>
        <w:rPr>
          <w:sz w:val="20"/>
          <w:szCs w:val="20"/>
          <w:color w:val="auto"/>
        </w:rPr>
      </w:pPr>
      <w:r>
        <w:rPr>
          <w:rFonts w:ascii="Arial" w:cs="Arial" w:eastAsia="Arial" w:hAnsi="Arial"/>
          <w:sz w:val="16"/>
          <w:szCs w:val="16"/>
          <w:color w:val="auto"/>
        </w:rPr>
        <w:t>In the ordinary course of business to facilitate sales of its services, the Company has entered into agreements with, among others, suppliers, and partners that include guarantees or indemnity provisions. The Company also enters into indemnification agreements with its officers and directors, and the Company’s certificate of incorporation and bylaws include similar indemnification obligations to its officers and directors. To date, there have been no claims under any indemnification provisions; therefore, no such amounts have been accrued as of June 30, 2022 and December 31, 2021.</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 and Loss Contingencies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Litigation</w:t>
      </w:r>
    </w:p>
    <w:p>
      <w:pPr>
        <w:spacing w:after="0" w:line="167" w:lineRule="exact"/>
        <w:rPr>
          <w:sz w:val="20"/>
          <w:szCs w:val="20"/>
          <w:color w:val="auto"/>
        </w:rPr>
      </w:pPr>
    </w:p>
    <w:p>
      <w:pPr>
        <w:ind w:right="80" w:firstLine="324"/>
        <w:spacing w:after="0" w:line="284" w:lineRule="auto"/>
        <w:rPr>
          <w:sz w:val="20"/>
          <w:szCs w:val="20"/>
          <w:color w:val="auto"/>
        </w:rPr>
      </w:pPr>
      <w:r>
        <w:rPr>
          <w:rFonts w:ascii="Arial" w:cs="Arial" w:eastAsia="Arial" w:hAnsi="Arial"/>
          <w:sz w:val="15"/>
          <w:szCs w:val="15"/>
          <w:color w:val="auto"/>
        </w:rPr>
        <w:t>From time to time, the Company may be a party to litigation and subject to claims incident to the ordinary course of business, including intellectual property claims, labor and employment claims, threatened claims, breach of contract claims, and other matters. The Company accrues estimates for resolution of legal and other contingencies when losses are probable and estimable. Although the results of litigation and claims are inherently unpredictable, the Company believes that there was not at least a reasonable possibility that it had incurred a material loss with respect to such loss contingencies, as of June 30, 2022 and December 31, 2021.</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Indirect taxes</w:t>
      </w:r>
    </w:p>
    <w:p>
      <w:pPr>
        <w:spacing w:after="0" w:line="167" w:lineRule="exact"/>
        <w:rPr>
          <w:sz w:val="20"/>
          <w:szCs w:val="20"/>
          <w:color w:val="auto"/>
        </w:rPr>
      </w:pPr>
    </w:p>
    <w:p>
      <w:pPr>
        <w:ind w:firstLine="324"/>
        <w:spacing w:after="0" w:line="295" w:lineRule="auto"/>
        <w:rPr>
          <w:sz w:val="20"/>
          <w:szCs w:val="20"/>
          <w:color w:val="auto"/>
        </w:rPr>
      </w:pPr>
      <w:r>
        <w:rPr>
          <w:rFonts w:ascii="Arial" w:cs="Arial" w:eastAsia="Arial" w:hAnsi="Arial"/>
          <w:sz w:val="14"/>
          <w:szCs w:val="14"/>
          <w:color w:val="auto"/>
        </w:rPr>
        <w:t>The Company is subject to indirect taxation in various states and foreign jurisdictions in which it conducts business. The Company continually evaluates those jurisdictions in which indirect tax obligations exist to determine whether a loss is probable, as defined under U.S. GAAP, and the amount can be estimated. Determination of whether a loss is probable, and an estimate can be made, is a complex undertaking and takes into account the judgment of management, third-party research, and the potential outcome of negotiation and interpretations by regulators and courts, among other information. Such assessments include consideration of management’s evaluation of domestic and international tax laws and regulations, external legal advice, and the extent to which they may apply to our business and industry. Our assessment of probability includes consideration of recent inquiries, potential or actual self-disclosure, and applicability of tax rules driven by the growth in our business. As a result of this assessment, management accrued an estimated liability of approximately $3.8 million as of December 31, 2021, reflecting the amount that the Company believes is probable and estimable. There was no change to the estimated liability as of June 30, 2022. The estimated liability is recorded within accrued expenses and other current liabilities on the Company’s condensed consolidated balance sheets. Although the Company believes its indirect tax estimates and associated liabilities are reasonable, the final determination of indirect tax audits or settlements could be materially different than the amounts recorded, and such differences could be material.</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Reserve for Transaction Losses</w:t>
      </w:r>
    </w:p>
    <w:p>
      <w:pPr>
        <w:spacing w:after="0" w:line="171" w:lineRule="exact"/>
        <w:rPr>
          <w:sz w:val="20"/>
          <w:szCs w:val="20"/>
          <w:color w:val="auto"/>
        </w:rPr>
      </w:pPr>
    </w:p>
    <w:p>
      <w:pPr>
        <w:ind w:right="40" w:firstLine="324"/>
        <w:spacing w:after="0" w:line="291" w:lineRule="auto"/>
        <w:rPr>
          <w:sz w:val="20"/>
          <w:szCs w:val="20"/>
          <w:color w:val="auto"/>
        </w:rPr>
      </w:pPr>
      <w:r>
        <w:rPr>
          <w:rFonts w:ascii="Arial" w:cs="Arial" w:eastAsia="Arial" w:hAnsi="Arial"/>
          <w:sz w:val="15"/>
          <w:szCs w:val="15"/>
          <w:color w:val="auto"/>
        </w:rPr>
        <w:t>The Company is exposed to transaction losses including chargebacks, unauthorized credit card use, fraud associated with customer transactions and other non-fraud-related losses. The Company establishes reserves for such losses based on historical trends and any specific risks identified in processing customer transactions. This reserve is included in ‘</w:t>
      </w:r>
      <w:r>
        <w:rPr>
          <w:rFonts w:ascii="Arial" w:cs="Arial" w:eastAsia="Arial" w:hAnsi="Arial"/>
          <w:sz w:val="15"/>
          <w:szCs w:val="15"/>
          <w:i w:val="1"/>
          <w:iCs w:val="1"/>
          <w:color w:val="auto"/>
        </w:rPr>
        <w:t>Accrued expenses and other current liabilities</w:t>
      </w:r>
      <w:r>
        <w:rPr>
          <w:rFonts w:ascii="Arial" w:cs="Arial" w:eastAsia="Arial" w:hAnsi="Arial"/>
          <w:sz w:val="15"/>
          <w:szCs w:val="15"/>
          <w:color w:val="auto"/>
        </w:rPr>
        <w:t>’ on the Condensed Consolidated Balance Sheets. The provision for transaction losses is included as a component of ‘</w:t>
      </w:r>
      <w:r>
        <w:rPr>
          <w:rFonts w:ascii="Arial" w:cs="Arial" w:eastAsia="Arial" w:hAnsi="Arial"/>
          <w:sz w:val="15"/>
          <w:szCs w:val="15"/>
          <w:i w:val="1"/>
          <w:iCs w:val="1"/>
          <w:color w:val="auto"/>
        </w:rPr>
        <w:t>Transaction expenses</w:t>
      </w:r>
      <w:r>
        <w:rPr>
          <w:rFonts w:ascii="Arial" w:cs="Arial" w:eastAsia="Arial" w:hAnsi="Arial"/>
          <w:sz w:val="15"/>
          <w:szCs w:val="15"/>
          <w:color w:val="auto"/>
        </w:rPr>
        <w:t>’ within the Condensed Consolidated Statements of Operations and Comprehensive Loss.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680" w:type="dxa"/>
            <w:vAlign w:val="bottom"/>
            <w:gridSpan w:val="10"/>
          </w:tcPr>
          <w:p>
            <w:pPr>
              <w:ind w:left="340"/>
              <w:spacing w:after="0"/>
              <w:rPr>
                <w:sz w:val="20"/>
                <w:szCs w:val="20"/>
                <w:color w:val="auto"/>
              </w:rPr>
            </w:pPr>
            <w:r>
              <w:rPr>
                <w:rFonts w:ascii="Arial" w:cs="Arial" w:eastAsia="Arial" w:hAnsi="Arial"/>
                <w:sz w:val="16"/>
                <w:szCs w:val="16"/>
                <w:color w:val="auto"/>
                <w:w w:val="96"/>
              </w:rPr>
              <w:t>The table below summarizes the Company’s reserve for transaction losses for the three and six months ended June 30, 2022 and 2021:</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47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7"/>
              </w:rPr>
              <w:t>Three Months Ended June 30,</w:t>
            </w:r>
          </w:p>
        </w:tc>
        <w:tc>
          <w:tcPr>
            <w:tcW w:w="5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37"/>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center"/>
              <w:ind w:left="539"/>
              <w:spacing w:after="0"/>
              <w:rPr>
                <w:sz w:val="20"/>
                <w:szCs w:val="20"/>
                <w:color w:val="auto"/>
              </w:rPr>
            </w:pPr>
            <w:r>
              <w:rPr>
                <w:rFonts w:ascii="Arial" w:cs="Arial" w:eastAsia="Arial" w:hAnsi="Arial"/>
                <w:sz w:val="16"/>
                <w:szCs w:val="16"/>
                <w:color w:val="auto"/>
                <w:w w:val="89"/>
              </w:rPr>
              <w:t>3,819</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2,779</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3,250</w:t>
            </w:r>
          </w:p>
        </w:tc>
        <w:tc>
          <w:tcPr>
            <w:tcW w:w="0" w:type="dxa"/>
            <w:vAlign w:val="bottom"/>
          </w:tcPr>
          <w:p>
            <w:pPr>
              <w:spacing w:after="0"/>
              <w:rPr>
                <w:sz w:val="1"/>
                <w:szCs w:val="1"/>
                <w:color w:val="auto"/>
              </w:rPr>
            </w:pPr>
          </w:p>
        </w:tc>
      </w:tr>
      <w:tr>
        <w:trPr>
          <w:trHeight w:val="233"/>
        </w:trPr>
        <w:tc>
          <w:tcPr>
            <w:tcW w:w="4760" w:type="dxa"/>
            <w:vAlign w:val="bottom"/>
          </w:tcPr>
          <w:p>
            <w:pPr>
              <w:ind w:left="140"/>
              <w:spacing w:after="0"/>
              <w:rPr>
                <w:sz w:val="20"/>
                <w:szCs w:val="20"/>
                <w:color w:val="auto"/>
              </w:rPr>
            </w:pPr>
            <w:r>
              <w:rPr>
                <w:rFonts w:ascii="Arial" w:cs="Arial" w:eastAsia="Arial" w:hAnsi="Arial"/>
                <w:sz w:val="16"/>
                <w:szCs w:val="16"/>
                <w:color w:val="auto"/>
              </w:rPr>
              <w:t>Provisions for transaction losses</w:t>
            </w:r>
          </w:p>
        </w:tc>
        <w:tc>
          <w:tcPr>
            <w:tcW w:w="420" w:type="dxa"/>
            <w:vAlign w:val="bottom"/>
          </w:tcPr>
          <w:p>
            <w:pPr>
              <w:spacing w:after="0"/>
              <w:rPr>
                <w:sz w:val="20"/>
                <w:szCs w:val="20"/>
                <w:color w:val="auto"/>
              </w:rPr>
            </w:pPr>
          </w:p>
        </w:tc>
        <w:tc>
          <w:tcPr>
            <w:tcW w:w="1140" w:type="dxa"/>
            <w:vAlign w:val="bottom"/>
          </w:tcPr>
          <w:p>
            <w:pPr>
              <w:jc w:val="center"/>
              <w:ind w:left="539"/>
              <w:spacing w:after="0"/>
              <w:rPr>
                <w:sz w:val="20"/>
                <w:szCs w:val="20"/>
                <w:color w:val="auto"/>
              </w:rPr>
            </w:pPr>
            <w:r>
              <w:rPr>
                <w:rFonts w:ascii="Arial" w:cs="Arial" w:eastAsia="Arial" w:hAnsi="Arial"/>
                <w:sz w:val="16"/>
                <w:szCs w:val="16"/>
                <w:color w:val="auto"/>
                <w:w w:val="89"/>
              </w:rPr>
              <w:t>7,645</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Arial" w:cs="Arial" w:eastAsia="Arial" w:hAnsi="Arial"/>
                <w:sz w:val="16"/>
                <w:szCs w:val="16"/>
                <w:color w:val="auto"/>
                <w:w w:val="89"/>
              </w:rPr>
              <w:t>6,997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18,235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14,573</w:t>
            </w:r>
          </w:p>
        </w:tc>
        <w:tc>
          <w:tcPr>
            <w:tcW w:w="0" w:type="dxa"/>
            <w:vAlign w:val="bottom"/>
          </w:tcPr>
          <w:p>
            <w:pPr>
              <w:spacing w:after="0"/>
              <w:rPr>
                <w:sz w:val="1"/>
                <w:szCs w:val="1"/>
                <w:color w:val="auto"/>
              </w:rPr>
            </w:pPr>
          </w:p>
        </w:tc>
      </w:tr>
      <w:tr>
        <w:trPr>
          <w:trHeight w:val="246"/>
        </w:trPr>
        <w:tc>
          <w:tcPr>
            <w:tcW w:w="4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Losses incurred, net of recoveries</w:t>
            </w:r>
          </w:p>
        </w:tc>
        <w:tc>
          <w:tcPr>
            <w:tcW w:w="4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center"/>
              <w:ind w:left="519"/>
              <w:spacing w:after="0"/>
              <w:rPr>
                <w:sz w:val="20"/>
                <w:szCs w:val="20"/>
                <w:color w:val="auto"/>
              </w:rPr>
            </w:pPr>
            <w:r>
              <w:rPr>
                <w:rFonts w:ascii="Arial" w:cs="Arial" w:eastAsia="Arial" w:hAnsi="Arial"/>
                <w:sz w:val="16"/>
                <w:szCs w:val="16"/>
                <w:color w:val="auto"/>
                <w:w w:val="90"/>
              </w:rPr>
              <w:t>(9,200)</w:t>
            </w:r>
          </w:p>
        </w:tc>
        <w:tc>
          <w:tcPr>
            <w:tcW w:w="8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4"/>
              </w:rPr>
              <w:t>(7,455)</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(19,105)</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(15,502)</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center"/>
              <w:ind w:left="539"/>
              <w:spacing w:after="0"/>
              <w:rPr>
                <w:sz w:val="20"/>
                <w:szCs w:val="20"/>
                <w:color w:val="auto"/>
              </w:rPr>
            </w:pPr>
            <w:r>
              <w:rPr>
                <w:rFonts w:ascii="Arial" w:cs="Arial" w:eastAsia="Arial" w:hAnsi="Arial"/>
                <w:sz w:val="16"/>
                <w:szCs w:val="16"/>
                <w:color w:val="auto"/>
                <w:w w:val="89"/>
              </w:rPr>
              <w:t>2,264</w:t>
            </w:r>
          </w:p>
        </w:tc>
        <w:tc>
          <w:tcPr>
            <w:tcW w:w="80" w:type="dxa"/>
            <w:vAlign w:val="bottom"/>
          </w:tcPr>
          <w:p>
            <w:pPr>
              <w:spacing w:after="0"/>
              <w:rPr>
                <w:sz w:val="21"/>
                <w:szCs w:val="21"/>
                <w:color w:val="auto"/>
              </w:rPr>
            </w:pPr>
          </w:p>
        </w:tc>
        <w:tc>
          <w:tcPr>
            <w:tcW w:w="102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2,321</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2,264</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2,321</w:t>
            </w:r>
          </w:p>
        </w:tc>
        <w:tc>
          <w:tcPr>
            <w:tcW w:w="0" w:type="dxa"/>
            <w:vAlign w:val="bottom"/>
          </w:tcPr>
          <w:p>
            <w:pPr>
              <w:spacing w:after="0"/>
              <w:rPr>
                <w:sz w:val="1"/>
                <w:szCs w:val="1"/>
                <w:color w:val="auto"/>
              </w:rPr>
            </w:pPr>
          </w:p>
        </w:tc>
      </w:tr>
      <w:tr>
        <w:trPr>
          <w:trHeight w:val="21"/>
        </w:trPr>
        <w:tc>
          <w:tcPr>
            <w:tcW w:w="4760" w:type="dxa"/>
            <w:vAlign w:val="bottom"/>
            <w:vMerge w:val="restart"/>
          </w:tcPr>
          <w:p>
            <w:pPr>
              <w:spacing w:after="0"/>
              <w:rPr>
                <w:sz w:val="20"/>
                <w:szCs w:val="20"/>
                <w:color w:val="auto"/>
              </w:rPr>
            </w:pPr>
            <w:r>
              <w:rPr>
                <w:rFonts w:ascii="Arial" w:cs="Arial" w:eastAsia="Arial" w:hAnsi="Arial"/>
                <w:sz w:val="16"/>
                <w:szCs w:val="16"/>
                <w:b w:val="1"/>
                <w:bCs w:val="1"/>
                <w:color w:val="auto"/>
              </w:rPr>
              <w:t>15.  Accrued Expenses &amp; Other Current Liabilities</w:t>
            </w: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7"/>
        </w:trPr>
        <w:tc>
          <w:tcPr>
            <w:tcW w:w="47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180" w:type="dxa"/>
            <w:vAlign w:val="bottom"/>
            <w:gridSpan w:val="2"/>
          </w:tcPr>
          <w:p>
            <w:pPr>
              <w:ind w:left="340"/>
              <w:spacing w:after="0"/>
              <w:rPr>
                <w:sz w:val="20"/>
                <w:szCs w:val="20"/>
                <w:color w:val="auto"/>
              </w:rPr>
            </w:pPr>
            <w:r>
              <w:rPr>
                <w:rFonts w:ascii="Arial" w:cs="Arial" w:eastAsia="Arial" w:hAnsi="Arial"/>
                <w:sz w:val="16"/>
                <w:szCs w:val="16"/>
                <w:color w:val="auto"/>
                <w:w w:val="94"/>
              </w:rPr>
              <w:t>Accrued expenses and other current liabilities consisted of the following:</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24"/>
                <w:szCs w:val="24"/>
                <w:color w:val="auto"/>
              </w:rPr>
            </w:pPr>
          </w:p>
        </w:tc>
        <w:tc>
          <w:tcPr>
            <w:tcW w:w="1360" w:type="dxa"/>
            <w:vAlign w:val="bottom"/>
          </w:tcPr>
          <w:p>
            <w:pPr>
              <w:jc w:val="right"/>
              <w:ind w:right="239"/>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56"/>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4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5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43"/>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settlement liability</w:t>
            </w:r>
            <w:r>
              <w:rPr>
                <w:rFonts w:ascii="Arial" w:cs="Arial" w:eastAsia="Arial" w:hAnsi="Arial"/>
                <w:sz w:val="21"/>
                <w:szCs w:val="21"/>
                <w:color w:val="auto"/>
                <w:vertAlign w:val="superscript"/>
              </w:rPr>
              <w:t>(1)</w:t>
            </w: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63,814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18,924</w:t>
            </w:r>
          </w:p>
        </w:tc>
        <w:tc>
          <w:tcPr>
            <w:tcW w:w="0" w:type="dxa"/>
            <w:vAlign w:val="bottom"/>
          </w:tcPr>
          <w:p>
            <w:pPr>
              <w:spacing w:after="0"/>
              <w:rPr>
                <w:sz w:val="1"/>
                <w:szCs w:val="1"/>
                <w:color w:val="auto"/>
              </w:rPr>
            </w:pPr>
          </w:p>
        </w:tc>
      </w:tr>
      <w:tr>
        <w:trPr>
          <w:trHeight w:val="233"/>
        </w:trPr>
        <w:tc>
          <w:tcPr>
            <w:tcW w:w="4760" w:type="dxa"/>
            <w:vAlign w:val="bottom"/>
          </w:tcPr>
          <w:p>
            <w:pPr>
              <w:ind w:left="20"/>
              <w:spacing w:after="0"/>
              <w:rPr>
                <w:sz w:val="20"/>
                <w:szCs w:val="20"/>
                <w:color w:val="auto"/>
              </w:rPr>
            </w:pPr>
            <w:r>
              <w:rPr>
                <w:rFonts w:ascii="Arial" w:cs="Arial" w:eastAsia="Arial" w:hAnsi="Arial"/>
                <w:sz w:val="16"/>
                <w:szCs w:val="16"/>
                <w:color w:val="auto"/>
              </w:rPr>
              <w:t>ESPP employee contributions</w:t>
            </w: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1,373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1,551</w:t>
            </w:r>
          </w:p>
        </w:tc>
        <w:tc>
          <w:tcPr>
            <w:tcW w:w="0" w:type="dxa"/>
            <w:vAlign w:val="bottom"/>
          </w:tcPr>
          <w:p>
            <w:pPr>
              <w:spacing w:after="0"/>
              <w:rPr>
                <w:sz w:val="1"/>
                <w:szCs w:val="1"/>
                <w:color w:val="auto"/>
              </w:rPr>
            </w:pPr>
          </w:p>
        </w:tc>
      </w:tr>
      <w:tr>
        <w:trPr>
          <w:trHeight w:val="253"/>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transaction expense</w:t>
            </w: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15,190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12,639</w:t>
            </w:r>
          </w:p>
        </w:tc>
        <w:tc>
          <w:tcPr>
            <w:tcW w:w="0" w:type="dxa"/>
            <w:vAlign w:val="bottom"/>
          </w:tcPr>
          <w:p>
            <w:pPr>
              <w:spacing w:after="0"/>
              <w:rPr>
                <w:sz w:val="1"/>
                <w:szCs w:val="1"/>
                <w:color w:val="auto"/>
              </w:rPr>
            </w:pPr>
          </w:p>
        </w:tc>
      </w:tr>
      <w:tr>
        <w:trPr>
          <w:trHeight w:val="233"/>
        </w:trPr>
        <w:tc>
          <w:tcPr>
            <w:tcW w:w="4760" w:type="dxa"/>
            <w:vAlign w:val="bottom"/>
          </w:tcPr>
          <w:p>
            <w:pPr>
              <w:ind w:left="20"/>
              <w:spacing w:after="0"/>
              <w:rPr>
                <w:sz w:val="20"/>
                <w:szCs w:val="20"/>
                <w:color w:val="auto"/>
              </w:rPr>
            </w:pPr>
            <w:r>
              <w:rPr>
                <w:rFonts w:ascii="Arial" w:cs="Arial" w:eastAsia="Arial" w:hAnsi="Arial"/>
                <w:sz w:val="16"/>
                <w:szCs w:val="16"/>
                <w:color w:val="auto"/>
              </w:rPr>
              <w:t>Accrued marketing expense</w:t>
            </w: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8,568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10,788</w:t>
            </w:r>
          </w:p>
        </w:tc>
        <w:tc>
          <w:tcPr>
            <w:tcW w:w="0" w:type="dxa"/>
            <w:vAlign w:val="bottom"/>
          </w:tcPr>
          <w:p>
            <w:pPr>
              <w:spacing w:after="0"/>
              <w:rPr>
                <w:sz w:val="1"/>
                <w:szCs w:val="1"/>
                <w:color w:val="auto"/>
              </w:rPr>
            </w:pPr>
          </w:p>
        </w:tc>
      </w:tr>
      <w:tr>
        <w:trPr>
          <w:trHeight w:val="253"/>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Reserve for transaction losses</w:t>
            </w: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3,134</w:t>
            </w:r>
          </w:p>
        </w:tc>
        <w:tc>
          <w:tcPr>
            <w:tcW w:w="0" w:type="dxa"/>
            <w:vAlign w:val="bottom"/>
          </w:tcPr>
          <w:p>
            <w:pPr>
              <w:spacing w:after="0"/>
              <w:rPr>
                <w:sz w:val="1"/>
                <w:szCs w:val="1"/>
                <w:color w:val="auto"/>
              </w:rPr>
            </w:pPr>
          </w:p>
        </w:tc>
      </w:tr>
      <w:tr>
        <w:trPr>
          <w:trHeight w:val="233"/>
        </w:trPr>
        <w:tc>
          <w:tcPr>
            <w:tcW w:w="4760" w:type="dxa"/>
            <w:vAlign w:val="bottom"/>
          </w:tcPr>
          <w:p>
            <w:pPr>
              <w:ind w:left="20"/>
              <w:spacing w:after="0"/>
              <w:rPr>
                <w:sz w:val="20"/>
                <w:szCs w:val="20"/>
                <w:color w:val="auto"/>
              </w:rPr>
            </w:pPr>
            <w:r>
              <w:rPr>
                <w:rFonts w:ascii="Arial" w:cs="Arial" w:eastAsia="Arial" w:hAnsi="Arial"/>
                <w:sz w:val="16"/>
                <w:szCs w:val="16"/>
                <w:color w:val="auto"/>
              </w:rPr>
              <w:t>Accrued salaries and benefits</w:t>
            </w: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4,099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2,923</w:t>
            </w:r>
          </w:p>
        </w:tc>
        <w:tc>
          <w:tcPr>
            <w:tcW w:w="0" w:type="dxa"/>
            <w:vAlign w:val="bottom"/>
          </w:tcPr>
          <w:p>
            <w:pPr>
              <w:spacing w:after="0"/>
              <w:rPr>
                <w:sz w:val="1"/>
                <w:szCs w:val="1"/>
                <w:color w:val="auto"/>
              </w:rPr>
            </w:pPr>
          </w:p>
        </w:tc>
      </w:tr>
      <w:tr>
        <w:trPr>
          <w:trHeight w:val="246"/>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accrued expenses</w:t>
            </w:r>
          </w:p>
        </w:tc>
        <w:tc>
          <w:tcPr>
            <w:tcW w:w="4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18,690</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16,724</w:t>
            </w:r>
          </w:p>
        </w:tc>
        <w:tc>
          <w:tcPr>
            <w:tcW w:w="0" w:type="dxa"/>
            <w:vAlign w:val="bottom"/>
          </w:tcPr>
          <w:p>
            <w:pPr>
              <w:spacing w:after="0"/>
              <w:rPr>
                <w:sz w:val="1"/>
                <w:szCs w:val="1"/>
                <w:color w:val="auto"/>
              </w:rPr>
            </w:pPr>
          </w:p>
        </w:tc>
      </w:tr>
      <w:tr>
        <w:trPr>
          <w:trHeight w:val="243"/>
        </w:trPr>
        <w:tc>
          <w:tcPr>
            <w:tcW w:w="4760" w:type="dxa"/>
            <w:vAlign w:val="bottom"/>
          </w:tcPr>
          <w:p>
            <w:pPr>
              <w:ind w:left="240"/>
              <w:spacing w:after="0"/>
              <w:rPr>
                <w:sz w:val="20"/>
                <w:szCs w:val="20"/>
                <w:color w:val="auto"/>
              </w:rPr>
            </w:pPr>
            <w:r>
              <w:rPr>
                <w:rFonts w:ascii="Arial" w:cs="Arial" w:eastAsia="Arial" w:hAnsi="Arial"/>
                <w:sz w:val="16"/>
                <w:szCs w:val="16"/>
                <w:color w:val="auto"/>
              </w:rPr>
              <w:t>Total</w:t>
            </w: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113,998</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66,683</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w:t>
      </w:r>
    </w:p>
    <w:p>
      <w:pPr>
        <w:spacing w:after="0" w:line="22" w:lineRule="exact"/>
        <w:rPr>
          <w:sz w:val="20"/>
          <w:szCs w:val="20"/>
          <w:color w:val="auto"/>
        </w:rPr>
      </w:pPr>
    </w:p>
    <w:p>
      <w:pPr>
        <w:jc w:val="both"/>
        <w:ind w:left="660" w:right="160" w:hanging="328"/>
        <w:spacing w:after="0" w:line="267"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trade settlement liability amount represents the total of book overdrafts and disbursement postfunding liabilities owed to our disbursement partners. Refer to Note 2. “Basis of Presentation and Summary of Significant Accounting Policies” to our condensed consolidated financial statements included in Part I, Item 1 of this Quarterly Report on Form 10-Q for further discussion.</w:t>
      </w:r>
    </w:p>
    <w:p>
      <w:pPr>
        <w:spacing w:after="0" w:line="120" w:lineRule="exact"/>
        <w:rPr>
          <w:rFonts w:ascii="Arial" w:cs="Arial" w:eastAsia="Arial" w:hAnsi="Arial"/>
          <w:sz w:val="16"/>
          <w:szCs w:val="16"/>
          <w:color w:val="auto"/>
        </w:rPr>
      </w:pPr>
    </w:p>
    <w:p>
      <w:pPr>
        <w:ind w:left="500" w:hanging="362"/>
        <w:spacing w:after="0"/>
        <w:tabs>
          <w:tab w:leader="none" w:pos="50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Segment and Geographical Information</w:t>
      </w:r>
    </w:p>
    <w:p>
      <w:pPr>
        <w:spacing w:after="0" w:line="171" w:lineRule="exact"/>
        <w:rPr>
          <w:sz w:val="20"/>
          <w:szCs w:val="20"/>
          <w:color w:val="auto"/>
        </w:rPr>
      </w:pPr>
    </w:p>
    <w:p>
      <w:pPr>
        <w:ind w:right="40" w:firstLine="324"/>
        <w:spacing w:after="0" w:line="279" w:lineRule="auto"/>
        <w:rPr>
          <w:sz w:val="20"/>
          <w:szCs w:val="20"/>
          <w:color w:val="auto"/>
        </w:rPr>
      </w:pPr>
      <w:r>
        <w:rPr>
          <w:rFonts w:ascii="Arial" w:cs="Arial" w:eastAsia="Arial" w:hAnsi="Arial"/>
          <w:sz w:val="15"/>
          <w:szCs w:val="15"/>
          <w:color w:val="auto"/>
        </w:rPr>
        <w:t>The Company determines operating segments based on how its chief operating decision maker (“CODM”) manages the business, makes operating decisions around the allocation of resources, and evaluates operating performance. The Company’s CODM is its Chief Executive Officer, who reviews the Company’s operating results on a consolidated basis. The Company operates as one segment. Based on the information provided to and reviewed by the Company’s CODM, the Company believes that the nature, amount, timing, and uncertainty of its revenue and how it is affected by economic factors are most appropriately depicted through the Company’s primary geographical locations. Revenues recorded by the Company are substantially all from the Company’s single performance obligation which are earned from similar services for which the nature of associated fees and the related revenue recognition models are substantially the same.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Company’s revenue disaggregated by primary geographical location: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94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9"/>
                <w:szCs w:val="19"/>
                <w:color w:val="auto"/>
              </w:rPr>
            </w:pPr>
          </w:p>
        </w:tc>
        <w:tc>
          <w:tcPr>
            <w:tcW w:w="286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Six Months Ended June 30,</w:t>
            </w:r>
          </w:p>
        </w:tc>
      </w:tr>
      <w:tr>
        <w:trPr>
          <w:trHeight w:val="237"/>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243"/>
        </w:trPr>
        <w:tc>
          <w:tcPr>
            <w:tcW w:w="4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United States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116,561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82,224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215,918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149,843</w:t>
            </w:r>
          </w:p>
        </w:tc>
      </w:tr>
      <w:tr>
        <w:trPr>
          <w:trHeight w:val="233"/>
        </w:trPr>
        <w:tc>
          <w:tcPr>
            <w:tcW w:w="4740" w:type="dxa"/>
            <w:vAlign w:val="bottom"/>
          </w:tcPr>
          <w:p>
            <w:pPr>
              <w:ind w:left="140"/>
              <w:spacing w:after="0"/>
              <w:rPr>
                <w:sz w:val="20"/>
                <w:szCs w:val="20"/>
                <w:color w:val="auto"/>
              </w:rPr>
            </w:pPr>
            <w:r>
              <w:rPr>
                <w:rFonts w:ascii="Arial" w:cs="Arial" w:eastAsia="Arial" w:hAnsi="Arial"/>
                <w:sz w:val="16"/>
                <w:szCs w:val="16"/>
                <w:color w:val="auto"/>
              </w:rPr>
              <w:t>Canada</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19,080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13,874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36,359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24,955</w:t>
            </w:r>
          </w:p>
        </w:tc>
      </w:tr>
      <w:tr>
        <w:trPr>
          <w:trHeight w:val="246"/>
        </w:trPr>
        <w:tc>
          <w:tcPr>
            <w:tcW w:w="4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 of world</w:t>
            </w: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21,614</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14,952</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40,992</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27,308</w:t>
            </w:r>
          </w:p>
        </w:tc>
      </w:tr>
      <w:tr>
        <w:trPr>
          <w:trHeight w:val="243"/>
        </w:trPr>
        <w:tc>
          <w:tcPr>
            <w:tcW w:w="4740" w:type="dxa"/>
            <w:vAlign w:val="bottom"/>
          </w:tcPr>
          <w:p>
            <w:pPr>
              <w:ind w:left="240"/>
              <w:spacing w:after="0"/>
              <w:rPr>
                <w:sz w:val="20"/>
                <w:szCs w:val="20"/>
                <w:color w:val="auto"/>
              </w:rPr>
            </w:pPr>
            <w:r>
              <w:rPr>
                <w:rFonts w:ascii="Arial" w:cs="Arial" w:eastAsia="Arial" w:hAnsi="Arial"/>
                <w:sz w:val="16"/>
                <w:szCs w:val="16"/>
                <w:color w:val="auto"/>
              </w:rPr>
              <w:t>Total revenue</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157,255</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111,050</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293,269</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202,106</w:t>
            </w:r>
          </w:p>
        </w:tc>
      </w:tr>
      <w:tr>
        <w:trPr>
          <w:trHeight w:val="21"/>
        </w:trPr>
        <w:tc>
          <w:tcPr>
            <w:tcW w:w="4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Revenue is attributed to the country in which the sending customer is located.</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71" w:lineRule="exact"/>
        <w:rPr>
          <w:sz w:val="20"/>
          <w:szCs w:val="20"/>
          <w:color w:val="auto"/>
        </w:rPr>
      </w:pPr>
    </w:p>
    <w:p>
      <w:pPr>
        <w:ind w:right="120" w:firstLine="324"/>
        <w:spacing w:after="0" w:line="258"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condensed consolidated financial statements and the related notes appearing elsewhere in this Quarterly Report on Form 10-Q and our audited consolidated financial statements and the related notes and the discussion under the heading "Management’s Discussion and Analysis of Financial Condition and Results of Operations" included in the Annual Report on Form 10-K for the year ended December 31, 2021. You should read the sections titled “Risk Factors” in this Quarterly Report on Form 10-Q as well as in the Annual Report on Form 10-K and “Special Note Regarding Forward-Looking Statements” for a discussion of important factors that could cause actual results to differ materially from the results described in or implied by the forward-looking statements contained in the following discussion and analysis. The forward-looking statements in this Form 10-Q represent our views as of the date of this Form 10-Q. Except as may be required by law, we assume no obligation to update these forward-looking statements or the reasons that results could differ from these forward-looking statements. You should, therefore, not rely on these forward-looking statements as representing our views as of any date subsequent to the date of this Form 10-Q.</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Remitly is a leading digital financial services provider for immigrants and their families in over 170 countries around the world.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differentiated approach to addressing the complexity of cross-border remittances and financial services is composed of four core elements:</w:t>
      </w:r>
    </w:p>
    <w:p>
      <w:pPr>
        <w:spacing w:after="0" w:line="163" w:lineRule="exact"/>
        <w:rPr>
          <w:sz w:val="20"/>
          <w:szCs w:val="20"/>
          <w:color w:val="auto"/>
        </w:rPr>
      </w:pPr>
    </w:p>
    <w:p>
      <w:pPr>
        <w:ind w:left="660" w:right="60" w:hanging="328"/>
        <w:spacing w:after="0" w:line="263"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 xml:space="preserve">Providing a simple and reliable way of sending money with our mobile-centric suite of products. </w:t>
      </w:r>
      <w:r>
        <w:rPr>
          <w:rFonts w:ascii="Arial" w:cs="Arial" w:eastAsia="Arial" w:hAnsi="Arial"/>
          <w:sz w:val="16"/>
          <w:szCs w:val="16"/>
          <w:color w:val="auto"/>
        </w:rPr>
        <w:t>Today, over 95% of our customers engage with Remitly on</w:t>
      </w:r>
      <w:r>
        <w:rPr>
          <w:rFonts w:ascii="Arial" w:cs="Arial" w:eastAsia="Arial" w:hAnsi="Arial"/>
          <w:sz w:val="16"/>
          <w:szCs w:val="16"/>
          <w:b w:val="1"/>
          <w:bCs w:val="1"/>
          <w:color w:val="auto"/>
        </w:rPr>
        <w:t xml:space="preserve"> </w:t>
      </w:r>
      <w:r>
        <w:rPr>
          <w:rFonts w:ascii="Arial" w:cs="Arial" w:eastAsia="Arial" w:hAnsi="Arial"/>
          <w:sz w:val="16"/>
          <w:szCs w:val="16"/>
          <w:color w:val="auto"/>
        </w:rPr>
        <w:t>their mobile phones, shifting what traditionally required an in-person interaction, including waiting in line to speak with an agent to the palm of their hands. As of June 30, 2022, our mobile app had a 4.9 iOS App Store rating with more than 780,000 reviewers and a 4.8 Android Google Play rating with more than 420,000 reviewers. We have achieved this level of engagement and these high ratings by designing mobile-centric products that make the customer experience simple and convenient and give our customers complete peace of mind.</w:t>
      </w:r>
    </w:p>
    <w:p>
      <w:pPr>
        <w:spacing w:after="0" w:line="125" w:lineRule="exact"/>
        <w:rPr>
          <w:rFonts w:ascii="Arial" w:cs="Arial" w:eastAsia="Arial" w:hAnsi="Arial"/>
          <w:sz w:val="16"/>
          <w:szCs w:val="16"/>
          <w:color w:val="auto"/>
        </w:rPr>
      </w:pPr>
    </w:p>
    <w:p>
      <w:pPr>
        <w:ind w:left="660" w:right="100" w:hanging="328"/>
        <w:spacing w:after="0" w:line="292" w:lineRule="auto"/>
        <w:tabs>
          <w:tab w:leader="none" w:pos="649" w:val="left"/>
        </w:tabs>
        <w:numPr>
          <w:ilvl w:val="0"/>
          <w:numId w:val="19"/>
        </w:numPr>
        <w:rPr>
          <w:rFonts w:ascii="Arial" w:cs="Arial" w:eastAsia="Arial" w:hAnsi="Arial"/>
          <w:sz w:val="14"/>
          <w:szCs w:val="14"/>
          <w:b w:val="1"/>
          <w:bCs w:val="1"/>
          <w:color w:val="auto"/>
        </w:rPr>
      </w:pPr>
      <w:r>
        <w:rPr>
          <w:rFonts w:ascii="Arial" w:cs="Arial" w:eastAsia="Arial" w:hAnsi="Arial"/>
          <w:sz w:val="14"/>
          <w:szCs w:val="14"/>
          <w:b w:val="1"/>
          <w:bCs w:val="1"/>
          <w:color w:val="auto"/>
        </w:rPr>
        <w:t>Conveniently putting money safely in the hands of our customers’ families, wherever they are, by relying on our global network</w:t>
      </w:r>
      <w:r>
        <w:rPr>
          <w:rFonts w:ascii="Arial" w:cs="Arial" w:eastAsia="Arial" w:hAnsi="Arial"/>
          <w:sz w:val="14"/>
          <w:szCs w:val="14"/>
          <w:color w:val="auto"/>
        </w:rPr>
        <w:t>. As of June 30, 2022, our</w:t>
      </w:r>
      <w:r>
        <w:rPr>
          <w:rFonts w:ascii="Arial" w:cs="Arial" w:eastAsia="Arial" w:hAnsi="Arial"/>
          <w:sz w:val="14"/>
          <w:szCs w:val="14"/>
          <w:b w:val="1"/>
          <w:bCs w:val="1"/>
          <w:color w:val="auto"/>
        </w:rPr>
        <w:t xml:space="preserve"> </w:t>
      </w:r>
      <w:r>
        <w:rPr>
          <w:rFonts w:ascii="Arial" w:cs="Arial" w:eastAsia="Arial" w:hAnsi="Arial"/>
          <w:sz w:val="14"/>
          <w:szCs w:val="14"/>
          <w:color w:val="auto"/>
        </w:rPr>
        <w:t>global network of funding and disbursement partnerships enables us to complete money transfers in over 3,200 corridors without the need to deploy local operations in each country. We are able to do this while complying with global and local licensing and regulatory requirements. A corridor represents the pairing of a send country, from which a customer can send a remittance, with a specific receive country to which such remittance can be sent. We have partner relationships with global banks and leading global payment providers to give our customers an array of payment (or pay-in) options, including with a bank account, card-based payments, and alternative payment methods. Our disbursement network provides our customers with various digital and traditional delivery methods and enables us to send (or payout) funds, generally within minutes across the majority of transactions, to more than 3.9 billion bank accounts, over</w:t>
      </w:r>
    </w:p>
    <w:p>
      <w:pPr>
        <w:ind w:left="660" w:right="20"/>
        <w:spacing w:after="0" w:line="270" w:lineRule="auto"/>
        <w:rPr>
          <w:rFonts w:ascii="Arial" w:cs="Arial" w:eastAsia="Arial" w:hAnsi="Arial"/>
          <w:sz w:val="14"/>
          <w:szCs w:val="14"/>
          <w:b w:val="1"/>
          <w:bCs w:val="1"/>
          <w:color w:val="auto"/>
        </w:rPr>
      </w:pPr>
      <w:r>
        <w:rPr>
          <w:rFonts w:ascii="Arial" w:cs="Arial" w:eastAsia="Arial" w:hAnsi="Arial"/>
          <w:sz w:val="16"/>
          <w:szCs w:val="16"/>
          <w:color w:val="auto"/>
        </w:rPr>
        <w:t>705 million mobile wallets, and over 410,000 cash pickup locations. These partner relationships help drive a better customer experience, including faster transfers, higher acceptance rates, and enhanced reliability.</w:t>
      </w:r>
    </w:p>
    <w:p>
      <w:pPr>
        <w:spacing w:after="0" w:line="131" w:lineRule="exact"/>
        <w:rPr>
          <w:rFonts w:ascii="Arial" w:cs="Arial" w:eastAsia="Arial" w:hAnsi="Arial"/>
          <w:sz w:val="14"/>
          <w:szCs w:val="14"/>
          <w:b w:val="1"/>
          <w:bCs w:val="1"/>
          <w:color w:val="auto"/>
        </w:rPr>
      </w:pPr>
    </w:p>
    <w:p>
      <w:pPr>
        <w:ind w:left="660" w:hanging="328"/>
        <w:spacing w:after="0" w:line="300" w:lineRule="auto"/>
        <w:tabs>
          <w:tab w:leader="none" w:pos="649" w:val="left"/>
        </w:tabs>
        <w:numPr>
          <w:ilvl w:val="0"/>
          <w:numId w:val="19"/>
        </w:numPr>
        <w:rPr>
          <w:rFonts w:ascii="Arial" w:cs="Arial" w:eastAsia="Arial" w:hAnsi="Arial"/>
          <w:sz w:val="14"/>
          <w:szCs w:val="14"/>
          <w:color w:val="auto"/>
        </w:rPr>
      </w:pPr>
      <w:r>
        <w:rPr>
          <w:rFonts w:ascii="Arial" w:cs="Arial" w:eastAsia="Arial" w:hAnsi="Arial"/>
          <w:sz w:val="14"/>
          <w:szCs w:val="14"/>
          <w:b w:val="1"/>
          <w:bCs w:val="1"/>
          <w:color w:val="auto"/>
        </w:rPr>
        <w:t>Creating trusted and personalized experiences with our localization expertise at scale</w:t>
      </w:r>
      <w:r>
        <w:rPr>
          <w:rFonts w:ascii="Arial" w:cs="Arial" w:eastAsia="Arial" w:hAnsi="Arial"/>
          <w:sz w:val="14"/>
          <w:szCs w:val="14"/>
          <w:color w:val="auto"/>
        </w:rPr>
        <w:t>. We believe our expertise in localizing our marketing, products, and</w:t>
      </w:r>
      <w:r>
        <w:rPr>
          <w:rFonts w:ascii="Arial" w:cs="Arial" w:eastAsia="Arial" w:hAnsi="Arial"/>
          <w:sz w:val="14"/>
          <w:szCs w:val="14"/>
          <w:b w:val="1"/>
          <w:bCs w:val="1"/>
          <w:color w:val="auto"/>
        </w:rPr>
        <w:t xml:space="preserve"> </w:t>
      </w:r>
      <w:r>
        <w:rPr>
          <w:rFonts w:ascii="Arial" w:cs="Arial" w:eastAsia="Arial" w:hAnsi="Arial"/>
          <w:sz w:val="14"/>
          <w:szCs w:val="14"/>
          <w:color w:val="auto"/>
        </w:rPr>
        <w:t>customer support at scale is a key differentiator and enables us to provide customers with a personalized experience that drives peace of mind. Localization can mean many things. To us, it means speaking with our customers in their preferred language, reaching them through the media channels they frequent, and being culturally relevant through their journey. While our business is global, we recognize the importance of a culturally relevant experience being delivered to our customers and their families in the many countries we serve. We strive to deliver marketing, product, and support experiences that connect with them in meaningful ways. For example, we tailor our customer experience with 15 native languages, and we provide peace of mind with our global customer support team. Additionally, for disbursement of funds, we partner with local brands that are among the most trusted and recognized by our customers and their families.</w:t>
      </w:r>
    </w:p>
    <w:p>
      <w:pPr>
        <w:spacing w:after="0" w:line="103" w:lineRule="exact"/>
        <w:rPr>
          <w:rFonts w:ascii="Arial" w:cs="Arial" w:eastAsia="Arial" w:hAnsi="Arial"/>
          <w:sz w:val="14"/>
          <w:szCs w:val="14"/>
          <w:color w:val="auto"/>
        </w:rPr>
      </w:pPr>
    </w:p>
    <w:p>
      <w:pPr>
        <w:ind w:left="660" w:right="80" w:hanging="328"/>
        <w:spacing w:after="0" w:line="263"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Using our data-driven approach to better serve our customers and provide more value</w:t>
      </w:r>
      <w:r>
        <w:rPr>
          <w:rFonts w:ascii="Arial" w:cs="Arial" w:eastAsia="Arial" w:hAnsi="Arial"/>
          <w:sz w:val="16"/>
          <w:szCs w:val="16"/>
          <w:color w:val="auto"/>
        </w:rPr>
        <w:t>. We have a data-driven approach to how we grow our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prioritize our investments, and manage our operations. Because our customers initiate transfers digitally, we capture and leverage a body of transaction-related data that provides insight into customer behavior and customer experience. This data and the analytics we perform inform our marketing investments and product development prioritization. In addition, we leverage our data platform and proprietary machine learning models to improve our compliance systems and manage pricing, treasury, fraud risk, and customer support.</w:t>
      </w:r>
    </w:p>
    <w:p>
      <w:pPr>
        <w:spacing w:after="0" w:line="130" w:lineRule="exact"/>
        <w:rPr>
          <w:sz w:val="20"/>
          <w:szCs w:val="20"/>
          <w:color w:val="auto"/>
        </w:rPr>
      </w:pPr>
    </w:p>
    <w:p>
      <w:pPr>
        <w:ind w:right="140" w:firstLine="324"/>
        <w:spacing w:after="0" w:line="269" w:lineRule="auto"/>
        <w:rPr>
          <w:sz w:val="20"/>
          <w:szCs w:val="20"/>
          <w:color w:val="auto"/>
        </w:rPr>
      </w:pPr>
      <w:r>
        <w:rPr>
          <w:rFonts w:ascii="Arial" w:cs="Arial" w:eastAsia="Arial" w:hAnsi="Arial"/>
          <w:sz w:val="16"/>
          <w:szCs w:val="16"/>
          <w:color w:val="auto"/>
        </w:rPr>
        <w:t>The combination of our differentiated approach and our relentless focus on meeting the financial services needs of our immigrant communities has resulted in significant customer growth, high customer engagement, rapid send volume and transaction growth, and attractive customer economics built on top of an expansive global network.</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Revenue Model</w:t>
      </w:r>
    </w:p>
    <w:p>
      <w:pPr>
        <w:spacing w:after="0" w:line="185" w:lineRule="exact"/>
        <w:rPr>
          <w:sz w:val="20"/>
          <w:szCs w:val="20"/>
          <w:color w:val="auto"/>
        </w:rPr>
      </w:pPr>
    </w:p>
    <w:p>
      <w:pPr>
        <w:ind w:right="80" w:firstLine="324"/>
        <w:spacing w:after="0" w:line="275" w:lineRule="auto"/>
        <w:rPr>
          <w:sz w:val="20"/>
          <w:szCs w:val="20"/>
          <w:color w:val="auto"/>
        </w:rPr>
      </w:pPr>
      <w:r>
        <w:rPr>
          <w:rFonts w:ascii="Arial" w:cs="Arial" w:eastAsia="Arial" w:hAnsi="Arial"/>
          <w:sz w:val="16"/>
          <w:szCs w:val="16"/>
          <w:color w:val="auto"/>
        </w:rPr>
        <w:t>For our remittance business, which represents the vast majority of our revenue today, we generate revenue from transaction fees charged to customers who are sending remittances and foreign exchange spreads applied to the customer’s principal.</w:t>
      </w:r>
    </w:p>
    <w:p>
      <w:pPr>
        <w:spacing w:after="0" w:line="132" w:lineRule="exact"/>
        <w:rPr>
          <w:sz w:val="20"/>
          <w:szCs w:val="20"/>
          <w:color w:val="auto"/>
        </w:rPr>
      </w:pPr>
    </w:p>
    <w:p>
      <w:pPr>
        <w:ind w:right="100" w:firstLine="324"/>
        <w:spacing w:after="0" w:line="275" w:lineRule="auto"/>
        <w:rPr>
          <w:sz w:val="20"/>
          <w:szCs w:val="20"/>
          <w:color w:val="auto"/>
        </w:rPr>
      </w:pPr>
      <w:r>
        <w:rPr>
          <w:rFonts w:ascii="Arial" w:cs="Arial" w:eastAsia="Arial" w:hAnsi="Arial"/>
          <w:sz w:val="16"/>
          <w:szCs w:val="16"/>
          <w:color w:val="auto"/>
        </w:rPr>
        <w:t>Transaction fees vary based on the corridor, the currency in which funds are delivered to the recipient, the funding method a customer chooses (e.g., ACH, credit card, debit card, etc.), and the amount of the customer’s principal.</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2" w:name="page23"/>
    <w:bookmarkEnd w:id="22"/>
    <w:p>
      <w:pPr>
        <w:ind w:right="120" w:firstLine="324"/>
        <w:spacing w:after="0" w:line="269" w:lineRule="auto"/>
        <w:rPr>
          <w:sz w:val="20"/>
          <w:szCs w:val="20"/>
          <w:color w:val="auto"/>
        </w:rPr>
      </w:pPr>
      <w:r>
        <w:rPr>
          <w:rFonts w:ascii="Arial" w:cs="Arial" w:eastAsia="Arial" w:hAnsi="Arial"/>
          <w:sz w:val="16"/>
          <w:szCs w:val="16"/>
          <w:color w:val="auto"/>
        </w:rPr>
        <w:t>Foreign exchange spreads represent the difference between the foreign exchange rate offered to customers and the foreign exchange rate on the Company’s currency purchases. They are an output of proprietary and dynamic models that are designed to provide fair and competitive rates to our customers, while generating a spread for the Company based on our ability to buy foreign currency at generally advantageous rates.</w:t>
      </w:r>
    </w:p>
    <w:p>
      <w:pPr>
        <w:spacing w:after="0" w:line="124" w:lineRule="exact"/>
        <w:rPr>
          <w:sz w:val="20"/>
          <w:szCs w:val="20"/>
          <w:color w:val="auto"/>
        </w:rPr>
      </w:pPr>
    </w:p>
    <w:p>
      <w:pPr>
        <w:ind w:right="60" w:firstLine="324"/>
        <w:spacing w:after="0" w:line="262" w:lineRule="auto"/>
        <w:rPr>
          <w:sz w:val="20"/>
          <w:szCs w:val="20"/>
          <w:color w:val="auto"/>
        </w:rPr>
      </w:pPr>
      <w:r>
        <w:rPr>
          <w:rFonts w:ascii="Arial" w:cs="Arial" w:eastAsia="Arial" w:hAnsi="Arial"/>
          <w:sz w:val="16"/>
          <w:szCs w:val="16"/>
          <w:color w:val="auto"/>
        </w:rPr>
        <w:t>Revenue from transaction fees and foreign exchange spreads is reduced by customer promotions. For example, we may, from time to time, waive transaction fees for first-time customers, or provide customers with better foreign exchange rates on their first transaction. These incentives are accounted for as reductions to revenue, up to the point where net historical cumulative revenue, at the customer level, is reduced to zero. We consider these incentives as an investment in our long-term relationship with customers.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Initial Public Offering and Private Placement</w:t>
      </w:r>
    </w:p>
    <w:p>
      <w:pPr>
        <w:spacing w:after="0" w:line="171" w:lineRule="exact"/>
        <w:rPr>
          <w:sz w:val="20"/>
          <w:szCs w:val="20"/>
          <w:color w:val="auto"/>
        </w:rPr>
      </w:pPr>
    </w:p>
    <w:p>
      <w:pPr>
        <w:ind w:right="100" w:firstLine="324"/>
        <w:spacing w:after="0" w:line="262" w:lineRule="auto"/>
        <w:rPr>
          <w:sz w:val="20"/>
          <w:szCs w:val="20"/>
          <w:color w:val="auto"/>
        </w:rPr>
      </w:pPr>
      <w:r>
        <w:rPr>
          <w:rFonts w:ascii="Arial" w:cs="Arial" w:eastAsia="Arial" w:hAnsi="Arial"/>
          <w:sz w:val="16"/>
          <w:szCs w:val="16"/>
          <w:color w:val="auto"/>
        </w:rPr>
        <w:t>In September 2021, the Company completed its IPO, in which the Company issued and sold 7,000,000 shares of its common stock at $43.00 per share. Concurrently, 5,162,777 shares were sold by certain of our existing stockholders. In addition, the Company issued 581,395 shares of common stock to an existing stockholder in a private placement at the same offering price as the IPO. The Company received net proceeds of $305.2 million for the IPO and private placement, after deducting underwriting discounts and other fees of $20.8 million. In connection with the IPO, 127,410,631 shares of outstanding redeemable convertible preferred stock automatically converted into an equivalent number of shares of common stock on a one-to-one basis.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Business Metrics</w:t>
      </w:r>
    </w:p>
    <w:p>
      <w:pPr>
        <w:spacing w:after="0" w:line="171" w:lineRule="exact"/>
        <w:rPr>
          <w:sz w:val="20"/>
          <w:szCs w:val="20"/>
          <w:color w:val="auto"/>
        </w:rPr>
      </w:pPr>
    </w:p>
    <w:p>
      <w:pPr>
        <w:ind w:right="200" w:firstLine="324"/>
        <w:spacing w:after="0" w:line="291" w:lineRule="auto"/>
        <w:rPr>
          <w:sz w:val="20"/>
          <w:szCs w:val="20"/>
          <w:color w:val="auto"/>
        </w:rPr>
      </w:pPr>
      <w:r>
        <w:rPr>
          <w:rFonts w:ascii="Arial" w:cs="Arial" w:eastAsia="Arial" w:hAnsi="Arial"/>
          <w:sz w:val="15"/>
          <w:szCs w:val="15"/>
          <w:color w:val="auto"/>
        </w:rPr>
        <w:t>We regularly review the following key business metrics to evaluate our performance, identify trends affecting our business, prepare financial projections, and make strategic decisions. We believe that these key business metrics provide meaningful supplemental information for management and investors in assessing our historical and future operating performance. The calculation of these key business metrics discussed below may differ from other similarly titled metrics used by other companies, analysts, or investors. The key business metrics that we use to measure the performance of our business are defined as follows:</w:t>
      </w:r>
    </w:p>
    <w:p>
      <w:pPr>
        <w:spacing w:after="0" w:line="108" w:lineRule="exact"/>
        <w:rPr>
          <w:sz w:val="20"/>
          <w:szCs w:val="20"/>
          <w:color w:val="auto"/>
        </w:rPr>
      </w:pPr>
    </w:p>
    <w:p>
      <w:pPr>
        <w:ind w:left="660" w:right="360" w:hanging="328"/>
        <w:spacing w:after="0" w:line="275"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“Active customers” is defined as the number of distinct customers that have successfully completed at least one remittance transaction using Remitly during a given calendar quarter. We identify customers through unique account numbers.</w:t>
      </w:r>
    </w:p>
    <w:p>
      <w:pPr>
        <w:spacing w:after="0" w:line="131" w:lineRule="exact"/>
        <w:rPr>
          <w:rFonts w:ascii="Arial" w:cs="Arial" w:eastAsia="Arial" w:hAnsi="Arial"/>
          <w:sz w:val="16"/>
          <w:szCs w:val="16"/>
          <w:color w:val="auto"/>
        </w:rPr>
      </w:pPr>
    </w:p>
    <w:p>
      <w:pPr>
        <w:jc w:val="both"/>
        <w:ind w:left="660" w:right="40" w:hanging="328"/>
        <w:spacing w:after="0" w:line="269"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“Send volume” is defined as the sum of all customer’s principal, measured in U.S. dollars, related to transactions completed during a given period. The customer’s principal is net of cancellations, does not include transaction fees from customers, and does not include any credits, offers, or bonuses applied to the transaction by us.</w:t>
      </w:r>
    </w:p>
    <w:p>
      <w:pPr>
        <w:spacing w:after="0" w:line="124" w:lineRule="exact"/>
        <w:rPr>
          <w:sz w:val="20"/>
          <w:szCs w:val="20"/>
          <w:color w:val="auto"/>
        </w:rPr>
      </w:pPr>
    </w:p>
    <w:p>
      <w:pPr>
        <w:ind w:right="300" w:firstLine="324"/>
        <w:spacing w:after="0" w:line="275" w:lineRule="auto"/>
        <w:rPr>
          <w:sz w:val="20"/>
          <w:szCs w:val="20"/>
          <w:color w:val="auto"/>
        </w:rPr>
      </w:pPr>
      <w:r>
        <w:rPr>
          <w:rFonts w:ascii="Arial" w:cs="Arial" w:eastAsia="Arial" w:hAnsi="Arial"/>
          <w:sz w:val="16"/>
          <w:szCs w:val="16"/>
          <w:color w:val="auto"/>
        </w:rPr>
        <w:t>As active customers are measured on a quarterly basis, the data for the full-year periods for active customers is not meaningful, and therefore is only presented on a quarterly basis herein.</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Active Customers</w:t>
      </w:r>
    </w:p>
    <w:p>
      <w:pPr>
        <w:spacing w:after="0" w:line="208"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40640</wp:posOffset>
            </wp:positionV>
            <wp:extent cx="20574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1140" w:type="dxa"/>
            <w:vAlign w:val="bottom"/>
          </w:tcPr>
          <w:p>
            <w:pPr>
              <w:spacing w:after="0"/>
              <w:rPr>
                <w:sz w:val="16"/>
                <w:szCs w:val="16"/>
                <w:color w:val="auto"/>
              </w:rPr>
            </w:pPr>
          </w:p>
        </w:tc>
        <w:tc>
          <w:tcPr>
            <w:tcW w:w="1060" w:type="dxa"/>
            <w:vAlign w:val="bottom"/>
          </w:tcPr>
          <w:p>
            <w:pPr>
              <w:jc w:val="right"/>
              <w:ind w:right="564"/>
              <w:spacing w:after="0"/>
              <w:rPr>
                <w:sz w:val="20"/>
                <w:szCs w:val="20"/>
                <w:color w:val="auto"/>
              </w:rPr>
            </w:pPr>
            <w:r>
              <w:rPr>
                <w:rFonts w:ascii="Arial" w:cs="Arial" w:eastAsia="Arial" w:hAnsi="Arial"/>
                <w:sz w:val="14"/>
                <w:szCs w:val="14"/>
                <w:b w:val="1"/>
                <w:bCs w:val="1"/>
                <w:color w:val="auto"/>
              </w:rPr>
              <w:t>2021</w:t>
            </w:r>
          </w:p>
        </w:tc>
      </w:tr>
      <w:tr>
        <w:trPr>
          <w:trHeight w:val="39"/>
        </w:trPr>
        <w:tc>
          <w:tcPr>
            <w:tcW w:w="794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4"/>
        </w:trPr>
        <w:tc>
          <w:tcPr>
            <w:tcW w:w="7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jc w:val="right"/>
              <w:ind w:right="64"/>
              <w:spacing w:after="0"/>
              <w:rPr>
                <w:sz w:val="20"/>
                <w:szCs w:val="20"/>
                <w:color w:val="auto"/>
              </w:rPr>
            </w:pPr>
            <w:r>
              <w:rPr>
                <w:rFonts w:ascii="Arial" w:cs="Arial" w:eastAsia="Arial" w:hAnsi="Arial"/>
                <w:sz w:val="14"/>
                <w:szCs w:val="14"/>
                <w:color w:val="auto"/>
              </w:rPr>
              <w:t>(in thousands)</w:t>
            </w:r>
          </w:p>
        </w:tc>
        <w:tc>
          <w:tcPr>
            <w:tcW w:w="1060" w:type="dxa"/>
            <w:vAlign w:val="bottom"/>
          </w:tcPr>
          <w:p>
            <w:pPr>
              <w:spacing w:after="0"/>
              <w:rPr>
                <w:sz w:val="16"/>
                <w:szCs w:val="16"/>
                <w:color w:val="auto"/>
              </w:rPr>
            </w:pPr>
          </w:p>
        </w:tc>
      </w:tr>
      <w:tr>
        <w:trPr>
          <w:trHeight w:val="39"/>
        </w:trPr>
        <w:tc>
          <w:tcPr>
            <w:tcW w:w="79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43"/>
        </w:trPr>
        <w:tc>
          <w:tcPr>
            <w:tcW w:w="8980" w:type="dxa"/>
            <w:vAlign w:val="bottom"/>
            <w:gridSpan w:val="2"/>
            <w:shd w:val="clear" w:color="auto" w:fill="CCEEFF"/>
          </w:tcPr>
          <w:p>
            <w:pPr>
              <w:jc w:val="right"/>
              <w:ind w:right="7500"/>
              <w:spacing w:after="0"/>
              <w:rPr>
                <w:sz w:val="20"/>
                <w:szCs w:val="20"/>
                <w:color w:val="auto"/>
              </w:rPr>
            </w:pPr>
            <w:r>
              <w:rPr>
                <w:rFonts w:ascii="Arial" w:cs="Arial" w:eastAsia="Arial" w:hAnsi="Arial"/>
                <w:sz w:val="16"/>
                <w:szCs w:val="16"/>
                <w:color w:val="auto"/>
              </w:rPr>
              <w:t>Active customers</w:t>
            </w:r>
          </w:p>
        </w:tc>
        <w:tc>
          <w:tcPr>
            <w:tcW w:w="1140" w:type="dxa"/>
            <w:vAlign w:val="bottom"/>
            <w:shd w:val="clear" w:color="auto" w:fill="CCEEFF"/>
          </w:tcPr>
          <w:p>
            <w:pPr>
              <w:jc w:val="right"/>
              <w:ind w:right="604"/>
              <w:spacing w:after="0"/>
              <w:rPr>
                <w:sz w:val="20"/>
                <w:szCs w:val="20"/>
                <w:color w:val="auto"/>
              </w:rPr>
            </w:pPr>
            <w:r>
              <w:rPr>
                <w:rFonts w:ascii="Arial" w:cs="Arial" w:eastAsia="Arial" w:hAnsi="Arial"/>
                <w:sz w:val="16"/>
                <w:szCs w:val="16"/>
                <w:color w:val="auto"/>
              </w:rPr>
              <w:t>3,419</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2,397</w:t>
            </w:r>
          </w:p>
        </w:tc>
      </w:tr>
    </w:tbl>
    <w:p>
      <w:pPr>
        <w:spacing w:after="0" w:line="2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believe that the number of our active customers is an important indicator of customer engagement and the overall growth of our business.</w:t>
      </w:r>
    </w:p>
    <w:p>
      <w:pPr>
        <w:spacing w:after="0" w:line="167" w:lineRule="exact"/>
        <w:rPr>
          <w:sz w:val="20"/>
          <w:szCs w:val="20"/>
          <w:color w:val="auto"/>
        </w:rPr>
      </w:pPr>
    </w:p>
    <w:p>
      <w:pPr>
        <w:ind w:right="400" w:firstLine="324"/>
        <w:spacing w:after="0" w:line="269" w:lineRule="auto"/>
        <w:rPr>
          <w:sz w:val="20"/>
          <w:szCs w:val="20"/>
          <w:color w:val="auto"/>
        </w:rPr>
      </w:pPr>
      <w:r>
        <w:rPr>
          <w:rFonts w:ascii="Arial" w:cs="Arial" w:eastAsia="Arial" w:hAnsi="Arial"/>
          <w:sz w:val="16"/>
          <w:szCs w:val="16"/>
          <w:color w:val="auto"/>
        </w:rPr>
        <w:t>Active customers increased to approximately 3.4 million, or 43% growth, for the three months ended June 30, 2022, compared to the three months ended June 30, 2021. This increase was primarily due to an increase in new customers, driven by investments in our mobile platform and marketing spend, our focus on customer experience, and continued expansion of our global disbursement network.</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Send Volume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4"/>
          </w:tcPr>
          <w:p>
            <w:pPr>
              <w:ind w:left="300"/>
              <w:spacing w:after="0"/>
              <w:rPr>
                <w:sz w:val="20"/>
                <w:szCs w:val="20"/>
                <w:color w:val="auto"/>
              </w:rPr>
            </w:pPr>
            <w:r>
              <w:rPr>
                <w:rFonts w:ascii="Arial" w:cs="Arial" w:eastAsia="Arial" w:hAnsi="Arial"/>
                <w:sz w:val="14"/>
                <w:szCs w:val="14"/>
                <w:b w:val="1"/>
                <w:bCs w:val="1"/>
                <w:color w:val="auto"/>
              </w:rPr>
              <w:t>Three Months Ended June 30,</w:t>
            </w:r>
          </w:p>
        </w:tc>
        <w:tc>
          <w:tcPr>
            <w:tcW w:w="500" w:type="dxa"/>
            <w:vAlign w:val="bottom"/>
          </w:tcPr>
          <w:p>
            <w:pPr>
              <w:spacing w:after="0"/>
              <w:rPr>
                <w:sz w:val="16"/>
                <w:szCs w:val="16"/>
                <w:color w:val="auto"/>
              </w:rPr>
            </w:pPr>
          </w:p>
        </w:tc>
        <w:tc>
          <w:tcPr>
            <w:tcW w:w="2720" w:type="dxa"/>
            <w:vAlign w:val="bottom"/>
            <w:gridSpan w:val="3"/>
          </w:tcPr>
          <w:p>
            <w:pPr>
              <w:jc w:val="right"/>
              <w:ind w:right="684"/>
              <w:spacing w:after="0"/>
              <w:rPr>
                <w:sz w:val="20"/>
                <w:szCs w:val="20"/>
                <w:color w:val="auto"/>
              </w:rPr>
            </w:pPr>
            <w:r>
              <w:rPr>
                <w:rFonts w:ascii="Arial" w:cs="Arial" w:eastAsia="Arial" w:hAnsi="Arial"/>
                <w:sz w:val="14"/>
                <w:szCs w:val="14"/>
                <w:b w:val="1"/>
                <w:bCs w:val="1"/>
                <w:color w:val="auto"/>
              </w:rPr>
              <w:t>Six Months Ended June 30,</w:t>
            </w:r>
          </w:p>
        </w:tc>
      </w:tr>
      <w:tr>
        <w:trPr>
          <w:trHeight w:val="39"/>
        </w:trPr>
        <w:tc>
          <w:tcPr>
            <w:tcW w:w="47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4"/>
        </w:trPr>
        <w:tc>
          <w:tcPr>
            <w:tcW w:w="4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65"/>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6"/>
                <w:szCs w:val="16"/>
                <w:color w:val="auto"/>
              </w:rPr>
            </w:pPr>
          </w:p>
        </w:tc>
        <w:tc>
          <w:tcPr>
            <w:tcW w:w="1180" w:type="dxa"/>
            <w:vAlign w:val="bottom"/>
          </w:tcPr>
          <w:p>
            <w:pPr>
              <w:jc w:val="right"/>
              <w:ind w:right="54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80" w:type="dxa"/>
            <w:vAlign w:val="bottom"/>
          </w:tcPr>
          <w:p>
            <w:pPr>
              <w:jc w:val="right"/>
              <w:ind w:right="565"/>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6"/>
                <w:szCs w:val="16"/>
                <w:color w:val="auto"/>
              </w:rPr>
            </w:pPr>
          </w:p>
        </w:tc>
        <w:tc>
          <w:tcPr>
            <w:tcW w:w="1200" w:type="dxa"/>
            <w:vAlign w:val="bottom"/>
          </w:tcPr>
          <w:p>
            <w:pPr>
              <w:jc w:val="right"/>
              <w:ind w:right="564"/>
              <w:spacing w:after="0"/>
              <w:rPr>
                <w:sz w:val="20"/>
                <w:szCs w:val="20"/>
                <w:color w:val="auto"/>
              </w:rPr>
            </w:pPr>
            <w:r>
              <w:rPr>
                <w:rFonts w:ascii="Arial" w:cs="Arial" w:eastAsia="Arial" w:hAnsi="Arial"/>
                <w:sz w:val="14"/>
                <w:szCs w:val="14"/>
                <w:b w:val="1"/>
                <w:bCs w:val="1"/>
                <w:color w:val="auto"/>
              </w:rPr>
              <w:t>2021</w:t>
            </w:r>
          </w:p>
        </w:tc>
      </w:tr>
      <w:tr>
        <w:trPr>
          <w:trHeight w:val="39"/>
        </w:trPr>
        <w:tc>
          <w:tcPr>
            <w:tcW w:w="476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gridSpan w:val="2"/>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4"/>
        </w:trPr>
        <w:tc>
          <w:tcPr>
            <w:tcW w:w="4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60" w:type="dxa"/>
            <w:vAlign w:val="bottom"/>
            <w:gridSpan w:val="3"/>
          </w:tcPr>
          <w:p>
            <w:pPr>
              <w:jc w:val="right"/>
              <w:ind w:right="79"/>
              <w:spacing w:after="0"/>
              <w:rPr>
                <w:sz w:val="20"/>
                <w:szCs w:val="20"/>
                <w:color w:val="auto"/>
              </w:rPr>
            </w:pPr>
            <w:r>
              <w:rPr>
                <w:rFonts w:ascii="Arial" w:cs="Arial" w:eastAsia="Arial" w:hAnsi="Arial"/>
                <w:sz w:val="14"/>
                <w:szCs w:val="14"/>
                <w:color w:val="auto"/>
              </w:rPr>
              <w:t>(in millions)</w:t>
            </w: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9"/>
        </w:trPr>
        <w:tc>
          <w:tcPr>
            <w:tcW w:w="4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43"/>
        </w:trPr>
        <w:tc>
          <w:tcPr>
            <w:tcW w:w="4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Send volume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6,964</w:t>
            </w:r>
          </w:p>
        </w:tc>
        <w:tc>
          <w:tcPr>
            <w:tcW w:w="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4,976</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13,058</w:t>
            </w:r>
          </w:p>
        </w:tc>
        <w:tc>
          <w:tcPr>
            <w:tcW w:w="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9,249</w:t>
            </w:r>
          </w:p>
        </w:tc>
      </w:tr>
    </w:tbl>
    <w:p>
      <w:pPr>
        <w:spacing w:after="0" w:line="233" w:lineRule="exact"/>
        <w:rPr>
          <w:sz w:val="20"/>
          <w:szCs w:val="20"/>
          <w:color w:val="auto"/>
        </w:rPr>
      </w:pPr>
    </w:p>
    <w:p>
      <w:pPr>
        <w:jc w:val="both"/>
        <w:ind w:right="20" w:firstLine="324"/>
        <w:spacing w:after="0" w:line="369" w:lineRule="auto"/>
        <w:rPr>
          <w:sz w:val="20"/>
          <w:szCs w:val="20"/>
          <w:color w:val="auto"/>
        </w:rPr>
      </w:pPr>
      <w:r>
        <w:rPr>
          <w:rFonts w:ascii="Arial" w:cs="Arial" w:eastAsia="Arial" w:hAnsi="Arial"/>
          <w:sz w:val="14"/>
          <w:szCs w:val="14"/>
          <w:color w:val="auto"/>
        </w:rPr>
        <w:t>We measure send volume to assess the scale of remittances sent using our platform. Our customers mostly send from the United States, Canada, United Kingdom, other countries in Europe, and Australia. The recipients are located in over 160 countries across the globe; the largest receive countries include Mexico, the Philippines, and India.</w:t>
      </w:r>
    </w:p>
    <w:p>
      <w:pPr>
        <w:spacing w:after="0" w:line="58" w:lineRule="exact"/>
        <w:rPr>
          <w:sz w:val="20"/>
          <w:szCs w:val="20"/>
          <w:color w:val="auto"/>
        </w:rPr>
      </w:pPr>
    </w:p>
    <w:p>
      <w:pPr>
        <w:ind w:right="380" w:firstLine="324"/>
        <w:spacing w:after="0" w:line="293" w:lineRule="auto"/>
        <w:rPr>
          <w:sz w:val="20"/>
          <w:szCs w:val="20"/>
          <w:color w:val="auto"/>
        </w:rPr>
      </w:pPr>
      <w:r>
        <w:rPr>
          <w:rFonts w:ascii="Arial" w:cs="Arial" w:eastAsia="Arial" w:hAnsi="Arial"/>
          <w:sz w:val="16"/>
          <w:szCs w:val="16"/>
          <w:color w:val="auto"/>
        </w:rPr>
        <w:t>Send volume increased approximately 40% to $7.0 billion for the three months ended June 30, 2022, compared to $5.0 billion for the three months ended June 30, 2021. This increase was primarily due to the growth of quarterly active customers, which increased 43% over the same period.</w:t>
      </w:r>
    </w:p>
    <w:p>
      <w:pPr>
        <w:sectPr>
          <w:pgSz w:w="11900" w:h="16838" w:orient="portrait"/>
          <w:cols w:equalWidth="0" w:num="1">
            <w:col w:w="11240"/>
          </w:cols>
          <w:pgMar w:left="320" w:top="12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4" w:right="339" w:bottom="1440" w:gutter="0" w:footer="0" w:header="0"/>
          <w:type w:val="continuous"/>
        </w:sectPr>
      </w:pPr>
    </w:p>
    <w:bookmarkStart w:id="23" w:name="page24"/>
    <w:bookmarkEnd w:id="23"/>
    <w:p>
      <w:pPr>
        <w:ind w:right="80" w:firstLine="324"/>
        <w:spacing w:after="0" w:line="275" w:lineRule="auto"/>
        <w:rPr>
          <w:sz w:val="20"/>
          <w:szCs w:val="20"/>
          <w:color w:val="auto"/>
        </w:rPr>
      </w:pPr>
      <w:r>
        <w:rPr>
          <w:rFonts w:ascii="Arial" w:cs="Arial" w:eastAsia="Arial" w:hAnsi="Arial"/>
          <w:sz w:val="16"/>
          <w:szCs w:val="16"/>
          <w:color w:val="auto"/>
        </w:rPr>
        <w:t>Send volume increased $3.8 billion, or 41%, to $13.1 billion for the six months ended June 30, 2022, compared to $9.2 billion for the six months ended June 30, 2021, driven by the increase in quarterly active customers.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Factors Affecting Our Performance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Customer Retention and High Customer Engagement</w:t>
      </w:r>
    </w:p>
    <w:p>
      <w:pPr>
        <w:spacing w:after="0" w:line="181" w:lineRule="exact"/>
        <w:rPr>
          <w:sz w:val="20"/>
          <w:szCs w:val="20"/>
          <w:color w:val="auto"/>
        </w:rPr>
      </w:pPr>
    </w:p>
    <w:p>
      <w:pPr>
        <w:ind w:right="240" w:firstLine="324"/>
        <w:spacing w:after="0" w:line="275" w:lineRule="auto"/>
        <w:rPr>
          <w:sz w:val="20"/>
          <w:szCs w:val="20"/>
          <w:color w:val="auto"/>
        </w:rPr>
      </w:pPr>
      <w:r>
        <w:rPr>
          <w:rFonts w:ascii="Arial" w:cs="Arial" w:eastAsia="Arial" w:hAnsi="Arial"/>
          <w:sz w:val="16"/>
          <w:szCs w:val="16"/>
          <w:color w:val="auto"/>
        </w:rPr>
        <w:t>Our send volume is primarily driven by existing customers who regularly use our remittance product to send money home. We believe our mobile-first products and superior customer experience encourage high retention and repeat usage, which are important drivers of our performance.</w:t>
      </w:r>
    </w:p>
    <w:p>
      <w:pPr>
        <w:spacing w:after="0" w:line="118" w:lineRule="exact"/>
        <w:rPr>
          <w:sz w:val="20"/>
          <w:szCs w:val="20"/>
          <w:color w:val="auto"/>
        </w:rPr>
      </w:pPr>
    </w:p>
    <w:p>
      <w:pPr>
        <w:ind w:right="440" w:firstLine="324"/>
        <w:spacing w:after="0" w:line="293" w:lineRule="auto"/>
        <w:rPr>
          <w:sz w:val="20"/>
          <w:szCs w:val="20"/>
          <w:color w:val="auto"/>
        </w:rPr>
      </w:pPr>
      <w:r>
        <w:rPr>
          <w:rFonts w:ascii="Arial" w:cs="Arial" w:eastAsia="Arial" w:hAnsi="Arial"/>
          <w:sz w:val="16"/>
          <w:szCs w:val="16"/>
          <w:color w:val="auto"/>
        </w:rPr>
        <w:t>We measure active customers to monitor the growth and performance of our customer base. The majority of our active customers send money for recurring, non-discretionary needs multiple times per month, providing a reoccurring revenue stream with high visibility and predictability.</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Attracting New Customers</w:t>
      </w:r>
    </w:p>
    <w:p>
      <w:pPr>
        <w:spacing w:after="0" w:line="181" w:lineRule="exact"/>
        <w:rPr>
          <w:sz w:val="20"/>
          <w:szCs w:val="20"/>
          <w:color w:val="auto"/>
        </w:rPr>
      </w:pPr>
    </w:p>
    <w:p>
      <w:pPr>
        <w:ind w:right="20" w:firstLine="324"/>
        <w:spacing w:after="0" w:line="258" w:lineRule="auto"/>
        <w:rPr>
          <w:sz w:val="20"/>
          <w:szCs w:val="20"/>
          <w:color w:val="auto"/>
        </w:rPr>
      </w:pPr>
      <w:r>
        <w:rPr>
          <w:rFonts w:ascii="Arial" w:cs="Arial" w:eastAsia="Arial" w:hAnsi="Arial"/>
          <w:sz w:val="16"/>
          <w:szCs w:val="16"/>
          <w:color w:val="auto"/>
        </w:rPr>
        <w:t>Our continued ability to attract new customers to our platform is a key driver for our long-term growth. We continue to expand our customer base by launching new send and receive corridors, by continuing to innovate, and by providing the most trusted financial services for immigrants. We plan to continue to acquire new customers through digital marketing channels and word-of-mouth referrals from existing customers, and by exploring new customer acquisition channels. Given the nature of our business, new customer acquisition may negatively impact net loss and Adjusted EBITDA in the initial period, while positively impacting net loss and Adjusted EBITDA in subsequent periods.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Customer Acquisition</w:t>
      </w:r>
    </w:p>
    <w:p>
      <w:pPr>
        <w:spacing w:after="0" w:line="181" w:lineRule="exact"/>
        <w:rPr>
          <w:sz w:val="20"/>
          <w:szCs w:val="20"/>
          <w:color w:val="auto"/>
        </w:rPr>
      </w:pPr>
    </w:p>
    <w:p>
      <w:pPr>
        <w:ind w:right="20" w:firstLine="324"/>
        <w:spacing w:after="0" w:line="275" w:lineRule="auto"/>
        <w:rPr>
          <w:sz w:val="20"/>
          <w:szCs w:val="20"/>
          <w:color w:val="auto"/>
        </w:rPr>
      </w:pPr>
      <w:r>
        <w:rPr>
          <w:rFonts w:ascii="Arial" w:cs="Arial" w:eastAsia="Arial" w:hAnsi="Arial"/>
          <w:sz w:val="16"/>
          <w:szCs w:val="16"/>
          <w:color w:val="auto"/>
        </w:rPr>
        <w:t>Efficiently acquiring customers is critical to our growth and maintaining attractive customer economics, which is impacted by online marketing competition, our ability to effectively target the right demographic, and competitor pricing.</w:t>
      </w:r>
    </w:p>
    <w:p>
      <w:pPr>
        <w:spacing w:after="0" w:line="132" w:lineRule="exact"/>
        <w:rPr>
          <w:sz w:val="20"/>
          <w:szCs w:val="20"/>
          <w:color w:val="auto"/>
        </w:rPr>
      </w:pPr>
    </w:p>
    <w:p>
      <w:pPr>
        <w:ind w:right="100" w:firstLine="324"/>
        <w:spacing w:after="0" w:line="262" w:lineRule="auto"/>
        <w:rPr>
          <w:sz w:val="20"/>
          <w:szCs w:val="20"/>
          <w:color w:val="auto"/>
        </w:rPr>
      </w:pPr>
      <w:r>
        <w:rPr>
          <w:rFonts w:ascii="Arial" w:cs="Arial" w:eastAsia="Arial" w:hAnsi="Arial"/>
          <w:sz w:val="16"/>
          <w:szCs w:val="16"/>
          <w:color w:val="auto"/>
        </w:rPr>
        <w:t>We have a history of successfully monitoring customer acquisitions costs and will continue to be strategic and disciplined toward customer acquisition. For example, for performance marketing, we set rigorous customer acquisition targets that we continuously monitor to ensure a high return on investment over the long term, and we can increase or decrease this investment as desired. Customer acquisition costs refer to direct marketing expenses deployed to acquire new customers and primarily includes digital advertising costs.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Corridor Mix</w:t>
      </w:r>
    </w:p>
    <w:p>
      <w:pPr>
        <w:spacing w:after="0" w:line="181" w:lineRule="exact"/>
        <w:rPr>
          <w:sz w:val="20"/>
          <w:szCs w:val="20"/>
          <w:color w:val="auto"/>
        </w:rPr>
      </w:pPr>
    </w:p>
    <w:p>
      <w:pPr>
        <w:ind w:firstLine="324"/>
        <w:spacing w:after="0" w:line="262" w:lineRule="auto"/>
        <w:rPr>
          <w:sz w:val="20"/>
          <w:szCs w:val="20"/>
          <w:color w:val="auto"/>
        </w:rPr>
      </w:pPr>
      <w:r>
        <w:rPr>
          <w:rFonts w:ascii="Arial" w:cs="Arial" w:eastAsia="Arial" w:hAnsi="Arial"/>
          <w:sz w:val="16"/>
          <w:szCs w:val="16"/>
          <w:color w:val="auto"/>
        </w:rPr>
        <w:t>Our business is global and certain attributes of our business vary by corridor such as send amount, customer funding sources, and transaction frequency. For example, a period of high growth in receive countries with large average send amounts, such as India, could disproportionately impact send volume while impacting active customers to a lesser extent. While shifts in our corridor mix could impact the trends in our global business, including send volume and customer economics, our strategy is to manage and optimize each of these corridors over the long term based on their specific dynamics.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Seasonality</w:t>
      </w:r>
    </w:p>
    <w:p>
      <w:pPr>
        <w:spacing w:after="0" w:line="181" w:lineRule="exact"/>
        <w:rPr>
          <w:sz w:val="20"/>
          <w:szCs w:val="20"/>
          <w:color w:val="auto"/>
        </w:rPr>
      </w:pPr>
    </w:p>
    <w:p>
      <w:pPr>
        <w:ind w:right="100" w:firstLine="324"/>
        <w:spacing w:after="0" w:line="303" w:lineRule="auto"/>
        <w:rPr>
          <w:sz w:val="20"/>
          <w:szCs w:val="20"/>
          <w:color w:val="auto"/>
        </w:rPr>
      </w:pPr>
      <w:r>
        <w:rPr>
          <w:rFonts w:ascii="Arial" w:cs="Arial" w:eastAsia="Arial" w:hAnsi="Arial"/>
          <w:sz w:val="14"/>
          <w:szCs w:val="14"/>
          <w:color w:val="auto"/>
        </w:rPr>
        <w:t>Our operating results and metrics are subject to seasonality, which may result in fluctuations in our quarterly revenues and operating results. For example, active customers and send volume generally peak as customers send gifts for regional and global holidays including, most notably, in the fourth quarter around the Christmas holiday. This seasonality typically drives higher fourth quarter customer acquisition, which generally results in higher fourth quarter marketing costs and transaction losses. It also results in higher transactions and transaction expenses, along with higher working capital needs. Other periods of seasonality include Ramadan/Eid, Lunar New Year/Tết and Mother’s Day, which occur throughout the year, although the impact of seasonality is generally lower than in the fourth quarter. The number of business days in a quarter and the day of week that the last day of the quarter falls on also introduces variability in our results, working capital balances, or cash flows period over period.</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Our Technology Platform</w:t>
      </w:r>
    </w:p>
    <w:p>
      <w:pPr>
        <w:spacing w:after="0" w:line="167" w:lineRule="exact"/>
        <w:rPr>
          <w:sz w:val="20"/>
          <w:szCs w:val="20"/>
          <w:color w:val="auto"/>
        </w:rPr>
      </w:pPr>
    </w:p>
    <w:p>
      <w:pPr>
        <w:ind w:right="40" w:firstLine="324"/>
        <w:spacing w:after="0" w:line="284" w:lineRule="auto"/>
        <w:rPr>
          <w:sz w:val="20"/>
          <w:szCs w:val="20"/>
          <w:color w:val="auto"/>
        </w:rPr>
      </w:pPr>
      <w:r>
        <w:rPr>
          <w:rFonts w:ascii="Arial" w:cs="Arial" w:eastAsia="Arial" w:hAnsi="Arial"/>
          <w:sz w:val="15"/>
          <w:szCs w:val="15"/>
          <w:color w:val="auto"/>
        </w:rPr>
        <w:t>We continue to invest significant resources in our technology platform. These investments will allow us to introduce new and innovative products, add features to current products, enhance the customer and recipient experience, grow our payment and disbursement network, invest in our risk and security infrastructure, and continue to secure data in accordance with evolving best practices and legal requirements. While we expect our expenses related to technology and development to increase, which may impact short-term profitability, we believe these investments will ultimately contribute to our long term growth.</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Management of Risk and Fraud</w:t>
      </w:r>
    </w:p>
    <w:p>
      <w:pPr>
        <w:spacing w:after="0" w:line="167" w:lineRule="exact"/>
        <w:rPr>
          <w:sz w:val="20"/>
          <w:szCs w:val="20"/>
          <w:color w:val="auto"/>
        </w:rPr>
      </w:pPr>
    </w:p>
    <w:p>
      <w:pPr>
        <w:ind w:right="120" w:firstLine="324"/>
        <w:spacing w:after="0" w:line="308" w:lineRule="auto"/>
        <w:rPr>
          <w:sz w:val="20"/>
          <w:szCs w:val="20"/>
          <w:color w:val="auto"/>
        </w:rPr>
      </w:pPr>
      <w:r>
        <w:rPr>
          <w:rFonts w:ascii="Arial" w:cs="Arial" w:eastAsia="Arial" w:hAnsi="Arial"/>
          <w:sz w:val="14"/>
          <w:szCs w:val="14"/>
          <w:color w:val="auto"/>
        </w:rPr>
        <w:t>We manage fraud (e.g., through identity theft) and other illegitimate activity (e.g., money laundering) by utilizing our proprietary risk models which include machine learning processes, early warning systems, bespoke rules, and manual investigation processes. Our models and processes enable us to identify and address complex and evolving risks in these unwanted activities, while maintaining a differentiated customer experience. In addition, we integrate historical fraud loss data and other transaction data into our risk models which helps us identify emerging patterns and quantify fraud and regulatory and compliance risks across all aspects of our customer interactions. These models and processes allow us to achieve and maintain fraud loss rates within desired guardrails, as well as tailor our risk models to target other illegitimate activity.</w:t>
      </w:r>
    </w:p>
    <w:p>
      <w:pPr>
        <w:sectPr>
          <w:pgSz w:w="11900" w:h="16838" w:orient="portrait"/>
          <w:cols w:equalWidth="0" w:num="1">
            <w:col w:w="11220"/>
          </w:cols>
          <w:pgMar w:left="320" w:top="126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4" w:right="359" w:bottom="1440" w:gutter="0" w:footer="0" w:header="0"/>
          <w:type w:val="continuous"/>
        </w:sectPr>
      </w:pPr>
    </w:p>
    <w:bookmarkStart w:id="24" w:name="page25"/>
    <w:bookmarkEnd w:id="24"/>
    <w:p>
      <w:pPr>
        <w:ind w:left="340"/>
        <w:spacing w:after="0"/>
        <w:rPr>
          <w:sz w:val="20"/>
          <w:szCs w:val="20"/>
          <w:color w:val="auto"/>
        </w:rPr>
      </w:pPr>
      <w:r>
        <w:rPr>
          <w:rFonts w:ascii="Arial" w:cs="Arial" w:eastAsia="Arial" w:hAnsi="Arial"/>
          <w:sz w:val="16"/>
          <w:szCs w:val="16"/>
          <w:b w:val="1"/>
          <w:bCs w:val="1"/>
          <w:i w:val="1"/>
          <w:iCs w:val="1"/>
          <w:color w:val="auto"/>
        </w:rPr>
        <w:t>Macroeconomic and Geopolitical Changes</w:t>
      </w:r>
    </w:p>
    <w:p>
      <w:pPr>
        <w:spacing w:after="0" w:line="167" w:lineRule="exact"/>
        <w:rPr>
          <w:sz w:val="20"/>
          <w:szCs w:val="20"/>
          <w:color w:val="auto"/>
        </w:rPr>
      </w:pPr>
    </w:p>
    <w:p>
      <w:pPr>
        <w:ind w:right="260" w:firstLine="324"/>
        <w:spacing w:after="0" w:line="268" w:lineRule="auto"/>
        <w:rPr>
          <w:sz w:val="20"/>
          <w:szCs w:val="20"/>
          <w:color w:val="auto"/>
        </w:rPr>
      </w:pPr>
      <w:r>
        <w:rPr>
          <w:rFonts w:ascii="Arial" w:cs="Arial" w:eastAsia="Arial" w:hAnsi="Arial"/>
          <w:sz w:val="16"/>
          <w:szCs w:val="16"/>
          <w:color w:val="auto"/>
        </w:rPr>
        <w:t>Global macroeconomic and geopolitical factors, including immigration, trade and regulatory policies, the conflict in Ukraine, unemployment, inflation, currency fluctuations, and the rate of digital remittance adoption impact demand for our services and the options that we can offer. These factors evolve over time and periods of significant currency appreciation or depreciation, whether in send or receive currencies, changes to global migration patterns, and changes to digital adoption trends may shift the timing and volume of transactions, or the number of customers using our service.</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the COVID-19 Pandemic</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5"/>
          <w:szCs w:val="15"/>
          <w:color w:val="auto"/>
        </w:rPr>
        <w:t>The COVID-19 pandemic has had, and continues to have, a significant impact on the U.S. economy and the markets in which we operate. As a result of the COVID-19 pandemic, our business, and the digital financial services industry in general, saw accelerated growth, as digital remittances increasingly became the choice of senders and receivers; however, we also experienced disruptions. In response to the COVID-19 pandemic, government authorities and businesses globally implemented varying levels of travel restrictions, border closures, quarantines, shelter-in-place and lockdown orders, mask and social distancing requirements, and business limitations and shutdowns, which contributed to a variety of changes to consumer behavior as well as to government and business practices. As a result, we observed that consumer behavior evolved rapidly to favor forms of commerce that do not require in-person interactions, with acceleration in the shift to digital and contactless forms of payment. During 2020 and 2021, this led to rapid customer, transaction, and revenue growth for our business. We have experienced a stabilization in growth in 2022. It remains unclear to what extent these conditions will impact our customers’ behavior in the future.</w:t>
      </w:r>
    </w:p>
    <w:p>
      <w:pPr>
        <w:spacing w:after="0" w:line="122" w:lineRule="exact"/>
        <w:rPr>
          <w:sz w:val="20"/>
          <w:szCs w:val="20"/>
          <w:color w:val="auto"/>
        </w:rPr>
      </w:pPr>
    </w:p>
    <w:p>
      <w:pPr>
        <w:ind w:right="40" w:firstLine="324"/>
        <w:spacing w:after="0" w:line="268" w:lineRule="auto"/>
        <w:rPr>
          <w:sz w:val="20"/>
          <w:szCs w:val="20"/>
          <w:color w:val="auto"/>
        </w:rPr>
      </w:pPr>
      <w:r>
        <w:rPr>
          <w:rFonts w:ascii="Arial" w:cs="Arial" w:eastAsia="Arial" w:hAnsi="Arial"/>
          <w:sz w:val="16"/>
          <w:szCs w:val="16"/>
          <w:color w:val="auto"/>
        </w:rPr>
        <w:t>In some cases, pandemic-related measures also negatively impacted Remitly, including disruptions to workforce stability during 2020 and 2021. However, certain operating expenses during those years grew more slowly than usual due to reduced business travel and the virtualization or cancellation of events. These operating expenses will, and have begun to, return to normal growth levels as pandemic restrictions are lifted. We expect that our operating costs will increase during the remainder of 2022 as business travel and other events resume.</w:t>
      </w:r>
    </w:p>
    <w:p>
      <w:pPr>
        <w:spacing w:after="0" w:line="123" w:lineRule="exact"/>
        <w:rPr>
          <w:sz w:val="20"/>
          <w:szCs w:val="20"/>
          <w:color w:val="auto"/>
        </w:rPr>
      </w:pPr>
    </w:p>
    <w:p>
      <w:pPr>
        <w:ind w:right="20" w:firstLine="324"/>
        <w:spacing w:after="0" w:line="262" w:lineRule="auto"/>
        <w:rPr>
          <w:sz w:val="20"/>
          <w:szCs w:val="20"/>
          <w:color w:val="auto"/>
        </w:rPr>
      </w:pPr>
      <w:r>
        <w:rPr>
          <w:rFonts w:ascii="Arial" w:cs="Arial" w:eastAsia="Arial" w:hAnsi="Arial"/>
          <w:sz w:val="16"/>
          <w:szCs w:val="16"/>
          <w:color w:val="auto"/>
        </w:rPr>
        <w:t>The full extent to which the COVID-19 pandemic will directly or indirectly impact our business, results of operations, cash flows, and financial condition will depend on future developments that are highly uncertain and cannot be accurately predicted, particularly if new variants of the virus emerge. While we expect the trend towards increased use of digital payments to continue, its velocity may abate as conditions change. In addition, the impact from new variants and other factors arising from the COVID-19 pandemic could adversely effect the use of our services by our customers, the ability of our employees to perform work, and our business generally, which could have a material adverse impact on our operating and financial results.</w:t>
      </w:r>
    </w:p>
    <w:p>
      <w:pPr>
        <w:spacing w:after="0" w:line="130" w:lineRule="exact"/>
        <w:rPr>
          <w:sz w:val="20"/>
          <w:szCs w:val="20"/>
          <w:color w:val="auto"/>
        </w:rPr>
      </w:pPr>
    </w:p>
    <w:p>
      <w:pPr>
        <w:ind w:right="480" w:firstLine="324"/>
        <w:spacing w:after="0" w:line="275" w:lineRule="auto"/>
        <w:rPr>
          <w:sz w:val="20"/>
          <w:szCs w:val="20"/>
          <w:color w:val="auto"/>
        </w:rPr>
      </w:pPr>
      <w:r>
        <w:rPr>
          <w:rFonts w:ascii="Arial" w:cs="Arial" w:eastAsia="Arial" w:hAnsi="Arial"/>
          <w:sz w:val="16"/>
          <w:szCs w:val="16"/>
          <w:color w:val="auto"/>
        </w:rPr>
        <w:t>We will continue to actively monitor the situation and may take further actions that may alter our business practices as may be required by federal, state, or local authorities or that we determine are in the best interests of our employees, customers, or business partners.</w:t>
      </w:r>
    </w:p>
    <w:p>
      <w:pPr>
        <w:spacing w:after="0" w:line="132" w:lineRule="exact"/>
        <w:rPr>
          <w:sz w:val="20"/>
          <w:szCs w:val="20"/>
          <w:color w:val="auto"/>
        </w:rPr>
      </w:pPr>
    </w:p>
    <w:p>
      <w:pPr>
        <w:ind w:right="460" w:firstLine="324"/>
        <w:spacing w:after="0" w:line="466" w:lineRule="auto"/>
        <w:rPr>
          <w:sz w:val="20"/>
          <w:szCs w:val="20"/>
          <w:color w:val="auto"/>
        </w:rPr>
      </w:pPr>
      <w:r>
        <w:rPr>
          <w:rFonts w:ascii="Arial" w:cs="Arial" w:eastAsia="Arial" w:hAnsi="Arial"/>
          <w:sz w:val="16"/>
          <w:szCs w:val="16"/>
          <w:color w:val="auto"/>
        </w:rPr>
        <w:t xml:space="preserve">Throughout the COVID-19 pandemic, the Company has remained focused on serving its customers and communities, as well as the well-being of its employees. </w:t>
      </w:r>
      <w:r>
        <w:rPr>
          <w:rFonts w:ascii="Arial" w:cs="Arial" w:eastAsia="Arial" w:hAnsi="Arial"/>
          <w:sz w:val="16"/>
          <w:szCs w:val="16"/>
          <w:b w:val="1"/>
          <w:bCs w:val="1"/>
          <w:color w:val="auto"/>
        </w:rPr>
        <w:t>Components of Results of Operations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67" w:lineRule="exact"/>
        <w:rPr>
          <w:sz w:val="20"/>
          <w:szCs w:val="20"/>
          <w:color w:val="auto"/>
        </w:rPr>
      </w:pPr>
    </w:p>
    <w:p>
      <w:pPr>
        <w:ind w:firstLine="324"/>
        <w:spacing w:after="0" w:line="262" w:lineRule="auto"/>
        <w:rPr>
          <w:sz w:val="20"/>
          <w:szCs w:val="20"/>
          <w:color w:val="auto"/>
        </w:rPr>
      </w:pPr>
      <w:r>
        <w:rPr>
          <w:rFonts w:ascii="Arial" w:cs="Arial" w:eastAsia="Arial" w:hAnsi="Arial"/>
          <w:sz w:val="16"/>
          <w:szCs w:val="16"/>
          <w:color w:val="auto"/>
        </w:rPr>
        <w:t>The Company’s revenue is generated on transaction fees charged to customers and foreign exchange spreads between the foreign exchange rate offered to customers and the foreign exchange rate on the Company’s currency purchases. Revenue is recognized when control of these services is transferred to the Company’s customers, which is the time the funds have been delivered to the intended recipient in an amount that reflects the consideration the Company expects to be entitled to in exchange for services provided.</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Costs and expenses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Transaction Expenses</w:t>
      </w:r>
    </w:p>
    <w:p>
      <w:pPr>
        <w:spacing w:after="0" w:line="167"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Transaction expenses include fees paid to disbursement partners for paying funds to the recipient, provisions for transaction losses, fees paid to payment processors for funding transactions, bad debt expense, chargebacks, fraud prevention, and compliance tools.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Reserve for Transaction Losses</w:t>
      </w:r>
    </w:p>
    <w:p>
      <w:pPr>
        <w:spacing w:after="0" w:line="167" w:lineRule="exact"/>
        <w:rPr>
          <w:sz w:val="20"/>
          <w:szCs w:val="20"/>
          <w:color w:val="auto"/>
        </w:rPr>
      </w:pPr>
    </w:p>
    <w:p>
      <w:pPr>
        <w:ind w:right="20" w:firstLine="324"/>
        <w:spacing w:after="0" w:line="268" w:lineRule="auto"/>
        <w:rPr>
          <w:sz w:val="20"/>
          <w:szCs w:val="20"/>
          <w:color w:val="auto"/>
        </w:rPr>
      </w:pPr>
      <w:r>
        <w:rPr>
          <w:rFonts w:ascii="Arial" w:cs="Arial" w:eastAsia="Arial" w:hAnsi="Arial"/>
          <w:sz w:val="16"/>
          <w:szCs w:val="16"/>
          <w:color w:val="auto"/>
        </w:rPr>
        <w:t>The Company is exposed to transaction losses including chargebacks, unauthorized credit card use, fraud associated with customer transactions and other non-fraud-related losses. The Company establishes reserves for such losses based on historical trends and any specific risks identified in processing customer transactions. This reserve is included in ‘</w:t>
      </w:r>
      <w:r>
        <w:rPr>
          <w:rFonts w:ascii="Arial" w:cs="Arial" w:eastAsia="Arial" w:hAnsi="Arial"/>
          <w:sz w:val="16"/>
          <w:szCs w:val="16"/>
          <w:i w:val="1"/>
          <w:iCs w:val="1"/>
          <w:color w:val="auto"/>
        </w:rPr>
        <w:t>Accrued expenses and other current liabilities</w:t>
      </w:r>
      <w:r>
        <w:rPr>
          <w:rFonts w:ascii="Arial" w:cs="Arial" w:eastAsia="Arial" w:hAnsi="Arial"/>
          <w:sz w:val="16"/>
          <w:szCs w:val="16"/>
          <w:color w:val="auto"/>
        </w:rPr>
        <w:t>’ on the Condensed Consolidated Balance Sheets. The provision for transaction losses is included as a component of ‘</w:t>
      </w:r>
      <w:r>
        <w:rPr>
          <w:rFonts w:ascii="Arial" w:cs="Arial" w:eastAsia="Arial" w:hAnsi="Arial"/>
          <w:sz w:val="16"/>
          <w:szCs w:val="16"/>
          <w:i w:val="1"/>
          <w:iCs w:val="1"/>
          <w:color w:val="auto"/>
        </w:rPr>
        <w:t>Transaction expenses</w:t>
      </w:r>
      <w:r>
        <w:rPr>
          <w:rFonts w:ascii="Arial" w:cs="Arial" w:eastAsia="Arial" w:hAnsi="Arial"/>
          <w:sz w:val="16"/>
          <w:szCs w:val="16"/>
          <w:color w:val="auto"/>
        </w:rPr>
        <w:t>’ within the Condensed Consolidated Statements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Customer Support and Operations</w:t>
      </w:r>
    </w:p>
    <w:p>
      <w:pPr>
        <w:spacing w:after="0" w:line="167" w:lineRule="exact"/>
        <w:rPr>
          <w:sz w:val="20"/>
          <w:szCs w:val="20"/>
          <w:color w:val="auto"/>
        </w:rPr>
      </w:pPr>
    </w:p>
    <w:p>
      <w:pPr>
        <w:ind w:right="820" w:firstLine="324"/>
        <w:spacing w:after="0" w:line="293" w:lineRule="auto"/>
        <w:rPr>
          <w:sz w:val="20"/>
          <w:szCs w:val="20"/>
          <w:color w:val="auto"/>
        </w:rPr>
      </w:pPr>
      <w:r>
        <w:rPr>
          <w:rFonts w:ascii="Arial" w:cs="Arial" w:eastAsia="Arial" w:hAnsi="Arial"/>
          <w:sz w:val="16"/>
          <w:szCs w:val="16"/>
          <w:color w:val="auto"/>
        </w:rPr>
        <w:t>Customer support and operations expenses consist primarily of personnel-related expenses associated with the Company’s customer support and operations organization, including salaries, benefits, and stock-based compensation expense, as well as third-party costs for customer support</w:t>
      </w:r>
    </w:p>
    <w:p>
      <w:pPr>
        <w:sectPr>
          <w:pgSz w:w="11900" w:h="16838" w:orient="portrait"/>
          <w:cols w:equalWidth="0" w:num="1">
            <w:col w:w="11220"/>
          </w:cols>
          <w:pgMar w:left="320" w:top="126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4" w:right="359" w:bottom="1440" w:gutter="0" w:footer="0" w:header="0"/>
          <w:type w:val="continuous"/>
        </w:sectPr>
      </w:pPr>
    </w:p>
    <w:bookmarkStart w:id="25" w:name="page26"/>
    <w:bookmarkEnd w:id="25"/>
    <w:p>
      <w:pPr>
        <w:spacing w:after="0" w:line="325" w:lineRule="auto"/>
        <w:rPr>
          <w:sz w:val="20"/>
          <w:szCs w:val="20"/>
          <w:color w:val="auto"/>
        </w:rPr>
      </w:pPr>
      <w:r>
        <w:rPr>
          <w:rFonts w:ascii="Arial" w:cs="Arial" w:eastAsia="Arial" w:hAnsi="Arial"/>
          <w:sz w:val="14"/>
          <w:szCs w:val="14"/>
          <w:color w:val="auto"/>
        </w:rPr>
        <w:t>services, and travel and related office expenses. This includes our customer service teams which directly support our customers, consisting of online support and call centers, and other costs incurred to support our customers, including related telephony costs to support these teams, customer protection and risk teams, investments in tools to effectively service our customers, and increased customer self-service capabilities. Customer support and operations expenses also include professional services fees.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Marketing</w:t>
      </w:r>
    </w:p>
    <w:p>
      <w:pPr>
        <w:spacing w:after="0" w:line="181" w:lineRule="exact"/>
        <w:rPr>
          <w:sz w:val="20"/>
          <w:szCs w:val="20"/>
          <w:color w:val="auto"/>
        </w:rPr>
      </w:pPr>
    </w:p>
    <w:p>
      <w:pPr>
        <w:ind w:right="300" w:firstLine="324"/>
        <w:spacing w:after="0" w:line="286" w:lineRule="auto"/>
        <w:rPr>
          <w:sz w:val="20"/>
          <w:szCs w:val="20"/>
          <w:color w:val="auto"/>
        </w:rPr>
      </w:pPr>
      <w:r>
        <w:rPr>
          <w:rFonts w:ascii="Arial" w:cs="Arial" w:eastAsia="Arial" w:hAnsi="Arial"/>
          <w:sz w:val="15"/>
          <w:szCs w:val="15"/>
          <w:color w:val="auto"/>
        </w:rPr>
        <w:t>Marketing expenses consist primarily of advertising costs used to attract new customers, including branding-related expenses. Marketing expenses also include personnel-related expenses associated with the Company’s marketing organization staff, including salaries, benefits and stock-based compensation expense, promotions, software subscription services dedicated for use by the Company’s marketing functions, and outside services contracted for marketing purposes.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Technology and Development</w:t>
      </w:r>
    </w:p>
    <w:p>
      <w:pPr>
        <w:spacing w:after="0" w:line="167" w:lineRule="exact"/>
        <w:rPr>
          <w:sz w:val="20"/>
          <w:szCs w:val="20"/>
          <w:color w:val="auto"/>
        </w:rPr>
      </w:pPr>
    </w:p>
    <w:p>
      <w:pPr>
        <w:ind w:right="160" w:firstLine="324"/>
        <w:spacing w:after="0" w:line="262" w:lineRule="auto"/>
        <w:rPr>
          <w:sz w:val="20"/>
          <w:szCs w:val="20"/>
          <w:color w:val="auto"/>
        </w:rPr>
      </w:pPr>
      <w:r>
        <w:rPr>
          <w:rFonts w:ascii="Arial" w:cs="Arial" w:eastAsia="Arial" w:hAnsi="Arial"/>
          <w:sz w:val="16"/>
          <w:szCs w:val="16"/>
          <w:color w:val="auto"/>
        </w:rPr>
        <w:t>Technology and development expenses consist primarily of personnel-related expenses for employees involved in the research, design, development and maintenance of both new and existing products and services, including salaries, benefits and stock-based compensation expense. Technology and development expenses also include professional services fees and costs for software subscription services, predominantly for use by the Company’s technology and development teams. Technology and development expenses also include product and engineering teams used to support the development of both internal infrastructure and internal-use software, to the extent such costs do not qualify for capitalization.</w:t>
      </w:r>
    </w:p>
    <w:p>
      <w:pPr>
        <w:spacing w:after="0" w:line="130" w:lineRule="exact"/>
        <w:rPr>
          <w:sz w:val="20"/>
          <w:szCs w:val="20"/>
          <w:color w:val="auto"/>
        </w:rPr>
      </w:pPr>
    </w:p>
    <w:p>
      <w:pPr>
        <w:ind w:right="200" w:firstLine="324"/>
        <w:spacing w:after="0" w:line="284" w:lineRule="auto"/>
        <w:rPr>
          <w:sz w:val="20"/>
          <w:szCs w:val="20"/>
          <w:color w:val="auto"/>
        </w:rPr>
      </w:pPr>
      <w:r>
        <w:rPr>
          <w:rFonts w:ascii="Arial" w:cs="Arial" w:eastAsia="Arial" w:hAnsi="Arial"/>
          <w:sz w:val="15"/>
          <w:szCs w:val="15"/>
          <w:color w:val="auto"/>
        </w:rPr>
        <w:t>We believe delivering new functionality is critical to attract new customers and expand our relationship with existing customers. We expect to continue to make investments to expand our solutions in order to enhance our customers’ experience and satisfaction, and to attract new customers. We expect our technology and development expenses to increase in absolute dollars, but they may fluctuate as a percentage of total revenue from period to period as we expand our technology and development team to develop new solutions and enhancements to existing solutions. In fiscal year 2022, as we invest in our platform to expand our offerings, improve the user experience, and drive geographic expansion, we expect technology and development expense to increase as a percentage of revenue.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167" w:lineRule="exact"/>
        <w:rPr>
          <w:sz w:val="20"/>
          <w:szCs w:val="20"/>
          <w:color w:val="auto"/>
        </w:rPr>
      </w:pPr>
    </w:p>
    <w:p>
      <w:pPr>
        <w:ind w:right="220" w:firstLine="324"/>
        <w:spacing w:after="0" w:line="269" w:lineRule="auto"/>
        <w:rPr>
          <w:sz w:val="20"/>
          <w:szCs w:val="20"/>
          <w:color w:val="auto"/>
        </w:rPr>
      </w:pPr>
      <w:r>
        <w:rPr>
          <w:rFonts w:ascii="Arial" w:cs="Arial" w:eastAsia="Arial" w:hAnsi="Arial"/>
          <w:sz w:val="16"/>
          <w:szCs w:val="16"/>
          <w:color w:val="auto"/>
        </w:rPr>
        <w:t>General and administrative expenses consist primarily of personnel-related expenses for the Company’s finance, legal, corporate development, human resources, facilities, and administrative personnel, including salaries, benefits and stock-based compensation expense. General and administrative expenses also include professional services fees, software subscriptions, facilities, indirect taxes, and other corporate expenses.</w:t>
      </w:r>
    </w:p>
    <w:p>
      <w:pPr>
        <w:spacing w:after="0" w:line="137" w:lineRule="exact"/>
        <w:rPr>
          <w:sz w:val="20"/>
          <w:szCs w:val="20"/>
          <w:color w:val="auto"/>
        </w:rPr>
      </w:pPr>
    </w:p>
    <w:p>
      <w:pPr>
        <w:ind w:right="300" w:firstLine="324"/>
        <w:spacing w:after="0" w:line="315" w:lineRule="auto"/>
        <w:rPr>
          <w:sz w:val="20"/>
          <w:szCs w:val="20"/>
          <w:color w:val="auto"/>
        </w:rPr>
      </w:pPr>
      <w:r>
        <w:rPr>
          <w:rFonts w:ascii="Arial" w:cs="Arial" w:eastAsia="Arial" w:hAnsi="Arial"/>
          <w:sz w:val="14"/>
          <w:szCs w:val="14"/>
          <w:color w:val="auto"/>
        </w:rPr>
        <w:t>We have incurred and expect to continue to incur additional expenses as a result of operating as a public company, including costs to comply with the rules and regulations applicable to companies listed on a national securities exchange, costs related to compliance and reporting obligations, and increased expenses for insurance, investor relations, and professional services. We have also invested in additional headcount to support both public company costs and to support our growth initiatives.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Depreciation and Amortization</w:t>
      </w:r>
    </w:p>
    <w:p>
      <w:pPr>
        <w:spacing w:after="0" w:line="167" w:lineRule="exact"/>
        <w:rPr>
          <w:sz w:val="20"/>
          <w:szCs w:val="20"/>
          <w:color w:val="auto"/>
        </w:rPr>
      </w:pPr>
    </w:p>
    <w:p>
      <w:pPr>
        <w:ind w:right="480" w:firstLine="324"/>
        <w:spacing w:after="0" w:line="293" w:lineRule="auto"/>
        <w:rPr>
          <w:sz w:val="20"/>
          <w:szCs w:val="20"/>
          <w:color w:val="auto"/>
        </w:rPr>
      </w:pPr>
      <w:r>
        <w:rPr>
          <w:rFonts w:ascii="Arial" w:cs="Arial" w:eastAsia="Arial" w:hAnsi="Arial"/>
          <w:sz w:val="16"/>
          <w:szCs w:val="16"/>
          <w:color w:val="auto"/>
        </w:rPr>
        <w:t>Depreciation and amortization expense includes depreciation on property and equipment and leasehold improvements, as well as the amortization of internal-use software costs and amortization of intangible assets.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Interest income consists primarily of interest income earned on our cash and cash equivalents.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Interest expense consists primarily of the interest expense on our borrowings.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Income (Expense), net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Other income (expense), net primarily consists of foreign exchange gains and losses.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 for Income Taxes</w:t>
      </w:r>
    </w:p>
    <w:p>
      <w:pPr>
        <w:spacing w:after="0" w:line="181" w:lineRule="exact"/>
        <w:rPr>
          <w:sz w:val="20"/>
          <w:szCs w:val="20"/>
          <w:color w:val="auto"/>
        </w:rPr>
      </w:pPr>
    </w:p>
    <w:p>
      <w:pPr>
        <w:jc w:val="both"/>
        <w:ind w:right="60" w:firstLine="324"/>
        <w:spacing w:after="0" w:line="261" w:lineRule="auto"/>
        <w:rPr>
          <w:sz w:val="20"/>
          <w:szCs w:val="20"/>
          <w:color w:val="auto"/>
        </w:rPr>
      </w:pPr>
      <w:r>
        <w:rPr>
          <w:rFonts w:ascii="Arial" w:cs="Arial" w:eastAsia="Arial" w:hAnsi="Arial"/>
          <w:sz w:val="16"/>
          <w:szCs w:val="16"/>
          <w:color w:val="auto"/>
        </w:rPr>
        <w:t>Provision for income taxes consists primarily of income taxes in certain foreign jurisdictions in which we conduct business and state income taxes in the United States. We maintain a full valuation allowance for U.S. deferred tax assets, which includes net operating loss carryforwards. We expect to maintain this full valuation allowance for the foreseeable future as it is more likely than not that the assets will not be realized based on our history of losses.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4"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the three and six months ended June 30, 2022 and 2021</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Revenue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6"/>
                <w:szCs w:val="16"/>
                <w:color w:val="auto"/>
              </w:rPr>
            </w:pPr>
          </w:p>
        </w:tc>
        <w:tc>
          <w:tcPr>
            <w:tcW w:w="1160" w:type="dxa"/>
            <w:vAlign w:val="bottom"/>
            <w:gridSpan w:val="3"/>
          </w:tcPr>
          <w:p>
            <w:pPr>
              <w:ind w:left="660"/>
              <w:spacing w:after="0"/>
              <w:rPr>
                <w:sz w:val="20"/>
                <w:szCs w:val="20"/>
                <w:color w:val="auto"/>
              </w:rPr>
            </w:pPr>
            <w:r>
              <w:rPr>
                <w:rFonts w:ascii="Arial" w:cs="Arial" w:eastAsia="Arial" w:hAnsi="Arial"/>
                <w:sz w:val="14"/>
                <w:szCs w:val="14"/>
                <w:b w:val="1"/>
                <w:bCs w:val="1"/>
                <w:color w:val="auto"/>
                <w:w w:val="93"/>
              </w:rPr>
              <w:t>Change</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160" w:type="dxa"/>
            <w:vAlign w:val="bottom"/>
          </w:tcPr>
          <w:p>
            <w:pPr>
              <w:spacing w:after="0"/>
              <w:rPr>
                <w:sz w:val="16"/>
                <w:szCs w:val="16"/>
                <w:color w:val="auto"/>
              </w:rPr>
            </w:pPr>
          </w:p>
        </w:tc>
        <w:tc>
          <w:tcPr>
            <w:tcW w:w="1200" w:type="dxa"/>
            <w:vAlign w:val="bottom"/>
            <w:gridSpan w:val="3"/>
          </w:tcPr>
          <w:p>
            <w:pPr>
              <w:ind w:left="700"/>
              <w:spacing w:after="0"/>
              <w:rPr>
                <w:sz w:val="20"/>
                <w:szCs w:val="20"/>
                <w:color w:val="auto"/>
              </w:rPr>
            </w:pPr>
            <w:r>
              <w:rPr>
                <w:rFonts w:ascii="Arial" w:cs="Arial" w:eastAsia="Arial" w:hAnsi="Arial"/>
                <w:sz w:val="14"/>
                <w:szCs w:val="14"/>
                <w:b w:val="1"/>
                <w:bCs w:val="1"/>
                <w:color w:val="auto"/>
                <w:w w:val="93"/>
              </w:rPr>
              <w:t>Change</w:t>
            </w:r>
          </w:p>
        </w:tc>
        <w:tc>
          <w:tcPr>
            <w:tcW w:w="820" w:type="dxa"/>
            <w:vAlign w:val="bottom"/>
          </w:tcPr>
          <w:p>
            <w:pPr>
              <w:spacing w:after="0"/>
              <w:rPr>
                <w:sz w:val="16"/>
                <w:szCs w:val="16"/>
                <w:color w:val="auto"/>
              </w:rPr>
            </w:pPr>
          </w:p>
        </w:tc>
      </w:tr>
      <w:tr>
        <w:trPr>
          <w:trHeight w:val="39"/>
        </w:trPr>
        <w:tc>
          <w:tcPr>
            <w:tcW w:w="23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3"/>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3"/>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84"/>
        </w:trPr>
        <w:tc>
          <w:tcPr>
            <w:tcW w:w="234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Pr>
          <w:p>
            <w:pPr>
              <w:spacing w:after="0"/>
              <w:rPr>
                <w:sz w:val="16"/>
                <w:szCs w:val="16"/>
                <w:color w:val="auto"/>
              </w:rPr>
            </w:pPr>
          </w:p>
        </w:tc>
        <w:tc>
          <w:tcPr>
            <w:tcW w:w="900" w:type="dxa"/>
            <w:vAlign w:val="bottom"/>
          </w:tcPr>
          <w:p>
            <w:pPr>
              <w:jc w:val="right"/>
              <w:ind w:right="30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2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3"/>
              </w:rPr>
              <w:t>Percent</w:t>
            </w:r>
          </w:p>
        </w:tc>
        <w:tc>
          <w:tcPr>
            <w:tcW w:w="880" w:type="dxa"/>
            <w:vAlign w:val="bottom"/>
          </w:tcPr>
          <w:p>
            <w:pPr>
              <w:jc w:val="right"/>
              <w:ind w:right="30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8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20" w:type="dxa"/>
            <w:vAlign w:val="bottom"/>
          </w:tcPr>
          <w:p>
            <w:pPr>
              <w:jc w:val="right"/>
              <w:ind w:right="244"/>
              <w:spacing w:after="0"/>
              <w:rPr>
                <w:sz w:val="20"/>
                <w:szCs w:val="20"/>
                <w:color w:val="auto"/>
              </w:rPr>
            </w:pPr>
            <w:r>
              <w:rPr>
                <w:rFonts w:ascii="Arial" w:cs="Arial" w:eastAsia="Arial" w:hAnsi="Arial"/>
                <w:sz w:val="14"/>
                <w:szCs w:val="14"/>
                <w:b w:val="1"/>
                <w:bCs w:val="1"/>
                <w:color w:val="auto"/>
                <w:w w:val="93"/>
              </w:rPr>
              <w:t>Percent</w:t>
            </w:r>
          </w:p>
        </w:tc>
      </w:tr>
      <w:tr>
        <w:trPr>
          <w:trHeight w:val="39"/>
        </w:trPr>
        <w:tc>
          <w:tcPr>
            <w:tcW w:w="23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36"/>
        </w:trPr>
        <w:tc>
          <w:tcPr>
            <w:tcW w:w="2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157,255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111,050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46,205</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42 %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293,269</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202,106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91,163</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w:t>
            </w:r>
          </w:p>
        </w:tc>
      </w:tr>
    </w:tbl>
    <w:p>
      <w:pPr>
        <w:spacing w:after="0" w:line="247" w:lineRule="exact"/>
        <w:rPr>
          <w:sz w:val="20"/>
          <w:szCs w:val="20"/>
          <w:color w:val="auto"/>
        </w:rPr>
      </w:pPr>
    </w:p>
    <w:p>
      <w:pPr>
        <w:ind w:right="20" w:firstLine="324"/>
        <w:spacing w:after="0" w:line="295" w:lineRule="auto"/>
        <w:rPr>
          <w:sz w:val="20"/>
          <w:szCs w:val="20"/>
          <w:color w:val="auto"/>
        </w:rPr>
      </w:pPr>
      <w:r>
        <w:rPr>
          <w:rFonts w:ascii="Arial" w:cs="Arial" w:eastAsia="Arial" w:hAnsi="Arial"/>
          <w:sz w:val="15"/>
          <w:szCs w:val="15"/>
          <w:color w:val="auto"/>
        </w:rPr>
        <w:t>Revenue increased $46.2 million, or 42%, to $157.3 million for the three months ended June 30, 2022. This increase was primarily driven by growth in send volume, which increased $2.0 billion, or 40%, to $7.0 billion for the three months ended June 30, 2022, compared to $5.0 billion for the three months ended June 30, 2021, reflecting an increase in active customers compared to the second quarter in 2021 and continued strength in the retention of existing customers.</w:t>
      </w:r>
    </w:p>
    <w:p>
      <w:pPr>
        <w:spacing w:after="0" w:line="106" w:lineRule="exact"/>
        <w:rPr>
          <w:sz w:val="20"/>
          <w:szCs w:val="20"/>
          <w:color w:val="auto"/>
        </w:rPr>
      </w:pPr>
    </w:p>
    <w:p>
      <w:pPr>
        <w:ind w:right="120" w:firstLine="324"/>
        <w:spacing w:after="0" w:line="269" w:lineRule="auto"/>
        <w:rPr>
          <w:sz w:val="20"/>
          <w:szCs w:val="20"/>
          <w:color w:val="auto"/>
        </w:rPr>
      </w:pPr>
      <w:r>
        <w:rPr>
          <w:rFonts w:ascii="Arial" w:cs="Arial" w:eastAsia="Arial" w:hAnsi="Arial"/>
          <w:sz w:val="16"/>
          <w:szCs w:val="16"/>
          <w:color w:val="auto"/>
        </w:rPr>
        <w:t>Revenue increased $91.2 million, or 45%, to $293.3 million for the six months ended June 30, 2022, compared to $202.1 million for the six months ended June 30, 2021. This increase in revenue was driven primarily by the growth in send volume, which increased $3.8 billion, or 41%, to $13.1 billion for the six months ended June 30, 2022, compared to $9.2 billion for the six months ended June 30, 2021.</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Transaction Expenses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6"/>
                <w:szCs w:val="16"/>
                <w:color w:val="auto"/>
              </w:rPr>
            </w:pPr>
          </w:p>
        </w:tc>
        <w:tc>
          <w:tcPr>
            <w:tcW w:w="1120" w:type="dxa"/>
            <w:vAlign w:val="bottom"/>
            <w:gridSpan w:val="3"/>
          </w:tcPr>
          <w:p>
            <w:pPr>
              <w:ind w:left="620"/>
              <w:spacing w:after="0"/>
              <w:rPr>
                <w:sz w:val="20"/>
                <w:szCs w:val="20"/>
                <w:color w:val="auto"/>
              </w:rPr>
            </w:pPr>
            <w:r>
              <w:rPr>
                <w:rFonts w:ascii="Arial" w:cs="Arial" w:eastAsia="Arial" w:hAnsi="Arial"/>
                <w:sz w:val="14"/>
                <w:szCs w:val="14"/>
                <w:b w:val="1"/>
                <w:bCs w:val="1"/>
                <w:color w:val="auto"/>
                <w:w w:val="93"/>
              </w:rPr>
              <w:t>Change</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160" w:type="dxa"/>
            <w:vAlign w:val="bottom"/>
          </w:tcPr>
          <w:p>
            <w:pPr>
              <w:spacing w:after="0"/>
              <w:rPr>
                <w:sz w:val="16"/>
                <w:szCs w:val="16"/>
                <w:color w:val="auto"/>
              </w:rPr>
            </w:pPr>
          </w:p>
        </w:tc>
        <w:tc>
          <w:tcPr>
            <w:tcW w:w="1120" w:type="dxa"/>
            <w:vAlign w:val="bottom"/>
            <w:gridSpan w:val="3"/>
          </w:tcPr>
          <w:p>
            <w:pPr>
              <w:ind w:left="640"/>
              <w:spacing w:after="0"/>
              <w:rPr>
                <w:sz w:val="20"/>
                <w:szCs w:val="20"/>
                <w:color w:val="auto"/>
              </w:rPr>
            </w:pPr>
            <w:r>
              <w:rPr>
                <w:rFonts w:ascii="Arial" w:cs="Arial" w:eastAsia="Arial" w:hAnsi="Arial"/>
                <w:sz w:val="14"/>
                <w:szCs w:val="14"/>
                <w:b w:val="1"/>
                <w:bCs w:val="1"/>
                <w:color w:val="auto"/>
                <w:w w:val="89"/>
              </w:rPr>
              <w:t>Change</w:t>
            </w:r>
          </w:p>
        </w:tc>
        <w:tc>
          <w:tcPr>
            <w:tcW w:w="780" w:type="dxa"/>
            <w:vAlign w:val="bottom"/>
          </w:tcPr>
          <w:p>
            <w:pPr>
              <w:spacing w:after="0"/>
              <w:rPr>
                <w:sz w:val="16"/>
                <w:szCs w:val="16"/>
                <w:color w:val="auto"/>
              </w:rPr>
            </w:pPr>
          </w:p>
        </w:tc>
      </w:tr>
      <w:tr>
        <w:trPr>
          <w:trHeight w:val="39"/>
        </w:trPr>
        <w:tc>
          <w:tcPr>
            <w:tcW w:w="2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3"/>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3"/>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4"/>
        </w:trPr>
        <w:tc>
          <w:tcPr>
            <w:tcW w:w="220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6"/>
                <w:szCs w:val="16"/>
                <w:color w:val="auto"/>
              </w:rPr>
            </w:pPr>
          </w:p>
        </w:tc>
        <w:tc>
          <w:tcPr>
            <w:tcW w:w="960" w:type="dxa"/>
            <w:vAlign w:val="bottom"/>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3"/>
              </w:rPr>
              <w:t>Percent</w:t>
            </w:r>
          </w:p>
        </w:tc>
        <w:tc>
          <w:tcPr>
            <w:tcW w:w="920" w:type="dxa"/>
            <w:vAlign w:val="bottom"/>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right"/>
              <w:ind w:right="204"/>
              <w:spacing w:after="0"/>
              <w:rPr>
                <w:sz w:val="20"/>
                <w:szCs w:val="20"/>
                <w:color w:val="auto"/>
              </w:rPr>
            </w:pPr>
            <w:r>
              <w:rPr>
                <w:rFonts w:ascii="Arial" w:cs="Arial" w:eastAsia="Arial" w:hAnsi="Arial"/>
                <w:sz w:val="14"/>
                <w:szCs w:val="14"/>
                <w:b w:val="1"/>
                <w:bCs w:val="1"/>
                <w:color w:val="auto"/>
                <w:w w:val="93"/>
              </w:rPr>
              <w:t>Percent</w:t>
            </w:r>
          </w:p>
        </w:tc>
      </w:tr>
      <w:tr>
        <w:trPr>
          <w:trHeight w:val="39"/>
        </w:trPr>
        <w:tc>
          <w:tcPr>
            <w:tcW w:w="22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37"/>
        </w:trPr>
        <w:tc>
          <w:tcPr>
            <w:tcW w:w="2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60,826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46,505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14,321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31 %  $</w:t>
            </w:r>
          </w:p>
        </w:tc>
        <w:tc>
          <w:tcPr>
            <w:tcW w:w="92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117,089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87,615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29,474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r>
      <w:tr>
        <w:trPr>
          <w:trHeight w:val="223"/>
        </w:trPr>
        <w:tc>
          <w:tcPr>
            <w:tcW w:w="220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bl>
    <w:p>
      <w:pPr>
        <w:spacing w:after="0" w:line="253" w:lineRule="exact"/>
        <w:rPr>
          <w:sz w:val="20"/>
          <w:szCs w:val="20"/>
          <w:color w:val="auto"/>
        </w:rPr>
      </w:pPr>
    </w:p>
    <w:p>
      <w:pPr>
        <w:ind w:firstLine="324"/>
        <w:spacing w:after="0" w:line="310" w:lineRule="auto"/>
        <w:rPr>
          <w:sz w:val="20"/>
          <w:szCs w:val="20"/>
          <w:color w:val="auto"/>
        </w:rPr>
      </w:pPr>
      <w:r>
        <w:rPr>
          <w:rFonts w:ascii="Arial" w:cs="Arial" w:eastAsia="Arial" w:hAnsi="Arial"/>
          <w:sz w:val="14"/>
          <w:szCs w:val="14"/>
          <w:color w:val="auto"/>
        </w:rPr>
        <w:t>Transaction expenses increased $14.3 million, or 31%, to $60.8 million for the three months ended June 30, 2022, compared to $46.5 million, for the three months ended June 30, 2021. The increase was primarily due to an $11.9 million increase in direct costs associated with processing a higher volume of our customers’ remittance transactions and the disbursement of our customers’ funds to their recipients, a $1.3 million increase in fraud and other losses largely driven by growth in new customers and send volume, and a $1.1 million increase in other transaction expenses, primarily related to software and tools that support our compliance and risk operations.</w:t>
      </w:r>
    </w:p>
    <w:p>
      <w:pPr>
        <w:spacing w:after="0" w:line="113" w:lineRule="exact"/>
        <w:rPr>
          <w:sz w:val="20"/>
          <w:szCs w:val="20"/>
          <w:color w:val="auto"/>
        </w:rPr>
      </w:pPr>
    </w:p>
    <w:p>
      <w:pPr>
        <w:ind w:right="60" w:firstLine="324"/>
        <w:spacing w:after="0" w:line="275" w:lineRule="auto"/>
        <w:rPr>
          <w:sz w:val="20"/>
          <w:szCs w:val="20"/>
          <w:color w:val="auto"/>
        </w:rPr>
      </w:pPr>
      <w:r>
        <w:rPr>
          <w:rFonts w:ascii="Arial" w:cs="Arial" w:eastAsia="Arial" w:hAnsi="Arial"/>
          <w:sz w:val="16"/>
          <w:szCs w:val="16"/>
          <w:color w:val="auto"/>
        </w:rPr>
        <w:t>As a percentage of revenue, transaction expenses decreased to 39% for the three months ended June 30, 2022, from 42% for the three months ended June 30, 2021, due to both better economics with partners driven by increasing scale and a reduction in fraud and other losses as a percentage of revenue.</w:t>
      </w:r>
    </w:p>
    <w:p>
      <w:pPr>
        <w:spacing w:after="0" w:line="132" w:lineRule="exact"/>
        <w:rPr>
          <w:sz w:val="20"/>
          <w:szCs w:val="20"/>
          <w:color w:val="auto"/>
        </w:rPr>
      </w:pPr>
    </w:p>
    <w:p>
      <w:pPr>
        <w:ind w:firstLine="324"/>
        <w:spacing w:after="0" w:line="284" w:lineRule="auto"/>
        <w:rPr>
          <w:sz w:val="20"/>
          <w:szCs w:val="20"/>
          <w:color w:val="auto"/>
        </w:rPr>
      </w:pPr>
      <w:r>
        <w:rPr>
          <w:rFonts w:ascii="Arial" w:cs="Arial" w:eastAsia="Arial" w:hAnsi="Arial"/>
          <w:sz w:val="15"/>
          <w:szCs w:val="15"/>
          <w:color w:val="auto"/>
        </w:rPr>
        <w:t>Transaction expenses increased $29.5 million, or 34%, to $117.1 million for the six months ended June 30, 2022, compared to $87.6 million, for the six months ended June 30, 2021. The increase was primarily due to a $23.0 million increase in direct costs associated with processing a higher volume of our customers’ remittance transactions and the disbursement of our customers’ funds to their recipients, a $4.3 million increase in fraud and other losses largely driven by growth in new customers and send volume, and a $2.2 million increase in other transaction expenses, primarily related to software and tools that support our compliance and risk operations.</w:t>
      </w:r>
    </w:p>
    <w:p>
      <w:pPr>
        <w:spacing w:after="0" w:line="115" w:lineRule="exact"/>
        <w:rPr>
          <w:sz w:val="20"/>
          <w:szCs w:val="20"/>
          <w:color w:val="auto"/>
        </w:rPr>
      </w:pPr>
    </w:p>
    <w:p>
      <w:pPr>
        <w:ind w:right="600" w:firstLine="324"/>
        <w:spacing w:after="0" w:line="293" w:lineRule="auto"/>
        <w:rPr>
          <w:sz w:val="20"/>
          <w:szCs w:val="20"/>
          <w:color w:val="auto"/>
        </w:rPr>
      </w:pPr>
      <w:r>
        <w:rPr>
          <w:rFonts w:ascii="Arial" w:cs="Arial" w:eastAsia="Arial" w:hAnsi="Arial"/>
          <w:sz w:val="16"/>
          <w:szCs w:val="16"/>
          <w:color w:val="auto"/>
        </w:rPr>
        <w:t>As a percentage of revenue, transaction expenses decreased to 40% for the six months ended June 30, 2022, from 43% for the six months ended June 30, 2021, primarily due to better economics with partners driven by increasing scale.</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Customer Support and Operations Expenses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6"/>
                <w:szCs w:val="16"/>
                <w:color w:val="auto"/>
              </w:rPr>
            </w:pPr>
          </w:p>
        </w:tc>
        <w:tc>
          <w:tcPr>
            <w:tcW w:w="1140" w:type="dxa"/>
            <w:vAlign w:val="bottom"/>
            <w:gridSpan w:val="3"/>
          </w:tcPr>
          <w:p>
            <w:pPr>
              <w:ind w:left="640"/>
              <w:spacing w:after="0"/>
              <w:rPr>
                <w:sz w:val="20"/>
                <w:szCs w:val="20"/>
                <w:color w:val="auto"/>
              </w:rPr>
            </w:pPr>
            <w:r>
              <w:rPr>
                <w:rFonts w:ascii="Arial" w:cs="Arial" w:eastAsia="Arial" w:hAnsi="Arial"/>
                <w:sz w:val="14"/>
                <w:szCs w:val="14"/>
                <w:b w:val="1"/>
                <w:bCs w:val="1"/>
                <w:color w:val="auto"/>
                <w:w w:val="93"/>
              </w:rPr>
              <w:t>Change</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6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Pr>
          <w:p>
            <w:pPr>
              <w:spacing w:after="0"/>
              <w:rPr>
                <w:sz w:val="16"/>
                <w:szCs w:val="16"/>
                <w:color w:val="auto"/>
              </w:rPr>
            </w:pPr>
          </w:p>
        </w:tc>
        <w:tc>
          <w:tcPr>
            <w:tcW w:w="1140" w:type="dxa"/>
            <w:vAlign w:val="bottom"/>
            <w:gridSpan w:val="3"/>
          </w:tcPr>
          <w:p>
            <w:pPr>
              <w:ind w:left="640"/>
              <w:spacing w:after="0"/>
              <w:rPr>
                <w:sz w:val="20"/>
                <w:szCs w:val="20"/>
                <w:color w:val="auto"/>
              </w:rPr>
            </w:pPr>
            <w:r>
              <w:rPr>
                <w:rFonts w:ascii="Arial" w:cs="Arial" w:eastAsia="Arial" w:hAnsi="Arial"/>
                <w:sz w:val="14"/>
                <w:szCs w:val="14"/>
                <w:b w:val="1"/>
                <w:bCs w:val="1"/>
                <w:color w:val="auto"/>
                <w:w w:val="93"/>
              </w:rPr>
              <w:t>Change</w:t>
            </w:r>
          </w:p>
        </w:tc>
        <w:tc>
          <w:tcPr>
            <w:tcW w:w="780" w:type="dxa"/>
            <w:vAlign w:val="bottom"/>
          </w:tcPr>
          <w:p>
            <w:pPr>
              <w:spacing w:after="0"/>
              <w:rPr>
                <w:sz w:val="16"/>
                <w:szCs w:val="16"/>
                <w:color w:val="auto"/>
              </w:rPr>
            </w:pPr>
          </w:p>
        </w:tc>
      </w:tr>
      <w:tr>
        <w:trPr>
          <w:trHeight w:val="39"/>
        </w:trPr>
        <w:tc>
          <w:tcPr>
            <w:tcW w:w="21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4"/>
        </w:trPr>
        <w:tc>
          <w:tcPr>
            <w:tcW w:w="216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6"/>
                <w:szCs w:val="16"/>
                <w:color w:val="auto"/>
              </w:rPr>
            </w:pPr>
          </w:p>
        </w:tc>
        <w:tc>
          <w:tcPr>
            <w:tcW w:w="980" w:type="dxa"/>
            <w:vAlign w:val="bottom"/>
          </w:tcPr>
          <w:p>
            <w:pPr>
              <w:jc w:val="right"/>
              <w:ind w:right="36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3"/>
              </w:rPr>
              <w:t>Percent</w:t>
            </w:r>
          </w:p>
        </w:tc>
        <w:tc>
          <w:tcPr>
            <w:tcW w:w="900" w:type="dxa"/>
            <w:vAlign w:val="bottom"/>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right"/>
              <w:ind w:right="204"/>
              <w:spacing w:after="0"/>
              <w:rPr>
                <w:sz w:val="20"/>
                <w:szCs w:val="20"/>
                <w:color w:val="auto"/>
              </w:rPr>
            </w:pPr>
            <w:r>
              <w:rPr>
                <w:rFonts w:ascii="Arial" w:cs="Arial" w:eastAsia="Arial" w:hAnsi="Arial"/>
                <w:sz w:val="14"/>
                <w:szCs w:val="14"/>
                <w:b w:val="1"/>
                <w:bCs w:val="1"/>
                <w:color w:val="auto"/>
                <w:w w:val="93"/>
              </w:rPr>
              <w:t>Percent</w:t>
            </w:r>
          </w:p>
        </w:tc>
      </w:tr>
      <w:tr>
        <w:trPr>
          <w:trHeight w:val="39"/>
        </w:trPr>
        <w:tc>
          <w:tcPr>
            <w:tcW w:w="21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00"/>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support and</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26"/>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16,855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11,799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43 %  $</w:t>
            </w:r>
          </w:p>
        </w:tc>
        <w:tc>
          <w:tcPr>
            <w:tcW w:w="9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30,725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20,430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10,295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r>
      <w:tr>
        <w:trPr>
          <w:trHeight w:val="224"/>
        </w:trPr>
        <w:tc>
          <w:tcPr>
            <w:tcW w:w="216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r>
    </w:tbl>
    <w:p>
      <w:pPr>
        <w:spacing w:after="0" w:line="266" w:lineRule="exact"/>
        <w:rPr>
          <w:sz w:val="20"/>
          <w:szCs w:val="20"/>
          <w:color w:val="auto"/>
        </w:rPr>
      </w:pPr>
    </w:p>
    <w:p>
      <w:pPr>
        <w:ind w:right="40" w:firstLine="324"/>
        <w:spacing w:after="0" w:line="262" w:lineRule="auto"/>
        <w:rPr>
          <w:sz w:val="20"/>
          <w:szCs w:val="20"/>
          <w:color w:val="auto"/>
        </w:rPr>
      </w:pPr>
      <w:r>
        <w:rPr>
          <w:rFonts w:ascii="Arial" w:cs="Arial" w:eastAsia="Arial" w:hAnsi="Arial"/>
          <w:sz w:val="16"/>
          <w:szCs w:val="16"/>
          <w:color w:val="auto"/>
        </w:rPr>
        <w:t>Customer support and operations expenses increased $5.1 million, or 43%, for the three months ended June 30, 2022, compared to the three months ended June 30, 2021. The increase was primarily driven by a $1.9 million increase in internal personnel costs at our sites in the Philippines, Nicaragua, and Ireland that support customer operations, a $1.7 million increase in third-party customer support costs, a $0.9 million increase in software and telephony costs as we supported more active customers, and $0.6 million in other operating expenses.</w:t>
      </w:r>
    </w:p>
    <w:p>
      <w:pPr>
        <w:spacing w:after="0" w:line="142" w:lineRule="exact"/>
        <w:rPr>
          <w:sz w:val="20"/>
          <w:szCs w:val="20"/>
          <w:color w:val="auto"/>
        </w:rPr>
      </w:pPr>
    </w:p>
    <w:p>
      <w:pPr>
        <w:ind w:right="80" w:firstLine="324"/>
        <w:spacing w:after="0" w:line="275" w:lineRule="auto"/>
        <w:rPr>
          <w:sz w:val="20"/>
          <w:szCs w:val="20"/>
          <w:color w:val="auto"/>
        </w:rPr>
      </w:pPr>
      <w:r>
        <w:rPr>
          <w:rFonts w:ascii="Arial" w:cs="Arial" w:eastAsia="Arial" w:hAnsi="Arial"/>
          <w:sz w:val="16"/>
          <w:szCs w:val="16"/>
          <w:color w:val="auto"/>
        </w:rPr>
        <w:t>As a percentage of revenue, customer support and operations expenses remained flat at 11% for the three months ended June 30, 2022 as compared to the three months ended June 30, 2021.</w:t>
      </w:r>
    </w:p>
    <w:p>
      <w:pPr>
        <w:spacing w:after="0" w:line="118"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Customer support and operations expenses increased $10.3 million, or 50%, for the six months ended June 30, 2022, compared to the six months ended June 30, 2021. The increase was primarily driven by a $4.0 million increase in third-party customer support costs, a $3.9 million increase in</w:t>
      </w:r>
    </w:p>
    <w:p>
      <w:pPr>
        <w:sectPr>
          <w:pgSz w:w="11900" w:h="16838" w:orient="portrait"/>
          <w:cols w:equalWidth="0" w:num="1">
            <w:col w:w="11240"/>
          </w:cols>
          <w:pgMar w:left="320" w:top="12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type w:val="continuous"/>
        </w:sectPr>
      </w:pPr>
    </w:p>
    <w:bookmarkStart w:id="27" w:name="page28"/>
    <w:bookmarkEnd w:id="27"/>
    <w:p>
      <w:pPr>
        <w:spacing w:after="0" w:line="275" w:lineRule="auto"/>
        <w:rPr>
          <w:sz w:val="20"/>
          <w:szCs w:val="20"/>
          <w:color w:val="auto"/>
        </w:rPr>
      </w:pPr>
      <w:r>
        <w:rPr>
          <w:rFonts w:ascii="Arial" w:cs="Arial" w:eastAsia="Arial" w:hAnsi="Arial"/>
          <w:sz w:val="16"/>
          <w:szCs w:val="16"/>
          <w:color w:val="auto"/>
        </w:rPr>
        <w:t>internal personnel costs at our sites in the Philippines, Nicaragua, and Ireland that support customer operations, a $1.7 million increase in software and telephony costs as we supported more active customers, and a $0.7 million increase in other operating expenses.</w:t>
      </w:r>
    </w:p>
    <w:p>
      <w:pPr>
        <w:spacing w:after="0" w:line="132" w:lineRule="exact"/>
        <w:rPr>
          <w:sz w:val="20"/>
          <w:szCs w:val="20"/>
          <w:color w:val="auto"/>
        </w:rPr>
      </w:pPr>
    </w:p>
    <w:p>
      <w:pPr>
        <w:ind w:right="320" w:firstLine="324"/>
        <w:spacing w:after="0" w:line="275" w:lineRule="auto"/>
        <w:rPr>
          <w:sz w:val="20"/>
          <w:szCs w:val="20"/>
          <w:color w:val="auto"/>
        </w:rPr>
      </w:pPr>
      <w:r>
        <w:rPr>
          <w:rFonts w:ascii="Arial" w:cs="Arial" w:eastAsia="Arial" w:hAnsi="Arial"/>
          <w:sz w:val="16"/>
          <w:szCs w:val="16"/>
          <w:color w:val="auto"/>
        </w:rPr>
        <w:t>As a percentage of revenue, customer support and operations expenses remained flat at 10% for the six months ended June 30, 2022 as compared to the six months ended June 30, 2021.</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Marketing Expenses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6"/>
                <w:szCs w:val="16"/>
                <w:color w:val="auto"/>
              </w:rPr>
            </w:pPr>
          </w:p>
        </w:tc>
        <w:tc>
          <w:tcPr>
            <w:tcW w:w="1140" w:type="dxa"/>
            <w:vAlign w:val="bottom"/>
            <w:gridSpan w:val="3"/>
          </w:tcPr>
          <w:p>
            <w:pPr>
              <w:ind w:left="640"/>
              <w:spacing w:after="0"/>
              <w:rPr>
                <w:sz w:val="20"/>
                <w:szCs w:val="20"/>
                <w:color w:val="auto"/>
              </w:rPr>
            </w:pPr>
            <w:r>
              <w:rPr>
                <w:rFonts w:ascii="Arial" w:cs="Arial" w:eastAsia="Arial" w:hAnsi="Arial"/>
                <w:sz w:val="14"/>
                <w:szCs w:val="14"/>
                <w:b w:val="1"/>
                <w:bCs w:val="1"/>
                <w:color w:val="auto"/>
                <w:w w:val="93"/>
              </w:rPr>
              <w:t>Change</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160" w:type="dxa"/>
            <w:vAlign w:val="bottom"/>
          </w:tcPr>
          <w:p>
            <w:pPr>
              <w:spacing w:after="0"/>
              <w:rPr>
                <w:sz w:val="16"/>
                <w:szCs w:val="16"/>
                <w:color w:val="auto"/>
              </w:rPr>
            </w:pPr>
          </w:p>
        </w:tc>
        <w:tc>
          <w:tcPr>
            <w:tcW w:w="1140" w:type="dxa"/>
            <w:vAlign w:val="bottom"/>
            <w:gridSpan w:val="3"/>
          </w:tcPr>
          <w:p>
            <w:pPr>
              <w:ind w:left="640"/>
              <w:spacing w:after="0"/>
              <w:rPr>
                <w:sz w:val="20"/>
                <w:szCs w:val="20"/>
                <w:color w:val="auto"/>
              </w:rPr>
            </w:pPr>
            <w:r>
              <w:rPr>
                <w:rFonts w:ascii="Arial" w:cs="Arial" w:eastAsia="Arial" w:hAnsi="Arial"/>
                <w:sz w:val="14"/>
                <w:szCs w:val="14"/>
                <w:b w:val="1"/>
                <w:bCs w:val="1"/>
                <w:color w:val="auto"/>
                <w:w w:val="93"/>
              </w:rPr>
              <w:t>Change</w:t>
            </w:r>
          </w:p>
        </w:tc>
        <w:tc>
          <w:tcPr>
            <w:tcW w:w="780" w:type="dxa"/>
            <w:vAlign w:val="bottom"/>
          </w:tcPr>
          <w:p>
            <w:pPr>
              <w:spacing w:after="0"/>
              <w:rPr>
                <w:sz w:val="16"/>
                <w:szCs w:val="16"/>
                <w:color w:val="auto"/>
              </w:rPr>
            </w:pPr>
          </w:p>
        </w:tc>
      </w:tr>
      <w:tr>
        <w:trPr>
          <w:trHeight w:val="39"/>
        </w:trPr>
        <w:tc>
          <w:tcPr>
            <w:tcW w:w="2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4"/>
        </w:trPr>
        <w:tc>
          <w:tcPr>
            <w:tcW w:w="210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6"/>
                <w:szCs w:val="16"/>
                <w:color w:val="auto"/>
              </w:rPr>
            </w:pPr>
          </w:p>
        </w:tc>
        <w:tc>
          <w:tcPr>
            <w:tcW w:w="960" w:type="dxa"/>
            <w:vAlign w:val="bottom"/>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3"/>
              </w:rPr>
              <w:t>Percent</w:t>
            </w:r>
          </w:p>
        </w:tc>
        <w:tc>
          <w:tcPr>
            <w:tcW w:w="900" w:type="dxa"/>
            <w:vAlign w:val="bottom"/>
          </w:tcPr>
          <w:p>
            <w:pPr>
              <w:jc w:val="right"/>
              <w:ind w:right="32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right"/>
              <w:ind w:right="204"/>
              <w:spacing w:after="0"/>
              <w:rPr>
                <w:sz w:val="20"/>
                <w:szCs w:val="20"/>
                <w:color w:val="auto"/>
              </w:rPr>
            </w:pPr>
            <w:r>
              <w:rPr>
                <w:rFonts w:ascii="Arial" w:cs="Arial" w:eastAsia="Arial" w:hAnsi="Arial"/>
                <w:sz w:val="14"/>
                <w:szCs w:val="14"/>
                <w:b w:val="1"/>
                <w:bCs w:val="1"/>
                <w:color w:val="auto"/>
                <w:w w:val="93"/>
              </w:rPr>
              <w:t>Percent</w:t>
            </w:r>
          </w:p>
        </w:tc>
      </w:tr>
      <w:tr>
        <w:trPr>
          <w:trHeight w:val="39"/>
        </w:trPr>
        <w:tc>
          <w:tcPr>
            <w:tcW w:w="2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37"/>
        </w:trPr>
        <w:tc>
          <w:tcPr>
            <w:tcW w:w="2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Marketing</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43,849</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26,158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17,691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68 %  $</w:t>
            </w:r>
          </w:p>
        </w:tc>
        <w:tc>
          <w:tcPr>
            <w:tcW w:w="9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84,470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52,274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32,196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62 %</w:t>
            </w:r>
          </w:p>
        </w:tc>
      </w:tr>
      <w:tr>
        <w:trPr>
          <w:trHeight w:val="224"/>
        </w:trPr>
        <w:tc>
          <w:tcPr>
            <w:tcW w:w="210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r>
    </w:tbl>
    <w:p>
      <w:pPr>
        <w:spacing w:after="0" w:line="266" w:lineRule="exact"/>
        <w:rPr>
          <w:sz w:val="20"/>
          <w:szCs w:val="20"/>
          <w:color w:val="auto"/>
        </w:rPr>
      </w:pPr>
    </w:p>
    <w:p>
      <w:pPr>
        <w:ind w:firstLine="324"/>
        <w:spacing w:after="0" w:line="310" w:lineRule="auto"/>
        <w:rPr>
          <w:sz w:val="20"/>
          <w:szCs w:val="20"/>
          <w:color w:val="auto"/>
        </w:rPr>
      </w:pPr>
      <w:r>
        <w:rPr>
          <w:rFonts w:ascii="Arial" w:cs="Arial" w:eastAsia="Arial" w:hAnsi="Arial"/>
          <w:sz w:val="14"/>
          <w:szCs w:val="14"/>
          <w:color w:val="auto"/>
        </w:rPr>
        <w:t>Marketing expenses increased $17.7 million, or 68%, for the three months ended June 30, 2022, compared to the three months ended June 30, 2021, due primarily to an increase of $13.3 million in direct marketing expense, including online and offline marketing spend and promotion costs to acquire new customers. Personnel-related costs increased by $1.1 million, driven by a 35% increase in marketing headcount compared to the same period in 2021, as well as a $2.3 million increase in stock-based compensation expense. The increase in marketing expenses was also driven by a $1.0 million increase in other indirect marketing, employee-related costs, and software.</w:t>
      </w:r>
    </w:p>
    <w:p>
      <w:pPr>
        <w:spacing w:after="0" w:line="100"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As a percent of revenue, marketing expenses increased to 28% for the three months ended June 30, 2022, from 24% for the three months ended June 30, 2021, due to growth in new customers and higher customer acquisition costs as our marketing spend was mostly dedicated to acquiring new customers.</w:t>
      </w:r>
    </w:p>
    <w:p>
      <w:pPr>
        <w:spacing w:after="0" w:line="104" w:lineRule="exact"/>
        <w:rPr>
          <w:sz w:val="20"/>
          <w:szCs w:val="20"/>
          <w:color w:val="auto"/>
        </w:rPr>
      </w:pPr>
    </w:p>
    <w:p>
      <w:pPr>
        <w:ind w:right="140" w:firstLine="324"/>
        <w:spacing w:after="0" w:line="262" w:lineRule="auto"/>
        <w:rPr>
          <w:sz w:val="20"/>
          <w:szCs w:val="20"/>
          <w:color w:val="auto"/>
        </w:rPr>
      </w:pPr>
      <w:r>
        <w:rPr>
          <w:rFonts w:ascii="Arial" w:cs="Arial" w:eastAsia="Arial" w:hAnsi="Arial"/>
          <w:sz w:val="16"/>
          <w:szCs w:val="16"/>
          <w:color w:val="auto"/>
        </w:rPr>
        <w:t>Marketing expenses increased $32.2 million, or 62%, for the six months ended June 30, 2022, compared to the six months ended June 30, 2021, due primarily to an increase of $24.9 million in direct marketing expense, including online and offline marketing spend and promotion costs to acquire new customers. Personnel-related costs increased by $2.4 million driven by a 36% increase in marketing headcount compared to the same period in 2021, as well as a $3.1 million increase in stock-based compensation expense. The increase in marketing expenses was also driven by a $1.8 million increase in other indirect marketing, software, employee-related costs, and professional fees.</w:t>
      </w:r>
    </w:p>
    <w:p>
      <w:pPr>
        <w:spacing w:after="0" w:line="130" w:lineRule="exact"/>
        <w:rPr>
          <w:sz w:val="20"/>
          <w:szCs w:val="20"/>
          <w:color w:val="auto"/>
        </w:rPr>
      </w:pPr>
    </w:p>
    <w:p>
      <w:pPr>
        <w:ind w:right="440" w:firstLine="324"/>
        <w:spacing w:after="0" w:line="310" w:lineRule="auto"/>
        <w:rPr>
          <w:sz w:val="20"/>
          <w:szCs w:val="20"/>
          <w:color w:val="auto"/>
        </w:rPr>
      </w:pPr>
      <w:r>
        <w:rPr>
          <w:rFonts w:ascii="Arial" w:cs="Arial" w:eastAsia="Arial" w:hAnsi="Arial"/>
          <w:sz w:val="15"/>
          <w:szCs w:val="15"/>
          <w:color w:val="auto"/>
        </w:rPr>
        <w:t>As a percent of revenue, marketing expenses increased to 29% for the six months ended June 30, 2022, from 26% for the six months ended June 30, 2021, due to growth in new customers and higher customer acquisition costs, as our marketing spend was mostly dedicated to acquiring new customers.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Technology and Development Expenses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6"/>
                <w:szCs w:val="16"/>
                <w:color w:val="auto"/>
              </w:rPr>
            </w:pPr>
          </w:p>
        </w:tc>
        <w:tc>
          <w:tcPr>
            <w:tcW w:w="1140" w:type="dxa"/>
            <w:vAlign w:val="bottom"/>
            <w:gridSpan w:val="3"/>
          </w:tcPr>
          <w:p>
            <w:pPr>
              <w:ind w:left="640"/>
              <w:spacing w:after="0"/>
              <w:rPr>
                <w:sz w:val="20"/>
                <w:szCs w:val="20"/>
                <w:color w:val="auto"/>
              </w:rPr>
            </w:pPr>
            <w:r>
              <w:rPr>
                <w:rFonts w:ascii="Arial" w:cs="Arial" w:eastAsia="Arial" w:hAnsi="Arial"/>
                <w:sz w:val="14"/>
                <w:szCs w:val="14"/>
                <w:b w:val="1"/>
                <w:bCs w:val="1"/>
                <w:color w:val="auto"/>
                <w:w w:val="93"/>
              </w:rPr>
              <w:t>Change</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160" w:type="dxa"/>
            <w:vAlign w:val="bottom"/>
          </w:tcPr>
          <w:p>
            <w:pPr>
              <w:spacing w:after="0"/>
              <w:rPr>
                <w:sz w:val="16"/>
                <w:szCs w:val="16"/>
                <w:color w:val="auto"/>
              </w:rPr>
            </w:pPr>
          </w:p>
        </w:tc>
        <w:tc>
          <w:tcPr>
            <w:tcW w:w="1140" w:type="dxa"/>
            <w:vAlign w:val="bottom"/>
            <w:gridSpan w:val="3"/>
          </w:tcPr>
          <w:p>
            <w:pPr>
              <w:ind w:left="640"/>
              <w:spacing w:after="0"/>
              <w:rPr>
                <w:sz w:val="20"/>
                <w:szCs w:val="20"/>
                <w:color w:val="auto"/>
              </w:rPr>
            </w:pPr>
            <w:r>
              <w:rPr>
                <w:rFonts w:ascii="Arial" w:cs="Arial" w:eastAsia="Arial" w:hAnsi="Arial"/>
                <w:sz w:val="14"/>
                <w:szCs w:val="14"/>
                <w:b w:val="1"/>
                <w:bCs w:val="1"/>
                <w:color w:val="auto"/>
                <w:w w:val="93"/>
              </w:rPr>
              <w:t>Change</w:t>
            </w:r>
          </w:p>
        </w:tc>
        <w:tc>
          <w:tcPr>
            <w:tcW w:w="780" w:type="dxa"/>
            <w:vAlign w:val="bottom"/>
          </w:tcPr>
          <w:p>
            <w:pPr>
              <w:spacing w:after="0"/>
              <w:rPr>
                <w:sz w:val="16"/>
                <w:szCs w:val="16"/>
                <w:color w:val="auto"/>
              </w:rPr>
            </w:pPr>
          </w:p>
        </w:tc>
      </w:tr>
      <w:tr>
        <w:trPr>
          <w:trHeight w:val="39"/>
        </w:trPr>
        <w:tc>
          <w:tcPr>
            <w:tcW w:w="2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4"/>
        </w:trPr>
        <w:tc>
          <w:tcPr>
            <w:tcW w:w="228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960" w:type="dxa"/>
            <w:vAlign w:val="bottom"/>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3"/>
              </w:rPr>
              <w:t>Percent</w:t>
            </w:r>
          </w:p>
        </w:tc>
        <w:tc>
          <w:tcPr>
            <w:tcW w:w="900" w:type="dxa"/>
            <w:vAlign w:val="bottom"/>
          </w:tcPr>
          <w:p>
            <w:pPr>
              <w:jc w:val="right"/>
              <w:ind w:right="32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right"/>
              <w:ind w:right="204"/>
              <w:spacing w:after="0"/>
              <w:rPr>
                <w:sz w:val="20"/>
                <w:szCs w:val="20"/>
                <w:color w:val="auto"/>
              </w:rPr>
            </w:pPr>
            <w:r>
              <w:rPr>
                <w:rFonts w:ascii="Arial" w:cs="Arial" w:eastAsia="Arial" w:hAnsi="Arial"/>
                <w:sz w:val="14"/>
                <w:szCs w:val="14"/>
                <w:b w:val="1"/>
                <w:bCs w:val="1"/>
                <w:color w:val="auto"/>
                <w:w w:val="93"/>
              </w:rPr>
              <w:t>Percent</w:t>
            </w:r>
          </w:p>
        </w:tc>
      </w:tr>
      <w:tr>
        <w:trPr>
          <w:trHeight w:val="39"/>
        </w:trPr>
        <w:tc>
          <w:tcPr>
            <w:tcW w:w="2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36"/>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8"/>
              </w:rPr>
              <w:t>Technology and development  $</w:t>
            </w:r>
          </w:p>
        </w:tc>
        <w:tc>
          <w:tcPr>
            <w:tcW w:w="96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36,083</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15,198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20,885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137 %  $</w:t>
            </w:r>
          </w:p>
        </w:tc>
        <w:tc>
          <w:tcPr>
            <w:tcW w:w="9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59,658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26,842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32,816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122 %</w:t>
            </w:r>
          </w:p>
        </w:tc>
      </w:tr>
      <w:tr>
        <w:trPr>
          <w:trHeight w:val="223"/>
        </w:trPr>
        <w:tc>
          <w:tcPr>
            <w:tcW w:w="228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960" w:type="dxa"/>
            <w:vAlign w:val="bottom"/>
          </w:tcPr>
          <w:p>
            <w:pPr>
              <w:jc w:val="right"/>
              <w:spacing w:after="0"/>
              <w:rPr>
                <w:sz w:val="20"/>
                <w:szCs w:val="20"/>
                <w:color w:val="auto"/>
              </w:rPr>
            </w:pPr>
            <w:r>
              <w:rPr>
                <w:rFonts w:ascii="Arial" w:cs="Arial" w:eastAsia="Arial" w:hAnsi="Arial"/>
                <w:sz w:val="16"/>
                <w:szCs w:val="16"/>
                <w:color w:val="auto"/>
              </w:rPr>
              <w:t>23 %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r>
    </w:tbl>
    <w:p>
      <w:pPr>
        <w:spacing w:after="0" w:line="266" w:lineRule="exact"/>
        <w:rPr>
          <w:sz w:val="20"/>
          <w:szCs w:val="20"/>
          <w:color w:val="auto"/>
        </w:rPr>
      </w:pPr>
    </w:p>
    <w:p>
      <w:pPr>
        <w:ind w:firstLine="324"/>
        <w:spacing w:after="0" w:line="279" w:lineRule="auto"/>
        <w:rPr>
          <w:sz w:val="20"/>
          <w:szCs w:val="20"/>
          <w:color w:val="auto"/>
        </w:rPr>
      </w:pPr>
      <w:r>
        <w:rPr>
          <w:rFonts w:ascii="Arial" w:cs="Arial" w:eastAsia="Arial" w:hAnsi="Arial"/>
          <w:sz w:val="15"/>
          <w:szCs w:val="15"/>
          <w:color w:val="auto"/>
        </w:rPr>
        <w:t>Technology and development expenses increased $20.9 million, or 137% for the three months ended June 30, 2022, compared to the three months ended June 30, 2021. The increase was driven by a $5.9 million increase in personnel-related expenses resulting from a 42% increase in headcount compared to the same period in 2021 due to our continued investment in our technology platform, as well as a $12.5 million increase in stock-based compensation expense. The increase in technology and development expense was also driven by a $1.6 million increase in software costs for cloud services and employee tools due to growth in headcount and volume of transactions, a $0.5 million increase in employee related expenses, and a $0.4 million increase in facilities costs.</w:t>
      </w:r>
    </w:p>
    <w:p>
      <w:pPr>
        <w:spacing w:after="0" w:line="131" w:lineRule="exact"/>
        <w:rPr>
          <w:sz w:val="20"/>
          <w:szCs w:val="20"/>
          <w:color w:val="auto"/>
        </w:rPr>
      </w:pPr>
    </w:p>
    <w:p>
      <w:pPr>
        <w:ind w:right="160" w:firstLine="324"/>
        <w:spacing w:after="0" w:line="261" w:lineRule="auto"/>
        <w:rPr>
          <w:sz w:val="20"/>
          <w:szCs w:val="20"/>
          <w:color w:val="auto"/>
        </w:rPr>
      </w:pPr>
      <w:r>
        <w:rPr>
          <w:rFonts w:ascii="Arial" w:cs="Arial" w:eastAsia="Arial" w:hAnsi="Arial"/>
          <w:sz w:val="16"/>
          <w:szCs w:val="16"/>
          <w:color w:val="auto"/>
        </w:rPr>
        <w:t>As a percentage of revenue, technology and development expenses increased to 23% for the three months ended June 30, 2022, from 14% for the three months ended June 30, 2021, driven by an increase in stock-based compensation expense and headcount due to hiring additional personnel and contractors who are directly engaged in developing our platform and providing technology support and security.</w:t>
      </w:r>
    </w:p>
    <w:p>
      <w:pPr>
        <w:spacing w:after="0" w:line="142" w:lineRule="exact"/>
        <w:rPr>
          <w:sz w:val="20"/>
          <w:szCs w:val="20"/>
          <w:color w:val="auto"/>
        </w:rPr>
      </w:pPr>
    </w:p>
    <w:p>
      <w:pPr>
        <w:ind w:right="220" w:firstLine="324"/>
        <w:spacing w:after="0" w:line="279" w:lineRule="auto"/>
        <w:rPr>
          <w:sz w:val="20"/>
          <w:szCs w:val="20"/>
          <w:color w:val="auto"/>
        </w:rPr>
      </w:pPr>
      <w:r>
        <w:rPr>
          <w:rFonts w:ascii="Arial" w:cs="Arial" w:eastAsia="Arial" w:hAnsi="Arial"/>
          <w:sz w:val="15"/>
          <w:szCs w:val="15"/>
          <w:color w:val="auto"/>
        </w:rPr>
        <w:t>Technology and development expenses increased $32.8 million, or 122%, for the six months ended June 30, 2022, compared to the six months ended June 30, 2021. The increase was driven by $12.1 million in personnel-related expenses resulting from a 47% increase in headcount compared to the same period in 2021 due to our continued investment in our technology platform,, as well as a $16.0 million increase in stock-based compensation expense. The increase in technology and development expense was also driven by a $2.9 million increase in software costs for employee tools and cloud services due to growth in headcount and volume of transactions, a $0.8 million increase in employee related expenses, a $0.6 million increase in facilities costs, and $0.4 million increase in professional fees.</w:t>
      </w:r>
    </w:p>
    <w:p>
      <w:pPr>
        <w:spacing w:after="0" w:line="131" w:lineRule="exact"/>
        <w:rPr>
          <w:sz w:val="20"/>
          <w:szCs w:val="20"/>
          <w:color w:val="auto"/>
        </w:rPr>
      </w:pPr>
    </w:p>
    <w:p>
      <w:pPr>
        <w:ind w:right="80" w:firstLine="324"/>
        <w:spacing w:after="0" w:line="269" w:lineRule="auto"/>
        <w:rPr>
          <w:sz w:val="20"/>
          <w:szCs w:val="20"/>
          <w:color w:val="auto"/>
        </w:rPr>
      </w:pPr>
      <w:r>
        <w:rPr>
          <w:rFonts w:ascii="Arial" w:cs="Arial" w:eastAsia="Arial" w:hAnsi="Arial"/>
          <w:sz w:val="16"/>
          <w:szCs w:val="16"/>
          <w:color w:val="auto"/>
        </w:rPr>
        <w:t>As a percentage of revenue, technology and development expenses increased to 20% for the six months ended June 30, 2022, from 13% for the six months ended June 30, 2021, driven by an increase in stock-based compensation expense and headcount due to hiring additional personnel and contractors who are directly engaged in developing our platform and providing technology support and security.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4" w:right="359" w:bottom="1440" w:gutter="0" w:footer="0" w:header="0"/>
        </w:sectPr>
      </w:pPr>
    </w:p>
    <w:bookmarkStart w:id="28" w:name="page29"/>
    <w:bookmarkEnd w:id="28"/>
    <w:p>
      <w:pPr>
        <w:ind w:left="340"/>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6"/>
                <w:szCs w:val="16"/>
                <w:color w:val="auto"/>
              </w:rPr>
            </w:pPr>
          </w:p>
        </w:tc>
        <w:tc>
          <w:tcPr>
            <w:tcW w:w="1140" w:type="dxa"/>
            <w:vAlign w:val="bottom"/>
            <w:gridSpan w:val="3"/>
          </w:tcPr>
          <w:p>
            <w:pPr>
              <w:ind w:left="640"/>
              <w:spacing w:after="0"/>
              <w:rPr>
                <w:sz w:val="20"/>
                <w:szCs w:val="20"/>
                <w:color w:val="auto"/>
              </w:rPr>
            </w:pPr>
            <w:r>
              <w:rPr>
                <w:rFonts w:ascii="Arial" w:cs="Arial" w:eastAsia="Arial" w:hAnsi="Arial"/>
                <w:sz w:val="14"/>
                <w:szCs w:val="14"/>
                <w:b w:val="1"/>
                <w:bCs w:val="1"/>
                <w:color w:val="auto"/>
                <w:w w:val="93"/>
              </w:rPr>
              <w:t>Change</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160" w:type="dxa"/>
            <w:vAlign w:val="bottom"/>
          </w:tcPr>
          <w:p>
            <w:pPr>
              <w:spacing w:after="0"/>
              <w:rPr>
                <w:sz w:val="16"/>
                <w:szCs w:val="16"/>
                <w:color w:val="auto"/>
              </w:rPr>
            </w:pPr>
          </w:p>
        </w:tc>
        <w:tc>
          <w:tcPr>
            <w:tcW w:w="1140" w:type="dxa"/>
            <w:vAlign w:val="bottom"/>
            <w:gridSpan w:val="3"/>
          </w:tcPr>
          <w:p>
            <w:pPr>
              <w:ind w:left="640"/>
              <w:spacing w:after="0"/>
              <w:rPr>
                <w:sz w:val="20"/>
                <w:szCs w:val="20"/>
                <w:color w:val="auto"/>
              </w:rPr>
            </w:pPr>
            <w:r>
              <w:rPr>
                <w:rFonts w:ascii="Arial" w:cs="Arial" w:eastAsia="Arial" w:hAnsi="Arial"/>
                <w:sz w:val="14"/>
                <w:szCs w:val="14"/>
                <w:b w:val="1"/>
                <w:bCs w:val="1"/>
                <w:color w:val="auto"/>
                <w:w w:val="93"/>
              </w:rPr>
              <w:t>Change</w:t>
            </w:r>
          </w:p>
        </w:tc>
        <w:tc>
          <w:tcPr>
            <w:tcW w:w="780" w:type="dxa"/>
            <w:vAlign w:val="bottom"/>
          </w:tcPr>
          <w:p>
            <w:pPr>
              <w:spacing w:after="0"/>
              <w:rPr>
                <w:sz w:val="16"/>
                <w:szCs w:val="16"/>
                <w:color w:val="auto"/>
              </w:rPr>
            </w:pPr>
          </w:p>
        </w:tc>
      </w:tr>
      <w:tr>
        <w:trPr>
          <w:trHeight w:val="39"/>
        </w:trPr>
        <w:tc>
          <w:tcPr>
            <w:tcW w:w="2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4"/>
        </w:trPr>
        <w:tc>
          <w:tcPr>
            <w:tcW w:w="212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6"/>
                <w:szCs w:val="16"/>
                <w:color w:val="auto"/>
              </w:rPr>
            </w:pPr>
          </w:p>
        </w:tc>
        <w:tc>
          <w:tcPr>
            <w:tcW w:w="960" w:type="dxa"/>
            <w:vAlign w:val="bottom"/>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3"/>
              </w:rPr>
              <w:t>Percent</w:t>
            </w:r>
          </w:p>
        </w:tc>
        <w:tc>
          <w:tcPr>
            <w:tcW w:w="900" w:type="dxa"/>
            <w:vAlign w:val="bottom"/>
          </w:tcPr>
          <w:p>
            <w:pPr>
              <w:jc w:val="right"/>
              <w:ind w:right="32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right"/>
              <w:ind w:right="204"/>
              <w:spacing w:after="0"/>
              <w:rPr>
                <w:sz w:val="20"/>
                <w:szCs w:val="20"/>
                <w:color w:val="auto"/>
              </w:rPr>
            </w:pPr>
            <w:r>
              <w:rPr>
                <w:rFonts w:ascii="Arial" w:cs="Arial" w:eastAsia="Arial" w:hAnsi="Arial"/>
                <w:sz w:val="14"/>
                <w:szCs w:val="14"/>
                <w:b w:val="1"/>
                <w:bCs w:val="1"/>
                <w:color w:val="auto"/>
                <w:w w:val="93"/>
              </w:rPr>
              <w:t>Percent</w:t>
            </w:r>
          </w:p>
        </w:tc>
      </w:tr>
      <w:tr>
        <w:trPr>
          <w:trHeight w:val="39"/>
        </w:trPr>
        <w:tc>
          <w:tcPr>
            <w:tcW w:w="2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37"/>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37,509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12,008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25,501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212 %  $</w:t>
            </w:r>
          </w:p>
        </w:tc>
        <w:tc>
          <w:tcPr>
            <w:tcW w:w="90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60,851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22,890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37,961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166 %</w:t>
            </w:r>
          </w:p>
        </w:tc>
      </w:tr>
      <w:tr>
        <w:trPr>
          <w:trHeight w:val="224"/>
        </w:trPr>
        <w:tc>
          <w:tcPr>
            <w:tcW w:w="212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r>
    </w:tbl>
    <w:p>
      <w:pPr>
        <w:spacing w:after="0" w:line="266" w:lineRule="exact"/>
        <w:rPr>
          <w:sz w:val="20"/>
          <w:szCs w:val="20"/>
          <w:color w:val="auto"/>
        </w:rPr>
      </w:pPr>
    </w:p>
    <w:p>
      <w:pPr>
        <w:ind w:firstLine="324"/>
        <w:spacing w:after="0" w:line="308" w:lineRule="auto"/>
        <w:rPr>
          <w:sz w:val="20"/>
          <w:szCs w:val="20"/>
          <w:color w:val="auto"/>
        </w:rPr>
      </w:pPr>
      <w:r>
        <w:rPr>
          <w:rFonts w:ascii="Arial" w:cs="Arial" w:eastAsia="Arial" w:hAnsi="Arial"/>
          <w:sz w:val="14"/>
          <w:szCs w:val="14"/>
          <w:color w:val="auto"/>
        </w:rPr>
        <w:t>General and administrative expenses increased $25.5 million, or 212%, for the three months ended June 30, 2022, compared to the three months ended June 30, 2021. This increase was primarily driven by a $5.1 million increase in personnel-related costs due to a 76% increase in general and administrative headcount compared to the same period in the prior year, as well as a $14.9 million increase in stock-based compensation expense. The increase in general and administrative expenses was also due to a $3.7 million increase in professional, regulatory, and corporate fees, a $1.6 million increase to employee-related and facilities costs, and $0.2 million increase to other operating expenses.The increase in headcount and professional, regulatory, and corporate fees has been to support the growth of the business and ongoing public company costs.</w:t>
      </w:r>
    </w:p>
    <w:p>
      <w:pPr>
        <w:spacing w:after="0" w:line="101" w:lineRule="exact"/>
        <w:rPr>
          <w:sz w:val="20"/>
          <w:szCs w:val="20"/>
          <w:color w:val="auto"/>
        </w:rPr>
      </w:pPr>
    </w:p>
    <w:p>
      <w:pPr>
        <w:ind w:right="200" w:firstLine="324"/>
        <w:spacing w:after="0" w:line="275" w:lineRule="auto"/>
        <w:rPr>
          <w:sz w:val="20"/>
          <w:szCs w:val="20"/>
          <w:color w:val="auto"/>
        </w:rPr>
      </w:pPr>
      <w:r>
        <w:rPr>
          <w:rFonts w:ascii="Arial" w:cs="Arial" w:eastAsia="Arial" w:hAnsi="Arial"/>
          <w:sz w:val="16"/>
          <w:szCs w:val="16"/>
          <w:color w:val="auto"/>
        </w:rPr>
        <w:t>As a percent of revenue, general and administrative expenses increased to 24% for the three months ended June 30, 2022, from 11% for the three months ended June 30, 2021, due to an increase in headcount, stock-based compensation, and ongoing public company costs.</w:t>
      </w:r>
    </w:p>
    <w:p>
      <w:pPr>
        <w:spacing w:after="0" w:line="132" w:lineRule="exact"/>
        <w:rPr>
          <w:sz w:val="20"/>
          <w:szCs w:val="20"/>
          <w:color w:val="auto"/>
        </w:rPr>
      </w:pPr>
    </w:p>
    <w:p>
      <w:pPr>
        <w:ind w:firstLine="324"/>
        <w:spacing w:after="0" w:line="279" w:lineRule="auto"/>
        <w:rPr>
          <w:sz w:val="20"/>
          <w:szCs w:val="20"/>
          <w:color w:val="auto"/>
        </w:rPr>
      </w:pPr>
      <w:r>
        <w:rPr>
          <w:rFonts w:ascii="Arial" w:cs="Arial" w:eastAsia="Arial" w:hAnsi="Arial"/>
          <w:sz w:val="15"/>
          <w:szCs w:val="15"/>
          <w:color w:val="auto"/>
        </w:rPr>
        <w:t>General and administrative expenses increased $38.0 million, or 166%, for the six months ended June 30, 2022, compared to the six months ended June 30, 2021. This increase was primarily driven by a $9.1 million increase in personnel-related costs due to a 74% increase in general and administrative headcount compared to the same period in the prior year, to support the growth of the business and ongoing public company costs, as well as a $18.6 million increase in stock-based compensation expense. The increase in general and administrative expense was also due to a $6.5 million increase in professional, regulatory, and corporate fees to support ongoing public company costs, a $3.0 million increase to employee-related and facilities costs, and $0.8 million increase to other operating expenses.</w:t>
      </w:r>
    </w:p>
    <w:p>
      <w:pPr>
        <w:spacing w:after="0" w:line="131" w:lineRule="exact"/>
        <w:rPr>
          <w:sz w:val="20"/>
          <w:szCs w:val="20"/>
          <w:color w:val="auto"/>
        </w:rPr>
      </w:pPr>
    </w:p>
    <w:p>
      <w:pPr>
        <w:ind w:right="580" w:firstLine="324"/>
        <w:spacing w:after="0" w:line="275" w:lineRule="auto"/>
        <w:rPr>
          <w:sz w:val="20"/>
          <w:szCs w:val="20"/>
          <w:color w:val="auto"/>
        </w:rPr>
      </w:pPr>
      <w:r>
        <w:rPr>
          <w:rFonts w:ascii="Arial" w:cs="Arial" w:eastAsia="Arial" w:hAnsi="Arial"/>
          <w:sz w:val="16"/>
          <w:szCs w:val="16"/>
          <w:color w:val="auto"/>
        </w:rPr>
        <w:t>Approximately $6.5 million of the increase in stock-based compensation expense in both the three and six months ended June 30, 2022 relates to a prior period adjustment that was corrected in the current period.</w:t>
      </w:r>
    </w:p>
    <w:p>
      <w:pPr>
        <w:spacing w:after="0" w:line="132"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color w:val="auto"/>
        </w:rPr>
        <w:t>As a percentage of revenue, general and administrative expenses increased to 21% for the six months ended June 30, 2022, from 11% for the six months ended June 30, 2021, due to an increase in headcount, stock-based compensation, and ongoing public company costs.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Depreciation and Amortization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6"/>
                <w:szCs w:val="16"/>
                <w:color w:val="auto"/>
              </w:rPr>
            </w:pPr>
          </w:p>
        </w:tc>
        <w:tc>
          <w:tcPr>
            <w:tcW w:w="1140" w:type="dxa"/>
            <w:vAlign w:val="bottom"/>
            <w:gridSpan w:val="3"/>
          </w:tcPr>
          <w:p>
            <w:pPr>
              <w:ind w:left="640"/>
              <w:spacing w:after="0"/>
              <w:rPr>
                <w:sz w:val="20"/>
                <w:szCs w:val="20"/>
                <w:color w:val="auto"/>
              </w:rPr>
            </w:pPr>
            <w:r>
              <w:rPr>
                <w:rFonts w:ascii="Arial" w:cs="Arial" w:eastAsia="Arial" w:hAnsi="Arial"/>
                <w:sz w:val="14"/>
                <w:szCs w:val="14"/>
                <w:b w:val="1"/>
                <w:bCs w:val="1"/>
                <w:color w:val="auto"/>
                <w:w w:val="93"/>
              </w:rPr>
              <w:t>Change</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40" w:type="dxa"/>
            <w:vAlign w:val="bottom"/>
            <w:gridSpan w:val="5"/>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Pr>
          <w:p>
            <w:pPr>
              <w:spacing w:after="0"/>
              <w:rPr>
                <w:sz w:val="16"/>
                <w:szCs w:val="16"/>
                <w:color w:val="auto"/>
              </w:rPr>
            </w:pPr>
          </w:p>
        </w:tc>
        <w:tc>
          <w:tcPr>
            <w:tcW w:w="1140" w:type="dxa"/>
            <w:vAlign w:val="bottom"/>
            <w:gridSpan w:val="3"/>
          </w:tcPr>
          <w:p>
            <w:pPr>
              <w:ind w:left="640"/>
              <w:spacing w:after="0"/>
              <w:rPr>
                <w:sz w:val="20"/>
                <w:szCs w:val="20"/>
                <w:color w:val="auto"/>
              </w:rPr>
            </w:pPr>
            <w:r>
              <w:rPr>
                <w:rFonts w:ascii="Arial" w:cs="Arial" w:eastAsia="Arial" w:hAnsi="Arial"/>
                <w:sz w:val="14"/>
                <w:szCs w:val="14"/>
                <w:b w:val="1"/>
                <w:bCs w:val="1"/>
                <w:color w:val="auto"/>
                <w:w w:val="93"/>
              </w:rPr>
              <w:t>Change</w:t>
            </w:r>
          </w:p>
        </w:tc>
        <w:tc>
          <w:tcPr>
            <w:tcW w:w="760" w:type="dxa"/>
            <w:vAlign w:val="bottom"/>
          </w:tcPr>
          <w:p>
            <w:pPr>
              <w:spacing w:after="0"/>
              <w:rPr>
                <w:sz w:val="16"/>
                <w:szCs w:val="16"/>
                <w:color w:val="auto"/>
              </w:rPr>
            </w:pPr>
          </w:p>
        </w:tc>
      </w:tr>
      <w:tr>
        <w:trPr>
          <w:trHeight w:val="39"/>
        </w:trPr>
        <w:tc>
          <w:tcPr>
            <w:tcW w:w="2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184"/>
        </w:trPr>
        <w:tc>
          <w:tcPr>
            <w:tcW w:w="230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960" w:type="dxa"/>
            <w:vAlign w:val="bottom"/>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3"/>
              </w:rPr>
              <w:t>Percent</w:t>
            </w:r>
          </w:p>
        </w:tc>
        <w:tc>
          <w:tcPr>
            <w:tcW w:w="900" w:type="dxa"/>
            <w:vAlign w:val="bottom"/>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2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760" w:type="dxa"/>
            <w:vAlign w:val="bottom"/>
          </w:tcPr>
          <w:p>
            <w:pPr>
              <w:jc w:val="right"/>
              <w:ind w:right="204"/>
              <w:spacing w:after="0"/>
              <w:rPr>
                <w:sz w:val="20"/>
                <w:szCs w:val="20"/>
                <w:color w:val="auto"/>
              </w:rPr>
            </w:pPr>
            <w:r>
              <w:rPr>
                <w:rFonts w:ascii="Arial" w:cs="Arial" w:eastAsia="Arial" w:hAnsi="Arial"/>
                <w:sz w:val="14"/>
                <w:szCs w:val="14"/>
                <w:b w:val="1"/>
                <w:bCs w:val="1"/>
                <w:color w:val="auto"/>
                <w:w w:val="89"/>
              </w:rPr>
              <w:t>Percent</w:t>
            </w:r>
          </w:p>
        </w:tc>
      </w:tr>
      <w:tr>
        <w:trPr>
          <w:trHeight w:val="39"/>
        </w:trPr>
        <w:tc>
          <w:tcPr>
            <w:tcW w:w="2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37"/>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9"/>
              </w:rPr>
              <w:t>Depreciation and Amortization $</w:t>
            </w:r>
          </w:p>
        </w:tc>
        <w:tc>
          <w:tcPr>
            <w:tcW w:w="96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1,510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1,326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14 %  $</w:t>
            </w:r>
          </w:p>
        </w:tc>
        <w:tc>
          <w:tcPr>
            <w:tcW w:w="900" w:type="dxa"/>
            <w:vAlign w:val="bottom"/>
            <w:shd w:val="clear" w:color="auto" w:fill="CCEEFF"/>
          </w:tcPr>
          <w:p>
            <w:pPr>
              <w:jc w:val="right"/>
              <w:ind w:right="144"/>
              <w:spacing w:after="0"/>
              <w:rPr>
                <w:sz w:val="20"/>
                <w:szCs w:val="20"/>
                <w:color w:val="auto"/>
              </w:rPr>
            </w:pPr>
            <w:r>
              <w:rPr>
                <w:rFonts w:ascii="Arial" w:cs="Arial" w:eastAsia="Arial" w:hAnsi="Arial"/>
                <w:sz w:val="16"/>
                <w:szCs w:val="16"/>
                <w:color w:val="auto"/>
              </w:rPr>
              <w:t>3,027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2,571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r>
      <w:tr>
        <w:trPr>
          <w:trHeight w:val="223"/>
        </w:trPr>
        <w:tc>
          <w:tcPr>
            <w:tcW w:w="2300" w:type="dxa"/>
            <w:vAlign w:val="bottom"/>
            <w:gridSpan w:val="2"/>
          </w:tcPr>
          <w:p>
            <w:pPr>
              <w:ind w:left="20"/>
              <w:spacing w:after="0"/>
              <w:rPr>
                <w:sz w:val="20"/>
                <w:szCs w:val="20"/>
                <w:color w:val="auto"/>
              </w:rPr>
            </w:pPr>
            <w:r>
              <w:rPr>
                <w:rFonts w:ascii="Arial" w:cs="Arial" w:eastAsia="Arial" w:hAnsi="Arial"/>
                <w:sz w:val="16"/>
                <w:szCs w:val="16"/>
                <w:color w:val="auto"/>
              </w:rPr>
              <w:t>Percentage of revenue</w:t>
            </w:r>
          </w:p>
        </w:tc>
        <w:tc>
          <w:tcPr>
            <w:tcW w:w="960" w:type="dxa"/>
            <w:vAlign w:val="bottom"/>
          </w:tcPr>
          <w:p>
            <w:pPr>
              <w:jc w:val="right"/>
              <w:spacing w:after="0"/>
              <w:rPr>
                <w:sz w:val="20"/>
                <w:szCs w:val="20"/>
                <w:color w:val="auto"/>
              </w:rPr>
            </w:pPr>
            <w:r>
              <w:rPr>
                <w:rFonts w:ascii="Arial" w:cs="Arial" w:eastAsia="Arial" w:hAnsi="Arial"/>
                <w:sz w:val="16"/>
                <w:szCs w:val="16"/>
                <w:color w:val="auto"/>
              </w:rPr>
              <w:t>1 %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r>
    </w:tbl>
    <w:p>
      <w:pPr>
        <w:spacing w:after="0" w:line="253" w:lineRule="exact"/>
        <w:rPr>
          <w:sz w:val="20"/>
          <w:szCs w:val="20"/>
          <w:color w:val="auto"/>
        </w:rPr>
      </w:pPr>
    </w:p>
    <w:p>
      <w:pPr>
        <w:ind w:right="360" w:firstLine="324"/>
        <w:spacing w:after="0" w:line="293" w:lineRule="auto"/>
        <w:rPr>
          <w:sz w:val="20"/>
          <w:szCs w:val="20"/>
          <w:color w:val="auto"/>
        </w:rPr>
      </w:pPr>
      <w:r>
        <w:rPr>
          <w:rFonts w:ascii="Arial" w:cs="Arial" w:eastAsia="Arial" w:hAnsi="Arial"/>
          <w:sz w:val="16"/>
          <w:szCs w:val="16"/>
          <w:color w:val="auto"/>
        </w:rPr>
        <w:t>Depreciation and amortization increased $0.2 million, or 14%, for the three months ended June 30, 2022, compared to the three months ended June 30, 2021. This increase is mostly due to an increase in depreciation for internally developed software, computers, and leasehold improvements.</w:t>
      </w:r>
    </w:p>
    <w:p>
      <w:pPr>
        <w:spacing w:after="0" w:line="104"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Depreciation and amortization increased $0.5 million, or 18%, for the six months ended June 30, 2022, compared to the six months ended June 30, 2021. This increase is mostly due to an increase in depreciation for internally developed software, computers, and leasehold improvements.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Interest Income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80" w:type="dxa"/>
            <w:vAlign w:val="bottom"/>
          </w:tcPr>
          <w:p>
            <w:pPr>
              <w:spacing w:after="0"/>
              <w:rPr>
                <w:sz w:val="16"/>
                <w:szCs w:val="16"/>
                <w:color w:val="auto"/>
              </w:rPr>
            </w:pPr>
          </w:p>
        </w:tc>
        <w:tc>
          <w:tcPr>
            <w:tcW w:w="20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ind w:left="620"/>
              <w:spacing w:after="0"/>
              <w:rPr>
                <w:sz w:val="20"/>
                <w:szCs w:val="20"/>
                <w:color w:val="auto"/>
              </w:rPr>
            </w:pPr>
            <w:r>
              <w:rPr>
                <w:rFonts w:ascii="Arial" w:cs="Arial" w:eastAsia="Arial" w:hAnsi="Arial"/>
                <w:sz w:val="14"/>
                <w:szCs w:val="14"/>
                <w:b w:val="1"/>
                <w:bCs w:val="1"/>
                <w:color w:val="auto"/>
                <w:w w:val="97"/>
              </w:rPr>
              <w:t>Change</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ind w:left="620"/>
              <w:spacing w:after="0"/>
              <w:rPr>
                <w:sz w:val="20"/>
                <w:szCs w:val="20"/>
                <w:color w:val="auto"/>
              </w:rPr>
            </w:pPr>
            <w:r>
              <w:rPr>
                <w:rFonts w:ascii="Arial" w:cs="Arial" w:eastAsia="Arial" w:hAnsi="Arial"/>
                <w:sz w:val="14"/>
                <w:szCs w:val="14"/>
                <w:b w:val="1"/>
                <w:bCs w:val="1"/>
                <w:color w:val="auto"/>
                <w:w w:val="97"/>
              </w:rPr>
              <w:t>Change</w:t>
            </w:r>
          </w:p>
        </w:tc>
        <w:tc>
          <w:tcPr>
            <w:tcW w:w="760" w:type="dxa"/>
            <w:vAlign w:val="bottom"/>
          </w:tcPr>
          <w:p>
            <w:pPr>
              <w:spacing w:after="0"/>
              <w:rPr>
                <w:sz w:val="16"/>
                <w:szCs w:val="16"/>
                <w:color w:val="auto"/>
              </w:rPr>
            </w:pPr>
          </w:p>
        </w:tc>
      </w:tr>
      <w:tr>
        <w:trPr>
          <w:trHeight w:val="39"/>
        </w:trPr>
        <w:tc>
          <w:tcPr>
            <w:tcW w:w="238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3"/>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184"/>
        </w:trPr>
        <w:tc>
          <w:tcPr>
            <w:tcW w:w="238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164"/>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89"/>
              </w:rPr>
              <w:t>Percent</w:t>
            </w: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ind w:right="6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760" w:type="dxa"/>
            <w:vAlign w:val="bottom"/>
          </w:tcPr>
          <w:p>
            <w:pPr>
              <w:ind w:left="40"/>
              <w:spacing w:after="0"/>
              <w:rPr>
                <w:sz w:val="20"/>
                <w:szCs w:val="20"/>
                <w:color w:val="auto"/>
              </w:rPr>
            </w:pPr>
            <w:r>
              <w:rPr>
                <w:rFonts w:ascii="Arial" w:cs="Arial" w:eastAsia="Arial" w:hAnsi="Arial"/>
                <w:sz w:val="14"/>
                <w:szCs w:val="14"/>
                <w:b w:val="1"/>
                <w:bCs w:val="1"/>
                <w:color w:val="auto"/>
              </w:rPr>
              <w:t>Percent</w:t>
            </w:r>
          </w:p>
        </w:tc>
      </w:tr>
      <w:tr>
        <w:trPr>
          <w:trHeight w:val="39"/>
        </w:trPr>
        <w:tc>
          <w:tcPr>
            <w:tcW w:w="238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36"/>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740" w:type="dxa"/>
            <w:vAlign w:val="bottom"/>
            <w:shd w:val="clear" w:color="auto" w:fill="CCEEFF"/>
          </w:tcPr>
          <w:p>
            <w:pPr>
              <w:jc w:val="right"/>
              <w:ind w:right="565"/>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439</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44"/>
              <w:spacing w:after="0"/>
              <w:rPr>
                <w:sz w:val="20"/>
                <w:szCs w:val="20"/>
                <w:color w:val="auto"/>
              </w:rPr>
            </w:pPr>
            <w:r>
              <w:rPr>
                <w:rFonts w:ascii="Arial" w:cs="Arial" w:eastAsia="Arial" w:hAnsi="Arial"/>
                <w:sz w:val="16"/>
                <w:szCs w:val="16"/>
                <w:color w:val="auto"/>
                <w:w w:val="89"/>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508"/>
              <w:spacing w:after="0"/>
              <w:rPr>
                <w:sz w:val="20"/>
                <w:szCs w:val="20"/>
                <w:color w:val="auto"/>
              </w:rPr>
            </w:pPr>
            <w:r>
              <w:rPr>
                <w:rFonts w:ascii="Arial" w:cs="Arial" w:eastAsia="Arial" w:hAnsi="Arial"/>
                <w:sz w:val="16"/>
                <w:szCs w:val="16"/>
                <w:color w:val="auto"/>
                <w:w w:val="99"/>
              </w:rPr>
              <w:t>nm  $</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475</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624"/>
              <w:spacing w:after="0"/>
              <w:rPr>
                <w:sz w:val="20"/>
                <w:szCs w:val="20"/>
                <w:color w:val="auto"/>
              </w:rPr>
            </w:pPr>
            <w:r>
              <w:rPr>
                <w:rFonts w:ascii="Arial" w:cs="Arial" w:eastAsia="Arial" w:hAnsi="Arial"/>
                <w:sz w:val="16"/>
                <w:szCs w:val="16"/>
                <w:color w:val="auto"/>
                <w:w w:val="8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8"/>
              </w:rPr>
              <w:t>10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465</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6"/>
                <w:szCs w:val="16"/>
                <w:color w:val="auto"/>
                <w:w w:val="98"/>
              </w:rPr>
              <w:t>nm</w:t>
            </w:r>
          </w:p>
        </w:tc>
      </w:tr>
      <w:tr>
        <w:trPr>
          <w:trHeight w:val="224"/>
        </w:trPr>
        <w:tc>
          <w:tcPr>
            <w:tcW w:w="2380" w:type="dxa"/>
            <w:vAlign w:val="bottom"/>
          </w:tcPr>
          <w:p>
            <w:pPr>
              <w:ind w:left="20"/>
              <w:spacing w:after="0"/>
              <w:rPr>
                <w:sz w:val="20"/>
                <w:szCs w:val="20"/>
                <w:color w:val="auto"/>
              </w:rPr>
            </w:pPr>
            <w:r>
              <w:rPr>
                <w:rFonts w:ascii="Arial" w:cs="Arial" w:eastAsia="Arial" w:hAnsi="Arial"/>
                <w:sz w:val="16"/>
                <w:szCs w:val="16"/>
                <w:color w:val="auto"/>
              </w:rPr>
              <w:t>nm = not meaningful</w:t>
            </w: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r>
    </w:tbl>
    <w:p>
      <w:pPr>
        <w:spacing w:after="0" w:line="26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Interest income increased by an immaterial amount for the three and six months ended June 30, 2022, compared to the three and six months ended June 30, 2021.</w:t>
      </w:r>
    </w:p>
    <w:p>
      <w:pPr>
        <w:spacing w:after="0" w:line="200" w:lineRule="exact"/>
        <w:rPr>
          <w:sz w:val="20"/>
          <w:szCs w:val="20"/>
          <w:color w:val="auto"/>
        </w:rPr>
      </w:pPr>
    </w:p>
    <w:p>
      <w:pPr>
        <w:spacing w:after="0" w:line="38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Interest Expense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4" w:right="3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86"/>
        </w:trPr>
        <w:tc>
          <w:tcPr>
            <w:tcW w:w="2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tcPr>
          <w:p>
            <w:pPr>
              <w:ind w:left="660"/>
              <w:spacing w:after="0"/>
              <w:rPr>
                <w:sz w:val="20"/>
                <w:szCs w:val="20"/>
                <w:color w:val="auto"/>
              </w:rPr>
            </w:pPr>
            <w:r>
              <w:rPr>
                <w:rFonts w:ascii="Arial" w:cs="Arial" w:eastAsia="Arial" w:hAnsi="Arial"/>
                <w:sz w:val="14"/>
                <w:szCs w:val="14"/>
                <w:b w:val="1"/>
                <w:bCs w:val="1"/>
                <w:color w:val="auto"/>
                <w:w w:val="97"/>
              </w:rPr>
              <w:t>Change</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Pr>
          <w:p>
            <w:pPr>
              <w:spacing w:after="0"/>
              <w:rPr>
                <w:sz w:val="16"/>
                <w:szCs w:val="16"/>
                <w:color w:val="auto"/>
              </w:rPr>
            </w:pPr>
          </w:p>
        </w:tc>
        <w:tc>
          <w:tcPr>
            <w:tcW w:w="1180" w:type="dxa"/>
            <w:vAlign w:val="bottom"/>
            <w:gridSpan w:val="3"/>
          </w:tcPr>
          <w:p>
            <w:pPr>
              <w:ind w:left="680"/>
              <w:spacing w:after="0"/>
              <w:rPr>
                <w:sz w:val="20"/>
                <w:szCs w:val="20"/>
                <w:color w:val="auto"/>
              </w:rPr>
            </w:pPr>
            <w:r>
              <w:rPr>
                <w:rFonts w:ascii="Arial" w:cs="Arial" w:eastAsia="Arial" w:hAnsi="Arial"/>
                <w:sz w:val="14"/>
                <w:szCs w:val="14"/>
                <w:b w:val="1"/>
                <w:bCs w:val="1"/>
                <w:color w:val="auto"/>
                <w:w w:val="93"/>
              </w:rPr>
              <w:t>Change</w:t>
            </w:r>
          </w:p>
        </w:tc>
        <w:tc>
          <w:tcPr>
            <w:tcW w:w="820" w:type="dxa"/>
            <w:vAlign w:val="bottom"/>
          </w:tcPr>
          <w:p>
            <w:pPr>
              <w:spacing w:after="0"/>
              <w:rPr>
                <w:sz w:val="16"/>
                <w:szCs w:val="16"/>
                <w:color w:val="auto"/>
              </w:rPr>
            </w:pPr>
          </w:p>
        </w:tc>
      </w:tr>
      <w:tr>
        <w:trPr>
          <w:trHeight w:val="39"/>
        </w:trPr>
        <w:tc>
          <w:tcPr>
            <w:tcW w:w="22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3"/>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3"/>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84"/>
        </w:trPr>
        <w:tc>
          <w:tcPr>
            <w:tcW w:w="228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Pr>
          <w:p>
            <w:pPr>
              <w:spacing w:after="0"/>
              <w:rPr>
                <w:sz w:val="16"/>
                <w:szCs w:val="16"/>
                <w:color w:val="auto"/>
              </w:rPr>
            </w:pPr>
          </w:p>
        </w:tc>
        <w:tc>
          <w:tcPr>
            <w:tcW w:w="920" w:type="dxa"/>
            <w:vAlign w:val="bottom"/>
          </w:tcPr>
          <w:p>
            <w:pPr>
              <w:jc w:val="right"/>
              <w:ind w:right="30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0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Percent</w:t>
            </w:r>
          </w:p>
        </w:tc>
        <w:tc>
          <w:tcPr>
            <w:tcW w:w="140" w:type="dxa"/>
            <w:vAlign w:val="bottom"/>
          </w:tcPr>
          <w:p>
            <w:pPr>
              <w:spacing w:after="0"/>
              <w:rPr>
                <w:sz w:val="16"/>
                <w:szCs w:val="16"/>
                <w:color w:val="auto"/>
              </w:rPr>
            </w:pPr>
          </w:p>
        </w:tc>
        <w:tc>
          <w:tcPr>
            <w:tcW w:w="860" w:type="dxa"/>
            <w:vAlign w:val="bottom"/>
          </w:tcPr>
          <w:p>
            <w:pPr>
              <w:jc w:val="right"/>
              <w:ind w:right="28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20" w:type="dxa"/>
            <w:vAlign w:val="bottom"/>
          </w:tcPr>
          <w:p>
            <w:pPr>
              <w:jc w:val="right"/>
              <w:ind w:right="224"/>
              <w:spacing w:after="0"/>
              <w:rPr>
                <w:sz w:val="20"/>
                <w:szCs w:val="20"/>
                <w:color w:val="auto"/>
              </w:rPr>
            </w:pPr>
            <w:r>
              <w:rPr>
                <w:rFonts w:ascii="Arial" w:cs="Arial" w:eastAsia="Arial" w:hAnsi="Arial"/>
                <w:sz w:val="14"/>
                <w:szCs w:val="14"/>
                <w:b w:val="1"/>
                <w:bCs w:val="1"/>
                <w:color w:val="auto"/>
                <w:w w:val="97"/>
              </w:rPr>
              <w:t>Percent</w:t>
            </w:r>
          </w:p>
        </w:tc>
      </w:tr>
      <w:tr>
        <w:trPr>
          <w:trHeight w:val="39"/>
        </w:trPr>
        <w:tc>
          <w:tcPr>
            <w:tcW w:w="22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37"/>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453"/>
        </w:trPr>
        <w:tc>
          <w:tcPr>
            <w:tcW w:w="11180" w:type="dxa"/>
            <w:vAlign w:val="bottom"/>
            <w:gridSpan w:val="25"/>
          </w:tcPr>
          <w:p>
            <w:pPr>
              <w:ind w:left="340"/>
              <w:spacing w:after="0"/>
              <w:rPr>
                <w:sz w:val="20"/>
                <w:szCs w:val="20"/>
                <w:color w:val="auto"/>
              </w:rPr>
            </w:pPr>
            <w:r>
              <w:rPr>
                <w:rFonts w:ascii="Arial" w:cs="Arial" w:eastAsia="Arial" w:hAnsi="Arial"/>
                <w:sz w:val="16"/>
                <w:szCs w:val="16"/>
                <w:color w:val="auto"/>
                <w:w w:val="96"/>
              </w:rPr>
              <w:t>Interest expense remained flat for the three and six month periods ended June 30, 2022, as compared to the three and six month periods ended June 30, 2021</w:t>
            </w:r>
          </w:p>
        </w:tc>
      </w:tr>
      <w:tr>
        <w:trPr>
          <w:trHeight w:val="756"/>
        </w:trPr>
        <w:tc>
          <w:tcPr>
            <w:tcW w:w="228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Other income, net</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72"/>
        </w:trPr>
        <w:tc>
          <w:tcPr>
            <w:tcW w:w="2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3"/>
          </w:tcPr>
          <w:p>
            <w:pPr>
              <w:ind w:left="680"/>
              <w:spacing w:after="0"/>
              <w:rPr>
                <w:sz w:val="20"/>
                <w:szCs w:val="20"/>
                <w:color w:val="auto"/>
              </w:rPr>
            </w:pPr>
            <w:r>
              <w:rPr>
                <w:rFonts w:ascii="Arial" w:cs="Arial" w:eastAsia="Arial" w:hAnsi="Arial"/>
                <w:sz w:val="14"/>
                <w:szCs w:val="14"/>
                <w:b w:val="1"/>
                <w:bCs w:val="1"/>
                <w:color w:val="auto"/>
                <w:w w:val="93"/>
              </w:rPr>
              <w:t>Change</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Pr>
          <w:p>
            <w:pPr>
              <w:spacing w:after="0"/>
              <w:rPr>
                <w:sz w:val="24"/>
                <w:szCs w:val="24"/>
                <w:color w:val="auto"/>
              </w:rPr>
            </w:pPr>
          </w:p>
        </w:tc>
        <w:tc>
          <w:tcPr>
            <w:tcW w:w="1180" w:type="dxa"/>
            <w:vAlign w:val="bottom"/>
            <w:gridSpan w:val="3"/>
          </w:tcPr>
          <w:p>
            <w:pPr>
              <w:ind w:left="680"/>
              <w:spacing w:after="0"/>
              <w:rPr>
                <w:sz w:val="20"/>
                <w:szCs w:val="20"/>
                <w:color w:val="auto"/>
              </w:rPr>
            </w:pPr>
            <w:r>
              <w:rPr>
                <w:rFonts w:ascii="Arial" w:cs="Arial" w:eastAsia="Arial" w:hAnsi="Arial"/>
                <w:sz w:val="14"/>
                <w:szCs w:val="14"/>
                <w:b w:val="1"/>
                <w:bCs w:val="1"/>
                <w:color w:val="auto"/>
                <w:w w:val="93"/>
              </w:rPr>
              <w:t>Change</w:t>
            </w:r>
          </w:p>
        </w:tc>
        <w:tc>
          <w:tcPr>
            <w:tcW w:w="820" w:type="dxa"/>
            <w:vAlign w:val="bottom"/>
          </w:tcPr>
          <w:p>
            <w:pPr>
              <w:spacing w:after="0"/>
              <w:rPr>
                <w:sz w:val="24"/>
                <w:szCs w:val="24"/>
                <w:color w:val="auto"/>
              </w:rPr>
            </w:pPr>
          </w:p>
        </w:tc>
      </w:tr>
      <w:tr>
        <w:trPr>
          <w:trHeight w:val="39"/>
        </w:trPr>
        <w:tc>
          <w:tcPr>
            <w:tcW w:w="22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3"/>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3"/>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84"/>
        </w:trPr>
        <w:tc>
          <w:tcPr>
            <w:tcW w:w="228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Pr>
          <w:p>
            <w:pPr>
              <w:spacing w:after="0"/>
              <w:rPr>
                <w:sz w:val="16"/>
                <w:szCs w:val="16"/>
                <w:color w:val="auto"/>
              </w:rPr>
            </w:pPr>
          </w:p>
        </w:tc>
        <w:tc>
          <w:tcPr>
            <w:tcW w:w="920" w:type="dxa"/>
            <w:vAlign w:val="bottom"/>
          </w:tcPr>
          <w:p>
            <w:pPr>
              <w:jc w:val="right"/>
              <w:ind w:right="30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0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Percent</w:t>
            </w:r>
          </w:p>
        </w:tc>
        <w:tc>
          <w:tcPr>
            <w:tcW w:w="140" w:type="dxa"/>
            <w:vAlign w:val="bottom"/>
          </w:tcPr>
          <w:p>
            <w:pPr>
              <w:spacing w:after="0"/>
              <w:rPr>
                <w:sz w:val="16"/>
                <w:szCs w:val="16"/>
                <w:color w:val="auto"/>
              </w:rPr>
            </w:pPr>
          </w:p>
        </w:tc>
        <w:tc>
          <w:tcPr>
            <w:tcW w:w="860" w:type="dxa"/>
            <w:vAlign w:val="bottom"/>
          </w:tcPr>
          <w:p>
            <w:pPr>
              <w:jc w:val="right"/>
              <w:ind w:right="28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20" w:type="dxa"/>
            <w:vAlign w:val="bottom"/>
          </w:tcPr>
          <w:p>
            <w:pPr>
              <w:jc w:val="right"/>
              <w:ind w:right="224"/>
              <w:spacing w:after="0"/>
              <w:rPr>
                <w:sz w:val="20"/>
                <w:szCs w:val="20"/>
                <w:color w:val="auto"/>
              </w:rPr>
            </w:pPr>
            <w:r>
              <w:rPr>
                <w:rFonts w:ascii="Arial" w:cs="Arial" w:eastAsia="Arial" w:hAnsi="Arial"/>
                <w:sz w:val="14"/>
                <w:szCs w:val="14"/>
                <w:b w:val="1"/>
                <w:bCs w:val="1"/>
                <w:color w:val="auto"/>
                <w:w w:val="97"/>
              </w:rPr>
              <w:t>Percent</w:t>
            </w:r>
          </w:p>
        </w:tc>
      </w:tr>
      <w:tr>
        <w:trPr>
          <w:trHeight w:val="39"/>
        </w:trPr>
        <w:tc>
          <w:tcPr>
            <w:tcW w:w="22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37"/>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w:t>
            </w: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bl>
    <w:p>
      <w:pPr>
        <w:spacing w:after="0" w:line="2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Other income, net increased $0.5 million for the three-month period ended June 30, 2022, compared to the three-month period ended June 30, 2021.</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Other income, net decreased $0.3 million for the six-month period ended June 30, 2022, compared to the six-month period ended June 30, 2021.</w:t>
      </w:r>
    </w:p>
    <w:p>
      <w:pPr>
        <w:spacing w:after="0" w:line="181" w:lineRule="exact"/>
        <w:rPr>
          <w:sz w:val="20"/>
          <w:szCs w:val="20"/>
          <w:color w:val="auto"/>
        </w:rPr>
      </w:pPr>
    </w:p>
    <w:p>
      <w:pPr>
        <w:ind w:right="240" w:firstLine="324"/>
        <w:spacing w:after="0" w:line="275" w:lineRule="auto"/>
        <w:rPr>
          <w:sz w:val="20"/>
          <w:szCs w:val="20"/>
          <w:color w:val="auto"/>
        </w:rPr>
      </w:pPr>
      <w:r>
        <w:rPr>
          <w:rFonts w:ascii="Arial" w:cs="Arial" w:eastAsia="Arial" w:hAnsi="Arial"/>
          <w:sz w:val="16"/>
          <w:szCs w:val="16"/>
          <w:color w:val="auto"/>
        </w:rPr>
        <w:t>Other income in all periods was primarily due to unrealized gains on foreign exchange remeasurements related to transactions associated with high-volume balance sheet amounts.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Provision for Income Taxes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00" w:type="dxa"/>
            <w:vAlign w:val="bottom"/>
          </w:tcPr>
          <w:p>
            <w:pPr>
              <w:spacing w:after="0"/>
              <w:rPr>
                <w:sz w:val="16"/>
                <w:szCs w:val="16"/>
                <w:color w:val="auto"/>
              </w:rPr>
            </w:pPr>
          </w:p>
        </w:tc>
        <w:tc>
          <w:tcPr>
            <w:tcW w:w="2280" w:type="dxa"/>
            <w:vAlign w:val="bottom"/>
            <w:gridSpan w:val="6"/>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6"/>
                <w:szCs w:val="16"/>
                <w:color w:val="auto"/>
              </w:rPr>
            </w:pPr>
          </w:p>
        </w:tc>
        <w:tc>
          <w:tcPr>
            <w:tcW w:w="1180" w:type="dxa"/>
            <w:vAlign w:val="bottom"/>
            <w:gridSpan w:val="3"/>
          </w:tcPr>
          <w:p>
            <w:pPr>
              <w:ind w:left="680"/>
              <w:spacing w:after="0"/>
              <w:rPr>
                <w:sz w:val="20"/>
                <w:szCs w:val="20"/>
                <w:color w:val="auto"/>
              </w:rPr>
            </w:pPr>
            <w:r>
              <w:rPr>
                <w:rFonts w:ascii="Arial" w:cs="Arial" w:eastAsia="Arial" w:hAnsi="Arial"/>
                <w:sz w:val="14"/>
                <w:szCs w:val="14"/>
                <w:b w:val="1"/>
                <w:bCs w:val="1"/>
                <w:color w:val="auto"/>
                <w:w w:val="93"/>
              </w:rPr>
              <w:t>Change</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Pr>
          <w:p>
            <w:pPr>
              <w:spacing w:after="0"/>
              <w:rPr>
                <w:sz w:val="16"/>
                <w:szCs w:val="16"/>
                <w:color w:val="auto"/>
              </w:rPr>
            </w:pPr>
          </w:p>
        </w:tc>
        <w:tc>
          <w:tcPr>
            <w:tcW w:w="1180" w:type="dxa"/>
            <w:vAlign w:val="bottom"/>
            <w:gridSpan w:val="3"/>
          </w:tcPr>
          <w:p>
            <w:pPr>
              <w:ind w:left="680"/>
              <w:spacing w:after="0"/>
              <w:rPr>
                <w:sz w:val="20"/>
                <w:szCs w:val="20"/>
                <w:color w:val="auto"/>
              </w:rPr>
            </w:pPr>
            <w:r>
              <w:rPr>
                <w:rFonts w:ascii="Arial" w:cs="Arial" w:eastAsia="Arial" w:hAnsi="Arial"/>
                <w:sz w:val="14"/>
                <w:szCs w:val="14"/>
                <w:b w:val="1"/>
                <w:bCs w:val="1"/>
                <w:color w:val="auto"/>
                <w:w w:val="93"/>
              </w:rPr>
              <w:t>Change</w:t>
            </w:r>
          </w:p>
        </w:tc>
        <w:tc>
          <w:tcPr>
            <w:tcW w:w="820" w:type="dxa"/>
            <w:vAlign w:val="bottom"/>
          </w:tcPr>
          <w:p>
            <w:pPr>
              <w:spacing w:after="0"/>
              <w:rPr>
                <w:sz w:val="16"/>
                <w:szCs w:val="16"/>
                <w:color w:val="auto"/>
              </w:rPr>
            </w:pPr>
          </w:p>
        </w:tc>
      </w:tr>
      <w:tr>
        <w:trPr>
          <w:trHeight w:val="39"/>
        </w:trPr>
        <w:tc>
          <w:tcPr>
            <w:tcW w:w="230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3"/>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3"/>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84"/>
        </w:trPr>
        <w:tc>
          <w:tcPr>
            <w:tcW w:w="230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0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7"/>
              </w:rPr>
              <w:t>Percent</w:t>
            </w:r>
          </w:p>
        </w:tc>
        <w:tc>
          <w:tcPr>
            <w:tcW w:w="860" w:type="dxa"/>
            <w:vAlign w:val="bottom"/>
          </w:tcPr>
          <w:p>
            <w:pPr>
              <w:jc w:val="right"/>
              <w:ind w:right="28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20" w:type="dxa"/>
            <w:vAlign w:val="bottom"/>
          </w:tcPr>
          <w:p>
            <w:pPr>
              <w:jc w:val="right"/>
              <w:ind w:right="224"/>
              <w:spacing w:after="0"/>
              <w:rPr>
                <w:sz w:val="20"/>
                <w:szCs w:val="20"/>
                <w:color w:val="auto"/>
              </w:rPr>
            </w:pPr>
            <w:r>
              <w:rPr>
                <w:rFonts w:ascii="Arial" w:cs="Arial" w:eastAsia="Arial" w:hAnsi="Arial"/>
                <w:sz w:val="14"/>
                <w:szCs w:val="14"/>
                <w:b w:val="1"/>
                <w:bCs w:val="1"/>
                <w:color w:val="auto"/>
                <w:w w:val="97"/>
              </w:rPr>
              <w:t>Percent</w:t>
            </w:r>
          </w:p>
        </w:tc>
      </w:tr>
      <w:tr>
        <w:trPr>
          <w:trHeight w:val="39"/>
        </w:trPr>
        <w:tc>
          <w:tcPr>
            <w:tcW w:w="230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37"/>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700" w:type="dxa"/>
            <w:vAlign w:val="bottom"/>
            <w:shd w:val="clear" w:color="auto" w:fill="CCEEFF"/>
          </w:tcPr>
          <w:p>
            <w:pPr>
              <w:jc w:val="right"/>
              <w:ind w:right="525"/>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662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46 %  $</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44 %</w:t>
            </w:r>
          </w:p>
        </w:tc>
      </w:tr>
    </w:tbl>
    <w:p>
      <w:pPr>
        <w:spacing w:after="0" w:line="24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provision for income taxes increased by $0.2 million, or 46%, for the three months ended June 30, 2022 compared to the three months ended June 30, 2021.</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provision for income taxes increased $0.4 million, or 44%, for the six months ended June 30, 2022, compared to the six months ended June 30, 2021.</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increase in income taxes was primarily due to an increase in taxable income in line with business growth.</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171" w:lineRule="exact"/>
        <w:rPr>
          <w:sz w:val="20"/>
          <w:szCs w:val="20"/>
          <w:color w:val="auto"/>
        </w:rPr>
      </w:pPr>
    </w:p>
    <w:p>
      <w:pPr>
        <w:ind w:right="40" w:firstLine="324"/>
        <w:spacing w:after="0" w:line="262" w:lineRule="auto"/>
        <w:rPr>
          <w:sz w:val="20"/>
          <w:szCs w:val="20"/>
          <w:color w:val="auto"/>
        </w:rPr>
      </w:pPr>
      <w:r>
        <w:rPr>
          <w:rFonts w:ascii="Arial" w:cs="Arial" w:eastAsia="Arial" w:hAnsi="Arial"/>
          <w:sz w:val="16"/>
          <w:szCs w:val="16"/>
          <w:color w:val="auto"/>
        </w:rPr>
        <w:t>We regularly review the following non-GAAP measure to evaluate our performance, identify trends affecting our business, prepare financial projections, and make strategic decisions. We believe that this non-GAAP measure provides meaningful supplemental information for management and investors in assessing our historical and future operating performance. The calculation of this non-GAAP measure discussed below may differ from other similarly titled metrics used by other companies, analysts, or investors.</w:t>
      </w:r>
    </w:p>
    <w:p>
      <w:pPr>
        <w:spacing w:after="0" w:line="142" w:lineRule="exact"/>
        <w:rPr>
          <w:sz w:val="20"/>
          <w:szCs w:val="20"/>
          <w:color w:val="auto"/>
        </w:rPr>
      </w:pPr>
    </w:p>
    <w:p>
      <w:pPr>
        <w:ind w:right="160" w:firstLine="324"/>
        <w:spacing w:after="0" w:line="262" w:lineRule="auto"/>
        <w:rPr>
          <w:sz w:val="20"/>
          <w:szCs w:val="20"/>
          <w:color w:val="auto"/>
        </w:rPr>
      </w:pPr>
      <w:r>
        <w:rPr>
          <w:rFonts w:ascii="Arial" w:cs="Arial" w:eastAsia="Arial" w:hAnsi="Arial"/>
          <w:sz w:val="16"/>
          <w:szCs w:val="16"/>
          <w:color w:val="auto"/>
        </w:rPr>
        <w:t>We use Adjusted EBITDA, a non-GAAP financial measure to supplement net loss. Adjusted EBITDA is calculated as net loss adjusted by i) interest expense, net; ii) provision for income taxes; iii) non-cash charge of depreciation and amortization; iv) other expense (income), net, including gains and losses from the remeasurement of foreign currency assets and liabilities into their functional currency; v) non-cash stock-based compensation expense, net, as well as non-cash charges associated with our donation of common stock in connection with our Pledge 1% commitment.</w:t>
      </w:r>
    </w:p>
    <w:p>
      <w:pPr>
        <w:spacing w:after="0" w:line="128" w:lineRule="exact"/>
        <w:rPr>
          <w:sz w:val="20"/>
          <w:szCs w:val="20"/>
          <w:color w:val="auto"/>
        </w:rPr>
      </w:pPr>
    </w:p>
    <w:p>
      <w:pPr>
        <w:ind w:right="280" w:firstLine="324"/>
        <w:spacing w:after="0" w:line="293" w:lineRule="auto"/>
        <w:rPr>
          <w:sz w:val="20"/>
          <w:szCs w:val="20"/>
          <w:color w:val="auto"/>
        </w:rPr>
      </w:pPr>
      <w:r>
        <w:rPr>
          <w:rFonts w:ascii="Arial" w:cs="Arial" w:eastAsia="Arial" w:hAnsi="Arial"/>
          <w:sz w:val="16"/>
          <w:szCs w:val="16"/>
          <w:color w:val="auto"/>
        </w:rPr>
        <w:t>Adjusted EBITDA is a key output measure used by our management to evaluate our operating performance, inform future operating plans, and make strategic long term decisions, including those relating to operating expenses and the allocation of internal resources.</w:t>
      </w:r>
    </w:p>
    <w:p>
      <w:pPr>
        <w:spacing w:after="0" w:line="104" w:lineRule="exact"/>
        <w:rPr>
          <w:sz w:val="20"/>
          <w:szCs w:val="20"/>
          <w:color w:val="auto"/>
        </w:rPr>
      </w:pPr>
    </w:p>
    <w:p>
      <w:pPr>
        <w:ind w:right="360" w:firstLine="324"/>
        <w:spacing w:after="0" w:line="293" w:lineRule="auto"/>
        <w:rPr>
          <w:sz w:val="20"/>
          <w:szCs w:val="20"/>
          <w:color w:val="auto"/>
        </w:rPr>
      </w:pPr>
      <w:r>
        <w:rPr>
          <w:rFonts w:ascii="Arial" w:cs="Arial" w:eastAsia="Arial" w:hAnsi="Arial"/>
          <w:sz w:val="16"/>
          <w:szCs w:val="16"/>
          <w:color w:val="auto"/>
        </w:rPr>
        <w:t>Adjusted EBITDA has limitations as a financial measure, should be considered as supplemental in nature, and is not meant as a substitute for the related financial information prepared in accordance with GAAP. These limitations include the following:</w:t>
      </w:r>
    </w:p>
    <w:p>
      <w:pPr>
        <w:spacing w:after="0" w:line="104" w:lineRule="exact"/>
        <w:rPr>
          <w:sz w:val="20"/>
          <w:szCs w:val="20"/>
          <w:color w:val="auto"/>
        </w:rPr>
      </w:pPr>
    </w:p>
    <w:p>
      <w:pPr>
        <w:ind w:left="660" w:right="420" w:hanging="328"/>
        <w:spacing w:after="0" w:line="332" w:lineRule="auto"/>
        <w:tabs>
          <w:tab w:leader="none" w:pos="649" w:val="left"/>
        </w:tabs>
        <w:numPr>
          <w:ilvl w:val="0"/>
          <w:numId w:val="21"/>
        </w:numPr>
        <w:rPr>
          <w:rFonts w:ascii="Arial" w:cs="Arial" w:eastAsia="Arial" w:hAnsi="Arial"/>
          <w:sz w:val="14"/>
          <w:szCs w:val="14"/>
          <w:color w:val="auto"/>
        </w:rPr>
      </w:pPr>
      <w:r>
        <w:rPr>
          <w:rFonts w:ascii="Arial" w:cs="Arial" w:eastAsia="Arial" w:hAnsi="Arial"/>
          <w:sz w:val="14"/>
          <w:szCs w:val="14"/>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other capital commitments;</w:t>
      </w: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Adjusted EBITDA does not reflect changes in, or cash requirements for, our working capital needs;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Adjusted EBITDA does not reflect the effect of income taxes that may represent a reduction in cash available to us;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Adjusted EBITDA does not reflect the effect of gains and losses from the remeasurement of foreign currency assets and liabilities into their functional currency;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30" w:name="page31"/>
    <w:bookmarkEnd w:id="30"/>
    <w:p>
      <w:pPr>
        <w:ind w:left="660" w:right="20" w:hanging="328"/>
        <w:spacing w:after="0" w:line="275"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Adjusted EBITDA excludes noncash charges associated with the donation of our common stock in connection with our Pledge 1% commitment, which is recorded in general and administrative expense;</w:t>
      </w:r>
    </w:p>
    <w:p>
      <w:pPr>
        <w:spacing w:after="0" w:line="23" w:lineRule="exact"/>
        <w:rPr>
          <w:rFonts w:ascii="Arial" w:cs="Arial" w:eastAsia="Arial" w:hAnsi="Arial"/>
          <w:sz w:val="16"/>
          <w:szCs w:val="16"/>
          <w:color w:val="auto"/>
        </w:rPr>
      </w:pPr>
    </w:p>
    <w:p>
      <w:pPr>
        <w:ind w:left="660" w:right="60" w:hanging="328"/>
        <w:spacing w:after="0" w:line="275"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Adjusted EBITDA excludes stock-based compensation expense, which has recently been, and will continue to be for the foreseeable future, a significant recurring expense for our business and an important part of our compensation strategy; and</w:t>
      </w:r>
    </w:p>
    <w:p>
      <w:pPr>
        <w:spacing w:after="0" w:line="23" w:lineRule="exact"/>
        <w:rPr>
          <w:rFonts w:ascii="Arial" w:cs="Arial" w:eastAsia="Arial" w:hAnsi="Arial"/>
          <w:sz w:val="16"/>
          <w:szCs w:val="16"/>
          <w:color w:val="auto"/>
        </w:rPr>
      </w:pPr>
    </w:p>
    <w:p>
      <w:pPr>
        <w:ind w:left="660" w:right="520" w:hanging="328"/>
        <w:spacing w:after="0" w:line="275"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other companies, including companies in our industry, may calculate Adjusted EBITDA differently from how we calculate this measure or not at all, which reduces its usefulness as a comparative measure.</w:t>
      </w:r>
    </w:p>
    <w:p>
      <w:pPr>
        <w:spacing w:after="0" w:line="118"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following table sets forth a reconciliation of net loss to Adjusted EBITDA, the most directly comparable financial measure prepared in accordance with GAAP, for each of the periods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6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9"/>
                <w:szCs w:val="19"/>
                <w:color w:val="auto"/>
              </w:rPr>
            </w:pPr>
          </w:p>
        </w:tc>
        <w:tc>
          <w:tcPr>
            <w:tcW w:w="286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Six Months Ended June 30,</w:t>
            </w:r>
          </w:p>
        </w:tc>
      </w:tr>
      <w:tr>
        <w:trPr>
          <w:trHeight w:val="237"/>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2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243"/>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(38,245)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(61,555)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(9,218)</w:t>
            </w:r>
          </w:p>
        </w:tc>
      </w:tr>
      <w:tr>
        <w:trPr>
          <w:trHeight w:val="233"/>
        </w:trPr>
        <w:tc>
          <w:tcPr>
            <w:tcW w:w="4740" w:type="dxa"/>
            <w:vAlign w:val="bottom"/>
          </w:tcPr>
          <w:p>
            <w:pPr>
              <w:ind w:left="20"/>
              <w:spacing w:after="0"/>
              <w:rPr>
                <w:sz w:val="20"/>
                <w:szCs w:val="20"/>
                <w:color w:val="auto"/>
              </w:rPr>
            </w:pPr>
            <w:r>
              <w:rPr>
                <w:rFonts w:ascii="Arial" w:cs="Arial" w:eastAsia="Arial" w:hAnsi="Arial"/>
                <w:sz w:val="16"/>
                <w:szCs w:val="16"/>
                <w:color w:val="auto"/>
              </w:rPr>
              <w:t>Add:</w:t>
            </w: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4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 net</w:t>
            </w: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r>
      <w:tr>
        <w:trPr>
          <w:trHeight w:val="233"/>
        </w:trPr>
        <w:tc>
          <w:tcPr>
            <w:tcW w:w="4740" w:type="dxa"/>
            <w:vAlign w:val="bottom"/>
          </w:tcPr>
          <w:p>
            <w:pPr>
              <w:ind w:left="140"/>
              <w:spacing w:after="0"/>
              <w:rPr>
                <w:sz w:val="20"/>
                <w:szCs w:val="20"/>
                <w:color w:val="auto"/>
              </w:rPr>
            </w:pPr>
            <w:r>
              <w:rPr>
                <w:rFonts w:ascii="Arial" w:cs="Arial" w:eastAsia="Arial" w:hAnsi="Arial"/>
                <w:sz w:val="16"/>
                <w:szCs w:val="16"/>
                <w:color w:val="auto"/>
              </w:rPr>
              <w:t>Provision for income taxes</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662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454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1,190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824</w:t>
            </w:r>
          </w:p>
        </w:tc>
      </w:tr>
      <w:tr>
        <w:trPr>
          <w:trHeight w:val="253"/>
        </w:trPr>
        <w:tc>
          <w:tcPr>
            <w:tcW w:w="4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 expenses</w:t>
            </w: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2,571</w:t>
            </w:r>
          </w:p>
        </w:tc>
      </w:tr>
      <w:tr>
        <w:trPr>
          <w:trHeight w:val="233"/>
        </w:trPr>
        <w:tc>
          <w:tcPr>
            <w:tcW w:w="4740" w:type="dxa"/>
            <w:vAlign w:val="bottom"/>
          </w:tcPr>
          <w:p>
            <w:pPr>
              <w:ind w:left="140"/>
              <w:spacing w:after="0"/>
              <w:rPr>
                <w:sz w:val="20"/>
                <w:szCs w:val="20"/>
                <w:color w:val="auto"/>
              </w:rPr>
            </w:pPr>
            <w:r>
              <w:rPr>
                <w:rFonts w:ascii="Arial" w:cs="Arial" w:eastAsia="Arial" w:hAnsi="Arial"/>
                <w:sz w:val="16"/>
                <w:szCs w:val="16"/>
                <w:color w:val="auto"/>
              </w:rPr>
              <w:t>Foreign exchange (gain) loss</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(1,687)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(1,222)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(2,356)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(2,648)</w:t>
            </w:r>
          </w:p>
        </w:tc>
      </w:tr>
      <w:tr>
        <w:trPr>
          <w:trHeight w:val="246"/>
        </w:trPr>
        <w:tc>
          <w:tcPr>
            <w:tcW w:w="4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32,541</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2,703</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42,135</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4,225</w:t>
            </w:r>
          </w:p>
        </w:tc>
      </w:tr>
      <w:tr>
        <w:trPr>
          <w:trHeight w:val="243"/>
        </w:trPr>
        <w:tc>
          <w:tcPr>
            <w:tcW w:w="47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(5,326)</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2,085</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(17,389)</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(3,720)</w:t>
            </w:r>
          </w:p>
        </w:tc>
      </w:tr>
      <w:tr>
        <w:trPr>
          <w:trHeight w:val="20"/>
        </w:trPr>
        <w:tc>
          <w:tcPr>
            <w:tcW w:w="4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ind w:right="500" w:firstLine="324"/>
        <w:spacing w:after="0" w:line="262" w:lineRule="auto"/>
        <w:rPr>
          <w:sz w:val="20"/>
          <w:szCs w:val="20"/>
          <w:color w:val="auto"/>
        </w:rPr>
      </w:pPr>
      <w:r>
        <w:rPr>
          <w:rFonts w:ascii="Arial" w:cs="Arial" w:eastAsia="Arial" w:hAnsi="Arial"/>
          <w:sz w:val="16"/>
          <w:szCs w:val="16"/>
          <w:color w:val="auto"/>
        </w:rPr>
        <w:t>Adjusted EBITDA was $(5.3) million for the three months ended June 30, 2022, compared to $2.1 million for the three months ended June 30, 2021. Adjusted EBITDA of $(17.4) million for the six months ended June 30, 2022, declined compared to $(3.7) million for the six months ended June 30, 2021. Although we have continued to experience growth, this has been offset by higher investments in customer acquisition and our technology platform, and other general and administrative expenses to support growth initiatives and operate as a public company.</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Sources of Liquidity and Material Future Cash Requirements</w:t>
      </w:r>
    </w:p>
    <w:p>
      <w:pPr>
        <w:spacing w:after="0" w:line="167" w:lineRule="exact"/>
        <w:rPr>
          <w:sz w:val="20"/>
          <w:szCs w:val="20"/>
          <w:color w:val="auto"/>
        </w:rPr>
      </w:pPr>
    </w:p>
    <w:p>
      <w:pPr>
        <w:ind w:right="40" w:firstLine="324"/>
        <w:spacing w:after="0" w:line="284" w:lineRule="auto"/>
        <w:rPr>
          <w:sz w:val="20"/>
          <w:szCs w:val="20"/>
          <w:color w:val="auto"/>
        </w:rPr>
      </w:pPr>
      <w:r>
        <w:rPr>
          <w:rFonts w:ascii="Arial" w:cs="Arial" w:eastAsia="Arial" w:hAnsi="Arial"/>
          <w:sz w:val="15"/>
          <w:szCs w:val="15"/>
          <w:color w:val="auto"/>
        </w:rPr>
        <w:t>We have financed our operations and capital expenditures primarily through cash generated from operations including transaction fees and foreign exchange spreads, sales of our redeemable convertible preferred stock, proceeds from our IPO and concurrent private placement, and our $250.0 million New Revolving Credit Facility, which we entered into in September 2021, as well as our prior 2020 Credit Agreement. We had unused borrowing capacity of $230.4 million on our New Revolving Credit Facility as of June 30, 2022. As of June 30, 2022 and December 31, 2021, our principal sources of liquidity were cash and cash equivalents of $429.7 million and $403.3 million, respectively, and funds available under the New Revolving Credit Facility and our previous revolving credit facility, respectively.</w:t>
      </w:r>
    </w:p>
    <w:p>
      <w:pPr>
        <w:spacing w:after="0" w:line="113" w:lineRule="exact"/>
        <w:rPr>
          <w:sz w:val="20"/>
          <w:szCs w:val="20"/>
          <w:color w:val="auto"/>
        </w:rPr>
      </w:pPr>
    </w:p>
    <w:p>
      <w:pPr>
        <w:ind w:right="60" w:firstLine="324"/>
        <w:spacing w:after="0" w:line="276" w:lineRule="auto"/>
        <w:rPr>
          <w:sz w:val="20"/>
          <w:szCs w:val="20"/>
          <w:color w:val="auto"/>
        </w:rPr>
      </w:pPr>
      <w:r>
        <w:rPr>
          <w:rFonts w:ascii="Arial" w:cs="Arial" w:eastAsia="Arial" w:hAnsi="Arial"/>
          <w:sz w:val="15"/>
          <w:szCs w:val="15"/>
          <w:color w:val="auto"/>
        </w:rPr>
        <w:t>We believe that our cash, cash equivalents, and funds available under the New Revolving Credit Facility will be sufficient to meet our working capital requirements for at least the next twelve months. Our material cash requirements include funds to support current and potential operating activities, capital expenditures, and other commitments, and could include other uses of cash, such as strategic investments. Our future capital requirements will depend on many factors, including our rate of revenue growth, the expansion of our sales and marketing activities, the timing and extent of expansion into new corridors, and the timing of introductions of new products and enhancements of existing products. Furthermore, certain jurisdictions where we operate require us to hold eligible liquid assets, based on regulatory or legal requirements, equal to the aggregate amount of all customer balances. In addition, as discussed elsewhere in this Quarterly Report on Form 10-Q, we expect that our operating expenses may increase during 2022 to support the continued growth of our business, including increased investments in our technology to support product improvements, new product development, and geographic expansion, as well as ongoing operating costs as a public company. We also routinely enter into marketing and advertising contracts, as well as software and other service arrangements, that can include minimum purchase quantities, requiring us to utilize cash on hand to fulfill these amounts. Refer to “Contractual Obligations and Commitments” discussed further below.</w:t>
      </w:r>
    </w:p>
    <w:p>
      <w:pPr>
        <w:spacing w:after="0" w:line="122" w:lineRule="exact"/>
        <w:rPr>
          <w:sz w:val="20"/>
          <w:szCs w:val="20"/>
          <w:color w:val="auto"/>
        </w:rPr>
      </w:pPr>
    </w:p>
    <w:p>
      <w:pPr>
        <w:ind w:right="20" w:firstLine="324"/>
        <w:spacing w:after="0" w:line="284" w:lineRule="auto"/>
        <w:rPr>
          <w:sz w:val="20"/>
          <w:szCs w:val="20"/>
          <w:color w:val="auto"/>
        </w:rPr>
      </w:pPr>
      <w:r>
        <w:rPr>
          <w:rFonts w:ascii="Arial" w:cs="Arial" w:eastAsia="Arial" w:hAnsi="Arial"/>
          <w:sz w:val="15"/>
          <w:szCs w:val="15"/>
          <w:color w:val="auto"/>
        </w:rPr>
        <w:t>In the future, we may also attempt to raise additional capital through the sale of equity securities or through equity-linked securities, and the ownership of our existing stockholders would be diluted. In addition, if we raise additional financing by incurring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are unfavorable to equity investors. There can be no assurances that we will be able to raise additional capital. The inability to raise capital would adversely affect our ability to achieve our business objectives.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4" w:right="339" w:bottom="1440" w:gutter="0" w:footer="0" w:header="0"/>
        </w:sectPr>
      </w:pPr>
    </w:p>
    <w:bookmarkStart w:id="31" w:name="page32"/>
    <w:bookmarkEnd w:id="31"/>
    <w:p>
      <w:pPr>
        <w:ind w:left="340"/>
        <w:spacing w:after="0"/>
        <w:rPr>
          <w:sz w:val="20"/>
          <w:szCs w:val="20"/>
          <w:color w:val="auto"/>
        </w:rPr>
      </w:pPr>
      <w:r>
        <w:rPr>
          <w:rFonts w:ascii="Arial" w:cs="Arial" w:eastAsia="Arial" w:hAnsi="Arial"/>
          <w:sz w:val="16"/>
          <w:szCs w:val="16"/>
          <w:color w:val="auto"/>
        </w:rPr>
        <w:t>The following table shows a summary of our cash flows for the periods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40" w:type="dxa"/>
            <w:vAlign w:val="bottom"/>
            <w:gridSpan w:val="4"/>
          </w:tcPr>
          <w:p>
            <w:pPr>
              <w:jc w:val="right"/>
              <w:ind w:right="681"/>
              <w:spacing w:after="0"/>
              <w:rPr>
                <w:sz w:val="20"/>
                <w:szCs w:val="20"/>
                <w:color w:val="auto"/>
              </w:rPr>
            </w:pPr>
            <w:r>
              <w:rPr>
                <w:rFonts w:ascii="Arial" w:cs="Arial" w:eastAsia="Arial" w:hAnsi="Arial"/>
                <w:sz w:val="14"/>
                <w:szCs w:val="14"/>
                <w:b w:val="1"/>
                <w:bCs w:val="1"/>
                <w:color w:val="auto"/>
              </w:rPr>
              <w:t>Six Months Ended June 30,</w:t>
            </w:r>
          </w:p>
        </w:tc>
      </w:tr>
      <w:tr>
        <w:trPr>
          <w:trHeight w:val="39"/>
        </w:trPr>
        <w:tc>
          <w:tcPr>
            <w:tcW w:w="80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4"/>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80" w:type="dxa"/>
            <w:vAlign w:val="bottom"/>
          </w:tcPr>
          <w:p>
            <w:pPr>
              <w:spacing w:after="0"/>
              <w:rPr>
                <w:sz w:val="16"/>
                <w:szCs w:val="16"/>
                <w:color w:val="auto"/>
              </w:rPr>
            </w:pPr>
          </w:p>
        </w:tc>
        <w:tc>
          <w:tcPr>
            <w:tcW w:w="1200" w:type="dxa"/>
            <w:vAlign w:val="bottom"/>
          </w:tcPr>
          <w:p>
            <w:pPr>
              <w:jc w:val="right"/>
              <w:ind w:right="56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61"/>
              <w:spacing w:after="0"/>
              <w:rPr>
                <w:sz w:val="20"/>
                <w:szCs w:val="20"/>
                <w:color w:val="auto"/>
              </w:rPr>
            </w:pPr>
            <w:r>
              <w:rPr>
                <w:rFonts w:ascii="Arial" w:cs="Arial" w:eastAsia="Arial" w:hAnsi="Arial"/>
                <w:sz w:val="14"/>
                <w:szCs w:val="14"/>
                <w:b w:val="1"/>
                <w:bCs w:val="1"/>
                <w:color w:val="auto"/>
              </w:rPr>
              <w:t>2021</w:t>
            </w:r>
          </w:p>
        </w:tc>
      </w:tr>
      <w:tr>
        <w:trPr>
          <w:trHeight w:val="39"/>
        </w:trPr>
        <w:tc>
          <w:tcPr>
            <w:tcW w:w="80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3"/>
        </w:trPr>
        <w:tc>
          <w:tcPr>
            <w:tcW w:w="8020" w:type="dxa"/>
            <w:vAlign w:val="bottom"/>
          </w:tcPr>
          <w:p>
            <w:pPr>
              <w:ind w:left="240"/>
              <w:spacing w:after="0"/>
              <w:rPr>
                <w:sz w:val="20"/>
                <w:szCs w:val="20"/>
                <w:color w:val="auto"/>
              </w:rPr>
            </w:pPr>
            <w:r>
              <w:rPr>
                <w:rFonts w:ascii="Arial" w:cs="Arial" w:eastAsia="Arial" w:hAnsi="Arial"/>
                <w:sz w:val="16"/>
                <w:szCs w:val="16"/>
                <w:color w:val="auto"/>
              </w:rPr>
              <w:t>Operating activities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26,030</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60,276</w:t>
            </w:r>
          </w:p>
        </w:tc>
      </w:tr>
      <w:tr>
        <w:trPr>
          <w:trHeight w:val="253"/>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Investing activities</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(2,252)</w:t>
            </w:r>
          </w:p>
        </w:tc>
      </w:tr>
      <w:tr>
        <w:trPr>
          <w:trHeight w:val="224"/>
        </w:trPr>
        <w:tc>
          <w:tcPr>
            <w:tcW w:w="8020" w:type="dxa"/>
            <w:vAlign w:val="bottom"/>
          </w:tcPr>
          <w:p>
            <w:pPr>
              <w:ind w:left="240"/>
              <w:spacing w:after="0"/>
              <w:rPr>
                <w:sz w:val="20"/>
                <w:szCs w:val="20"/>
                <w:color w:val="auto"/>
              </w:rPr>
            </w:pPr>
            <w:r>
              <w:rPr>
                <w:rFonts w:ascii="Arial" w:cs="Arial" w:eastAsia="Arial" w:hAnsi="Arial"/>
                <w:sz w:val="16"/>
                <w:szCs w:val="16"/>
                <w:color w:val="auto"/>
              </w:rPr>
              <w:t>Financing activities</w:t>
            </w:r>
          </w:p>
        </w:tc>
        <w:tc>
          <w:tcPr>
            <w:tcW w:w="380" w:type="dxa"/>
            <w:vAlign w:val="bottom"/>
          </w:tcPr>
          <w:p>
            <w:pPr>
              <w:spacing w:after="0"/>
              <w:rPr>
                <w:sz w:val="19"/>
                <w:szCs w:val="19"/>
                <w:color w:val="auto"/>
              </w:rPr>
            </w:pPr>
          </w:p>
        </w:tc>
        <w:tc>
          <w:tcPr>
            <w:tcW w:w="1200" w:type="dxa"/>
            <w:vAlign w:val="bottom"/>
          </w:tcPr>
          <w:p>
            <w:pPr>
              <w:jc w:val="right"/>
              <w:ind w:right="3"/>
              <w:spacing w:after="0"/>
              <w:rPr>
                <w:sz w:val="20"/>
                <w:szCs w:val="20"/>
                <w:color w:val="auto"/>
              </w:rPr>
            </w:pPr>
            <w:r>
              <w:rPr>
                <w:rFonts w:ascii="Arial" w:cs="Arial" w:eastAsia="Arial" w:hAnsi="Arial"/>
                <w:sz w:val="16"/>
                <w:szCs w:val="16"/>
                <w:color w:val="auto"/>
              </w:rPr>
              <w:t>4,437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(72,646)</w:t>
            </w:r>
          </w:p>
        </w:tc>
      </w:tr>
    </w:tbl>
    <w:p>
      <w:pPr>
        <w:spacing w:after="0" w:line="26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Cash Flows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Operating Activities</w:t>
      </w:r>
    </w:p>
    <w:p>
      <w:pPr>
        <w:spacing w:after="0" w:line="181" w:lineRule="exact"/>
        <w:rPr>
          <w:sz w:val="20"/>
          <w:szCs w:val="20"/>
          <w:color w:val="auto"/>
        </w:rPr>
      </w:pPr>
    </w:p>
    <w:p>
      <w:pPr>
        <w:ind w:right="40" w:firstLine="324"/>
        <w:spacing w:after="0" w:line="299" w:lineRule="auto"/>
        <w:rPr>
          <w:sz w:val="20"/>
          <w:szCs w:val="20"/>
          <w:color w:val="auto"/>
        </w:rPr>
      </w:pPr>
      <w:r>
        <w:rPr>
          <w:rFonts w:ascii="Arial" w:cs="Arial" w:eastAsia="Arial" w:hAnsi="Arial"/>
          <w:sz w:val="14"/>
          <w:szCs w:val="14"/>
          <w:color w:val="auto"/>
        </w:rPr>
        <w:t>Our main sources of operating cash are transaction fees charged to customers and foreign exchange spreads on transactions. Our primary uses of cash from operating activities have been for advertising expenses used to attract new customers, transaction expenses that include fees paid to payment processors and disbursement partners, personnel-related expenses, technology, and other general corporate expenditures. Our changes in operating cash flows, are heavily impacted by the timing of customer transactions and in particular, the day of the week that the quarter end falls on, including holidays and long weekends. For example we generally have higher prefunding amounts if the quarter closes on a weekend or in advance of a long weekend, such as a holiday, which creates variability in customer transaction relates balances period over period. These balances in our condensed consolidated statement of cash flows include disbursement prefunding, customer funds receivable, customer liabilities, and book overdrafts and disbursement postfunding liabilities, which are included within the line item: accrued expenses and other liabilities.</w:t>
      </w:r>
    </w:p>
    <w:p>
      <w:pPr>
        <w:spacing w:after="0" w:line="122" w:lineRule="exact"/>
        <w:rPr>
          <w:sz w:val="20"/>
          <w:szCs w:val="20"/>
          <w:color w:val="auto"/>
        </w:rPr>
      </w:pPr>
    </w:p>
    <w:p>
      <w:pPr>
        <w:ind w:right="60" w:firstLine="324"/>
        <w:spacing w:after="0" w:line="277" w:lineRule="auto"/>
        <w:rPr>
          <w:sz w:val="20"/>
          <w:szCs w:val="20"/>
          <w:color w:val="auto"/>
        </w:rPr>
      </w:pPr>
      <w:r>
        <w:rPr>
          <w:rFonts w:ascii="Arial" w:cs="Arial" w:eastAsia="Arial" w:hAnsi="Arial"/>
          <w:sz w:val="15"/>
          <w:szCs w:val="15"/>
          <w:color w:val="auto"/>
        </w:rPr>
        <w:t>For the six months ended June 30, 2022, net cash provided by operating activities was $26.0 million, which primarily consisted of favorable changes in our operating assets and liabilities of $42.3 million, partially offset by a net loss of $61.6 million, and excluding $45.3 million of noncash charges included within net loss for the period. The main drivers for the favorable change in operating assets and liabilities were an increase in customer funds liability of $60.3 million due to growth in our business and timing of disbursements and an increase in accrued expenses and other liabilities of $50.4 million. due to an increased amount of book overdrafts and disbursement postfunding liabilities driven by the timing of our cash transfers and settlement of customer liabilities. This was partially offset by an increase in disbursement prefunding of $39.9 million, which related to a higher than average balance as of the current period end to fund disbursement partners for expected send volume over a long holiday weekend, combined with an increase of $29.9 million in customer funds receivable due to timing of cash receipts from customers.</w:t>
      </w:r>
    </w:p>
    <w:p>
      <w:pPr>
        <w:spacing w:after="0" w:line="118" w:lineRule="exact"/>
        <w:rPr>
          <w:sz w:val="20"/>
          <w:szCs w:val="20"/>
          <w:color w:val="auto"/>
        </w:rPr>
      </w:pPr>
    </w:p>
    <w:p>
      <w:pPr>
        <w:ind w:right="20" w:firstLine="324"/>
        <w:spacing w:after="0" w:line="284" w:lineRule="auto"/>
        <w:rPr>
          <w:sz w:val="20"/>
          <w:szCs w:val="20"/>
          <w:color w:val="auto"/>
        </w:rPr>
      </w:pPr>
      <w:r>
        <w:rPr>
          <w:rFonts w:ascii="Arial" w:cs="Arial" w:eastAsia="Arial" w:hAnsi="Arial"/>
          <w:sz w:val="15"/>
          <w:szCs w:val="15"/>
          <w:color w:val="auto"/>
        </w:rPr>
        <w:t>For the six months ended June 30, 2021, net cash provided by operating activities was $60.3 million, which primarily consisted of changes in our operating assets and liabilities of $62.7 million offset by net loss of $9.2 million. The main drivers for the change in operating assets and liabilities were a decrease in disbursement prefunding of $50.3 million due to seasonality of the business, an increase in customer liabilities of $17.4 million due to growth in our business and timing of disbursements, offset by an increase in customer receivables of $8.9 million in line with the growth in our business, and timing of cash settlement.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Investing Activities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Cash used in investing activities consists primarily of purchases of property and equipment and capitalization of internal-use software.</w:t>
      </w:r>
    </w:p>
    <w:p>
      <w:pPr>
        <w:spacing w:after="0" w:line="181"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color w:val="auto"/>
        </w:rPr>
        <w:t>Net cash used in investing activities was $3.2 million for the six months ended June 30, 2022 and $2.3 million for the six months ended June 30, 2021, primarily related to purchases of property and equipment to support the increase in headcount, and capitalization of internal use software costs.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Financing Activities</w:t>
      </w:r>
    </w:p>
    <w:p>
      <w:pPr>
        <w:spacing w:after="0" w:line="181" w:lineRule="exact"/>
        <w:rPr>
          <w:sz w:val="20"/>
          <w:szCs w:val="20"/>
          <w:color w:val="auto"/>
        </w:rPr>
      </w:pPr>
    </w:p>
    <w:p>
      <w:pPr>
        <w:ind w:right="560" w:firstLine="324"/>
        <w:spacing w:after="0" w:line="275" w:lineRule="auto"/>
        <w:rPr>
          <w:sz w:val="20"/>
          <w:szCs w:val="20"/>
          <w:color w:val="auto"/>
        </w:rPr>
      </w:pPr>
      <w:r>
        <w:rPr>
          <w:rFonts w:ascii="Arial" w:cs="Arial" w:eastAsia="Arial" w:hAnsi="Arial"/>
          <w:sz w:val="16"/>
          <w:szCs w:val="16"/>
          <w:color w:val="auto"/>
        </w:rPr>
        <w:t>Cash provided by financing activities consists primarily of proceeds from the exercise of stock options, as well as previous issuances of redeemable convertible preferred stock. Cash used in financing activities historically consisted of repayments of our revolving credit facility borrowings.</w:t>
      </w:r>
    </w:p>
    <w:p>
      <w:pPr>
        <w:spacing w:after="0" w:line="132" w:lineRule="exact"/>
        <w:rPr>
          <w:sz w:val="20"/>
          <w:szCs w:val="20"/>
          <w:color w:val="auto"/>
        </w:rPr>
      </w:pPr>
    </w:p>
    <w:p>
      <w:pPr>
        <w:ind w:right="20" w:firstLine="324"/>
        <w:spacing w:after="0" w:line="275" w:lineRule="auto"/>
        <w:rPr>
          <w:sz w:val="20"/>
          <w:szCs w:val="20"/>
          <w:color w:val="auto"/>
        </w:rPr>
      </w:pPr>
      <w:r>
        <w:rPr>
          <w:rFonts w:ascii="Arial" w:cs="Arial" w:eastAsia="Arial" w:hAnsi="Arial"/>
          <w:sz w:val="16"/>
          <w:szCs w:val="16"/>
          <w:color w:val="auto"/>
        </w:rPr>
        <w:t>Net cash provided by financing activities for the six months ended June 30, 2022 of $4.4 million was primarily driven by proceeds from the exercise of stock options of $4.5 million.</w:t>
      </w:r>
    </w:p>
    <w:p>
      <w:pPr>
        <w:spacing w:after="0" w:line="118" w:lineRule="exact"/>
        <w:rPr>
          <w:sz w:val="20"/>
          <w:szCs w:val="20"/>
          <w:color w:val="auto"/>
        </w:rPr>
      </w:pPr>
    </w:p>
    <w:p>
      <w:pPr>
        <w:jc w:val="both"/>
        <w:ind w:right="300" w:firstLine="324"/>
        <w:spacing w:after="0" w:line="269" w:lineRule="auto"/>
        <w:rPr>
          <w:sz w:val="20"/>
          <w:szCs w:val="20"/>
          <w:color w:val="auto"/>
        </w:rPr>
      </w:pPr>
      <w:r>
        <w:rPr>
          <w:rFonts w:ascii="Arial" w:cs="Arial" w:eastAsia="Arial" w:hAnsi="Arial"/>
          <w:sz w:val="16"/>
          <w:szCs w:val="16"/>
          <w:color w:val="auto"/>
        </w:rPr>
        <w:t>Net cash used in financing activities for the six months ended June 30, 2021 of $72.6 million was primarily driven by repayments of our Revolving Credit Facility borrowings of $80.0 million, partially offset by proceeds from exercise of stock options of $4.4 million along with issuance of Series F redeemable convertible preferred stock, net of issuance costs, of $3.0 million.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4"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Contractual Obligations and Commitments</w:t>
      </w:r>
    </w:p>
    <w:p>
      <w:pPr>
        <w:spacing w:after="0" w:line="171" w:lineRule="exact"/>
        <w:rPr>
          <w:sz w:val="20"/>
          <w:szCs w:val="20"/>
          <w:color w:val="auto"/>
        </w:rPr>
      </w:pPr>
    </w:p>
    <w:p>
      <w:pPr>
        <w:ind w:right="40" w:firstLine="324"/>
        <w:spacing w:after="0" w:line="284" w:lineRule="auto"/>
        <w:rPr>
          <w:sz w:val="20"/>
          <w:szCs w:val="20"/>
          <w:color w:val="auto"/>
        </w:rPr>
      </w:pPr>
      <w:r>
        <w:rPr>
          <w:rFonts w:ascii="Arial" w:cs="Arial" w:eastAsia="Arial" w:hAnsi="Arial"/>
          <w:sz w:val="15"/>
          <w:szCs w:val="15"/>
          <w:color w:val="auto"/>
        </w:rPr>
        <w:t>Our principal commitments consist of standby letters of credits, long-term leases, and other purchase commitments entered into in the normal course of business. In addition, we routinely enter into marketing and advertising contracts, as well as software or other service arrangements, that contractually obligate us to purchase services in the near term, including minimum service quantities, unless we give notice of cancellation based on the applicable terms of the agreements. Most contracts are typically cancelable within a period of less than one year. Changes in our business needs, contractual cancellation provisions, fluctuating interest rates, and other factors may result in actual payments differing from the estimates. We cannot provide certainty regarding the timing and amounts of these payments.</w:t>
      </w:r>
    </w:p>
    <w:p>
      <w:pPr>
        <w:spacing w:after="0" w:line="113" w:lineRule="exact"/>
        <w:rPr>
          <w:sz w:val="20"/>
          <w:szCs w:val="20"/>
          <w:color w:val="auto"/>
        </w:rPr>
      </w:pPr>
    </w:p>
    <w:p>
      <w:pPr>
        <w:ind w:right="20" w:firstLine="324"/>
        <w:spacing w:after="0" w:line="284" w:lineRule="auto"/>
        <w:rPr>
          <w:sz w:val="20"/>
          <w:szCs w:val="20"/>
          <w:color w:val="auto"/>
        </w:rPr>
      </w:pPr>
      <w:r>
        <w:rPr>
          <w:rFonts w:ascii="Arial" w:cs="Arial" w:eastAsia="Arial" w:hAnsi="Arial"/>
          <w:sz w:val="15"/>
          <w:szCs w:val="15"/>
          <w:color w:val="auto"/>
        </w:rPr>
        <w:t xml:space="preserve">On May 4, 2022, the Company amended and renewed the lease for its corporate headquarters in Seattle, Washington. In addition, during the first quarter of 2022, the Company amended certain of its existing lease agreements to accommodate additional space needed for its workforce, as a result of the Company’s continued growth, which included entering into a new multi-year lease agreement in Ireland. These leases commenced, or will commence, in various months during 2022 and expire between 2023 and 2025. Total incremental estimated cash payments that will be made over the course of these lease agreements total approximately $10 million. These leases have been recorded in accordance with ASC 842, </w:t>
      </w:r>
      <w:r>
        <w:rPr>
          <w:rFonts w:ascii="Arial" w:cs="Arial" w:eastAsia="Arial" w:hAnsi="Arial"/>
          <w:sz w:val="15"/>
          <w:szCs w:val="15"/>
          <w:i w:val="1"/>
          <w:iCs w:val="1"/>
          <w:color w:val="auto"/>
        </w:rPr>
        <w:t>Leases, on</w:t>
      </w:r>
      <w:r>
        <w:rPr>
          <w:rFonts w:ascii="Arial" w:cs="Arial" w:eastAsia="Arial" w:hAnsi="Arial"/>
          <w:sz w:val="15"/>
          <w:szCs w:val="15"/>
          <w:color w:val="auto"/>
        </w:rPr>
        <w:t xml:space="preserve"> the Company’s Condensed Consolidated Balance Sheet as of June 30, 2022.</w:t>
      </w:r>
    </w:p>
    <w:p>
      <w:pPr>
        <w:spacing w:after="0" w:line="113" w:lineRule="exact"/>
        <w:rPr>
          <w:sz w:val="20"/>
          <w:szCs w:val="20"/>
          <w:color w:val="auto"/>
        </w:rPr>
      </w:pPr>
    </w:p>
    <w:p>
      <w:pPr>
        <w:ind w:right="100" w:firstLine="324"/>
        <w:spacing w:after="0" w:line="310" w:lineRule="auto"/>
        <w:rPr>
          <w:sz w:val="20"/>
          <w:szCs w:val="20"/>
          <w:color w:val="auto"/>
        </w:rPr>
      </w:pPr>
      <w:r>
        <w:rPr>
          <w:rFonts w:ascii="Arial" w:cs="Arial" w:eastAsia="Arial" w:hAnsi="Arial"/>
          <w:sz w:val="14"/>
          <w:szCs w:val="14"/>
          <w:color w:val="auto"/>
        </w:rPr>
        <w:t>There were no other material changes outside of the ordinary course of business in the Company’s commitments and contingencies during the six months ended June 30, 2022 from the contractual obligations and contingencies disclosed in “Management’s Discussion and Analysis of Financial Condition and Results of Operations” set forth in our Annual Report on Form 10-K for the year ended December 31, 2021, other than as noted above. For further discussion of commitments and contingencies, also refer to Note 14. “Commitments and Contingencies” to our condensed consolidated financial statements included in Part I, Item 1 of this Quarterly Report on Form 10-Q.</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71" w:lineRule="exact"/>
        <w:rPr>
          <w:sz w:val="20"/>
          <w:szCs w:val="20"/>
          <w:color w:val="auto"/>
        </w:rPr>
      </w:pPr>
    </w:p>
    <w:p>
      <w:pPr>
        <w:ind w:right="620" w:firstLine="324"/>
        <w:spacing w:after="0" w:line="293" w:lineRule="auto"/>
        <w:rPr>
          <w:sz w:val="20"/>
          <w:szCs w:val="20"/>
          <w:color w:val="auto"/>
        </w:rPr>
      </w:pPr>
      <w:r>
        <w:rPr>
          <w:rFonts w:ascii="Arial" w:cs="Arial" w:eastAsia="Arial" w:hAnsi="Arial"/>
          <w:sz w:val="16"/>
          <w:szCs w:val="16"/>
          <w:color w:val="auto"/>
        </w:rPr>
        <w:t>As of June 30, 2022, we had no off-balance sheet arrangements that have, or are reasonably likely to have, a current or future material effect on our condensed consolidated financial condition, results of operations, liquidity, capital expenditures, or capital resources.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71" w:lineRule="exact"/>
        <w:rPr>
          <w:sz w:val="20"/>
          <w:szCs w:val="20"/>
          <w:color w:val="auto"/>
        </w:rPr>
      </w:pPr>
    </w:p>
    <w:p>
      <w:pPr>
        <w:ind w:right="40" w:firstLine="324"/>
        <w:spacing w:after="0" w:line="308" w:lineRule="auto"/>
        <w:rPr>
          <w:sz w:val="20"/>
          <w:szCs w:val="20"/>
          <w:color w:val="auto"/>
        </w:rPr>
      </w:pPr>
      <w:r>
        <w:rPr>
          <w:rFonts w:ascii="Arial" w:cs="Arial" w:eastAsia="Arial" w:hAnsi="Arial"/>
          <w:sz w:val="14"/>
          <w:szCs w:val="14"/>
          <w:color w:val="auto"/>
        </w:rPr>
        <w:t>The Company’s condensed consolidated financial statements and accompanying notes included in this Quarterly Report on Form 10-Q are prepared in accordance with GAAP. The preparation of these condensed consolidated financial statements requires management to make estimates, judgements and assumptions that affect the reported amounts of assets, liabilities, revenue and expenses, and related disclosures. The Company’s estimates are based on historical experience and on various other factors that it believes are reasonable under the circumstances. Actual results may differ significantly from the estimates made by management. To the extent that there are differences between our estimates and actual results, our future financial statement presentation, financial condition, results of operations, and cash flows will be affected.</w:t>
      </w:r>
    </w:p>
    <w:p>
      <w:pPr>
        <w:spacing w:after="0" w:line="101" w:lineRule="exact"/>
        <w:rPr>
          <w:sz w:val="20"/>
          <w:szCs w:val="20"/>
          <w:color w:val="auto"/>
        </w:rPr>
      </w:pPr>
    </w:p>
    <w:p>
      <w:pPr>
        <w:ind w:right="280" w:firstLine="324"/>
        <w:spacing w:after="0" w:line="328" w:lineRule="auto"/>
        <w:rPr>
          <w:sz w:val="20"/>
          <w:szCs w:val="20"/>
          <w:color w:val="auto"/>
        </w:rPr>
      </w:pPr>
      <w:r>
        <w:rPr>
          <w:rFonts w:ascii="Arial" w:cs="Arial" w:eastAsia="Arial" w:hAnsi="Arial"/>
          <w:sz w:val="15"/>
          <w:szCs w:val="15"/>
          <w:color w:val="auto"/>
        </w:rPr>
        <w:t>There have been no material changes to the Company’s critical accounting policies and estimates as compared to those described in “Management’s Discussion and Analysis of Financial Condition and Results of Operations” set forth in our Annual Report on Form 10-K for the year ended December 31, 2021.</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85" w:lineRule="exact"/>
        <w:rPr>
          <w:sz w:val="20"/>
          <w:szCs w:val="20"/>
          <w:color w:val="auto"/>
        </w:rPr>
      </w:pPr>
    </w:p>
    <w:p>
      <w:pPr>
        <w:ind w:right="440" w:firstLine="324"/>
        <w:spacing w:after="0" w:line="275" w:lineRule="auto"/>
        <w:rPr>
          <w:sz w:val="20"/>
          <w:szCs w:val="20"/>
          <w:color w:val="auto"/>
        </w:rPr>
      </w:pPr>
      <w:r>
        <w:rPr>
          <w:rFonts w:ascii="Arial" w:cs="Arial" w:eastAsia="Arial" w:hAnsi="Arial"/>
          <w:sz w:val="16"/>
          <w:szCs w:val="16"/>
          <w:color w:val="auto"/>
        </w:rPr>
        <w:t>See Note 2, “Basis of Presentation and Summary of Significant Accounting Policies”, in the notes to the Company’s condensed consolidated financial statements included in Part I, Item 1 of this Quarterly Report on Form 10-Q for a discussion of recent accounting pronouncements.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JOBS Act</w:t>
      </w:r>
    </w:p>
    <w:p>
      <w:pPr>
        <w:spacing w:after="0" w:line="185" w:lineRule="exact"/>
        <w:rPr>
          <w:sz w:val="20"/>
          <w:szCs w:val="20"/>
          <w:color w:val="auto"/>
        </w:rPr>
      </w:pPr>
    </w:p>
    <w:p>
      <w:pPr>
        <w:ind w:firstLine="324"/>
        <w:spacing w:after="0" w:line="275" w:lineRule="auto"/>
        <w:rPr>
          <w:sz w:val="20"/>
          <w:szCs w:val="20"/>
          <w:color w:val="auto"/>
        </w:rPr>
      </w:pPr>
      <w:r>
        <w:rPr>
          <w:rFonts w:ascii="Arial" w:cs="Arial" w:eastAsia="Arial" w:hAnsi="Arial"/>
          <w:sz w:val="15"/>
          <w:szCs w:val="15"/>
          <w:color w:val="auto"/>
        </w:rPr>
        <w:t>We are an “emerging growth company”, as defined in the Jumpstart Our Business Startups (the “JOBS Act”). The JOBS Act provides that an emerging growth company can take advantage of an extended transition period for complying with new or revised accounting standards.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(1) are no longer an emerging growth company or (2) affirmatively and irrevocably opt out of the extended transition period provided in the JOBS Act. As a result, our condensed consolidated financial statements may not be comparable to companies that comply with new or revised accounting pronouncements as of public company effective dates. Based on the market value of our common stock held by nonaffiliates as of the last business day of our fiscal second quarter ended June 30, 2022, we will cease to be an emerging growth company as of December 31, 2022.</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71" w:lineRule="exact"/>
        <w:rPr>
          <w:sz w:val="20"/>
          <w:szCs w:val="20"/>
          <w:color w:val="auto"/>
        </w:rPr>
      </w:pPr>
    </w:p>
    <w:p>
      <w:pPr>
        <w:ind w:firstLine="324"/>
        <w:spacing w:after="0" w:line="269" w:lineRule="auto"/>
        <w:rPr>
          <w:sz w:val="20"/>
          <w:szCs w:val="20"/>
          <w:color w:val="auto"/>
        </w:rPr>
      </w:pPr>
      <w:r>
        <w:rPr>
          <w:rFonts w:ascii="Arial" w:cs="Arial" w:eastAsia="Arial" w:hAnsi="Arial"/>
          <w:sz w:val="16"/>
          <w:szCs w:val="16"/>
          <w:color w:val="auto"/>
        </w:rPr>
        <w:t>Market risk is the potential for economic losses to be incurred on market risk sensitive instruments arising from adverse changes in market factors such as interest rates, foreign currency exchange rates, and equity investment risk. Management establishes and oversees the implementation of policies governing our investing, funding and foreign currency activities in order to mitigate market risks. We monitor risk exposures on an ongoing basis.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0" w:right="35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Credit Risk</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5"/>
          <w:szCs w:val="15"/>
          <w:color w:val="auto"/>
        </w:rPr>
        <w:t>We have a limited number of pay-in payment processors and therefore we are exposed to credit risk relating to those pay-in payment providers if in the course of a transaction, we were to disburse funds to the recipient but the pay-in payment provider does not deliver our customer’s funds to us (for example, due to their illiquidity). We mitigate this credit risk by engaging with reputable pay-in payment providers and entering into written agreements with pay-in providers allowing for legal recourse. We are also exposed to credit risk relating to many of our disbursement partners when we prefund or remit funds in advance of having collected funds from our customers through our pay-in payment processors, if our disbursement partners fail to disburse funds according to our instructions (for example, due to their insufficient capital). We mitigate these credit exposures by engaging with reputable disbursement partners and performing a credit review before onboarding each disbursement partner and by negotiating for post-funding arrangements where circumstances permit. We also periodically review credit ratings or, if unavailable, other financial documentation, of both our pay-in payment providers and disbursement partners. We have not experienced significant losses during the periods presented.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Exchange Rate Risk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Given the nature of our business, we are exposed to foreign exchange rate risk in a number of ways. Our principal exposure to foreign exchange rate risk includes:</w:t>
      </w:r>
    </w:p>
    <w:p>
      <w:pPr>
        <w:spacing w:after="0" w:line="179" w:lineRule="exact"/>
        <w:rPr>
          <w:sz w:val="20"/>
          <w:szCs w:val="20"/>
          <w:color w:val="auto"/>
        </w:rPr>
      </w:pPr>
    </w:p>
    <w:p>
      <w:pPr>
        <w:ind w:left="660" w:hanging="328"/>
        <w:spacing w:after="0" w:line="259"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Exposure to foreign currency exchange risk on our cross-border payments if exchange rates fluctuate between initiation of the transaction and transaction disbursement to the recipient. We disburse transactions in multiple foreign currencies, including most notably the Indian rupee, the Mexican peso, and the Philippine peso. In the vast majority of cases, the recipient disbursement occurs within a day of sending, which mitigates foreign currency exchange risk. To enable disbursement in the receive currency, we prefund many disbursement partners one to two business days in advance based on expected send volume. Foreign exchange rate risk due to differences between the timing of transaction initiation and payment varies based on the day of the week and the bank holiday schedule; for example, disbursement prefunding is typically largest before long weekends.</w:t>
      </w:r>
    </w:p>
    <w:p>
      <w:pPr>
        <w:spacing w:after="0" w:line="145" w:lineRule="exact"/>
        <w:rPr>
          <w:rFonts w:ascii="Arial" w:cs="Arial" w:eastAsia="Arial" w:hAnsi="Arial"/>
          <w:sz w:val="16"/>
          <w:szCs w:val="16"/>
          <w:color w:val="auto"/>
        </w:rPr>
      </w:pPr>
    </w:p>
    <w:p>
      <w:pPr>
        <w:ind w:left="660" w:right="220" w:hanging="328"/>
        <w:spacing w:after="0" w:line="261"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While the majority of our revenue and expenses are denominated in the U.S. dollar, certain of our international operations are conducted in foreign currencies, a significant portion of which occur in Canada, the United Kingdom, and Europe. Changes in the relative value of the U.S. dollar to other currencies may affect revenue and other operating results as expressed in U.S. dollars.</w:t>
      </w:r>
    </w:p>
    <w:p>
      <w:pPr>
        <w:spacing w:after="0" w:line="142" w:lineRule="exact"/>
        <w:rPr>
          <w:sz w:val="20"/>
          <w:szCs w:val="20"/>
          <w:color w:val="auto"/>
        </w:rPr>
      </w:pPr>
    </w:p>
    <w:p>
      <w:pPr>
        <w:ind w:firstLine="324"/>
        <w:spacing w:after="0" w:line="275" w:lineRule="auto"/>
        <w:rPr>
          <w:sz w:val="20"/>
          <w:szCs w:val="20"/>
          <w:color w:val="auto"/>
        </w:rPr>
      </w:pPr>
      <w:r>
        <w:rPr>
          <w:rFonts w:ascii="Arial" w:cs="Arial" w:eastAsia="Arial" w:hAnsi="Arial"/>
          <w:sz w:val="15"/>
          <w:szCs w:val="15"/>
          <w:color w:val="auto"/>
        </w:rPr>
        <w:t>As of June 30, 2022 and December 31, 2021, a hypothetical uniform 10% strengthening or weakening in the value of the U.S. dollar relative to all other currencies in which our net loss is generated, would have resulted in a decrease or increase to the fair value of our assets and liabilities denominated in currencies other than the subsidiaries’ functional currencies of approximately $6.1 million and $11.6 million, respectively, based on our unhedged exposure to foreign currency at that date. There are inherent limitations in this sensitivity analysis, primarily due to the following assumptions: (1) foreign exchange rate movements are linear and instantaneous, (2) exposure is static, and (3) customer transaction behavior due to currency rate changes is static. As a result, the analysis is unable to reflect the potential effects of more complex market changes that could arise, which may positively or negatively affect our results from operations. For example, both the disbursement prefunding balance and the customer funds liability balance (and resulting net impact to our net currency position) may be highly variable day to day. In addition, changes in foreign exchange rates may impact customer behavior by altering the timing or volume of transactions sent through our platform. For example, an increase in the value of a send currency against a receive currency may accelerate the timing or amount of remittances.</w:t>
      </w:r>
    </w:p>
    <w:p>
      <w:pPr>
        <w:spacing w:after="0" w:line="125" w:lineRule="exact"/>
        <w:rPr>
          <w:sz w:val="20"/>
          <w:szCs w:val="20"/>
          <w:color w:val="auto"/>
        </w:rPr>
      </w:pPr>
    </w:p>
    <w:p>
      <w:pPr>
        <w:ind w:right="180" w:firstLine="324"/>
        <w:spacing w:after="0" w:line="269" w:lineRule="auto"/>
        <w:rPr>
          <w:sz w:val="20"/>
          <w:szCs w:val="20"/>
          <w:color w:val="auto"/>
        </w:rPr>
      </w:pPr>
      <w:r>
        <w:rPr>
          <w:rFonts w:ascii="Arial" w:cs="Arial" w:eastAsia="Arial" w:hAnsi="Arial"/>
          <w:sz w:val="16"/>
          <w:szCs w:val="16"/>
          <w:color w:val="auto"/>
        </w:rPr>
        <w:t>To the extent practicable, we minimize our foreign currency exposures by maintaining natural hedges between our current assets and current liabilities in similarly denominated foreign currencies. At this time, we do not enter into derivatives or other financial instruments in an attempt to hedge our foreign currency exchange risk. We may do so in the future, but it is difficult to predict the impact hedging activities would have on our operating results.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167" w:lineRule="exact"/>
        <w:rPr>
          <w:sz w:val="20"/>
          <w:szCs w:val="20"/>
          <w:color w:val="auto"/>
        </w:rPr>
      </w:pPr>
    </w:p>
    <w:p>
      <w:pPr>
        <w:ind w:right="280" w:firstLine="324"/>
        <w:spacing w:after="0" w:line="302" w:lineRule="auto"/>
        <w:rPr>
          <w:sz w:val="20"/>
          <w:szCs w:val="20"/>
          <w:color w:val="auto"/>
        </w:rPr>
      </w:pPr>
      <w:r>
        <w:rPr>
          <w:rFonts w:ascii="Arial" w:cs="Arial" w:eastAsia="Arial" w:hAnsi="Arial"/>
          <w:sz w:val="14"/>
          <w:szCs w:val="14"/>
          <w:color w:val="auto"/>
        </w:rPr>
        <w:t>Our management, with the participation of our Chief Executive Officer and Chief Financial Officer, has evaluated the effectiveness of our disclosure controls and procedures as of June 30 2022, the end of the period covered by this Quarterly Report on Form 10-Q. The term “disclosure controls and procedures,” as defined in Rules</w:t>
      </w:r>
    </w:p>
    <w:p>
      <w:pPr>
        <w:spacing w:after="0" w:line="303" w:lineRule="auto"/>
        <w:rPr>
          <w:sz w:val="20"/>
          <w:szCs w:val="20"/>
          <w:color w:val="auto"/>
        </w:rPr>
      </w:pPr>
      <w:r>
        <w:rPr>
          <w:rFonts w:ascii="Arial" w:cs="Arial" w:eastAsia="Arial" w:hAnsi="Arial"/>
          <w:sz w:val="14"/>
          <w:szCs w:val="14"/>
          <w:color w:val="auto"/>
        </w:rPr>
        <w:t>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Chief Executive Officer and Chief Financial Officer, as appropriate to allow timely decisions regarding required disclosure.</w:t>
      </w:r>
    </w:p>
    <w:p>
      <w:pPr>
        <w:spacing w:after="0" w:line="104" w:lineRule="exact"/>
        <w:rPr>
          <w:sz w:val="20"/>
          <w:szCs w:val="20"/>
          <w:color w:val="auto"/>
        </w:rPr>
      </w:pPr>
    </w:p>
    <w:p>
      <w:pPr>
        <w:ind w:right="80" w:firstLine="324"/>
        <w:spacing w:after="0" w:line="262" w:lineRule="auto"/>
        <w:rPr>
          <w:sz w:val="20"/>
          <w:szCs w:val="20"/>
          <w:color w:val="auto"/>
        </w:rPr>
      </w:pPr>
      <w:r>
        <w:rPr>
          <w:rFonts w:ascii="Arial" w:cs="Arial" w:eastAsia="Arial" w:hAnsi="Arial"/>
          <w:sz w:val="16"/>
          <w:szCs w:val="16"/>
          <w:color w:val="auto"/>
        </w:rPr>
        <w:t>Based on such evaluation, and in consideration of the material weaknesses in our internal control over financial reporting described below, our Chief Executive Officer and Chief Financial Officer concluded that, as of the end of the period covered by this Quarterly Report on Form 10-Q, our disclosure controls and procedures were not effective. Accordingly, our management has performed additional analyses, reconciliations, and other post-closing procedures. On the basis of these procedures, management has concluded that, notwithstanding the material weaknesses in our internal control over financial reporting, the condensed consolidated financial statements for the periods covered by and included in this Quarterly Report 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34" w:name="page35"/>
    <w:bookmarkEnd w:id="34"/>
    <w:p>
      <w:pPr>
        <w:spacing w:after="0"/>
        <w:rPr>
          <w:sz w:val="20"/>
          <w:szCs w:val="20"/>
          <w:color w:val="auto"/>
        </w:rPr>
      </w:pPr>
      <w:r>
        <w:rPr>
          <w:rFonts w:ascii="Arial" w:cs="Arial" w:eastAsia="Arial" w:hAnsi="Arial"/>
          <w:sz w:val="15"/>
          <w:szCs w:val="15"/>
          <w:color w:val="auto"/>
        </w:rPr>
        <w:t>Form 10-Q fairly state, in all material respects, our financial position, results of operations and cash flows for the periods presented in conformity with U.S. GAAP.</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Internal Control Over Financial Reporting</w:t>
      </w:r>
    </w:p>
    <w:p>
      <w:pPr>
        <w:spacing w:after="0" w:line="181" w:lineRule="exact"/>
        <w:rPr>
          <w:sz w:val="20"/>
          <w:szCs w:val="20"/>
          <w:color w:val="auto"/>
        </w:rPr>
      </w:pPr>
    </w:p>
    <w:p>
      <w:pPr>
        <w:ind w:right="40" w:firstLine="324"/>
        <w:spacing w:after="0" w:line="295" w:lineRule="auto"/>
        <w:rPr>
          <w:sz w:val="20"/>
          <w:szCs w:val="20"/>
          <w:color w:val="auto"/>
        </w:rPr>
      </w:pPr>
      <w:r>
        <w:rPr>
          <w:rFonts w:ascii="Arial" w:cs="Arial" w:eastAsia="Arial" w:hAnsi="Arial"/>
          <w:sz w:val="15"/>
          <w:szCs w:val="15"/>
          <w:color w:val="auto"/>
        </w:rPr>
        <w:t>In connection with preparing our consolidated financial statements as of and for the year ended December 31, 2020, we identified two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material weaknesses are as follows:</w:t>
      </w:r>
    </w:p>
    <w:p>
      <w:pPr>
        <w:spacing w:after="0" w:line="167" w:lineRule="exact"/>
        <w:rPr>
          <w:sz w:val="20"/>
          <w:szCs w:val="20"/>
          <w:color w:val="auto"/>
        </w:rPr>
      </w:pPr>
    </w:p>
    <w:p>
      <w:pPr>
        <w:ind w:left="660" w:right="140" w:hanging="328"/>
        <w:spacing w:after="0" w:line="262"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did not design and maintain effective controls over certain information technology (“IT”) general controls for information systems that are relevant to the preparation of our financial statements. Specifically, we did not design and maintain: (1) program change management controls for certain financial systems to ensure that IT program and data changes affecting financial IT applications and underlying accounting records are identified, tested, authorized and implemented appropriately; and (2) user access controls to ensure appropriate segregation of duties and that adequately restrict user and privileged access to certain financial systems, programs, and data to appropriate Company personnel.</w:t>
      </w:r>
    </w:p>
    <w:p>
      <w:pPr>
        <w:spacing w:after="0" w:line="129" w:lineRule="exact"/>
        <w:rPr>
          <w:rFonts w:ascii="Arial" w:cs="Arial" w:eastAsia="Arial" w:hAnsi="Arial"/>
          <w:sz w:val="16"/>
          <w:szCs w:val="16"/>
          <w:color w:val="auto"/>
        </w:rPr>
      </w:pPr>
    </w:p>
    <w:p>
      <w:pPr>
        <w:ind w:left="660" w:right="180" w:hanging="328"/>
        <w:spacing w:after="0" w:line="293"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did not design and maintain effective controls over segregation of duties in journal entries. More specifically, certain personnel had the ability to prepare and post journal entries without an independent review performed by someone without this ability.</w:t>
      </w:r>
    </w:p>
    <w:p>
      <w:pPr>
        <w:spacing w:after="0" w:line="104" w:lineRule="exact"/>
        <w:rPr>
          <w:sz w:val="20"/>
          <w:szCs w:val="20"/>
          <w:color w:val="auto"/>
        </w:rPr>
      </w:pPr>
    </w:p>
    <w:p>
      <w:pPr>
        <w:ind w:right="40" w:firstLine="324"/>
        <w:spacing w:after="0" w:line="295" w:lineRule="auto"/>
        <w:rPr>
          <w:sz w:val="20"/>
          <w:szCs w:val="20"/>
          <w:color w:val="auto"/>
        </w:rPr>
      </w:pPr>
      <w:r>
        <w:rPr>
          <w:rFonts w:ascii="Arial" w:cs="Arial" w:eastAsia="Arial" w:hAnsi="Arial"/>
          <w:sz w:val="15"/>
          <w:szCs w:val="15"/>
          <w:color w:val="auto"/>
        </w:rPr>
        <w:t>These material weaknesses did not result in a misstatement to the condensed consolidated financial statement periods covered by this Quarterly Report on Form 10-Q. However, the material weaknesses described above could result in misstatements potentially impacting all financial statement accounts and disclosures that would result in a material misstatement to the annual or interim condensed consolidated financial statements that would not be prevented or detected.</w:t>
      </w:r>
    </w:p>
    <w:p>
      <w:pPr>
        <w:spacing w:after="0" w:line="106" w:lineRule="exact"/>
        <w:rPr>
          <w:sz w:val="20"/>
          <w:szCs w:val="20"/>
          <w:color w:val="auto"/>
        </w:rPr>
      </w:pPr>
    </w:p>
    <w:p>
      <w:pPr>
        <w:ind w:right="60" w:firstLine="324"/>
        <w:spacing w:after="0" w:line="303" w:lineRule="auto"/>
        <w:rPr>
          <w:sz w:val="20"/>
          <w:szCs w:val="20"/>
          <w:color w:val="auto"/>
        </w:rPr>
      </w:pPr>
      <w:r>
        <w:rPr>
          <w:rFonts w:ascii="Arial" w:cs="Arial" w:eastAsia="Arial" w:hAnsi="Arial"/>
          <w:sz w:val="14"/>
          <w:szCs w:val="14"/>
          <w:color w:val="auto"/>
        </w:rPr>
        <w:t>In addition, in the second quarter of 2022, we identified a new material weakness. We did not design and maintain controls to monitor the impact of vesting terms on the timing and accuracy of stock-based compensation expense for graded-vesting equity awards. This material weakness resulted in the misstatement of stock-based compensation expense and related financial disclosures for the year-ended December 31, 2021 and the interim period ended March 31, 2022, which was corrected in the interim period ended June 30, 2022, as described in Note 2 to the Company’s condensed consolidated financial statements included in Part I, Item 1 of this Quarterly Report on Form 10-Q. Management has determined that this error was not material to the historical financial statements in any individual period or in the aggregate and did not result in the previously issued financial statements being materially misstated. This material weakness could result in misstatements of the aforementioned account balances or disclosures that would result in a material misstatement to the annual or interim condensed consolidated financial statements that would not be prevented or detected.</w:t>
      </w:r>
    </w:p>
    <w:p>
      <w:pPr>
        <w:spacing w:after="0" w:line="103" w:lineRule="exact"/>
        <w:rPr>
          <w:sz w:val="20"/>
          <w:szCs w:val="20"/>
          <w:color w:val="auto"/>
        </w:rPr>
      </w:pPr>
    </w:p>
    <w:p>
      <w:pPr>
        <w:ind w:right="320" w:firstLine="324"/>
        <w:spacing w:after="0" w:line="275" w:lineRule="auto"/>
        <w:rPr>
          <w:sz w:val="20"/>
          <w:szCs w:val="20"/>
          <w:color w:val="auto"/>
        </w:rPr>
      </w:pPr>
      <w:r>
        <w:rPr>
          <w:rFonts w:ascii="Arial" w:cs="Arial" w:eastAsia="Arial" w:hAnsi="Arial"/>
          <w:sz w:val="16"/>
          <w:szCs w:val="16"/>
          <w:color w:val="auto"/>
        </w:rPr>
        <w:t>As of the date of this Quarterly Report on Form 10-Q, these remain material weaknesses and we are in the process of remediating them. In order to remediate these material weaknesses, we have taken and plan to take the following actions:</w:t>
      </w:r>
    </w:p>
    <w:p>
      <w:pPr>
        <w:spacing w:after="0" w:line="132" w:lineRule="exact"/>
        <w:rPr>
          <w:sz w:val="20"/>
          <w:szCs w:val="20"/>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developing enhanced risk assessment procedures and monitoring controls related to changes in the financial reporting system.</w:t>
      </w:r>
    </w:p>
    <w:p>
      <w:pPr>
        <w:spacing w:after="0" w:line="167"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implementing comprehensive access control protocols to implement restrictions on user and privileged access to the affected financial reporting system.</w:t>
      </w:r>
    </w:p>
    <w:p>
      <w:pPr>
        <w:spacing w:after="0" w:line="192" w:lineRule="exact"/>
        <w:rPr>
          <w:rFonts w:ascii="Arial" w:cs="Arial" w:eastAsia="Arial" w:hAnsi="Arial"/>
          <w:sz w:val="15"/>
          <w:szCs w:val="15"/>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implementing controls to review and monitor user access;</w:t>
      </w:r>
    </w:p>
    <w:p>
      <w:pPr>
        <w:spacing w:after="0" w:line="167"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establishing additional controls over the preparation and review of journal entries; and</w:t>
      </w:r>
    </w:p>
    <w:p>
      <w:pPr>
        <w:spacing w:after="0" w:line="167" w:lineRule="exact"/>
        <w:rPr>
          <w:rFonts w:ascii="Arial" w:cs="Arial" w:eastAsia="Arial" w:hAnsi="Arial"/>
          <w:sz w:val="16"/>
          <w:szCs w:val="16"/>
          <w:color w:val="auto"/>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establishing additional controls to monitor the impact of vesting terms on the timing and accuracy of stock-based compensation expense.</w:t>
      </w:r>
    </w:p>
    <w:p>
      <w:pPr>
        <w:spacing w:after="0" w:line="181" w:lineRule="exact"/>
        <w:rPr>
          <w:sz w:val="20"/>
          <w:szCs w:val="20"/>
          <w:color w:val="auto"/>
        </w:rPr>
      </w:pPr>
    </w:p>
    <w:p>
      <w:pPr>
        <w:ind w:right="40" w:firstLine="324"/>
        <w:spacing w:after="0" w:line="269" w:lineRule="auto"/>
        <w:rPr>
          <w:sz w:val="20"/>
          <w:szCs w:val="20"/>
          <w:color w:val="auto"/>
        </w:rPr>
      </w:pPr>
      <w:r>
        <w:rPr>
          <w:rFonts w:ascii="Arial" w:cs="Arial" w:eastAsia="Arial" w:hAnsi="Arial"/>
          <w:sz w:val="16"/>
          <w:szCs w:val="16"/>
          <w:color w:val="auto"/>
        </w:rPr>
        <w:t>We are taking the necessary actions to address each of the material weaknesses discussed above; however, each material weakness will not be considered remediated until the applicable remedial measures have been implemented for a sufficient period of time and management has concluded, through testing, that the enhanced controls are operating effectively.</w:t>
      </w:r>
    </w:p>
    <w:p>
      <w:pPr>
        <w:spacing w:after="0" w:line="124" w:lineRule="exact"/>
        <w:rPr>
          <w:sz w:val="20"/>
          <w:szCs w:val="20"/>
          <w:color w:val="auto"/>
        </w:rPr>
      </w:pPr>
    </w:p>
    <w:p>
      <w:pPr>
        <w:ind w:firstLine="324"/>
        <w:spacing w:after="0" w:line="269" w:lineRule="auto"/>
        <w:rPr>
          <w:sz w:val="20"/>
          <w:szCs w:val="20"/>
          <w:color w:val="auto"/>
        </w:rPr>
      </w:pPr>
      <w:r>
        <w:rPr>
          <w:rFonts w:ascii="Arial" w:cs="Arial" w:eastAsia="Arial" w:hAnsi="Arial"/>
          <w:sz w:val="16"/>
          <w:szCs w:val="16"/>
          <w:color w:val="auto"/>
        </w:rPr>
        <w:t>We have concluded that these material weaknesses in our internal control over financial reporting occurred as we are a new public company, and, prior to the effectiveness of our initial public offering, we were a private company and did not have the necessary business processes and related internal controls necessary to satisfy the accounting and financial reporting requirements of a public company.</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Changes in Internal Control over Financial Reporting</w:t>
      </w:r>
    </w:p>
    <w:p>
      <w:pPr>
        <w:spacing w:after="0" w:line="16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material weakness identified in the second quarter of 2022 was a change in our internal control over financial reporting during the quarter ended June 30, 2022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4"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auto"/>
        </w:rPr>
        <w:t>Part II. Other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85" w:lineRule="exact"/>
        <w:rPr>
          <w:sz w:val="20"/>
          <w:szCs w:val="20"/>
          <w:color w:val="auto"/>
        </w:rPr>
      </w:pPr>
    </w:p>
    <w:p>
      <w:pPr>
        <w:ind w:right="340" w:firstLine="324"/>
        <w:spacing w:after="0" w:line="275" w:lineRule="auto"/>
        <w:rPr>
          <w:sz w:val="20"/>
          <w:szCs w:val="20"/>
          <w:color w:val="auto"/>
        </w:rPr>
      </w:pPr>
      <w:r>
        <w:rPr>
          <w:rFonts w:ascii="Arial" w:cs="Arial" w:eastAsia="Arial" w:hAnsi="Arial"/>
          <w:sz w:val="16"/>
          <w:szCs w:val="16"/>
          <w:color w:val="auto"/>
        </w:rPr>
        <w:t>In the normal course of business, the Company occasionally becomes involved in various legal proceedings. In the opinion of management, any liability from such proceedings would not have a material adverse effect on the business or financial condition of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71" w:lineRule="exact"/>
        <w:rPr>
          <w:sz w:val="20"/>
          <w:szCs w:val="20"/>
          <w:color w:val="auto"/>
        </w:rPr>
      </w:pPr>
    </w:p>
    <w:p>
      <w:pPr>
        <w:ind w:right="80" w:firstLine="324"/>
        <w:spacing w:after="0" w:line="284" w:lineRule="auto"/>
        <w:rPr>
          <w:sz w:val="20"/>
          <w:szCs w:val="20"/>
          <w:color w:val="auto"/>
        </w:rPr>
      </w:pPr>
      <w:r>
        <w:rPr>
          <w:rFonts w:ascii="Arial" w:cs="Arial" w:eastAsia="Arial" w:hAnsi="Arial"/>
          <w:sz w:val="15"/>
          <w:szCs w:val="15"/>
          <w:color w:val="auto"/>
        </w:rPr>
        <w:t>In addition to the other information set forth in this Quarterly Report on Form 10-Q, you should carefully consider the factors discussed in Part I, Item 1A, “Risk Factors,” in our Annual Report on Form 10-K for the year ended December 31, 2021, which could materially affect our business, reputation, financial condition, future results or the trading price of the Company’s stock. These are not the only risks facing the Company. Additional risks and uncertainties not currently known to us or that we currently deem to be immaterial also may materially adversely affect our business, reputation, financial condition and/or operating results.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Recent Sales of Unregistered Equity Securities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Use of Proceeds</w:t>
      </w:r>
    </w:p>
    <w:p>
      <w:pPr>
        <w:spacing w:after="0" w:line="181" w:lineRule="exact"/>
        <w:rPr>
          <w:sz w:val="20"/>
          <w:szCs w:val="20"/>
          <w:color w:val="auto"/>
        </w:rPr>
      </w:pPr>
    </w:p>
    <w:p>
      <w:pPr>
        <w:ind w:right="60" w:firstLine="324"/>
        <w:spacing w:after="0" w:line="258" w:lineRule="auto"/>
        <w:rPr>
          <w:sz w:val="20"/>
          <w:szCs w:val="20"/>
          <w:color w:val="auto"/>
        </w:rPr>
      </w:pPr>
      <w:r>
        <w:rPr>
          <w:rFonts w:ascii="Arial" w:cs="Arial" w:eastAsia="Arial" w:hAnsi="Arial"/>
          <w:sz w:val="16"/>
          <w:szCs w:val="16"/>
          <w:color w:val="auto"/>
        </w:rPr>
        <w:t>In September 2021, we completed the IPO, in which we issued and sold 7,000,000 shares of our common stock at $43.00 per share. Concurrently, 5,162,777 shares were sold by certain of our existing stockholders. In addition, the Company concurrently issued 581,395 shares of common stock in a private placement at the same offering price as the IPO. The Company received net proceeds of $305.2 million for the IPO and private placement, after deducting underwriting discounts and other fees of $20.8 million. In connection with the IPO, 127,410,631 shares of outstanding redeemable convertible preferred stock automatically converted into an equivalent number of shares of common stock on a one-to-one basis.</w:t>
      </w:r>
    </w:p>
    <w:p>
      <w:pPr>
        <w:spacing w:after="0" w:line="145" w:lineRule="exact"/>
        <w:rPr>
          <w:sz w:val="20"/>
          <w:szCs w:val="20"/>
          <w:color w:val="auto"/>
        </w:rPr>
      </w:pPr>
    </w:p>
    <w:p>
      <w:pPr>
        <w:ind w:firstLine="324"/>
        <w:spacing w:after="0" w:line="258" w:lineRule="auto"/>
        <w:rPr>
          <w:sz w:val="20"/>
          <w:szCs w:val="20"/>
          <w:color w:val="auto"/>
        </w:rPr>
      </w:pPr>
      <w:r>
        <w:rPr>
          <w:rFonts w:ascii="Arial" w:cs="Arial" w:eastAsia="Arial" w:hAnsi="Arial"/>
          <w:sz w:val="16"/>
          <w:szCs w:val="16"/>
          <w:color w:val="auto"/>
        </w:rPr>
        <w:t>All of the shares issued and sold in our IPO were registered under the Securities Act pursuant to a registration statement on Form S-1 (File No. 333-259167), which was declared effective by the SEC on September 22, 2021. There has been no material change in the planned use of proceeds from our IPO as described in the final prospectus relating to the IPO. The managing underwriters of our IPO were Goldman Sachs &amp; Co. LLC and J.P. Morgan Securities LLC. No payments were made by us to directors, officers or persons owning ten percent or more of our common stock or to their associates, or to our affiliates, in connection with the issuance and sale of the securities registered.</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Issuer Purchase of Equity Securities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 applicable.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 applicable.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color w:val="auto"/>
        </w:rPr>
        <w:t>Item 6. Exhibits</w:t>
      </w:r>
    </w:p>
    <w:p>
      <w:pPr>
        <w:spacing w:after="0" w:line="203"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Incorporated by reference</w:t>
      </w:r>
    </w:p>
    <w:p>
      <w:pPr>
        <w:spacing w:after="0" w:line="54" w:lineRule="exact"/>
        <w:rPr>
          <w:sz w:val="20"/>
          <w:szCs w:val="20"/>
          <w:color w:val="auto"/>
        </w:rPr>
      </w:pPr>
    </w:p>
    <w:tbl>
      <w:tblPr>
        <w:tblLayout w:type="fixed"/>
        <w:tblInd w:w="360" w:type="dxa"/>
        <w:tblCellMar>
          <w:top w:w="0" w:type="dxa"/>
          <w:left w:w="0" w:type="dxa"/>
          <w:bottom w:w="0" w:type="dxa"/>
          <w:right w:w="0" w:type="dxa"/>
        </w:tblCellMar>
      </w:tblPr>
      <w:tr>
        <w:trPr>
          <w:trHeight w:val="189"/>
        </w:trPr>
        <w:tc>
          <w:tcPr>
            <w:tcW w:w="920" w:type="dxa"/>
            <w:vAlign w:val="bottom"/>
          </w:tcPr>
          <w:p>
            <w:pPr>
              <w:spacing w:after="0"/>
              <w:rPr>
                <w:sz w:val="20"/>
                <w:szCs w:val="20"/>
                <w:color w:val="auto"/>
              </w:rPr>
            </w:pPr>
            <w:r>
              <w:rPr>
                <w:rFonts w:ascii="Arial" w:cs="Arial" w:eastAsia="Arial" w:hAnsi="Arial"/>
                <w:sz w:val="16"/>
                <w:szCs w:val="16"/>
                <w:color w:val="auto"/>
              </w:rPr>
              <w:t>Exhibit</w:t>
            </w:r>
          </w:p>
        </w:tc>
        <w:tc>
          <w:tcPr>
            <w:tcW w:w="4380" w:type="dxa"/>
            <w:vAlign w:val="bottom"/>
            <w:gridSpan w:val="14"/>
          </w:tcPr>
          <w:p>
            <w:pPr>
              <w:spacing w:after="0"/>
              <w:rPr>
                <w:sz w:val="20"/>
                <w:szCs w:val="20"/>
                <w:color w:val="auto"/>
              </w:rPr>
            </w:pPr>
            <w:r>
              <w:rPr>
                <w:rFonts w:ascii="Arial" w:cs="Arial" w:eastAsia="Arial" w:hAnsi="Arial"/>
                <w:sz w:val="16"/>
                <w:szCs w:val="16"/>
                <w:color w:val="auto"/>
              </w:rPr>
              <w:t>Description</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0"/>
              </w:rPr>
              <w:t>Filed</w:t>
            </w: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20"/>
                <w:szCs w:val="20"/>
                <w:color w:val="auto"/>
              </w:rPr>
            </w:pPr>
            <w:r>
              <w:rPr>
                <w:rFonts w:ascii="Arial" w:cs="Arial" w:eastAsia="Arial" w:hAnsi="Arial"/>
                <w:sz w:val="16"/>
                <w:szCs w:val="16"/>
                <w:color w:val="auto"/>
              </w:rPr>
              <w:t>Number</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Herewith</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Form</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File No.</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Exhibit</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Filing Date</w:t>
            </w:r>
          </w:p>
        </w:tc>
        <w:tc>
          <w:tcPr>
            <w:tcW w:w="0" w:type="dxa"/>
            <w:vAlign w:val="bottom"/>
          </w:tcPr>
          <w:p>
            <w:pPr>
              <w:spacing w:after="0"/>
              <w:rPr>
                <w:sz w:val="1"/>
                <w:szCs w:val="1"/>
                <w:color w:val="auto"/>
              </w:rPr>
            </w:pPr>
          </w:p>
        </w:tc>
      </w:tr>
      <w:tr>
        <w:trPr>
          <w:trHeight w:val="162"/>
        </w:trPr>
        <w:tc>
          <w:tcPr>
            <w:tcW w:w="920" w:type="dxa"/>
            <w:vAlign w:val="bottom"/>
          </w:tcPr>
          <w:p>
            <w:pPr>
              <w:jc w:val="center"/>
              <w:ind w:right="59"/>
              <w:spacing w:after="0" w:line="162" w:lineRule="exact"/>
              <w:rPr>
                <w:sz w:val="20"/>
                <w:szCs w:val="20"/>
                <w:color w:val="auto"/>
              </w:rPr>
            </w:pPr>
            <w:r>
              <w:rPr>
                <w:rFonts w:ascii="Arial" w:cs="Arial" w:eastAsia="Arial" w:hAnsi="Arial"/>
                <w:sz w:val="16"/>
                <w:szCs w:val="16"/>
                <w:color w:val="auto"/>
                <w:w w:val="98"/>
              </w:rPr>
              <w:t>3.1</w:t>
            </w:r>
          </w:p>
        </w:tc>
        <w:tc>
          <w:tcPr>
            <w:tcW w:w="3320" w:type="dxa"/>
            <w:vAlign w:val="bottom"/>
            <w:tcBorders>
              <w:bottom w:val="single" w:sz="8" w:color="0000FF"/>
            </w:tcBorders>
            <w:gridSpan w:val="5"/>
          </w:tcPr>
          <w:p>
            <w:pPr>
              <w:spacing w:after="0" w:line="142" w:lineRule="exact"/>
              <w:rPr>
                <w:rFonts w:ascii="Arial" w:cs="Arial" w:eastAsia="Arial" w:hAnsi="Arial"/>
                <w:sz w:val="16"/>
                <w:szCs w:val="16"/>
                <w:color w:val="0000FF"/>
                <w:w w:val="91"/>
              </w:rPr>
            </w:pPr>
            <w:hyperlink r:id="rId51">
              <w:r>
                <w:rPr>
                  <w:rFonts w:ascii="Arial" w:cs="Arial" w:eastAsia="Arial" w:hAnsi="Arial"/>
                  <w:sz w:val="16"/>
                  <w:szCs w:val="16"/>
                  <w:color w:val="0000FF"/>
                  <w:w w:val="91"/>
                </w:rPr>
                <w:t>Amended and Restated Certificate of Incorporation</w:t>
              </w:r>
            </w:hyperlink>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jc w:val="center"/>
              <w:spacing w:after="0" w:line="162" w:lineRule="exact"/>
              <w:rPr>
                <w:sz w:val="20"/>
                <w:szCs w:val="20"/>
                <w:color w:val="auto"/>
              </w:rPr>
            </w:pPr>
            <w:r>
              <w:rPr>
                <w:rFonts w:ascii="Arial" w:cs="Arial" w:eastAsia="Arial" w:hAnsi="Arial"/>
                <w:sz w:val="16"/>
                <w:szCs w:val="16"/>
                <w:color w:val="auto"/>
                <w:w w:val="95"/>
              </w:rPr>
              <w:t>10-Q</w:t>
            </w:r>
          </w:p>
        </w:tc>
        <w:tc>
          <w:tcPr>
            <w:tcW w:w="1080" w:type="dxa"/>
            <w:vAlign w:val="bottom"/>
          </w:tcPr>
          <w:p>
            <w:pPr>
              <w:jc w:val="center"/>
              <w:spacing w:after="0" w:line="162" w:lineRule="exact"/>
              <w:rPr>
                <w:sz w:val="20"/>
                <w:szCs w:val="20"/>
                <w:color w:val="auto"/>
              </w:rPr>
            </w:pPr>
            <w:r>
              <w:rPr>
                <w:rFonts w:ascii="Arial" w:cs="Arial" w:eastAsia="Arial" w:hAnsi="Arial"/>
                <w:sz w:val="16"/>
                <w:szCs w:val="16"/>
                <w:color w:val="auto"/>
                <w:w w:val="91"/>
              </w:rPr>
              <w:t>001-40822</w:t>
            </w:r>
          </w:p>
        </w:tc>
        <w:tc>
          <w:tcPr>
            <w:tcW w:w="920" w:type="dxa"/>
            <w:vAlign w:val="bottom"/>
          </w:tcPr>
          <w:p>
            <w:pPr>
              <w:jc w:val="center"/>
              <w:spacing w:after="0" w:line="162" w:lineRule="exact"/>
              <w:rPr>
                <w:sz w:val="20"/>
                <w:szCs w:val="20"/>
                <w:color w:val="auto"/>
              </w:rPr>
            </w:pPr>
            <w:r>
              <w:rPr>
                <w:rFonts w:ascii="Arial" w:cs="Arial" w:eastAsia="Arial" w:hAnsi="Arial"/>
                <w:sz w:val="16"/>
                <w:szCs w:val="16"/>
                <w:color w:val="auto"/>
                <w:w w:val="89"/>
              </w:rPr>
              <w:t>3.3</w:t>
            </w:r>
          </w:p>
        </w:tc>
        <w:tc>
          <w:tcPr>
            <w:tcW w:w="1760" w:type="dxa"/>
            <w:vAlign w:val="bottom"/>
          </w:tcPr>
          <w:p>
            <w:pPr>
              <w:jc w:val="center"/>
              <w:spacing w:after="0" w:line="162" w:lineRule="exact"/>
              <w:rPr>
                <w:sz w:val="20"/>
                <w:szCs w:val="20"/>
                <w:color w:val="auto"/>
              </w:rPr>
            </w:pPr>
            <w:r>
              <w:rPr>
                <w:rFonts w:ascii="Arial" w:cs="Arial" w:eastAsia="Arial" w:hAnsi="Arial"/>
                <w:sz w:val="16"/>
                <w:szCs w:val="16"/>
                <w:color w:val="auto"/>
                <w:w w:val="91"/>
              </w:rPr>
              <w:t>November 12, 2021</w:t>
            </w:r>
          </w:p>
        </w:tc>
        <w:tc>
          <w:tcPr>
            <w:tcW w:w="0" w:type="dxa"/>
            <w:vAlign w:val="bottom"/>
          </w:tcPr>
          <w:p>
            <w:pPr>
              <w:spacing w:after="0"/>
              <w:rPr>
                <w:sz w:val="1"/>
                <w:szCs w:val="1"/>
                <w:color w:val="auto"/>
              </w:rPr>
            </w:pPr>
          </w:p>
        </w:tc>
      </w:tr>
      <w:tr>
        <w:trPr>
          <w:trHeight w:val="223"/>
        </w:trPr>
        <w:tc>
          <w:tcPr>
            <w:tcW w:w="920" w:type="dxa"/>
            <w:vAlign w:val="bottom"/>
          </w:tcPr>
          <w:p>
            <w:pPr>
              <w:jc w:val="center"/>
              <w:ind w:right="59"/>
              <w:spacing w:after="0"/>
              <w:rPr>
                <w:sz w:val="20"/>
                <w:szCs w:val="20"/>
                <w:color w:val="auto"/>
              </w:rPr>
            </w:pPr>
            <w:r>
              <w:rPr>
                <w:rFonts w:ascii="Arial" w:cs="Arial" w:eastAsia="Arial" w:hAnsi="Arial"/>
                <w:sz w:val="16"/>
                <w:szCs w:val="16"/>
                <w:color w:val="auto"/>
                <w:w w:val="98"/>
              </w:rPr>
              <w:t>3.2</w:t>
            </w:r>
          </w:p>
        </w:tc>
        <w:tc>
          <w:tcPr>
            <w:tcW w:w="4380" w:type="dxa"/>
            <w:vAlign w:val="bottom"/>
            <w:gridSpan w:val="14"/>
          </w:tcPr>
          <w:p>
            <w:pPr>
              <w:spacing w:after="0"/>
              <w:rPr>
                <w:rFonts w:ascii="Arial" w:cs="Arial" w:eastAsia="Arial" w:hAnsi="Arial"/>
                <w:sz w:val="16"/>
                <w:szCs w:val="16"/>
                <w:color w:val="0000FF"/>
              </w:rPr>
            </w:pPr>
            <w:hyperlink r:id="rId52">
              <w:r>
                <w:rPr>
                  <w:rFonts w:ascii="Arial" w:cs="Arial" w:eastAsia="Arial" w:hAnsi="Arial"/>
                  <w:sz w:val="16"/>
                  <w:szCs w:val="16"/>
                  <w:color w:val="0000FF"/>
                </w:rPr>
                <w:t>Restated Bylaws</w:t>
              </w:r>
            </w:hyperlink>
          </w:p>
        </w:tc>
        <w:tc>
          <w:tcPr>
            <w:tcW w:w="96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1080" w:type="dxa"/>
            <w:vAlign w:val="bottom"/>
          </w:tcPr>
          <w:p>
            <w:pPr>
              <w:jc w:val="center"/>
              <w:spacing w:after="0"/>
              <w:rPr>
                <w:sz w:val="20"/>
                <w:szCs w:val="20"/>
                <w:color w:val="auto"/>
              </w:rPr>
            </w:pPr>
            <w:r>
              <w:rPr>
                <w:rFonts w:ascii="Arial" w:cs="Arial" w:eastAsia="Arial" w:hAnsi="Arial"/>
                <w:sz w:val="16"/>
                <w:szCs w:val="16"/>
                <w:color w:val="auto"/>
                <w:w w:val="91"/>
              </w:rPr>
              <w:t>001-40822</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3.4</w:t>
            </w:r>
          </w:p>
        </w:tc>
        <w:tc>
          <w:tcPr>
            <w:tcW w:w="1760" w:type="dxa"/>
            <w:vAlign w:val="bottom"/>
          </w:tcPr>
          <w:p>
            <w:pPr>
              <w:jc w:val="center"/>
              <w:spacing w:after="0"/>
              <w:rPr>
                <w:sz w:val="20"/>
                <w:szCs w:val="20"/>
                <w:color w:val="auto"/>
              </w:rPr>
            </w:pPr>
            <w:r>
              <w:rPr>
                <w:rFonts w:ascii="Arial" w:cs="Arial" w:eastAsia="Arial" w:hAnsi="Arial"/>
                <w:sz w:val="16"/>
                <w:szCs w:val="16"/>
                <w:color w:val="auto"/>
                <w:w w:val="91"/>
              </w:rPr>
              <w:t>November 12, 2021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jc w:val="center"/>
              <w:ind w:right="59"/>
              <w:spacing w:after="0"/>
              <w:rPr>
                <w:sz w:val="20"/>
                <w:szCs w:val="20"/>
                <w:color w:val="auto"/>
              </w:rPr>
            </w:pPr>
            <w:r>
              <w:rPr>
                <w:rFonts w:ascii="Arial" w:cs="Arial" w:eastAsia="Arial" w:hAnsi="Arial"/>
                <w:sz w:val="16"/>
                <w:szCs w:val="16"/>
                <w:color w:val="auto"/>
                <w:w w:val="96"/>
              </w:rPr>
              <w:t>10.1</w:t>
            </w:r>
          </w:p>
        </w:tc>
        <w:tc>
          <w:tcPr>
            <w:tcW w:w="4380" w:type="dxa"/>
            <w:vAlign w:val="bottom"/>
            <w:gridSpan w:val="14"/>
          </w:tcPr>
          <w:p>
            <w:pPr>
              <w:spacing w:after="0"/>
              <w:rPr>
                <w:sz w:val="20"/>
                <w:szCs w:val="20"/>
                <w:color w:val="auto"/>
              </w:rPr>
            </w:pPr>
            <w:r>
              <w:rPr>
                <w:rFonts w:ascii="Arial" w:cs="Arial" w:eastAsia="Arial" w:hAnsi="Arial"/>
                <w:sz w:val="16"/>
                <w:szCs w:val="16"/>
                <w:color w:val="0000FF"/>
              </w:rPr>
              <w:t>Employment agreement between Remitly Global, Inc. and</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3780" w:type="dxa"/>
            <w:vAlign w:val="bottom"/>
            <w:tcBorders>
              <w:top w:val="single" w:sz="8" w:color="0000FF"/>
            </w:tcBorders>
            <w:gridSpan w:val="7"/>
          </w:tcPr>
          <w:p>
            <w:pPr>
              <w:spacing w:after="0" w:line="169" w:lineRule="exact"/>
              <w:rPr>
                <w:sz w:val="20"/>
                <w:szCs w:val="20"/>
                <w:color w:val="auto"/>
              </w:rPr>
            </w:pPr>
            <w:r>
              <w:rPr>
                <w:rFonts w:ascii="Arial" w:cs="Arial" w:eastAsia="Arial" w:hAnsi="Arial"/>
                <w:sz w:val="16"/>
                <w:szCs w:val="16"/>
                <w:color w:val="0000FF"/>
              </w:rPr>
              <w:t>Hemanth Munipalli, dated July 18, 2022</w:t>
            </w:r>
          </w:p>
        </w:tc>
        <w:tc>
          <w:tcPr>
            <w:tcW w:w="600" w:type="dxa"/>
            <w:vAlign w:val="bottom"/>
            <w:gridSpan w:val="7"/>
          </w:tcPr>
          <w:p>
            <w:pPr>
              <w:spacing w:after="0"/>
              <w:rPr>
                <w:sz w:val="14"/>
                <w:szCs w:val="14"/>
                <w:color w:val="auto"/>
              </w:rPr>
            </w:pPr>
          </w:p>
        </w:tc>
        <w:tc>
          <w:tcPr>
            <w:tcW w:w="96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jc w:val="center"/>
              <w:ind w:right="59"/>
              <w:spacing w:after="0"/>
              <w:rPr>
                <w:sz w:val="20"/>
                <w:szCs w:val="20"/>
                <w:color w:val="auto"/>
              </w:rPr>
            </w:pPr>
            <w:r>
              <w:rPr>
                <w:rFonts w:ascii="Arial" w:cs="Arial" w:eastAsia="Arial" w:hAnsi="Arial"/>
                <w:sz w:val="16"/>
                <w:szCs w:val="16"/>
                <w:color w:val="auto"/>
                <w:w w:val="96"/>
              </w:rPr>
              <w:t>10.2</w:t>
            </w:r>
          </w:p>
        </w:tc>
        <w:tc>
          <w:tcPr>
            <w:tcW w:w="398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w w:val="90"/>
              </w:rPr>
              <w:t>Change in control and severance agreement between Remitly</w:t>
            </w:r>
          </w:p>
        </w:tc>
        <w:tc>
          <w:tcPr>
            <w:tcW w:w="400" w:type="dxa"/>
            <w:vAlign w:val="bottom"/>
            <w:gridSpan w:val="6"/>
          </w:tcPr>
          <w:p>
            <w:pPr>
              <w:spacing w:after="0"/>
              <w:rPr>
                <w:sz w:val="18"/>
                <w:szCs w:val="18"/>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4380" w:type="dxa"/>
            <w:vAlign w:val="bottom"/>
            <w:gridSpan w:val="14"/>
          </w:tcPr>
          <w:p>
            <w:pPr>
              <w:spacing w:after="0" w:line="169" w:lineRule="exact"/>
              <w:rPr>
                <w:sz w:val="20"/>
                <w:szCs w:val="20"/>
                <w:color w:val="auto"/>
              </w:rPr>
            </w:pPr>
            <w:r>
              <w:rPr>
                <w:rFonts w:ascii="Arial" w:cs="Arial" w:eastAsia="Arial" w:hAnsi="Arial"/>
                <w:sz w:val="16"/>
                <w:szCs w:val="16"/>
                <w:color w:val="0000FF"/>
              </w:rPr>
              <w:t>Global, Inc. and Hemanth Munipalli, dated July 18, 2022</w:t>
            </w:r>
          </w:p>
        </w:tc>
        <w:tc>
          <w:tcPr>
            <w:tcW w:w="96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480" w:type="dxa"/>
            <w:vAlign w:val="bottom"/>
            <w:gridSpan w:val="3"/>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jc w:val="center"/>
              <w:ind w:right="59"/>
              <w:spacing w:after="0"/>
              <w:rPr>
                <w:sz w:val="20"/>
                <w:szCs w:val="20"/>
                <w:color w:val="auto"/>
              </w:rPr>
            </w:pPr>
            <w:r>
              <w:rPr>
                <w:rFonts w:ascii="Arial" w:cs="Arial" w:eastAsia="Arial" w:hAnsi="Arial"/>
                <w:sz w:val="16"/>
                <w:szCs w:val="16"/>
                <w:color w:val="auto"/>
                <w:w w:val="96"/>
              </w:rPr>
              <w:t>31.1</w:t>
            </w:r>
          </w:p>
        </w:tc>
        <w:tc>
          <w:tcPr>
            <w:tcW w:w="4380" w:type="dxa"/>
            <w:vAlign w:val="bottom"/>
            <w:gridSpan w:val="14"/>
          </w:tcPr>
          <w:p>
            <w:pPr>
              <w:spacing w:after="0"/>
              <w:rPr>
                <w:sz w:val="20"/>
                <w:szCs w:val="20"/>
                <w:color w:val="auto"/>
              </w:rPr>
            </w:pPr>
            <w:r>
              <w:rPr>
                <w:rFonts w:ascii="Arial" w:cs="Arial" w:eastAsia="Arial" w:hAnsi="Arial"/>
                <w:sz w:val="16"/>
                <w:szCs w:val="16"/>
                <w:color w:val="0000FF"/>
                <w:w w:val="94"/>
              </w:rPr>
              <w:t>Certification of Principal Executive Officer Pursuant to Rules 13a-</w:t>
            </w: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86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4380" w:type="dxa"/>
            <w:vAlign w:val="bottom"/>
            <w:gridSpan w:val="14"/>
          </w:tcPr>
          <w:p>
            <w:pPr>
              <w:spacing w:after="0" w:line="169" w:lineRule="exact"/>
              <w:rPr>
                <w:sz w:val="20"/>
                <w:szCs w:val="20"/>
                <w:color w:val="auto"/>
              </w:rPr>
            </w:pPr>
            <w:r>
              <w:rPr>
                <w:rFonts w:ascii="Arial" w:cs="Arial" w:eastAsia="Arial" w:hAnsi="Arial"/>
                <w:sz w:val="16"/>
                <w:szCs w:val="16"/>
                <w:color w:val="0000FF"/>
                <w:w w:val="91"/>
              </w:rPr>
              <w:t>14(a) and 15d-14(a) under the Securities Exchange Act of 1934, as</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4340" w:type="dxa"/>
            <w:vAlign w:val="bottom"/>
            <w:tcBorders>
              <w:top w:val="single" w:sz="8" w:color="0000FF"/>
            </w:tcBorders>
            <w:gridSpan w:val="12"/>
          </w:tcPr>
          <w:p>
            <w:pPr>
              <w:spacing w:after="0" w:line="155" w:lineRule="exact"/>
              <w:rPr>
                <w:sz w:val="20"/>
                <w:szCs w:val="20"/>
                <w:color w:val="auto"/>
              </w:rPr>
            </w:pPr>
            <w:r>
              <w:rPr>
                <w:rFonts w:ascii="Arial" w:cs="Arial" w:eastAsia="Arial" w:hAnsi="Arial"/>
                <w:sz w:val="16"/>
                <w:szCs w:val="16"/>
                <w:color w:val="0000FF"/>
                <w:w w:val="97"/>
              </w:rPr>
              <w:t>Adopted Pursuant to Section 302 of the Sarbanes-Oxley Act of</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32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6"/>
                <w:szCs w:val="16"/>
                <w:color w:val="0000FF"/>
                <w:w w:val="84"/>
              </w:rPr>
              <w:t>2002</w:t>
            </w:r>
          </w:p>
        </w:tc>
        <w:tc>
          <w:tcPr>
            <w:tcW w:w="7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40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20" w:type="dxa"/>
            <w:vAlign w:val="bottom"/>
          </w:tcPr>
          <w:p>
            <w:pPr>
              <w:jc w:val="center"/>
              <w:ind w:right="59"/>
              <w:spacing w:after="0"/>
              <w:rPr>
                <w:sz w:val="20"/>
                <w:szCs w:val="20"/>
                <w:color w:val="auto"/>
              </w:rPr>
            </w:pPr>
            <w:r>
              <w:rPr>
                <w:rFonts w:ascii="Arial" w:cs="Arial" w:eastAsia="Arial" w:hAnsi="Arial"/>
                <w:sz w:val="16"/>
                <w:szCs w:val="16"/>
                <w:color w:val="auto"/>
                <w:w w:val="96"/>
              </w:rPr>
              <w:t>31.2</w:t>
            </w:r>
          </w:p>
        </w:tc>
        <w:tc>
          <w:tcPr>
            <w:tcW w:w="4380" w:type="dxa"/>
            <w:vAlign w:val="bottom"/>
            <w:gridSpan w:val="14"/>
          </w:tcPr>
          <w:p>
            <w:pPr>
              <w:spacing w:after="0"/>
              <w:rPr>
                <w:sz w:val="20"/>
                <w:szCs w:val="20"/>
                <w:color w:val="auto"/>
              </w:rPr>
            </w:pPr>
            <w:r>
              <w:rPr>
                <w:rFonts w:ascii="Arial" w:cs="Arial" w:eastAsia="Arial" w:hAnsi="Arial"/>
                <w:sz w:val="16"/>
                <w:szCs w:val="16"/>
                <w:color w:val="0000FF"/>
                <w:w w:val="95"/>
              </w:rPr>
              <w:t>Certification of Principal Financial Officer Pursuant to Rules 13a-</w:t>
            </w: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3000" w:type="dxa"/>
            <w:vAlign w:val="bottom"/>
            <w:gridSpan w:val="7"/>
            <w:shd w:val="clear" w:color="auto" w:fill="0000FF"/>
          </w:tcPr>
          <w:p>
            <w:pPr>
              <w:spacing w:after="0" w:line="20" w:lineRule="exact"/>
              <w:rPr>
                <w:sz w:val="1"/>
                <w:szCs w:val="1"/>
                <w:color w:val="auto"/>
              </w:rPr>
            </w:pPr>
          </w:p>
        </w:tc>
        <w:tc>
          <w:tcPr>
            <w:tcW w:w="14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4380" w:type="dxa"/>
            <w:vAlign w:val="bottom"/>
            <w:gridSpan w:val="14"/>
          </w:tcPr>
          <w:p>
            <w:pPr>
              <w:spacing w:after="0" w:line="169" w:lineRule="exact"/>
              <w:rPr>
                <w:sz w:val="20"/>
                <w:szCs w:val="20"/>
                <w:color w:val="auto"/>
              </w:rPr>
            </w:pPr>
            <w:r>
              <w:rPr>
                <w:rFonts w:ascii="Arial" w:cs="Arial" w:eastAsia="Arial" w:hAnsi="Arial"/>
                <w:sz w:val="16"/>
                <w:szCs w:val="16"/>
                <w:color w:val="0000FF"/>
                <w:w w:val="91"/>
              </w:rPr>
              <w:t>14(a) and 15d-14(a) under the Securities Exchange Act of 1934, as</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4340" w:type="dxa"/>
            <w:vAlign w:val="bottom"/>
            <w:tcBorders>
              <w:top w:val="single" w:sz="8" w:color="0000FF"/>
            </w:tcBorders>
            <w:gridSpan w:val="12"/>
          </w:tcPr>
          <w:p>
            <w:pPr>
              <w:spacing w:after="0" w:line="155" w:lineRule="exact"/>
              <w:rPr>
                <w:sz w:val="20"/>
                <w:szCs w:val="20"/>
                <w:color w:val="auto"/>
              </w:rPr>
            </w:pPr>
            <w:r>
              <w:rPr>
                <w:rFonts w:ascii="Arial" w:cs="Arial" w:eastAsia="Arial" w:hAnsi="Arial"/>
                <w:sz w:val="16"/>
                <w:szCs w:val="16"/>
                <w:color w:val="0000FF"/>
                <w:w w:val="97"/>
              </w:rPr>
              <w:t>Adopted Pursuant to Section 302 of the Sarbanes-Oxley Act of</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32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6"/>
                <w:szCs w:val="16"/>
                <w:color w:val="0000FF"/>
                <w:w w:val="84"/>
              </w:rPr>
              <w:t>2002</w:t>
            </w:r>
          </w:p>
        </w:tc>
        <w:tc>
          <w:tcPr>
            <w:tcW w:w="7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40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20" w:type="dxa"/>
            <w:vAlign w:val="bottom"/>
          </w:tcPr>
          <w:p>
            <w:pPr>
              <w:jc w:val="center"/>
              <w:ind w:right="59"/>
              <w:spacing w:after="0"/>
              <w:rPr>
                <w:sz w:val="20"/>
                <w:szCs w:val="20"/>
                <w:color w:val="auto"/>
              </w:rPr>
            </w:pPr>
            <w:r>
              <w:rPr>
                <w:rFonts w:ascii="Arial" w:cs="Arial" w:eastAsia="Arial" w:hAnsi="Arial"/>
                <w:sz w:val="16"/>
                <w:szCs w:val="16"/>
                <w:color w:val="auto"/>
              </w:rPr>
              <w:t>32.1*</w:t>
            </w:r>
          </w:p>
        </w:tc>
        <w:tc>
          <w:tcPr>
            <w:tcW w:w="4380" w:type="dxa"/>
            <w:vAlign w:val="bottom"/>
            <w:gridSpan w:val="14"/>
          </w:tcPr>
          <w:p>
            <w:pPr>
              <w:spacing w:after="0"/>
              <w:rPr>
                <w:sz w:val="20"/>
                <w:szCs w:val="20"/>
                <w:color w:val="auto"/>
              </w:rPr>
            </w:pPr>
            <w:r>
              <w:rPr>
                <w:rFonts w:ascii="Arial" w:cs="Arial" w:eastAsia="Arial" w:hAnsi="Arial"/>
                <w:sz w:val="16"/>
                <w:szCs w:val="16"/>
                <w:color w:val="0000FF"/>
                <w:w w:val="96"/>
              </w:rPr>
              <w:t>Certification of Principal Executive Officer Pursuant to 18 U.S.C.</w:t>
            </w: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3000" w:type="dxa"/>
            <w:vAlign w:val="bottom"/>
            <w:gridSpan w:val="7"/>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4380" w:type="dxa"/>
            <w:vAlign w:val="bottom"/>
            <w:gridSpan w:val="14"/>
          </w:tcPr>
          <w:p>
            <w:pPr>
              <w:spacing w:after="0" w:line="169" w:lineRule="exact"/>
              <w:rPr>
                <w:sz w:val="20"/>
                <w:szCs w:val="20"/>
                <w:color w:val="auto"/>
              </w:rPr>
            </w:pPr>
            <w:r>
              <w:rPr>
                <w:rFonts w:ascii="Arial" w:cs="Arial" w:eastAsia="Arial" w:hAnsi="Arial"/>
                <w:sz w:val="16"/>
                <w:szCs w:val="16"/>
                <w:color w:val="0000FF"/>
                <w:w w:val="90"/>
              </w:rPr>
              <w:t>Section 1350, as Adopted Pursuant to Section 906 of the Sarbanes-</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20" w:type="dxa"/>
            <w:vAlign w:val="bottom"/>
            <w:tcBorders>
              <w:top w:val="single" w:sz="8" w:color="0000FF"/>
              <w:bottom w:val="single" w:sz="8" w:color="0000FF"/>
            </w:tcBorders>
            <w:gridSpan w:val="3"/>
          </w:tcPr>
          <w:p>
            <w:pPr>
              <w:spacing w:after="0" w:line="155" w:lineRule="exact"/>
              <w:rPr>
                <w:sz w:val="20"/>
                <w:szCs w:val="20"/>
                <w:color w:val="auto"/>
              </w:rPr>
            </w:pPr>
            <w:r>
              <w:rPr>
                <w:rFonts w:ascii="Arial" w:cs="Arial" w:eastAsia="Arial" w:hAnsi="Arial"/>
                <w:sz w:val="16"/>
                <w:szCs w:val="16"/>
                <w:color w:val="0000FF"/>
                <w:w w:val="94"/>
              </w:rPr>
              <w:t>Oxley Act of 2002</w:t>
            </w:r>
          </w:p>
        </w:tc>
        <w:tc>
          <w:tcPr>
            <w:tcW w:w="314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20" w:type="dxa"/>
            <w:vAlign w:val="bottom"/>
          </w:tcPr>
          <w:p>
            <w:pPr>
              <w:jc w:val="center"/>
              <w:ind w:right="59"/>
              <w:spacing w:after="0"/>
              <w:rPr>
                <w:sz w:val="20"/>
                <w:szCs w:val="20"/>
                <w:color w:val="auto"/>
              </w:rPr>
            </w:pPr>
            <w:r>
              <w:rPr>
                <w:rFonts w:ascii="Arial" w:cs="Arial" w:eastAsia="Arial" w:hAnsi="Arial"/>
                <w:sz w:val="16"/>
                <w:szCs w:val="16"/>
                <w:color w:val="auto"/>
              </w:rPr>
              <w:t>32.2*</w:t>
            </w:r>
          </w:p>
        </w:tc>
        <w:tc>
          <w:tcPr>
            <w:tcW w:w="4380" w:type="dxa"/>
            <w:vAlign w:val="bottom"/>
            <w:gridSpan w:val="14"/>
          </w:tcPr>
          <w:p>
            <w:pPr>
              <w:spacing w:after="0"/>
              <w:rPr>
                <w:sz w:val="20"/>
                <w:szCs w:val="20"/>
                <w:color w:val="auto"/>
              </w:rPr>
            </w:pPr>
            <w:r>
              <w:rPr>
                <w:rFonts w:ascii="Arial" w:cs="Arial" w:eastAsia="Arial" w:hAnsi="Arial"/>
                <w:sz w:val="16"/>
                <w:szCs w:val="16"/>
                <w:color w:val="0000FF"/>
                <w:w w:val="97"/>
              </w:rPr>
              <w:t>Certification of Principal Financial Officer Pursuant to 18 U.S.C.</w:t>
            </w: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20" w:type="dxa"/>
            <w:vAlign w:val="bottom"/>
            <w:gridSpan w:val="10"/>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4380" w:type="dxa"/>
            <w:vAlign w:val="bottom"/>
            <w:gridSpan w:val="14"/>
          </w:tcPr>
          <w:p>
            <w:pPr>
              <w:spacing w:after="0" w:line="169" w:lineRule="exact"/>
              <w:rPr>
                <w:sz w:val="20"/>
                <w:szCs w:val="20"/>
                <w:color w:val="auto"/>
              </w:rPr>
            </w:pPr>
            <w:r>
              <w:rPr>
                <w:rFonts w:ascii="Arial" w:cs="Arial" w:eastAsia="Arial" w:hAnsi="Arial"/>
                <w:sz w:val="16"/>
                <w:szCs w:val="16"/>
                <w:color w:val="0000FF"/>
                <w:w w:val="90"/>
              </w:rPr>
              <w:t>Section 1350, as Adopted Pursuant to Section 906 of the Sarbanes-</w:t>
            </w:r>
          </w:p>
        </w:tc>
        <w:tc>
          <w:tcPr>
            <w:tcW w:w="960" w:type="dxa"/>
            <w:vAlign w:val="bottom"/>
            <w:vMerge w:val="restart"/>
          </w:tcPr>
          <w:p>
            <w:pPr>
              <w:jc w:val="center"/>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1220" w:type="dxa"/>
            <w:vAlign w:val="bottom"/>
            <w:tcBorders>
              <w:top w:val="single" w:sz="8" w:color="0000FF"/>
              <w:bottom w:val="single" w:sz="8" w:color="0000FF"/>
            </w:tcBorders>
            <w:gridSpan w:val="3"/>
          </w:tcPr>
          <w:p>
            <w:pPr>
              <w:spacing w:after="0" w:line="155" w:lineRule="exact"/>
              <w:rPr>
                <w:sz w:val="20"/>
                <w:szCs w:val="20"/>
                <w:color w:val="auto"/>
              </w:rPr>
            </w:pPr>
            <w:r>
              <w:rPr>
                <w:rFonts w:ascii="Arial" w:cs="Arial" w:eastAsia="Arial" w:hAnsi="Arial"/>
                <w:sz w:val="16"/>
                <w:szCs w:val="16"/>
                <w:color w:val="0000FF"/>
                <w:w w:val="94"/>
              </w:rPr>
              <w:t>Oxley Act of 2002</w:t>
            </w:r>
          </w:p>
        </w:tc>
        <w:tc>
          <w:tcPr>
            <w:tcW w:w="314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920" w:type="dxa"/>
            <w:vAlign w:val="bottom"/>
          </w:tcPr>
          <w:p>
            <w:pPr>
              <w:jc w:val="center"/>
              <w:ind w:right="59"/>
              <w:spacing w:after="0"/>
              <w:rPr>
                <w:sz w:val="20"/>
                <w:szCs w:val="20"/>
                <w:color w:val="auto"/>
              </w:rPr>
            </w:pPr>
            <w:r>
              <w:rPr>
                <w:rFonts w:ascii="Arial" w:cs="Arial" w:eastAsia="Arial" w:hAnsi="Arial"/>
                <w:sz w:val="16"/>
                <w:szCs w:val="16"/>
                <w:color w:val="auto"/>
                <w:w w:val="93"/>
              </w:rPr>
              <w:t>101.INS</w:t>
            </w:r>
          </w:p>
        </w:tc>
        <w:tc>
          <w:tcPr>
            <w:tcW w:w="4380" w:type="dxa"/>
            <w:vAlign w:val="bottom"/>
            <w:gridSpan w:val="14"/>
          </w:tcPr>
          <w:p>
            <w:pPr>
              <w:spacing w:after="0"/>
              <w:rPr>
                <w:sz w:val="20"/>
                <w:szCs w:val="20"/>
                <w:color w:val="auto"/>
              </w:rPr>
            </w:pPr>
            <w:r>
              <w:rPr>
                <w:rFonts w:ascii="Arial" w:cs="Arial" w:eastAsia="Arial" w:hAnsi="Arial"/>
                <w:sz w:val="16"/>
                <w:szCs w:val="16"/>
                <w:color w:val="auto"/>
                <w:w w:val="94"/>
              </w:rPr>
              <w:t>Inline XBRL Instance Document (the instance document does not</w:t>
            </w: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4380" w:type="dxa"/>
            <w:vAlign w:val="bottom"/>
            <w:gridSpan w:val="14"/>
          </w:tcPr>
          <w:p>
            <w:pPr>
              <w:spacing w:after="0" w:line="175" w:lineRule="exact"/>
              <w:rPr>
                <w:sz w:val="20"/>
                <w:szCs w:val="20"/>
                <w:color w:val="auto"/>
              </w:rPr>
            </w:pPr>
            <w:r>
              <w:rPr>
                <w:rFonts w:ascii="Arial" w:cs="Arial" w:eastAsia="Arial" w:hAnsi="Arial"/>
                <w:sz w:val="16"/>
                <w:szCs w:val="16"/>
                <w:color w:val="auto"/>
              </w:rPr>
              <w:t>appear in the Interactive Data File because its XBRL tags are</w:t>
            </w: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4380" w:type="dxa"/>
            <w:vAlign w:val="bottom"/>
            <w:gridSpan w:val="14"/>
          </w:tcPr>
          <w:p>
            <w:pPr>
              <w:spacing w:after="0"/>
              <w:rPr>
                <w:sz w:val="20"/>
                <w:szCs w:val="20"/>
                <w:color w:val="auto"/>
              </w:rPr>
            </w:pPr>
            <w:r>
              <w:rPr>
                <w:rFonts w:ascii="Arial" w:cs="Arial" w:eastAsia="Arial" w:hAnsi="Arial"/>
                <w:sz w:val="16"/>
                <w:szCs w:val="16"/>
                <w:color w:val="auto"/>
              </w:rPr>
              <w:t>embedded within the Inline XBRL document).</w:t>
            </w:r>
          </w:p>
        </w:tc>
        <w:tc>
          <w:tcPr>
            <w:tcW w:w="960" w:type="dxa"/>
            <w:vAlign w:val="bottom"/>
          </w:tcPr>
          <w:p>
            <w:pPr>
              <w:jc w:val="center"/>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20" w:type="dxa"/>
            <w:vAlign w:val="bottom"/>
          </w:tcPr>
          <w:p>
            <w:pPr>
              <w:jc w:val="center"/>
              <w:ind w:right="59"/>
              <w:spacing w:after="0"/>
              <w:rPr>
                <w:sz w:val="20"/>
                <w:szCs w:val="20"/>
                <w:color w:val="auto"/>
              </w:rPr>
            </w:pPr>
            <w:r>
              <w:rPr>
                <w:rFonts w:ascii="Arial" w:cs="Arial" w:eastAsia="Arial" w:hAnsi="Arial"/>
                <w:sz w:val="16"/>
                <w:szCs w:val="16"/>
                <w:color w:val="auto"/>
                <w:w w:val="89"/>
              </w:rPr>
              <w:t>101.SCH</w:t>
            </w:r>
          </w:p>
        </w:tc>
        <w:tc>
          <w:tcPr>
            <w:tcW w:w="4380" w:type="dxa"/>
            <w:vAlign w:val="bottom"/>
            <w:gridSpan w:val="14"/>
          </w:tcPr>
          <w:p>
            <w:pPr>
              <w:spacing w:after="0"/>
              <w:rPr>
                <w:sz w:val="20"/>
                <w:szCs w:val="20"/>
                <w:color w:val="auto"/>
              </w:rPr>
            </w:pPr>
            <w:r>
              <w:rPr>
                <w:rFonts w:ascii="Arial" w:cs="Arial" w:eastAsia="Arial" w:hAnsi="Arial"/>
                <w:sz w:val="16"/>
                <w:szCs w:val="16"/>
                <w:color w:val="auto"/>
              </w:rPr>
              <w:t>Inline XBRL Taxonomy Extension Schema Document.</w:t>
            </w:r>
          </w:p>
        </w:tc>
        <w:tc>
          <w:tcPr>
            <w:tcW w:w="960" w:type="dxa"/>
            <w:vAlign w:val="bottom"/>
          </w:tcPr>
          <w:p>
            <w:pPr>
              <w:jc w:val="center"/>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920" w:type="dxa"/>
            <w:vAlign w:val="bottom"/>
          </w:tcPr>
          <w:p>
            <w:pPr>
              <w:jc w:val="center"/>
              <w:ind w:right="59"/>
              <w:spacing w:after="0"/>
              <w:rPr>
                <w:sz w:val="20"/>
                <w:szCs w:val="20"/>
                <w:color w:val="auto"/>
              </w:rPr>
            </w:pPr>
            <w:r>
              <w:rPr>
                <w:rFonts w:ascii="Arial" w:cs="Arial" w:eastAsia="Arial" w:hAnsi="Arial"/>
                <w:sz w:val="16"/>
                <w:szCs w:val="16"/>
                <w:color w:val="auto"/>
                <w:w w:val="99"/>
              </w:rPr>
              <w:t>101.CAL</w:t>
            </w:r>
          </w:p>
        </w:tc>
        <w:tc>
          <w:tcPr>
            <w:tcW w:w="4380" w:type="dxa"/>
            <w:vAlign w:val="bottom"/>
            <w:gridSpan w:val="14"/>
          </w:tcPr>
          <w:p>
            <w:pPr>
              <w:spacing w:after="0"/>
              <w:rPr>
                <w:sz w:val="20"/>
                <w:szCs w:val="20"/>
                <w:color w:val="auto"/>
              </w:rPr>
            </w:pPr>
            <w:r>
              <w:rPr>
                <w:rFonts w:ascii="Arial" w:cs="Arial" w:eastAsia="Arial" w:hAnsi="Arial"/>
                <w:sz w:val="16"/>
                <w:szCs w:val="16"/>
                <w:color w:val="auto"/>
              </w:rPr>
              <w:t>Inline XBRL Taxonomy Extension Calculation Linkbase</w:t>
            </w: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4380" w:type="dxa"/>
            <w:vAlign w:val="bottom"/>
            <w:gridSpan w:val="14"/>
          </w:tcPr>
          <w:p>
            <w:pPr>
              <w:spacing w:after="0"/>
              <w:rPr>
                <w:sz w:val="20"/>
                <w:szCs w:val="20"/>
                <w:color w:val="auto"/>
              </w:rPr>
            </w:pPr>
            <w:r>
              <w:rPr>
                <w:rFonts w:ascii="Arial" w:cs="Arial" w:eastAsia="Arial" w:hAnsi="Arial"/>
                <w:sz w:val="16"/>
                <w:szCs w:val="16"/>
                <w:color w:val="auto"/>
              </w:rPr>
              <w:t>Document.</w:t>
            </w:r>
          </w:p>
        </w:tc>
        <w:tc>
          <w:tcPr>
            <w:tcW w:w="960" w:type="dxa"/>
            <w:vAlign w:val="bottom"/>
          </w:tcPr>
          <w:p>
            <w:pPr>
              <w:jc w:val="center"/>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20" w:type="dxa"/>
            <w:vAlign w:val="bottom"/>
          </w:tcPr>
          <w:p>
            <w:pPr>
              <w:jc w:val="center"/>
              <w:ind w:right="59"/>
              <w:spacing w:after="0"/>
              <w:rPr>
                <w:sz w:val="20"/>
                <w:szCs w:val="20"/>
                <w:color w:val="auto"/>
              </w:rPr>
            </w:pPr>
            <w:r>
              <w:rPr>
                <w:rFonts w:ascii="Arial" w:cs="Arial" w:eastAsia="Arial" w:hAnsi="Arial"/>
                <w:sz w:val="16"/>
                <w:szCs w:val="16"/>
                <w:color w:val="auto"/>
                <w:w w:val="91"/>
              </w:rPr>
              <w:t>101.DEF</w:t>
            </w:r>
          </w:p>
        </w:tc>
        <w:tc>
          <w:tcPr>
            <w:tcW w:w="4380" w:type="dxa"/>
            <w:vAlign w:val="bottom"/>
            <w:gridSpan w:val="14"/>
          </w:tcPr>
          <w:p>
            <w:pPr>
              <w:spacing w:after="0"/>
              <w:rPr>
                <w:sz w:val="20"/>
                <w:szCs w:val="20"/>
                <w:color w:val="auto"/>
              </w:rPr>
            </w:pPr>
            <w:r>
              <w:rPr>
                <w:rFonts w:ascii="Arial" w:cs="Arial" w:eastAsia="Arial" w:hAnsi="Arial"/>
                <w:sz w:val="16"/>
                <w:szCs w:val="16"/>
                <w:color w:val="auto"/>
              </w:rPr>
              <w:t>Inline XBRL Taxonomy Extension Definition Linkbase</w:t>
            </w: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4380" w:type="dxa"/>
            <w:vAlign w:val="bottom"/>
            <w:gridSpan w:val="14"/>
          </w:tcPr>
          <w:p>
            <w:pPr>
              <w:spacing w:after="0"/>
              <w:rPr>
                <w:sz w:val="20"/>
                <w:szCs w:val="20"/>
                <w:color w:val="auto"/>
              </w:rPr>
            </w:pPr>
            <w:r>
              <w:rPr>
                <w:rFonts w:ascii="Arial" w:cs="Arial" w:eastAsia="Arial" w:hAnsi="Arial"/>
                <w:sz w:val="16"/>
                <w:szCs w:val="16"/>
                <w:color w:val="auto"/>
              </w:rPr>
              <w:t>Document.</w:t>
            </w:r>
          </w:p>
        </w:tc>
        <w:tc>
          <w:tcPr>
            <w:tcW w:w="960" w:type="dxa"/>
            <w:vAlign w:val="bottom"/>
          </w:tcPr>
          <w:p>
            <w:pPr>
              <w:jc w:val="center"/>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20" w:type="dxa"/>
            <w:vAlign w:val="bottom"/>
          </w:tcPr>
          <w:p>
            <w:pPr>
              <w:jc w:val="center"/>
              <w:ind w:right="59"/>
              <w:spacing w:after="0"/>
              <w:rPr>
                <w:sz w:val="20"/>
                <w:szCs w:val="20"/>
                <w:color w:val="auto"/>
              </w:rPr>
            </w:pPr>
            <w:r>
              <w:rPr>
                <w:rFonts w:ascii="Arial" w:cs="Arial" w:eastAsia="Arial" w:hAnsi="Arial"/>
                <w:sz w:val="16"/>
                <w:szCs w:val="16"/>
                <w:color w:val="auto"/>
              </w:rPr>
              <w:t>101.LAB</w:t>
            </w:r>
          </w:p>
        </w:tc>
        <w:tc>
          <w:tcPr>
            <w:tcW w:w="4380" w:type="dxa"/>
            <w:vAlign w:val="bottom"/>
            <w:gridSpan w:val="14"/>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960" w:type="dxa"/>
            <w:vAlign w:val="bottom"/>
          </w:tcPr>
          <w:p>
            <w:pPr>
              <w:jc w:val="center"/>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920" w:type="dxa"/>
            <w:vAlign w:val="bottom"/>
          </w:tcPr>
          <w:p>
            <w:pPr>
              <w:jc w:val="center"/>
              <w:ind w:right="59"/>
              <w:spacing w:after="0"/>
              <w:rPr>
                <w:sz w:val="20"/>
                <w:szCs w:val="20"/>
                <w:color w:val="auto"/>
              </w:rPr>
            </w:pPr>
            <w:r>
              <w:rPr>
                <w:rFonts w:ascii="Arial" w:cs="Arial" w:eastAsia="Arial" w:hAnsi="Arial"/>
                <w:sz w:val="16"/>
                <w:szCs w:val="16"/>
                <w:color w:val="auto"/>
                <w:w w:val="90"/>
              </w:rPr>
              <w:t>101.PRE</w:t>
            </w:r>
          </w:p>
        </w:tc>
        <w:tc>
          <w:tcPr>
            <w:tcW w:w="4380" w:type="dxa"/>
            <w:vAlign w:val="bottom"/>
            <w:gridSpan w:val="14"/>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4380" w:type="dxa"/>
            <w:vAlign w:val="bottom"/>
            <w:gridSpan w:val="14"/>
          </w:tcPr>
          <w:p>
            <w:pPr>
              <w:spacing w:after="0"/>
              <w:rPr>
                <w:sz w:val="20"/>
                <w:szCs w:val="20"/>
                <w:color w:val="auto"/>
              </w:rPr>
            </w:pPr>
            <w:r>
              <w:rPr>
                <w:rFonts w:ascii="Arial" w:cs="Arial" w:eastAsia="Arial" w:hAnsi="Arial"/>
                <w:sz w:val="16"/>
                <w:szCs w:val="16"/>
                <w:color w:val="auto"/>
              </w:rPr>
              <w:t>Document.</w:t>
            </w:r>
          </w:p>
        </w:tc>
        <w:tc>
          <w:tcPr>
            <w:tcW w:w="960" w:type="dxa"/>
            <w:vAlign w:val="bottom"/>
          </w:tcPr>
          <w:p>
            <w:pPr>
              <w:jc w:val="center"/>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20" w:type="dxa"/>
            <w:vAlign w:val="bottom"/>
          </w:tcPr>
          <w:p>
            <w:pPr>
              <w:jc w:val="center"/>
              <w:ind w:right="59"/>
              <w:spacing w:after="0"/>
              <w:rPr>
                <w:sz w:val="20"/>
                <w:szCs w:val="20"/>
                <w:color w:val="auto"/>
              </w:rPr>
            </w:pPr>
            <w:r>
              <w:rPr>
                <w:rFonts w:ascii="Arial" w:cs="Arial" w:eastAsia="Arial" w:hAnsi="Arial"/>
                <w:sz w:val="16"/>
                <w:szCs w:val="16"/>
                <w:color w:val="auto"/>
                <w:w w:val="97"/>
              </w:rPr>
              <w:t>104</w:t>
            </w:r>
          </w:p>
        </w:tc>
        <w:tc>
          <w:tcPr>
            <w:tcW w:w="4380" w:type="dxa"/>
            <w:vAlign w:val="bottom"/>
            <w:gridSpan w:val="14"/>
          </w:tcPr>
          <w:p>
            <w:pPr>
              <w:spacing w:after="0"/>
              <w:rPr>
                <w:sz w:val="20"/>
                <w:szCs w:val="20"/>
                <w:color w:val="auto"/>
              </w:rPr>
            </w:pPr>
            <w:r>
              <w:rPr>
                <w:rFonts w:ascii="Arial" w:cs="Arial" w:eastAsia="Arial" w:hAnsi="Arial"/>
                <w:sz w:val="16"/>
                <w:szCs w:val="16"/>
                <w:color w:val="auto"/>
                <w:w w:val="97"/>
              </w:rPr>
              <w:t>Cover Page Interactive Data File (formatted as inline XBRL and</w:t>
            </w: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4380" w:type="dxa"/>
            <w:vAlign w:val="bottom"/>
            <w:gridSpan w:val="14"/>
          </w:tcPr>
          <w:p>
            <w:pPr>
              <w:spacing w:after="0"/>
              <w:rPr>
                <w:sz w:val="20"/>
                <w:szCs w:val="20"/>
                <w:color w:val="auto"/>
              </w:rPr>
            </w:pPr>
            <w:r>
              <w:rPr>
                <w:rFonts w:ascii="Arial" w:cs="Arial" w:eastAsia="Arial" w:hAnsi="Arial"/>
                <w:sz w:val="16"/>
                <w:szCs w:val="16"/>
                <w:color w:val="auto"/>
              </w:rPr>
              <w:t>contained in Exhibit 101).</w:t>
            </w:r>
          </w:p>
        </w:tc>
        <w:tc>
          <w:tcPr>
            <w:tcW w:w="960" w:type="dxa"/>
            <w:vAlign w:val="bottom"/>
          </w:tcPr>
          <w:p>
            <w:pPr>
              <w:jc w:val="center"/>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jc w:val="both"/>
        <w:ind w:firstLine="332"/>
        <w:spacing w:after="0" w:line="269" w:lineRule="auto"/>
        <w:tabs>
          <w:tab w:leader="none" w:pos="450"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The certifications furnished in Exhibits 32.1 and 32.2 hereto are deemed to accompany this Form 10-Q and are not deemed “filed” for purposes of Section 18 of the Exchange Act, or otherwise subject to the liability of that section, nor shall they be deemed incorporated by reference into any filing under the Securities Act or the Exchange Act.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color w:val="auto"/>
        </w:rPr>
        <w:t>SIGNATURES</w:t>
      </w:r>
    </w:p>
    <w:p>
      <w:pPr>
        <w:spacing w:after="0" w:line="16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4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Remitly Global Inc.</w:t>
            </w:r>
          </w:p>
        </w:tc>
      </w:tr>
      <w:tr>
        <w:trPr>
          <w:trHeight w:val="526"/>
        </w:trPr>
        <w:tc>
          <w:tcPr>
            <w:tcW w:w="460" w:type="dxa"/>
            <w:vAlign w:val="bottom"/>
          </w:tcPr>
          <w:p>
            <w:pPr>
              <w:spacing w:after="0"/>
              <w:rPr>
                <w:sz w:val="20"/>
                <w:szCs w:val="20"/>
                <w:color w:val="auto"/>
              </w:rPr>
            </w:pPr>
            <w:r>
              <w:rPr>
                <w:rFonts w:ascii="Arial" w:cs="Arial" w:eastAsia="Arial" w:hAnsi="Arial"/>
                <w:sz w:val="16"/>
                <w:szCs w:val="16"/>
                <w:color w:val="auto"/>
              </w:rPr>
              <w:t>Date:</w:t>
            </w:r>
          </w:p>
        </w:tc>
        <w:tc>
          <w:tcPr>
            <w:tcW w:w="2060" w:type="dxa"/>
            <w:vAlign w:val="bottom"/>
          </w:tcPr>
          <w:p>
            <w:pPr>
              <w:ind w:left="80"/>
              <w:spacing w:after="0"/>
              <w:rPr>
                <w:sz w:val="20"/>
                <w:szCs w:val="20"/>
                <w:color w:val="auto"/>
              </w:rPr>
            </w:pPr>
            <w:r>
              <w:rPr>
                <w:rFonts w:ascii="Arial" w:cs="Arial" w:eastAsia="Arial" w:hAnsi="Arial"/>
                <w:sz w:val="16"/>
                <w:szCs w:val="16"/>
                <w:color w:val="auto"/>
              </w:rPr>
              <w:t>August 10, 2022</w:t>
            </w:r>
          </w:p>
        </w:tc>
        <w:tc>
          <w:tcPr>
            <w:tcW w:w="1380" w:type="dxa"/>
            <w:vAlign w:val="bottom"/>
          </w:tcPr>
          <w:p>
            <w:pPr>
              <w:ind w:left="920"/>
              <w:spacing w:after="0"/>
              <w:rPr>
                <w:sz w:val="20"/>
                <w:szCs w:val="20"/>
                <w:color w:val="auto"/>
              </w:rPr>
            </w:pPr>
            <w:r>
              <w:rPr>
                <w:rFonts w:ascii="Arial" w:cs="Arial" w:eastAsia="Arial" w:hAnsi="Arial"/>
                <w:sz w:val="16"/>
                <w:szCs w:val="16"/>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Matthew Oppenheimer</w:t>
            </w:r>
          </w:p>
        </w:tc>
      </w:tr>
      <w:tr>
        <w:trPr>
          <w:trHeight w:val="210"/>
        </w:trPr>
        <w:tc>
          <w:tcPr>
            <w:tcW w:w="4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Matthew Oppenheimer</w:t>
            </w:r>
          </w:p>
        </w:tc>
      </w:tr>
      <w:tr>
        <w:trPr>
          <w:trHeight w:val="243"/>
        </w:trPr>
        <w:tc>
          <w:tcPr>
            <w:tcW w:w="4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r>
        <w:trPr>
          <w:trHeight w:val="243"/>
        </w:trPr>
        <w:tc>
          <w:tcPr>
            <w:tcW w:w="4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(Principal Executive Officer)</w:t>
            </w:r>
          </w:p>
        </w:tc>
      </w:tr>
      <w:tr>
        <w:trPr>
          <w:trHeight w:val="526"/>
        </w:trPr>
        <w:tc>
          <w:tcPr>
            <w:tcW w:w="460" w:type="dxa"/>
            <w:vAlign w:val="bottom"/>
          </w:tcPr>
          <w:p>
            <w:pPr>
              <w:spacing w:after="0"/>
              <w:rPr>
                <w:sz w:val="20"/>
                <w:szCs w:val="20"/>
                <w:color w:val="auto"/>
              </w:rPr>
            </w:pPr>
            <w:r>
              <w:rPr>
                <w:rFonts w:ascii="Arial" w:cs="Arial" w:eastAsia="Arial" w:hAnsi="Arial"/>
                <w:sz w:val="16"/>
                <w:szCs w:val="16"/>
                <w:color w:val="auto"/>
              </w:rPr>
              <w:t>Date:</w:t>
            </w:r>
          </w:p>
        </w:tc>
        <w:tc>
          <w:tcPr>
            <w:tcW w:w="2060" w:type="dxa"/>
            <w:vAlign w:val="bottom"/>
          </w:tcPr>
          <w:p>
            <w:pPr>
              <w:ind w:left="80"/>
              <w:spacing w:after="0"/>
              <w:rPr>
                <w:sz w:val="20"/>
                <w:szCs w:val="20"/>
                <w:color w:val="auto"/>
              </w:rPr>
            </w:pPr>
            <w:r>
              <w:rPr>
                <w:rFonts w:ascii="Arial" w:cs="Arial" w:eastAsia="Arial" w:hAnsi="Arial"/>
                <w:sz w:val="16"/>
                <w:szCs w:val="16"/>
                <w:color w:val="auto"/>
              </w:rPr>
              <w:t>August 10, 2022</w:t>
            </w:r>
          </w:p>
        </w:tc>
        <w:tc>
          <w:tcPr>
            <w:tcW w:w="1380" w:type="dxa"/>
            <w:vAlign w:val="bottom"/>
          </w:tcPr>
          <w:p>
            <w:pPr>
              <w:ind w:left="920"/>
              <w:spacing w:after="0"/>
              <w:rPr>
                <w:sz w:val="20"/>
                <w:szCs w:val="20"/>
                <w:color w:val="auto"/>
              </w:rPr>
            </w:pPr>
            <w:r>
              <w:rPr>
                <w:rFonts w:ascii="Arial" w:cs="Arial" w:eastAsia="Arial" w:hAnsi="Arial"/>
                <w:sz w:val="16"/>
                <w:szCs w:val="16"/>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Hemanth Munipalli</w:t>
            </w:r>
          </w:p>
        </w:tc>
      </w:tr>
      <w:tr>
        <w:trPr>
          <w:trHeight w:val="210"/>
        </w:trPr>
        <w:tc>
          <w:tcPr>
            <w:tcW w:w="4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Hemanth Munipalli</w:t>
            </w:r>
          </w:p>
        </w:tc>
      </w:tr>
      <w:tr>
        <w:trPr>
          <w:trHeight w:val="243"/>
        </w:trPr>
        <w:tc>
          <w:tcPr>
            <w:tcW w:w="4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r>
        <w:trPr>
          <w:trHeight w:val="243"/>
        </w:trPr>
        <w:tc>
          <w:tcPr>
            <w:tcW w:w="46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080"/>
          </w:cols>
          <w:pgMar w:left="320" w:top="1264" w:right="49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July 18, 2022</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Matt Oppenheimer</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Dear Hemanth:</w:t>
      </w:r>
    </w:p>
    <w:p>
      <w:pPr>
        <w:spacing w:after="0" w:line="166" w:lineRule="exact"/>
        <w:rPr>
          <w:sz w:val="20"/>
          <w:szCs w:val="20"/>
          <w:color w:val="auto"/>
        </w:rPr>
      </w:pPr>
    </w:p>
    <w:p>
      <w:pPr>
        <w:jc w:val="both"/>
        <w:ind w:right="20" w:firstLine="324"/>
        <w:spacing w:after="0" w:line="209" w:lineRule="auto"/>
        <w:rPr>
          <w:sz w:val="20"/>
          <w:szCs w:val="20"/>
          <w:color w:val="auto"/>
        </w:rPr>
      </w:pPr>
      <w:r>
        <w:rPr>
          <w:rFonts w:ascii="Arial" w:cs="Arial" w:eastAsia="Arial" w:hAnsi="Arial"/>
          <w:sz w:val="18"/>
          <w:szCs w:val="18"/>
          <w:color w:val="auto"/>
        </w:rPr>
        <w:t>This letter agreement is between you and Remitly Global, Inc. (the “</w:t>
      </w:r>
      <w:r>
        <w:rPr>
          <w:rFonts w:ascii="Arial" w:cs="Arial" w:eastAsia="Arial" w:hAnsi="Arial"/>
          <w:sz w:val="18"/>
          <w:szCs w:val="18"/>
          <w:b w:val="1"/>
          <w:bCs w:val="1"/>
          <w:color w:val="auto"/>
        </w:rPr>
        <w:t>Company</w:t>
      </w:r>
      <w:r>
        <w:rPr>
          <w:rFonts w:ascii="Arial" w:cs="Arial" w:eastAsia="Arial" w:hAnsi="Arial"/>
          <w:sz w:val="18"/>
          <w:szCs w:val="18"/>
          <w:color w:val="auto"/>
        </w:rPr>
        <w:t>”)</w:t>
      </w:r>
      <w:r>
        <w:rPr>
          <w:rFonts w:ascii="Arial" w:cs="Arial" w:eastAsia="Arial" w:hAnsi="Arial"/>
          <w:sz w:val="23"/>
          <w:szCs w:val="23"/>
          <w:color w:val="auto"/>
          <w:vertAlign w:val="superscript"/>
        </w:rPr>
        <w:t>1</w:t>
      </w:r>
      <w:r>
        <w:rPr>
          <w:rFonts w:ascii="Arial" w:cs="Arial" w:eastAsia="Arial" w:hAnsi="Arial"/>
          <w:sz w:val="18"/>
          <w:szCs w:val="18"/>
          <w:color w:val="auto"/>
        </w:rPr>
        <w:t>. Under the terms of this agreement, you will work in the role of Chief Financial Officer, reporting to Matt Oppenheimer, the Company’s Chief Executive Officer.</w:t>
      </w:r>
    </w:p>
    <w:p>
      <w:pPr>
        <w:spacing w:after="0" w:line="144"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b w:val="1"/>
          <w:bCs w:val="1"/>
          <w:color w:val="010000"/>
        </w:rPr>
        <w:t xml:space="preserve">1. </w:t>
      </w:r>
      <w:r>
        <w:rPr>
          <w:rFonts w:ascii="Arial" w:cs="Arial" w:eastAsia="Arial" w:hAnsi="Arial"/>
          <w:sz w:val="18"/>
          <w:szCs w:val="18"/>
          <w:b w:val="1"/>
          <w:bCs w:val="1"/>
          <w:color w:val="000000"/>
        </w:rPr>
        <w:t>Cash Compensation</w:t>
      </w:r>
      <w:r>
        <w:rPr>
          <w:rFonts w:ascii="Arial" w:cs="Arial" w:eastAsia="Arial" w:hAnsi="Arial"/>
          <w:sz w:val="18"/>
          <w:szCs w:val="18"/>
          <w:color w:val="000000"/>
        </w:rPr>
        <w:t>. In this position, the Company will pay you an annual base salary payable in accordance with the Company’s standard</w:t>
      </w:r>
      <w:r>
        <w:rPr>
          <w:rFonts w:ascii="Arial" w:cs="Arial" w:eastAsia="Arial" w:hAnsi="Arial"/>
          <w:sz w:val="18"/>
          <w:szCs w:val="18"/>
          <w:b w:val="1"/>
          <w:bCs w:val="1"/>
          <w:color w:val="010000"/>
        </w:rPr>
        <w:t xml:space="preserve"> </w:t>
      </w:r>
      <w:r>
        <w:rPr>
          <w:rFonts w:ascii="Arial" w:cs="Arial" w:eastAsia="Arial" w:hAnsi="Arial"/>
          <w:sz w:val="18"/>
          <w:szCs w:val="18"/>
          <w:color w:val="000000"/>
        </w:rPr>
        <w:t>payroll schedule. Your pay will be periodically reviewed as a part of the Company’s regular reviews of compensation.</w:t>
      </w:r>
    </w:p>
    <w:p>
      <w:pPr>
        <w:spacing w:after="0" w:line="14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010000"/>
        </w:rPr>
        <w:t>2.</w:t>
      </w:r>
      <w:r>
        <w:rPr>
          <w:sz w:val="20"/>
          <w:szCs w:val="20"/>
          <w:color w:val="auto"/>
        </w:rPr>
        <w:tab/>
      </w:r>
      <w:r>
        <w:rPr>
          <w:rFonts w:ascii="Arial" w:cs="Arial" w:eastAsia="Arial" w:hAnsi="Arial"/>
          <w:sz w:val="16"/>
          <w:szCs w:val="16"/>
          <w:b w:val="1"/>
          <w:bCs w:val="1"/>
          <w:u w:val="single" w:color="auto"/>
          <w:color w:val="auto"/>
        </w:rPr>
        <w:t>Employee Benefits</w:t>
      </w:r>
      <w:r>
        <w:rPr>
          <w:rFonts w:ascii="Arial" w:cs="Arial" w:eastAsia="Arial" w:hAnsi="Arial"/>
          <w:sz w:val="16"/>
          <w:szCs w:val="16"/>
          <w:color w:val="auto"/>
        </w:rPr>
        <w:t>. You will continue to be eligible to participate in a number of Company- sponsored benefits to the extent that you comply with</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the eligibility requirements of each such benefit plan. The Company, in its sole discretion, may amend, suspend or terminate its employee benefits at any time, with or without notice. In addition, you will be entitled to paid vacation in accordance with the Company’s vacation policy, as in effect from time to time.</w:t>
      </w:r>
    </w:p>
    <w:p>
      <w:pPr>
        <w:spacing w:after="0" w:line="14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b w:val="1"/>
          <w:bCs w:val="1"/>
          <w:color w:val="010000"/>
        </w:rPr>
        <w:t xml:space="preserve">3. </w:t>
      </w:r>
      <w:r>
        <w:rPr>
          <w:rFonts w:ascii="Arial" w:cs="Arial" w:eastAsia="Arial" w:hAnsi="Arial"/>
          <w:sz w:val="16"/>
          <w:szCs w:val="16"/>
          <w:b w:val="1"/>
          <w:bCs w:val="1"/>
          <w:u w:val="single" w:color="auto"/>
          <w:color w:val="000000"/>
        </w:rPr>
        <w:t>Termination Benefits</w:t>
      </w:r>
      <w:r>
        <w:rPr>
          <w:rFonts w:ascii="Arial" w:cs="Arial" w:eastAsia="Arial" w:hAnsi="Arial"/>
          <w:sz w:val="16"/>
          <w:szCs w:val="16"/>
          <w:color w:val="000000"/>
        </w:rPr>
        <w:t>. You will be eligible to receive change in control and severance payments and benefits under the Change in Control and</w:t>
      </w:r>
      <w:r>
        <w:rPr>
          <w:rFonts w:ascii="Arial" w:cs="Arial" w:eastAsia="Arial" w:hAnsi="Arial"/>
          <w:sz w:val="16"/>
          <w:szCs w:val="16"/>
          <w:b w:val="1"/>
          <w:bCs w:val="1"/>
          <w:color w:val="010000"/>
        </w:rPr>
        <w:t xml:space="preserve"> </w:t>
      </w:r>
      <w:r>
        <w:rPr>
          <w:rFonts w:ascii="Arial" w:cs="Arial" w:eastAsia="Arial" w:hAnsi="Arial"/>
          <w:sz w:val="16"/>
          <w:szCs w:val="16"/>
          <w:color w:val="000000"/>
        </w:rPr>
        <w:t>Severance Agreement (the “</w:t>
      </w:r>
      <w:r>
        <w:rPr>
          <w:rFonts w:ascii="Arial" w:cs="Arial" w:eastAsia="Arial" w:hAnsi="Arial"/>
          <w:sz w:val="16"/>
          <w:szCs w:val="16"/>
          <w:b w:val="1"/>
          <w:bCs w:val="1"/>
          <w:color w:val="000000"/>
        </w:rPr>
        <w:t>Severance Agreement</w:t>
      </w:r>
      <w:r>
        <w:rPr>
          <w:rFonts w:ascii="Arial" w:cs="Arial" w:eastAsia="Arial" w:hAnsi="Arial"/>
          <w:sz w:val="16"/>
          <w:szCs w:val="16"/>
          <w:color w:val="000000"/>
        </w:rPr>
        <w:t xml:space="preserve">”) between you and the Company, dated July 18, 2022, attached to this offer letter as </w:t>
      </w:r>
      <w:r>
        <w:rPr>
          <w:rFonts w:ascii="Arial" w:cs="Arial" w:eastAsia="Arial" w:hAnsi="Arial"/>
          <w:sz w:val="16"/>
          <w:szCs w:val="16"/>
          <w:b w:val="1"/>
          <w:bCs w:val="1"/>
          <w:color w:val="000000"/>
        </w:rPr>
        <w:t>Exhibit A</w:t>
      </w:r>
      <w:r>
        <w:rPr>
          <w:rFonts w:ascii="Arial" w:cs="Arial" w:eastAsia="Arial" w:hAnsi="Arial"/>
          <w:sz w:val="16"/>
          <w:szCs w:val="16"/>
          <w:color w:val="000000"/>
        </w:rPr>
        <w:t>.</w:t>
      </w:r>
    </w:p>
    <w:p>
      <w:pPr>
        <w:spacing w:after="0" w:line="89" w:lineRule="exact"/>
        <w:rPr>
          <w:sz w:val="20"/>
          <w:szCs w:val="20"/>
          <w:color w:val="auto"/>
        </w:rPr>
      </w:pPr>
    </w:p>
    <w:p>
      <w:pPr>
        <w:jc w:val="both"/>
        <w:ind w:right="20" w:firstLine="324"/>
        <w:spacing w:after="0" w:line="237" w:lineRule="auto"/>
        <w:rPr>
          <w:sz w:val="20"/>
          <w:szCs w:val="20"/>
          <w:color w:val="auto"/>
        </w:rPr>
      </w:pPr>
      <w:r>
        <w:rPr>
          <w:rFonts w:ascii="Arial" w:cs="Arial" w:eastAsia="Arial" w:hAnsi="Arial"/>
          <w:sz w:val="18"/>
          <w:szCs w:val="18"/>
          <w:b w:val="1"/>
          <w:bCs w:val="1"/>
          <w:color w:val="010000"/>
        </w:rPr>
        <w:t xml:space="preserve">4. </w:t>
      </w:r>
      <w:r>
        <w:rPr>
          <w:rFonts w:ascii="Arial" w:cs="Arial" w:eastAsia="Arial" w:hAnsi="Arial"/>
          <w:sz w:val="18"/>
          <w:szCs w:val="18"/>
          <w:b w:val="1"/>
          <w:bCs w:val="1"/>
          <w:u w:val="single" w:color="auto"/>
          <w:color w:val="000000"/>
        </w:rPr>
        <w:t>Confidentiality Agreement</w:t>
      </w:r>
      <w:r>
        <w:rPr>
          <w:rFonts w:ascii="Arial" w:cs="Arial" w:eastAsia="Arial" w:hAnsi="Arial"/>
          <w:sz w:val="18"/>
          <w:szCs w:val="18"/>
          <w:color w:val="000000"/>
        </w:rPr>
        <w:t>. By signing this letter agreement, you reaffirm the terms and conditions of the Employee Proprietary Information,</w:t>
      </w:r>
      <w:r>
        <w:rPr>
          <w:rFonts w:ascii="Arial" w:cs="Arial" w:eastAsia="Arial" w:hAnsi="Arial"/>
          <w:sz w:val="18"/>
          <w:szCs w:val="18"/>
          <w:b w:val="1"/>
          <w:bCs w:val="1"/>
          <w:color w:val="010000"/>
        </w:rPr>
        <w:t xml:space="preserve"> </w:t>
      </w:r>
      <w:r>
        <w:rPr>
          <w:rFonts w:ascii="Arial" w:cs="Arial" w:eastAsia="Arial" w:hAnsi="Arial"/>
          <w:sz w:val="18"/>
          <w:szCs w:val="18"/>
          <w:color w:val="000000"/>
        </w:rPr>
        <w:t>Inventions and Arbitration Agreement by and between you and the Company.</w:t>
      </w:r>
    </w:p>
    <w:p>
      <w:pPr>
        <w:spacing w:after="0" w:line="14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b w:val="1"/>
          <w:bCs w:val="1"/>
          <w:color w:val="010000"/>
        </w:rPr>
        <w:t xml:space="preserve">5. </w:t>
      </w:r>
      <w:r>
        <w:rPr>
          <w:rFonts w:ascii="Arial" w:cs="Arial" w:eastAsia="Arial" w:hAnsi="Arial"/>
          <w:sz w:val="16"/>
          <w:szCs w:val="16"/>
          <w:b w:val="1"/>
          <w:bCs w:val="1"/>
          <w:u w:val="single" w:color="auto"/>
          <w:color w:val="000000"/>
        </w:rPr>
        <w:t>No Conflicting Obligations</w:t>
      </w:r>
      <w:r>
        <w:rPr>
          <w:rFonts w:ascii="Arial" w:cs="Arial" w:eastAsia="Arial" w:hAnsi="Arial"/>
          <w:sz w:val="16"/>
          <w:szCs w:val="16"/>
          <w:color w:val="000000"/>
        </w:rPr>
        <w:t>. You understand and agree that by signing this letter agreement, you represent to the Company that your performance</w:t>
      </w:r>
      <w:r>
        <w:rPr>
          <w:rFonts w:ascii="Arial" w:cs="Arial" w:eastAsia="Arial" w:hAnsi="Arial"/>
          <w:sz w:val="16"/>
          <w:szCs w:val="16"/>
          <w:b w:val="1"/>
          <w:bCs w:val="1"/>
          <w:color w:val="010000"/>
        </w:rPr>
        <w:t xml:space="preserve"> </w:t>
      </w:r>
      <w:r>
        <w:rPr>
          <w:rFonts w:ascii="Arial" w:cs="Arial" w:eastAsia="Arial" w:hAnsi="Arial"/>
          <w:sz w:val="16"/>
          <w:szCs w:val="16"/>
          <w:color w:val="000000"/>
        </w:rPr>
        <w:t>will not breach any other agreement to which you are a party and that you have not, and will not during the term of your employment with the Company,</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enter into any oral or written agreement in conflict with any of the provisions of this letter or the Company’s policies. You are not to bring with you to the Company, or use or disclose to any person associated with the Company, any confidential or proprietary information belonging to any former employer or other person or entity with respect to which you owe an obligation of confidentiality under any agreement or otherwise. The Company does not need and</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will not use such information and we will assist you in any way possible to preserve and protect the confidentiality of proprietary information belonging to third parties. Also, we expect you to abide by any obligations to refrain from soliciting any person employed by or otherwise associated with any former employer and suggest that you refrain from having any contact with such persons until such time as any non-solicitation obligation expires.</w:t>
      </w:r>
    </w:p>
    <w:p>
      <w:pPr>
        <w:spacing w:after="0" w:line="14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010000"/>
        </w:rPr>
        <w:t>6.</w:t>
      </w:r>
      <w:r>
        <w:rPr>
          <w:sz w:val="20"/>
          <w:szCs w:val="20"/>
          <w:color w:val="auto"/>
        </w:rPr>
        <w:tab/>
      </w:r>
      <w:r>
        <w:rPr>
          <w:rFonts w:ascii="Arial" w:cs="Arial" w:eastAsia="Arial" w:hAnsi="Arial"/>
          <w:sz w:val="16"/>
          <w:szCs w:val="16"/>
          <w:b w:val="1"/>
          <w:bCs w:val="1"/>
          <w:u w:val="single" w:color="auto"/>
          <w:color w:val="auto"/>
        </w:rPr>
        <w:t>Outside Activities</w:t>
      </w:r>
      <w:r>
        <w:rPr>
          <w:rFonts w:ascii="Arial" w:cs="Arial" w:eastAsia="Arial" w:hAnsi="Arial"/>
          <w:sz w:val="16"/>
          <w:szCs w:val="16"/>
          <w:color w:val="auto"/>
        </w:rPr>
        <w:t>. While you render services to the Company, you agree that you will not engage in any other employment, consulting or other</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business activity without the written consent of the Company. In addition, while you render services to the Company, you will not assist any person or entity in competing with the Company, in preparing to compete with the Company or in hiring any employees or consultants of the Company.</w:t>
      </w:r>
    </w:p>
    <w:p>
      <w:pPr>
        <w:spacing w:after="0" w:line="144"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b w:val="1"/>
          <w:bCs w:val="1"/>
          <w:color w:val="010000"/>
        </w:rPr>
        <w:t xml:space="preserve">7. </w:t>
      </w:r>
      <w:r>
        <w:rPr>
          <w:rFonts w:ascii="Arial" w:cs="Arial" w:eastAsia="Arial" w:hAnsi="Arial"/>
          <w:sz w:val="16"/>
          <w:szCs w:val="16"/>
          <w:b w:val="1"/>
          <w:bCs w:val="1"/>
          <w:u w:val="single" w:color="auto"/>
          <w:color w:val="000000"/>
        </w:rPr>
        <w:t>Equal Employment Opportunity</w:t>
      </w:r>
      <w:r>
        <w:rPr>
          <w:rFonts w:ascii="Arial" w:cs="Arial" w:eastAsia="Arial" w:hAnsi="Arial"/>
          <w:sz w:val="16"/>
          <w:szCs w:val="16"/>
          <w:color w:val="000000"/>
        </w:rPr>
        <w:t>. The Company is an equal opportunity employer and conducts its employment practices based on business</w:t>
      </w:r>
      <w:r>
        <w:rPr>
          <w:rFonts w:ascii="Arial" w:cs="Arial" w:eastAsia="Arial" w:hAnsi="Arial"/>
          <w:sz w:val="16"/>
          <w:szCs w:val="16"/>
          <w:b w:val="1"/>
          <w:bCs w:val="1"/>
          <w:color w:val="010000"/>
        </w:rPr>
        <w:t xml:space="preserve"> </w:t>
      </w:r>
      <w:r>
        <w:rPr>
          <w:rFonts w:ascii="Arial" w:cs="Arial" w:eastAsia="Arial" w:hAnsi="Arial"/>
          <w:sz w:val="16"/>
          <w:szCs w:val="16"/>
          <w:color w:val="000000"/>
        </w:rPr>
        <w:t>needs and in a manner that treats employees and applicants on the basis of merit and experience. The Company prohibits unlawful discrimination on the</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basis of race, color, religion, sex, pregnancy, national origin, citizenship, ancestry, age, physical or mental disability, veteran status, marital status, domestic partner status, sexual orientation, or any other consideration made unlawful by federal, state or local laws.</w:t>
      </w:r>
    </w:p>
    <w:p>
      <w:pPr>
        <w:spacing w:after="0" w:line="144"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7"/>
          <w:szCs w:val="17"/>
          <w:b w:val="1"/>
          <w:bCs w:val="1"/>
          <w:color w:val="010000"/>
        </w:rPr>
        <w:t xml:space="preserve">8. </w:t>
      </w:r>
      <w:r>
        <w:rPr>
          <w:rFonts w:ascii="Arial" w:cs="Arial" w:eastAsia="Arial" w:hAnsi="Arial"/>
          <w:sz w:val="17"/>
          <w:szCs w:val="17"/>
          <w:b w:val="1"/>
          <w:bCs w:val="1"/>
          <w:u w:val="single" w:color="auto"/>
          <w:color w:val="000000"/>
        </w:rPr>
        <w:t>Arbitration</w:t>
      </w:r>
      <w:r>
        <w:rPr>
          <w:rFonts w:ascii="Arial" w:cs="Arial" w:eastAsia="Arial" w:hAnsi="Arial"/>
          <w:sz w:val="17"/>
          <w:szCs w:val="17"/>
          <w:color w:val="000000"/>
        </w:rPr>
        <w:t>. You and the Company agree to submit to mandatory binding arbitration, governed by the Federal Arbitration Act (“</w:t>
      </w:r>
      <w:r>
        <w:rPr>
          <w:rFonts w:ascii="Arial" w:cs="Arial" w:eastAsia="Arial" w:hAnsi="Arial"/>
          <w:sz w:val="17"/>
          <w:szCs w:val="17"/>
          <w:i w:val="1"/>
          <w:iCs w:val="1"/>
          <w:color w:val="000000"/>
        </w:rPr>
        <w:t>FAA</w:t>
      </w:r>
      <w:r>
        <w:rPr>
          <w:rFonts w:ascii="Arial" w:cs="Arial" w:eastAsia="Arial" w:hAnsi="Arial"/>
          <w:sz w:val="17"/>
          <w:szCs w:val="17"/>
          <w:color w:val="000000"/>
        </w:rPr>
        <w:t>”), any and</w:t>
      </w:r>
      <w:r>
        <w:rPr>
          <w:rFonts w:ascii="Arial" w:cs="Arial" w:eastAsia="Arial" w:hAnsi="Arial"/>
          <w:sz w:val="17"/>
          <w:szCs w:val="17"/>
          <w:b w:val="1"/>
          <w:bCs w:val="1"/>
          <w:color w:val="010000"/>
        </w:rPr>
        <w:t xml:space="preserve"> </w:t>
      </w:r>
      <w:r>
        <w:rPr>
          <w:rFonts w:ascii="Arial" w:cs="Arial" w:eastAsia="Arial" w:hAnsi="Arial"/>
          <w:sz w:val="17"/>
          <w:szCs w:val="17"/>
          <w:color w:val="000000"/>
        </w:rPr>
        <w:t>all claims arising out of or related to your employment with the Company and the termination thereof, including, but not limited to, claims for unpaid</w:t>
      </w:r>
    </w:p>
    <w:p>
      <w:pPr>
        <w:jc w:val="both"/>
        <w:spacing w:after="0" w:line="218" w:lineRule="auto"/>
        <w:rPr>
          <w:sz w:val="20"/>
          <w:szCs w:val="20"/>
          <w:color w:val="auto"/>
        </w:rPr>
      </w:pPr>
      <w:r>
        <w:rPr>
          <w:rFonts w:ascii="Arial" w:cs="Arial" w:eastAsia="Arial" w:hAnsi="Arial"/>
          <w:sz w:val="18"/>
          <w:szCs w:val="18"/>
          <w:color w:val="auto"/>
        </w:rPr>
        <w:t>wages, wrongful termination, torts, stock or stock options or other ownership interest in the Company, and/or discrimination (including harassment) based upon any federal, state or local ordinance, statute, regulation or constitutional provision except that each party may, at its, his or her option, seek injunctive relief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714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Any reference to the Company will be understood to include any direct or indirect subsidiary of the Company that employs you, including Remitly, Inc.</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08" w:right="339" w:bottom="1440" w:gutter="0" w:footer="0" w:header="0"/>
        </w:sectPr>
      </w:pPr>
    </w:p>
    <w:bookmarkStart w:id="39" w:name="page40"/>
    <w:bookmarkEnd w:id="39"/>
    <w:p>
      <w:pPr>
        <w:jc w:val="both"/>
        <w:spacing w:after="0" w:line="233" w:lineRule="auto"/>
        <w:rPr>
          <w:sz w:val="20"/>
          <w:szCs w:val="20"/>
          <w:color w:val="auto"/>
        </w:rPr>
      </w:pPr>
      <w:r>
        <w:rPr>
          <w:rFonts w:ascii="Arial" w:cs="Arial" w:eastAsia="Arial" w:hAnsi="Arial"/>
          <w:sz w:val="17"/>
          <w:szCs w:val="17"/>
          <w:color w:val="auto"/>
        </w:rPr>
        <w:t>court related to the improper use, disclosure or misappropriation of a party’s private, proprietary, confidential or trade secret information (collectively, “</w:t>
      </w:r>
      <w:r>
        <w:rPr>
          <w:rFonts w:ascii="Arial" w:cs="Arial" w:eastAsia="Arial" w:hAnsi="Arial"/>
          <w:sz w:val="17"/>
          <w:szCs w:val="17"/>
          <w:i w:val="1"/>
          <w:iCs w:val="1"/>
          <w:color w:val="auto"/>
        </w:rPr>
        <w:t>Arbitrable Claims</w:t>
      </w:r>
      <w:r>
        <w:rPr>
          <w:rFonts w:ascii="Arial" w:cs="Arial" w:eastAsia="Arial" w:hAnsi="Arial"/>
          <w:sz w:val="17"/>
          <w:szCs w:val="17"/>
          <w:color w:val="auto"/>
        </w:rPr>
        <w:t>”). Further, to the fullest extent permitted by law, you and the Company agree that no class or collective actions can be asserted in</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 xml:space="preserve">arbitration or otherwise. All claims, whether in arbitration or otherwise, must be brought solely in your or the Company’s individual capacity, and not as a plaintiff or class member in any purported class or collective proceeding. </w:t>
      </w:r>
      <w:r>
        <w:rPr>
          <w:rFonts w:ascii="Arial" w:cs="Arial" w:eastAsia="Arial" w:hAnsi="Arial"/>
          <w:sz w:val="16"/>
          <w:szCs w:val="16"/>
          <w:u w:val="single" w:color="auto"/>
          <w:color w:val="auto"/>
        </w:rPr>
        <w:t>Nothing in this Arbitration and Class Action Waiver section, however, restricts</w:t>
      </w:r>
      <w:r>
        <w:rPr>
          <w:rFonts w:ascii="Arial" w:cs="Arial" w:eastAsia="Arial" w:hAnsi="Arial"/>
          <w:sz w:val="16"/>
          <w:szCs w:val="16"/>
          <w:color w:val="auto"/>
        </w:rPr>
        <w:t xml:space="preserve"> </w:t>
      </w:r>
      <w:r>
        <w:rPr>
          <w:rFonts w:ascii="Arial" w:cs="Arial" w:eastAsia="Arial" w:hAnsi="Arial"/>
          <w:sz w:val="16"/>
          <w:szCs w:val="16"/>
          <w:u w:val="single" w:color="auto"/>
          <w:color w:val="auto"/>
        </w:rPr>
        <w:t>your right to pursue claims in court: (a) on a representative action basis under applicable law, or (b) arising under the Washington State Law Against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xml:space="preserve">Discrimination (RCW 49.60, </w:t>
      </w:r>
      <w:r>
        <w:rPr>
          <w:rFonts w:ascii="Arial" w:cs="Arial" w:eastAsia="Arial" w:hAnsi="Arial"/>
          <w:sz w:val="18"/>
          <w:szCs w:val="18"/>
          <w:i w:val="1"/>
          <w:iCs w:val="1"/>
          <w:u w:val="single" w:color="auto"/>
          <w:color w:val="auto"/>
        </w:rPr>
        <w:t>et seq</w:t>
      </w:r>
      <w:r>
        <w:rPr>
          <w:rFonts w:ascii="Arial" w:cs="Arial" w:eastAsia="Arial" w:hAnsi="Arial"/>
          <w:sz w:val="18"/>
          <w:szCs w:val="18"/>
          <w:u w:val="single" w:color="auto"/>
          <w:color w:val="auto"/>
        </w:rPr>
        <w:t>.) or any federal antidiscrimination law.</w:t>
      </w:r>
    </w:p>
    <w:p>
      <w:pPr>
        <w:spacing w:after="0" w:line="155" w:lineRule="exact"/>
        <w:rPr>
          <w:sz w:val="20"/>
          <w:szCs w:val="20"/>
          <w:color w:val="auto"/>
        </w:rPr>
      </w:pPr>
    </w:p>
    <w:p>
      <w:pPr>
        <w:jc w:val="both"/>
        <w:ind w:firstLine="630"/>
        <w:spacing w:after="0" w:line="224" w:lineRule="auto"/>
        <w:rPr>
          <w:sz w:val="20"/>
          <w:szCs w:val="20"/>
          <w:color w:val="auto"/>
        </w:rPr>
      </w:pPr>
      <w:r>
        <w:rPr>
          <w:rFonts w:ascii="Arial" w:cs="Arial" w:eastAsia="Arial" w:hAnsi="Arial"/>
          <w:sz w:val="18"/>
          <w:szCs w:val="18"/>
          <w:color w:val="auto"/>
        </w:rPr>
        <w:t>SUBJECT TO THE ABOVE PROVISO, THE PARTIES HEREBY WAIVE ANY RIGHTS THEY MAY HAVE TO TRIAL BY JURY IN REGARD TO ARBITRABLE CLAIMS. THE PARTIES FURTHER WAIVE ANY RIGHTS THEY MAY HAVE TO PURSUE OR PARTICIPATE IN A CLASS OR COLLECTIVE ACTION PERTAINING TO ANY CLAIMS BETWEEN YOU AND THE COMPANY.</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This agreement to arbitrate does not restrict your right to file administrative claims you may bring before any government agency where, as a</w:t>
      </w:r>
    </w:p>
    <w:p>
      <w:pPr>
        <w:spacing w:after="0" w:line="10"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matter of law, the parties may not restrict the employee’s ability to file such claims (including, but not limited to, the National Labor Relations Board, the Equal Employment Opportunity Commission and the Department of Labor). However, the parties agree that, to the fullest extent permitted by law, arbitration shall be the exclusive remedy for the subject matter of such administrative claims, except for the resolution of claims of discrimination. The</w:t>
      </w:r>
    </w:p>
    <w:p>
      <w:pPr>
        <w:jc w:val="both"/>
        <w:spacing w:after="0" w:line="234" w:lineRule="auto"/>
        <w:rPr>
          <w:sz w:val="20"/>
          <w:szCs w:val="20"/>
          <w:color w:val="auto"/>
        </w:rPr>
      </w:pPr>
      <w:r>
        <w:rPr>
          <w:rFonts w:ascii="Arial" w:cs="Arial" w:eastAsia="Arial" w:hAnsi="Arial"/>
          <w:sz w:val="16"/>
          <w:szCs w:val="16"/>
          <w:color w:val="auto"/>
        </w:rPr>
        <w:t xml:space="preserve">arbitration shall be conducted in Seattle, Washington through JAMS before a single neutral arbitrator, in accordance with the JAMS employment arbitration rules then in effect, provided however, that the FAA, including its procedural provisions for compelling arbitration, shall govern and apply to this arbitration agreement. The JAMS rules may be found and reviewed at </w:t>
      </w:r>
      <w:r>
        <w:rPr>
          <w:rFonts w:ascii="Arial" w:cs="Arial" w:eastAsia="Arial" w:hAnsi="Arial"/>
          <w:sz w:val="16"/>
          <w:szCs w:val="16"/>
          <w:u w:val="single" w:color="auto"/>
          <w:color w:val="0000FF"/>
        </w:rPr>
        <w:t>http://www.jamsadr.com/rules-employment-arbitration</w:t>
      </w:r>
      <w:r>
        <w:rPr>
          <w:rFonts w:ascii="Arial" w:cs="Arial" w:eastAsia="Arial" w:hAnsi="Arial"/>
          <w:sz w:val="16"/>
          <w:szCs w:val="16"/>
          <w:color w:val="auto"/>
        </w:rPr>
        <w:t>. If you are unable to access</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these rules, please let me know and I will provide you with a hardcopy. The arbitrator shall issue a written decision that contains the essential findings and conclusions on which the decision is based. If, for any reason, any term of this Arbitration and Class Action Waiver provision is held to be invalid or unenforceable, all other valid terms and conditions herein shall be severable in nature, and remain fully enforceable.</w:t>
      </w:r>
    </w:p>
    <w:p>
      <w:pPr>
        <w:spacing w:after="0" w:line="145" w:lineRule="exact"/>
        <w:rPr>
          <w:sz w:val="20"/>
          <w:szCs w:val="20"/>
          <w:color w:val="auto"/>
        </w:rPr>
      </w:pPr>
    </w:p>
    <w:p>
      <w:pPr>
        <w:jc w:val="both"/>
        <w:ind w:firstLine="332"/>
        <w:spacing w:after="0" w:line="231" w:lineRule="auto"/>
        <w:tabs>
          <w:tab w:leader="none" w:pos="648" w:val="left"/>
        </w:tabs>
        <w:numPr>
          <w:ilvl w:val="0"/>
          <w:numId w:val="27"/>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General Obligations</w:t>
      </w:r>
      <w:r>
        <w:rPr>
          <w:rFonts w:ascii="Arial" w:cs="Arial" w:eastAsia="Arial" w:hAnsi="Arial"/>
          <w:sz w:val="18"/>
          <w:szCs w:val="18"/>
          <w:color w:val="auto"/>
        </w:rPr>
        <w:t>. As an employee, you will be expected to continue to adhere to the Company’s standards of professionalism, loyalty,</w:t>
      </w:r>
      <w:r>
        <w:rPr>
          <w:rFonts w:ascii="Arial" w:cs="Arial" w:eastAsia="Arial" w:hAnsi="Arial"/>
          <w:sz w:val="18"/>
          <w:szCs w:val="18"/>
          <w:b w:val="1"/>
          <w:bCs w:val="1"/>
          <w:color w:val="auto"/>
        </w:rPr>
        <w:t xml:space="preserve"> </w:t>
      </w:r>
      <w:r>
        <w:rPr>
          <w:rFonts w:ascii="Arial" w:cs="Arial" w:eastAsia="Arial" w:hAnsi="Arial"/>
          <w:sz w:val="18"/>
          <w:szCs w:val="18"/>
          <w:color w:val="auto"/>
        </w:rPr>
        <w:t>integrity, honesty, reliability and respect for all. You will also be expected to continue to comply with the Company’s policies and procedures. The Company is an equal opportunity employer.</w:t>
      </w:r>
    </w:p>
    <w:p>
      <w:pPr>
        <w:spacing w:after="0" w:line="144" w:lineRule="exact"/>
        <w:rPr>
          <w:rFonts w:ascii="Arial" w:cs="Arial" w:eastAsia="Arial" w:hAnsi="Arial"/>
          <w:sz w:val="18"/>
          <w:szCs w:val="18"/>
          <w:b w:val="1"/>
          <w:bCs w:val="1"/>
          <w:color w:val="010000"/>
        </w:rPr>
      </w:pPr>
    </w:p>
    <w:p>
      <w:pPr>
        <w:jc w:val="both"/>
        <w:ind w:firstLine="332"/>
        <w:spacing w:after="0" w:line="245" w:lineRule="auto"/>
        <w:tabs>
          <w:tab w:leader="none" w:pos="643" w:val="left"/>
        </w:tabs>
        <w:numPr>
          <w:ilvl w:val="0"/>
          <w:numId w:val="27"/>
        </w:numPr>
        <w:rPr>
          <w:rFonts w:ascii="Arial" w:cs="Arial" w:eastAsia="Arial" w:hAnsi="Arial"/>
          <w:sz w:val="16"/>
          <w:szCs w:val="16"/>
          <w:b w:val="1"/>
          <w:bCs w:val="1"/>
          <w:color w:val="010000"/>
        </w:rPr>
      </w:pPr>
      <w:r>
        <w:rPr>
          <w:rFonts w:ascii="Arial" w:cs="Arial" w:eastAsia="Arial" w:hAnsi="Arial"/>
          <w:sz w:val="16"/>
          <w:szCs w:val="16"/>
          <w:b w:val="1"/>
          <w:bCs w:val="1"/>
          <w:u w:val="single" w:color="auto"/>
          <w:color w:val="auto"/>
        </w:rPr>
        <w:t>At-Will Employment</w:t>
      </w:r>
      <w:r>
        <w:rPr>
          <w:rFonts w:ascii="Arial" w:cs="Arial" w:eastAsia="Arial" w:hAnsi="Arial"/>
          <w:sz w:val="16"/>
          <w:szCs w:val="16"/>
          <w:color w:val="auto"/>
        </w:rPr>
        <w:t>. Your employment with the Company continues to be for no specific period of time. Your employment with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will continue to be on an “at will” basis, meaning that either you or the Company may terminate your employment at any time for any reason or no reason. The Company also reserves the right to modify or amend the terms of your employment at any time for any reason. Any contrary representations which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the Company’s Board of Directors.</w:t>
      </w:r>
    </w:p>
    <w:p>
      <w:pPr>
        <w:spacing w:after="0" w:line="142" w:lineRule="exact"/>
        <w:rPr>
          <w:rFonts w:ascii="Arial" w:cs="Arial" w:eastAsia="Arial" w:hAnsi="Arial"/>
          <w:sz w:val="16"/>
          <w:szCs w:val="16"/>
          <w:b w:val="1"/>
          <w:bCs w:val="1"/>
          <w:color w:val="010000"/>
        </w:rPr>
      </w:pPr>
    </w:p>
    <w:p>
      <w:pPr>
        <w:ind w:left="640" w:hanging="308"/>
        <w:spacing w:after="0"/>
        <w:tabs>
          <w:tab w:leader="none" w:pos="640" w:val="left"/>
        </w:tabs>
        <w:numPr>
          <w:ilvl w:val="0"/>
          <w:numId w:val="27"/>
        </w:numPr>
        <w:rPr>
          <w:rFonts w:ascii="Arial" w:cs="Arial" w:eastAsia="Arial" w:hAnsi="Arial"/>
          <w:sz w:val="18"/>
          <w:szCs w:val="18"/>
          <w:b w:val="1"/>
          <w:bCs w:val="1"/>
          <w:color w:val="010000"/>
        </w:rPr>
      </w:pPr>
      <w:r>
        <w:rPr>
          <w:rFonts w:ascii="Arial" w:cs="Arial" w:eastAsia="Arial" w:hAnsi="Arial"/>
          <w:sz w:val="18"/>
          <w:szCs w:val="18"/>
          <w:b w:val="1"/>
          <w:bCs w:val="1"/>
          <w:u w:val="single" w:color="auto"/>
          <w:color w:val="auto"/>
        </w:rPr>
        <w:t>Withholdings</w:t>
      </w:r>
      <w:r>
        <w:rPr>
          <w:rFonts w:ascii="Arial" w:cs="Arial" w:eastAsia="Arial" w:hAnsi="Arial"/>
          <w:sz w:val="18"/>
          <w:szCs w:val="18"/>
          <w:color w:val="auto"/>
        </w:rPr>
        <w:t>. All forms of compensation paid to you as an employee of the Company shall be less all applicable withholdings.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8" w:right="339" w:bottom="1440" w:gutter="0" w:footer="0" w:header="0"/>
        </w:sectPr>
      </w:pPr>
    </w:p>
    <w:bookmarkStart w:id="40" w:name="page41"/>
    <w:bookmarkEnd w:id="40"/>
    <w:p>
      <w:pPr>
        <w:spacing w:after="0" w:line="200" w:lineRule="exact"/>
        <w:rPr>
          <w:sz w:val="20"/>
          <w:szCs w:val="20"/>
          <w:color w:val="auto"/>
        </w:rPr>
      </w:pPr>
    </w:p>
    <w:p>
      <w:pPr>
        <w:spacing w:after="0" w:line="214"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This letter agreement supersedes and replaces any prior understandings or agreements, whether oral, written or implied, between you and the Company regarding the matters described in this letter (other than the Severance Agreement), including, without limitation, the Prior Agreement. This letter will be governed by the laws of Washington, without regard to its conflict of laws provisions.</w:t>
      </w:r>
    </w:p>
    <w:p>
      <w:pPr>
        <w:spacing w:after="0" w:line="200" w:lineRule="exact"/>
        <w:rPr>
          <w:sz w:val="20"/>
          <w:szCs w:val="20"/>
          <w:color w:val="auto"/>
        </w:rPr>
      </w:pPr>
    </w:p>
    <w:p>
      <w:pPr>
        <w:spacing w:after="0" w:line="246"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Very Truly Yours,</w:t>
      </w:r>
    </w:p>
    <w:p>
      <w:pPr>
        <w:spacing w:after="0" w:line="293"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REMITLY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14605</wp:posOffset>
            </wp:positionV>
            <wp:extent cx="21170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16"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14605</wp:posOffset>
            </wp:positionV>
            <wp:extent cx="21170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6"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314960</wp:posOffset>
            </wp:positionV>
            <wp:extent cx="34290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186055</wp:posOffset>
            </wp:positionV>
            <wp:extent cx="34290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Amended and Restated Offer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41" w:name="page42"/>
    <w:bookmarkEnd w:id="41"/>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July 18,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w:t>
      </w:r>
      <w:r>
        <w:rPr>
          <w:rFonts w:ascii="Arial" w:cs="Arial" w:eastAsia="Arial" w:hAnsi="Arial"/>
          <w:sz w:val="13"/>
          <w:szCs w:val="13"/>
          <w:b w:val="1"/>
          <w:bCs w:val="1"/>
          <w:color w:val="auto"/>
        </w:rPr>
        <w:t>HANGE IN</w:t>
      </w:r>
      <w:r>
        <w:rPr>
          <w:rFonts w:ascii="Arial" w:cs="Arial" w:eastAsia="Arial" w:hAnsi="Arial"/>
          <w:sz w:val="16"/>
          <w:szCs w:val="16"/>
          <w:b w:val="1"/>
          <w:bCs w:val="1"/>
          <w:color w:val="auto"/>
        </w:rPr>
        <w:t xml:space="preserve"> C</w:t>
      </w:r>
      <w:r>
        <w:rPr>
          <w:rFonts w:ascii="Arial" w:cs="Arial" w:eastAsia="Arial" w:hAnsi="Arial"/>
          <w:sz w:val="13"/>
          <w:szCs w:val="13"/>
          <w:b w:val="1"/>
          <w:bCs w:val="1"/>
          <w:color w:val="auto"/>
        </w:rPr>
        <w:t>ONTROL AND</w:t>
      </w:r>
      <w:r>
        <w:rPr>
          <w:rFonts w:ascii="Arial" w:cs="Arial" w:eastAsia="Arial" w:hAnsi="Arial"/>
          <w:sz w:val="16"/>
          <w:szCs w:val="16"/>
          <w:b w:val="1"/>
          <w:bCs w:val="1"/>
          <w:color w:val="auto"/>
        </w:rPr>
        <w:t xml:space="preserve"> S</w:t>
      </w:r>
      <w:r>
        <w:rPr>
          <w:rFonts w:ascii="Arial" w:cs="Arial" w:eastAsia="Arial" w:hAnsi="Arial"/>
          <w:sz w:val="13"/>
          <w:szCs w:val="13"/>
          <w:b w:val="1"/>
          <w:bCs w:val="1"/>
          <w:color w:val="auto"/>
        </w:rPr>
        <w:t>EVERANCE</w:t>
      </w:r>
      <w:r>
        <w:rPr>
          <w:rFonts w:ascii="Arial" w:cs="Arial" w:eastAsia="Arial" w:hAnsi="Arial"/>
          <w:sz w:val="16"/>
          <w:szCs w:val="16"/>
          <w:b w:val="1"/>
          <w:bCs w:val="1"/>
          <w:color w:val="auto"/>
        </w:rPr>
        <w:t xml:space="preserve"> A</w:t>
      </w:r>
      <w:r>
        <w:rPr>
          <w:rFonts w:ascii="Arial" w:cs="Arial" w:eastAsia="Arial" w:hAnsi="Arial"/>
          <w:sz w:val="13"/>
          <w:szCs w:val="13"/>
          <w:b w:val="1"/>
          <w:bCs w:val="1"/>
          <w:color w:val="auto"/>
        </w:rPr>
        <w:t>GREEMENT</w:t>
      </w:r>
    </w:p>
    <w:p>
      <w:pPr>
        <w:spacing w:after="0" w:line="370" w:lineRule="exact"/>
        <w:rPr>
          <w:sz w:val="20"/>
          <w:szCs w:val="20"/>
          <w:color w:val="auto"/>
        </w:rPr>
      </w:pPr>
    </w:p>
    <w:p>
      <w:pPr>
        <w:ind w:firstLine="612"/>
        <w:spacing w:after="0" w:line="224" w:lineRule="auto"/>
        <w:rPr>
          <w:sz w:val="20"/>
          <w:szCs w:val="20"/>
          <w:color w:val="auto"/>
        </w:rPr>
      </w:pPr>
      <w:r>
        <w:rPr>
          <w:rFonts w:ascii="Arial" w:cs="Arial" w:eastAsia="Arial" w:hAnsi="Arial"/>
          <w:sz w:val="16"/>
          <w:szCs w:val="16"/>
          <w:color w:val="auto"/>
        </w:rPr>
        <w:t>This Change in Control and Severance Agreement (the “</w:t>
      </w:r>
      <w:r>
        <w:rPr>
          <w:rFonts w:ascii="Arial" w:cs="Arial" w:eastAsia="Arial" w:hAnsi="Arial"/>
          <w:sz w:val="16"/>
          <w:szCs w:val="16"/>
          <w:b w:val="1"/>
          <w:bCs w:val="1"/>
          <w:color w:val="auto"/>
        </w:rPr>
        <w:t>Agreement</w:t>
      </w:r>
      <w:r>
        <w:rPr>
          <w:rFonts w:ascii="Arial" w:cs="Arial" w:eastAsia="Arial" w:hAnsi="Arial"/>
          <w:sz w:val="16"/>
          <w:szCs w:val="16"/>
          <w:color w:val="auto"/>
        </w:rPr>
        <w:t>”) is entered into by and between (the “</w:t>
      </w:r>
      <w:r>
        <w:rPr>
          <w:rFonts w:ascii="Arial" w:cs="Arial" w:eastAsia="Arial" w:hAnsi="Arial"/>
          <w:sz w:val="16"/>
          <w:szCs w:val="16"/>
          <w:b w:val="1"/>
          <w:bCs w:val="1"/>
          <w:color w:val="auto"/>
        </w:rPr>
        <w:t>Executive</w:t>
      </w:r>
      <w:r>
        <w:rPr>
          <w:rFonts w:ascii="Arial" w:cs="Arial" w:eastAsia="Arial" w:hAnsi="Arial"/>
          <w:sz w:val="16"/>
          <w:szCs w:val="16"/>
          <w:color w:val="auto"/>
        </w:rPr>
        <w:t>”) and Remitly Global, Inc., a Delaware corporation (the</w:t>
      </w:r>
    </w:p>
    <w:p>
      <w:pPr>
        <w:spacing w:after="0" w:line="1" w:lineRule="exact"/>
        <w:rPr>
          <w:sz w:val="20"/>
          <w:szCs w:val="20"/>
          <w:color w:val="auto"/>
        </w:rPr>
      </w:pPr>
    </w:p>
    <w:p>
      <w:pPr>
        <w:spacing w:after="0"/>
        <w:tabs>
          <w:tab w:leader="none" w:pos="2160" w:val="left"/>
        </w:tabs>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effective as of</w:t>
        <w:tab/>
        <w:t>(the “</w:t>
      </w:r>
      <w:r>
        <w:rPr>
          <w:rFonts w:ascii="Arial" w:cs="Arial" w:eastAsia="Arial" w:hAnsi="Arial"/>
          <w:sz w:val="16"/>
          <w:szCs w:val="16"/>
          <w:b w:val="1"/>
          <w:bCs w:val="1"/>
          <w:color w:val="auto"/>
        </w:rPr>
        <w:t>Effective Date</w:t>
      </w:r>
      <w:r>
        <w:rPr>
          <w:rFonts w:ascii="Arial" w:cs="Arial" w:eastAsia="Arial" w:hAnsi="Arial"/>
          <w:sz w:val="16"/>
          <w:szCs w:val="16"/>
          <w:color w:val="auto"/>
        </w:rPr>
        <w:t>”).</w:t>
      </w:r>
    </w:p>
    <w:p>
      <w:pPr>
        <w:spacing w:after="0" w:line="174"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Term of Agreement.</w:t>
      </w:r>
    </w:p>
    <w:p>
      <w:pPr>
        <w:spacing w:after="0" w:line="194" w:lineRule="exact"/>
        <w:rPr>
          <w:sz w:val="20"/>
          <w:szCs w:val="20"/>
          <w:color w:val="auto"/>
        </w:rPr>
      </w:pPr>
    </w:p>
    <w:p>
      <w:pPr>
        <w:jc w:val="both"/>
        <w:ind w:firstLine="612"/>
        <w:spacing w:after="0" w:line="228" w:lineRule="auto"/>
        <w:rPr>
          <w:sz w:val="20"/>
          <w:szCs w:val="20"/>
          <w:color w:val="auto"/>
        </w:rPr>
      </w:pPr>
      <w:r>
        <w:rPr>
          <w:rFonts w:ascii="Arial" w:cs="Arial" w:eastAsia="Arial" w:hAnsi="Arial"/>
          <w:sz w:val="16"/>
          <w:szCs w:val="16"/>
          <w:color w:val="auto"/>
        </w:rPr>
        <w:t>This Agreement shall terminate the earlier of the second (2) anniversary of the Effective Date (the “</w:t>
      </w:r>
      <w:r>
        <w:rPr>
          <w:rFonts w:ascii="Arial" w:cs="Arial" w:eastAsia="Arial" w:hAnsi="Arial"/>
          <w:sz w:val="16"/>
          <w:szCs w:val="16"/>
          <w:b w:val="1"/>
          <w:bCs w:val="1"/>
          <w:color w:val="auto"/>
        </w:rPr>
        <w:t>Expiration Date</w:t>
      </w:r>
      <w:r>
        <w:rPr>
          <w:rFonts w:ascii="Arial" w:cs="Arial" w:eastAsia="Arial" w:hAnsi="Arial"/>
          <w:sz w:val="16"/>
          <w:szCs w:val="16"/>
          <w:color w:val="auto"/>
        </w:rPr>
        <w:t xml:space="preserve">”) or the date the Executive’s employment with the Company terminates for a reason other than a Qualifying Termination or CIC Qualifying Termination; </w:t>
      </w:r>
      <w:r>
        <w:rPr>
          <w:rFonts w:ascii="Arial" w:cs="Arial" w:eastAsia="Arial" w:hAnsi="Arial"/>
          <w:sz w:val="16"/>
          <w:szCs w:val="16"/>
          <w:i w:val="1"/>
          <w:iCs w:val="1"/>
          <w:color w:val="auto"/>
        </w:rPr>
        <w:t>provided however</w:t>
      </w:r>
      <w:r>
        <w:rPr>
          <w:rFonts w:ascii="Arial" w:cs="Arial" w:eastAsia="Arial" w:hAnsi="Arial"/>
          <w:sz w:val="16"/>
          <w:szCs w:val="16"/>
          <w:color w:val="auto"/>
        </w:rPr>
        <w:t>, if a definitive agreement relating to a Change in Control has been signed by the Company on or before the Expiration Date, then this Agreement shall remain in effect through the earlier of:</w:t>
      </w:r>
    </w:p>
    <w:p>
      <w:pPr>
        <w:spacing w:after="0" w:line="149"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date the Executive’s employment with the Company terminates for a reason other than a Qualifying Termination or CIC Qualifying</w:t>
      </w:r>
    </w:p>
    <w:p>
      <w:pPr>
        <w:spacing w:after="0"/>
        <w:rPr>
          <w:rFonts w:ascii="Arial" w:cs="Arial" w:eastAsia="Arial" w:hAnsi="Arial"/>
          <w:sz w:val="16"/>
          <w:szCs w:val="16"/>
          <w:color w:val="auto"/>
        </w:rPr>
      </w:pPr>
      <w:r>
        <w:rPr>
          <w:rFonts w:ascii="Arial" w:cs="Arial" w:eastAsia="Arial" w:hAnsi="Arial"/>
          <w:sz w:val="16"/>
          <w:szCs w:val="16"/>
          <w:color w:val="auto"/>
        </w:rPr>
        <w:t>Termination, or</w:t>
      </w:r>
    </w:p>
    <w:p>
      <w:pPr>
        <w:spacing w:after="0" w:line="194" w:lineRule="exact"/>
        <w:rPr>
          <w:rFonts w:ascii="Arial" w:cs="Arial" w:eastAsia="Arial" w:hAnsi="Arial"/>
          <w:sz w:val="16"/>
          <w:szCs w:val="16"/>
          <w:color w:val="auto"/>
        </w:rPr>
      </w:pPr>
    </w:p>
    <w:p>
      <w:pPr>
        <w:ind w:firstLine="656"/>
        <w:spacing w:after="0" w:line="232" w:lineRule="auto"/>
        <w:tabs>
          <w:tab w:leader="none" w:pos="1291"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date the Company has met all of its obligations under this Agreement following a termination of the Executive’s employment with the Company due to a Qualifying Termination or CIC Qualifying Termination.</w:t>
      </w:r>
    </w:p>
    <w:p>
      <w:pPr>
        <w:spacing w:after="0" w:line="184" w:lineRule="exact"/>
        <w:rPr>
          <w:sz w:val="20"/>
          <w:szCs w:val="20"/>
          <w:color w:val="auto"/>
        </w:rPr>
      </w:pPr>
    </w:p>
    <w:p>
      <w:pPr>
        <w:jc w:val="both"/>
        <w:ind w:firstLine="612"/>
        <w:spacing w:after="0" w:line="221" w:lineRule="auto"/>
        <w:rPr>
          <w:sz w:val="20"/>
          <w:szCs w:val="20"/>
          <w:color w:val="auto"/>
        </w:rPr>
      </w:pPr>
      <w:r>
        <w:rPr>
          <w:rFonts w:ascii="Arial" w:cs="Arial" w:eastAsia="Arial" w:hAnsi="Arial"/>
          <w:sz w:val="16"/>
          <w:szCs w:val="16"/>
          <w:color w:val="auto"/>
        </w:rPr>
        <w:t>This Agreement shall renew automatically and continue in effect for two (2) year periods measured from the initial Expiration Date unless the Company provides Executive notice of nonrenewal at least three months prior to the date on which this Agreement would otherwise renew. For the avoidance of doubt, and notwithstanding anything to the contrary in Section 2 or 3 below, the Company’s non-renewal of this Agreement shall not constitute a Qualifying Termination or CIC Qualifying Termination, as applicable.</w:t>
      </w:r>
    </w:p>
    <w:p>
      <w:pPr>
        <w:spacing w:after="0" w:line="166" w:lineRule="exact"/>
        <w:rPr>
          <w:sz w:val="20"/>
          <w:szCs w:val="20"/>
          <w:color w:val="auto"/>
        </w:rPr>
      </w:pPr>
    </w:p>
    <w:p>
      <w:pPr>
        <w:ind w:right="20" w:firstLine="8"/>
        <w:spacing w:after="0" w:line="251" w:lineRule="auto"/>
        <w:tabs>
          <w:tab w:leader="none" w:pos="648"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 xml:space="preserve">Qualifying Termination. </w:t>
      </w:r>
      <w:r>
        <w:rPr>
          <w:rFonts w:ascii="Arial" w:cs="Arial" w:eastAsia="Arial" w:hAnsi="Arial"/>
          <w:sz w:val="16"/>
          <w:szCs w:val="16"/>
          <w:color w:val="auto"/>
        </w:rPr>
        <w:t>If the Executive is subject to a Qualifying Termination, then, subject to Sections 4, 8, and 9 below, Executive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entitled to the following benefits:</w:t>
      </w:r>
    </w:p>
    <w:p>
      <w:pPr>
        <w:spacing w:after="0" w:line="155" w:lineRule="exact"/>
        <w:rPr>
          <w:rFonts w:ascii="Arial" w:cs="Arial" w:eastAsia="Arial" w:hAnsi="Arial"/>
          <w:sz w:val="16"/>
          <w:szCs w:val="16"/>
          <w:color w:val="auto"/>
        </w:rPr>
      </w:pPr>
    </w:p>
    <w:p>
      <w:pPr>
        <w:jc w:val="both"/>
        <w:ind w:firstLine="656"/>
        <w:spacing w:after="0" w:line="211" w:lineRule="auto"/>
        <w:tabs>
          <w:tab w:leader="none" w:pos="1296" w:val="left"/>
        </w:tabs>
        <w:numPr>
          <w:ilvl w:val="1"/>
          <w:numId w:val="30"/>
        </w:numPr>
        <w:rPr>
          <w:rFonts w:ascii="Arial" w:cs="Arial" w:eastAsia="Arial" w:hAnsi="Arial"/>
          <w:sz w:val="16"/>
          <w:szCs w:val="16"/>
          <w:color w:val="auto"/>
        </w:rPr>
      </w:pPr>
      <w:r>
        <w:rPr>
          <w:rFonts w:ascii="Arial" w:cs="Arial" w:eastAsia="Arial" w:hAnsi="Arial"/>
          <w:sz w:val="16"/>
          <w:szCs w:val="16"/>
          <w:b w:val="1"/>
          <w:bCs w:val="1"/>
          <w:color w:val="auto"/>
        </w:rPr>
        <w:t xml:space="preserve">Severance Benefits. </w:t>
      </w:r>
      <w:r>
        <w:rPr>
          <w:rFonts w:ascii="Arial" w:cs="Arial" w:eastAsia="Arial" w:hAnsi="Arial"/>
          <w:sz w:val="16"/>
          <w:szCs w:val="16"/>
          <w:color w:val="auto"/>
        </w:rPr>
        <w:t>The Company shall pay the Executive six months of his/her monthly base salary (at the rate in effect immediately</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the actions that resulted in the Qualifying Termination). The Executive will receive his or her severance payment in a cash lump-sum in accordance with the Company’s standard payroll procedures, which payment will be made no later than the first regular payroll date occurring after the sixtieth (60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following the Separation,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Release Conditions have been satisfied.</w:t>
      </w:r>
    </w:p>
    <w:p>
      <w:pPr>
        <w:spacing w:after="0" w:line="166" w:lineRule="exact"/>
        <w:rPr>
          <w:rFonts w:ascii="Arial" w:cs="Arial" w:eastAsia="Arial" w:hAnsi="Arial"/>
          <w:sz w:val="16"/>
          <w:szCs w:val="16"/>
          <w:color w:val="auto"/>
        </w:rPr>
      </w:pPr>
    </w:p>
    <w:p>
      <w:pPr>
        <w:jc w:val="both"/>
        <w:ind w:firstLine="656"/>
        <w:spacing w:after="0" w:line="217" w:lineRule="auto"/>
        <w:tabs>
          <w:tab w:leader="none" w:pos="1291" w:val="left"/>
        </w:tabs>
        <w:numPr>
          <w:ilvl w:val="1"/>
          <w:numId w:val="30"/>
        </w:numPr>
        <w:rPr>
          <w:rFonts w:ascii="Arial" w:cs="Arial" w:eastAsia="Arial" w:hAnsi="Arial"/>
          <w:sz w:val="16"/>
          <w:szCs w:val="16"/>
          <w:color w:val="auto"/>
        </w:rPr>
      </w:pPr>
      <w:r>
        <w:rPr>
          <w:rFonts w:ascii="Arial" w:cs="Arial" w:eastAsia="Arial" w:hAnsi="Arial"/>
          <w:sz w:val="16"/>
          <w:szCs w:val="16"/>
          <w:b w:val="1"/>
          <w:bCs w:val="1"/>
          <w:color w:val="auto"/>
        </w:rPr>
        <w:t xml:space="preserve">Continued Employee Benefits. </w:t>
      </w:r>
      <w:r>
        <w:rPr>
          <w:rFonts w:ascii="Arial" w:cs="Arial" w:eastAsia="Arial" w:hAnsi="Arial"/>
          <w:sz w:val="16"/>
          <w:szCs w:val="16"/>
          <w:color w:val="auto"/>
        </w:rPr>
        <w:t>If Executive timely elects continued coverage under the Consolidated Omnibus Budget Reconciliation Act</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COBRA</w:t>
      </w:r>
      <w:r>
        <w:rPr>
          <w:rFonts w:ascii="Arial" w:cs="Arial" w:eastAsia="Arial" w:hAnsi="Arial"/>
          <w:sz w:val="16"/>
          <w:szCs w:val="16"/>
          <w:color w:val="auto"/>
        </w:rPr>
        <w:t>”), the Company shall pay the full amount of Executive’s COBRA premiums on behalf of the Executive for the Executive’s continued coverage under the Company’s health, dental and vision plans, including coverage for the Executive’s eligible dependents, for the same period that the Executive is paid severance benefits pursuant to Section 2(a) following the Executive’s Separation or, if earlier, until Executive is eligible to be covered under another substantially equivalent medical insurance plan by a subsequent employer. Notwithstanding the foregoing, if the Company, in its sole discretion, determines that it cannot provide the foregoing subsidy of COBRA coverage without potentially violating or causing the Company to incur additional expense as a result of noncompliance with applicable law (including, without limitation, Section 2716 of the Public Health Service Act), the Company instead shall provide to Executive a taxable monthly payment in an amount equal to the monthly COBRA premium that Executive would be required to pay to continue the group health coverage in effect on the date of the Separation (which amount shall be based on the premium for the first month of COBRA coverage), which payments shall be made regardless of whether Executive elects COBRA continuation coverage and shall commence on the later of (i) the first day of the month following the month in which Executive experiences a Separation and (ii) the effective date of the Company’s determination of violation of applicable law, and shall end on the earlier of (x) the effective date on which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5"/>
          <w:szCs w:val="15"/>
          <w:color w:val="auto"/>
        </w:rPr>
        <w:t>1</w:t>
      </w:r>
    </w:p>
    <w:p>
      <w:pPr>
        <w:ind w:left="360"/>
        <w:spacing w:after="0"/>
        <w:rPr>
          <w:sz w:val="20"/>
          <w:szCs w:val="20"/>
          <w:color w:val="auto"/>
        </w:rPr>
      </w:pPr>
      <w:r>
        <w:rPr>
          <w:rFonts w:ascii="Arial" w:cs="Arial" w:eastAsia="Arial" w:hAnsi="Arial"/>
          <w:sz w:val="13"/>
          <w:szCs w:val="13"/>
          <w:color w:val="auto"/>
        </w:rPr>
        <w:t>#95708694v1</w:t>
      </w:r>
    </w:p>
    <w:p>
      <w:pPr>
        <w:sectPr>
          <w:pgSz w:w="11900" w:h="16838" w:orient="portrait"/>
          <w:cols w:equalWidth="0" w:num="1">
            <w:col w:w="11240"/>
          </w:cols>
          <w:pgMar w:left="320" w:top="1440" w:right="339" w:bottom="1440" w:gutter="0" w:footer="0" w:header="0"/>
        </w:sectPr>
      </w:pPr>
    </w:p>
    <w:bookmarkStart w:id="42" w:name="page43"/>
    <w:bookmarkEnd w:id="42"/>
    <w:p>
      <w:pPr>
        <w:spacing w:after="0" w:line="241" w:lineRule="exact"/>
        <w:rPr>
          <w:sz w:val="20"/>
          <w:szCs w:val="20"/>
          <w:color w:val="auto"/>
        </w:rPr>
      </w:pPr>
    </w:p>
    <w:p>
      <w:pPr>
        <w:jc w:val="both"/>
        <w:spacing w:after="0" w:line="208" w:lineRule="auto"/>
        <w:rPr>
          <w:sz w:val="20"/>
          <w:szCs w:val="20"/>
          <w:color w:val="auto"/>
        </w:rPr>
      </w:pPr>
      <w:r>
        <w:rPr>
          <w:rFonts w:ascii="Arial" w:cs="Arial" w:eastAsia="Arial" w:hAnsi="Arial"/>
          <w:sz w:val="16"/>
          <w:szCs w:val="16"/>
          <w:color w:val="auto"/>
        </w:rPr>
        <w:t xml:space="preserve">becomes covered by a health, dental or vision insurance plan of a subsequent employer, and (y) the last day of the period that the Executive is paid severance benefits pursuant to Section 2(a) after the Separation, </w:t>
      </w:r>
      <w:r>
        <w:rPr>
          <w:rFonts w:ascii="Arial" w:cs="Arial" w:eastAsia="Arial" w:hAnsi="Arial"/>
          <w:sz w:val="16"/>
          <w:szCs w:val="16"/>
          <w:i w:val="1"/>
          <w:iCs w:val="1"/>
          <w:color w:val="auto"/>
        </w:rPr>
        <w:t>provided that</w:t>
      </w:r>
      <w:r>
        <w:rPr>
          <w:rFonts w:ascii="Arial" w:cs="Arial" w:eastAsia="Arial" w:hAnsi="Arial"/>
          <w:sz w:val="16"/>
          <w:szCs w:val="16"/>
          <w:color w:val="auto"/>
        </w:rPr>
        <w:t>, any taxable payments under Section 2(b) will not be paid before the first business day occurring after the sixtieth (60</w:t>
      </w:r>
      <w:r>
        <w:rPr>
          <w:rFonts w:ascii="Arial" w:cs="Arial" w:eastAsia="Arial" w:hAnsi="Arial"/>
          <w:sz w:val="21"/>
          <w:szCs w:val="21"/>
          <w:color w:val="auto"/>
          <w:vertAlign w:val="superscript"/>
        </w:rPr>
        <w:t>th</w:t>
      </w:r>
      <w:r>
        <w:rPr>
          <w:rFonts w:ascii="Arial" w:cs="Arial" w:eastAsia="Arial" w:hAnsi="Arial"/>
          <w:sz w:val="16"/>
          <w:szCs w:val="16"/>
          <w:color w:val="auto"/>
        </w:rPr>
        <w:t>) day following the Separation and, once they commence, will include any unpaid amounts accrued from the date of Executive’s Separation (to the extent not otherwise satisfied with continuation coverage). However, if the period comprising the sum of the sixty (60)-day period described in the preceding sentence and the ten (10)-day period described in Section 6(f) below spans two calendar years, then any payments which constitute deferred compensation subject to Section 409A will not in any case be paid in the first calendar year. Executive shall have no right to an additional gross-up payment to account for the fact that such COBRA premium amounts are paid on an after-tax basis.</w:t>
      </w:r>
    </w:p>
    <w:p>
      <w:pPr>
        <w:spacing w:after="0" w:line="164" w:lineRule="exact"/>
        <w:rPr>
          <w:sz w:val="20"/>
          <w:szCs w:val="20"/>
          <w:color w:val="auto"/>
        </w:rPr>
      </w:pPr>
    </w:p>
    <w:p>
      <w:pPr>
        <w:ind w:firstLine="8"/>
        <w:spacing w:after="0" w:line="251" w:lineRule="auto"/>
        <w:tabs>
          <w:tab w:leader="none" w:pos="648"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CIC Qualifying Termination. </w:t>
      </w:r>
      <w:r>
        <w:rPr>
          <w:rFonts w:ascii="Arial" w:cs="Arial" w:eastAsia="Arial" w:hAnsi="Arial"/>
          <w:sz w:val="16"/>
          <w:szCs w:val="16"/>
          <w:color w:val="auto"/>
        </w:rPr>
        <w:t>If the Executive is subject to a CIC Qualifying Termination, then, subject to Sections 4, 8, and 9 below, Executive will</w:t>
      </w:r>
      <w:r>
        <w:rPr>
          <w:rFonts w:ascii="Arial" w:cs="Arial" w:eastAsia="Arial" w:hAnsi="Arial"/>
          <w:sz w:val="16"/>
          <w:szCs w:val="16"/>
          <w:b w:val="1"/>
          <w:bCs w:val="1"/>
          <w:color w:val="auto"/>
        </w:rPr>
        <w:t xml:space="preserve"> </w:t>
      </w:r>
      <w:r>
        <w:rPr>
          <w:rFonts w:ascii="Arial" w:cs="Arial" w:eastAsia="Arial" w:hAnsi="Arial"/>
          <w:sz w:val="16"/>
          <w:szCs w:val="16"/>
          <w:color w:val="auto"/>
        </w:rPr>
        <w:t>be entitled to the following benefits:</w:t>
      </w:r>
    </w:p>
    <w:p>
      <w:pPr>
        <w:spacing w:after="0" w:line="155" w:lineRule="exact"/>
        <w:rPr>
          <w:rFonts w:ascii="Arial" w:cs="Arial" w:eastAsia="Arial" w:hAnsi="Arial"/>
          <w:sz w:val="16"/>
          <w:szCs w:val="16"/>
          <w:color w:val="auto"/>
        </w:rPr>
      </w:pPr>
    </w:p>
    <w:p>
      <w:pPr>
        <w:jc w:val="both"/>
        <w:ind w:firstLine="656"/>
        <w:spacing w:after="0" w:line="211" w:lineRule="auto"/>
        <w:tabs>
          <w:tab w:leader="none" w:pos="1291" w:val="left"/>
        </w:tabs>
        <w:numPr>
          <w:ilvl w:val="1"/>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Severance Payments. </w:t>
      </w:r>
      <w:r>
        <w:rPr>
          <w:rFonts w:ascii="Arial" w:cs="Arial" w:eastAsia="Arial" w:hAnsi="Arial"/>
          <w:sz w:val="16"/>
          <w:szCs w:val="16"/>
          <w:color w:val="auto"/>
        </w:rPr>
        <w:t>The Company or its successor shall pay the Executive twelve months of his/her monthly base salary and one time</w:t>
      </w:r>
      <w:r>
        <w:rPr>
          <w:rFonts w:ascii="Arial" w:cs="Arial" w:eastAsia="Arial" w:hAnsi="Arial"/>
          <w:sz w:val="16"/>
          <w:szCs w:val="16"/>
          <w:b w:val="1"/>
          <w:bCs w:val="1"/>
          <w:color w:val="auto"/>
        </w:rPr>
        <w:t xml:space="preserve"> </w:t>
      </w:r>
      <w:r>
        <w:rPr>
          <w:rFonts w:ascii="Arial" w:cs="Arial" w:eastAsia="Arial" w:hAnsi="Arial"/>
          <w:sz w:val="16"/>
          <w:szCs w:val="16"/>
          <w:color w:val="auto"/>
        </w:rPr>
        <w:t>his/her annual target bonus corresponding to 100% achievement of target, in each case, at the rate in effect immediately prior to the actions that resulted in the Separation. Such payment shall be paid in a cash lump sum payment in accordance with the Company’s standard payroll procedures, which payment will be made no later than the first regular payroll date occurring after the sixtieth (60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following the Separation,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Release Conditions have been satisfied.</w:t>
      </w:r>
    </w:p>
    <w:p>
      <w:pPr>
        <w:spacing w:after="0" w:line="166" w:lineRule="exact"/>
        <w:rPr>
          <w:rFonts w:ascii="Arial" w:cs="Arial" w:eastAsia="Arial" w:hAnsi="Arial"/>
          <w:sz w:val="16"/>
          <w:szCs w:val="16"/>
          <w:color w:val="auto"/>
        </w:rPr>
      </w:pPr>
    </w:p>
    <w:p>
      <w:pPr>
        <w:jc w:val="both"/>
        <w:ind w:firstLine="656"/>
        <w:spacing w:after="0" w:line="221" w:lineRule="auto"/>
        <w:tabs>
          <w:tab w:leader="none" w:pos="1287" w:val="left"/>
        </w:tabs>
        <w:numPr>
          <w:ilvl w:val="1"/>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Equity. </w:t>
      </w:r>
      <w:r>
        <w:rPr>
          <w:rFonts w:ascii="Arial" w:cs="Arial" w:eastAsia="Arial" w:hAnsi="Arial"/>
          <w:sz w:val="16"/>
          <w:szCs w:val="16"/>
          <w:color w:val="auto"/>
        </w:rPr>
        <w:t>Each of Executive’s then outstanding Equity Awards, including awards that would otherwise vest only upon satisfaction of</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criteria, shall accelerate and become vested and exercisable as to 100% of the then-unvested and, in the case of performance-based awards, then- unearned (at the actual performance level or, if the actual performance level has not been determined at the time of such CIC Qualifying Termination, at 100% achievement of target, in any case, unless the applicable award agreement governing such performance-based Equity Awards expressly supersedes the terms of this Agreement) shares subject to the Equity Award. Subject to Section 4, the accelerated vesting described above shall be effective as of the Separation. This Section 3(b) shall apply to all future Company RSU award agreements, except to the extent the award agreement provides otherwise in a provision that expressly references this provision.</w:t>
      </w:r>
    </w:p>
    <w:p>
      <w:pPr>
        <w:spacing w:after="0" w:line="164" w:lineRule="exact"/>
        <w:rPr>
          <w:rFonts w:ascii="Arial" w:cs="Arial" w:eastAsia="Arial" w:hAnsi="Arial"/>
          <w:sz w:val="16"/>
          <w:szCs w:val="16"/>
          <w:color w:val="auto"/>
        </w:rPr>
      </w:pPr>
    </w:p>
    <w:p>
      <w:pPr>
        <w:jc w:val="both"/>
        <w:ind w:firstLine="656"/>
        <w:spacing w:after="0" w:line="234" w:lineRule="auto"/>
        <w:tabs>
          <w:tab w:leader="none" w:pos="1291" w:val="left"/>
        </w:tabs>
        <w:numPr>
          <w:ilvl w:val="1"/>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COBRA; Pay in Lieu of Continued Employee Benefits. </w:t>
      </w:r>
      <w:r>
        <w:rPr>
          <w:rFonts w:ascii="Arial" w:cs="Arial" w:eastAsia="Arial" w:hAnsi="Arial"/>
          <w:sz w:val="16"/>
          <w:szCs w:val="16"/>
          <w:color w:val="auto"/>
        </w:rPr>
        <w:t>Continuation of COBRA or a cash benefit, in both cases on the same terms as</w:t>
      </w:r>
      <w:r>
        <w:rPr>
          <w:rFonts w:ascii="Arial" w:cs="Arial" w:eastAsia="Arial" w:hAnsi="Arial"/>
          <w:sz w:val="16"/>
          <w:szCs w:val="16"/>
          <w:b w:val="1"/>
          <w:bCs w:val="1"/>
          <w:color w:val="auto"/>
        </w:rPr>
        <w:t xml:space="preserve"> </w:t>
      </w:r>
      <w:r>
        <w:rPr>
          <w:rFonts w:ascii="Arial" w:cs="Arial" w:eastAsia="Arial" w:hAnsi="Arial"/>
          <w:sz w:val="16"/>
          <w:szCs w:val="16"/>
          <w:color w:val="auto"/>
        </w:rPr>
        <w:t>set forth in Section 2(b) above, for the same period that the Executive is paid severance benefits pursuant to Section 3(a) following the Executive’s Separation or, if earlier, until Executive is eligible to be covered under another substantially equivalent medical insurance plan by a subsequent employer.</w:t>
      </w:r>
    </w:p>
    <w:p>
      <w:pPr>
        <w:spacing w:after="0" w:line="163" w:lineRule="exact"/>
        <w:rPr>
          <w:rFonts w:ascii="Arial" w:cs="Arial" w:eastAsia="Arial" w:hAnsi="Arial"/>
          <w:sz w:val="16"/>
          <w:szCs w:val="16"/>
          <w:color w:val="auto"/>
        </w:rPr>
      </w:pPr>
    </w:p>
    <w:p>
      <w:pPr>
        <w:jc w:val="both"/>
        <w:ind w:firstLine="8"/>
        <w:spacing w:after="0" w:line="222" w:lineRule="auto"/>
        <w:tabs>
          <w:tab w:leader="none" w:pos="648"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General Release. </w:t>
      </w:r>
      <w:r>
        <w:rPr>
          <w:rFonts w:ascii="Arial" w:cs="Arial" w:eastAsia="Arial" w:hAnsi="Arial"/>
          <w:sz w:val="16"/>
          <w:szCs w:val="16"/>
          <w:color w:val="auto"/>
        </w:rPr>
        <w:t>Any other provision of this Agreement notwithstanding, the benefits under Section 2 and 3 shall not apply unless the Executive (i)</w:t>
      </w:r>
      <w:r>
        <w:rPr>
          <w:rFonts w:ascii="Arial" w:cs="Arial" w:eastAsia="Arial" w:hAnsi="Arial"/>
          <w:sz w:val="16"/>
          <w:szCs w:val="16"/>
          <w:b w:val="1"/>
          <w:bCs w:val="1"/>
          <w:color w:val="auto"/>
        </w:rPr>
        <w:t xml:space="preserve"> </w:t>
      </w:r>
      <w:r>
        <w:rPr>
          <w:rFonts w:ascii="Arial" w:cs="Arial" w:eastAsia="Arial" w:hAnsi="Arial"/>
          <w:sz w:val="16"/>
          <w:szCs w:val="16"/>
          <w:color w:val="auto"/>
        </w:rPr>
        <w:t>has executed a general release of all known and unknown claims that he or she may then have against the Company or persons affiliated with the Company and such release has become effective and (ii) has agreed not to prosecute any legal action or other proceeding based upon any of such claims. The release must be in the form prescribed by the Company, without alterations (this document effecting the foregoing, the “</w:t>
      </w:r>
      <w:r>
        <w:rPr>
          <w:rFonts w:ascii="Arial" w:cs="Arial" w:eastAsia="Arial" w:hAnsi="Arial"/>
          <w:sz w:val="16"/>
          <w:szCs w:val="16"/>
          <w:b w:val="1"/>
          <w:bCs w:val="1"/>
          <w:color w:val="auto"/>
        </w:rPr>
        <w:t>Release</w:t>
      </w:r>
      <w:r>
        <w:rPr>
          <w:rFonts w:ascii="Arial" w:cs="Arial" w:eastAsia="Arial" w:hAnsi="Arial"/>
          <w:sz w:val="16"/>
          <w:szCs w:val="16"/>
          <w:color w:val="auto"/>
        </w:rPr>
        <w:t>”). The Company will deliver the form of Release to the Executive within thirty (30) days after the Executive’s Separation. The Executive must execute and return the Release within the time period specified in the form.</w:t>
      </w:r>
    </w:p>
    <w:p>
      <w:pPr>
        <w:spacing w:after="0" w:line="166" w:lineRule="exact"/>
        <w:rPr>
          <w:rFonts w:ascii="Arial" w:cs="Arial" w:eastAsia="Arial" w:hAnsi="Arial"/>
          <w:sz w:val="16"/>
          <w:szCs w:val="16"/>
          <w:color w:val="auto"/>
        </w:rPr>
      </w:pPr>
    </w:p>
    <w:p>
      <w:pPr>
        <w:jc w:val="both"/>
        <w:ind w:firstLine="8"/>
        <w:spacing w:after="0" w:line="221" w:lineRule="auto"/>
        <w:tabs>
          <w:tab w:leader="none" w:pos="648"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Accrued Compensation and Benefits. </w:t>
      </w:r>
      <w:r>
        <w:rPr>
          <w:rFonts w:ascii="Arial" w:cs="Arial" w:eastAsia="Arial" w:hAnsi="Arial"/>
          <w:sz w:val="16"/>
          <w:szCs w:val="16"/>
          <w:color w:val="auto"/>
        </w:rPr>
        <w:t>Notwithstanding anything to the contrary in Section 2 and 3 above, in connection with any termination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(whether or not a Qualifying Termination or CIC Qualifying Termination), the Company shall pay Executive’s earned but unpaid base salary and other vested but unpaid cash entitlements for the period through and including the termination of employment, including unreimbursed documented business expenses incurred by Executive through and including the date of termination (collectively “</w:t>
      </w:r>
      <w:r>
        <w:rPr>
          <w:rFonts w:ascii="Arial" w:cs="Arial" w:eastAsia="Arial" w:hAnsi="Arial"/>
          <w:sz w:val="16"/>
          <w:szCs w:val="16"/>
          <w:b w:val="1"/>
          <w:bCs w:val="1"/>
          <w:color w:val="auto"/>
        </w:rPr>
        <w:t>Accrued Compensation and Expenses</w:t>
      </w:r>
      <w:r>
        <w:rPr>
          <w:rFonts w:ascii="Arial" w:cs="Arial" w:eastAsia="Arial" w:hAnsi="Arial"/>
          <w:sz w:val="16"/>
          <w:szCs w:val="16"/>
          <w:color w:val="auto"/>
        </w:rPr>
        <w:t>”), as required by law and the applicable Company plan or policy. In addition, Executive shall be entitled to any other vested benefits earned by Executive for the period through and including the termination date of Executive’s employment under any other employee benefit plans and arrangements maintained by the Company, in accordance with the terms of such plans and arrangements, except as modified herein.</w:t>
      </w:r>
    </w:p>
    <w:p>
      <w:pPr>
        <w:spacing w:after="0" w:line="164" w:lineRule="exact"/>
        <w:rPr>
          <w:rFonts w:ascii="Arial" w:cs="Arial" w:eastAsia="Arial" w:hAnsi="Arial"/>
          <w:sz w:val="16"/>
          <w:szCs w:val="16"/>
          <w:color w:val="auto"/>
        </w:rPr>
      </w:pPr>
    </w:p>
    <w:p>
      <w:pPr>
        <w:ind w:left="660" w:hanging="652"/>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Definitions.</w:t>
      </w:r>
    </w:p>
    <w:p>
      <w:pPr>
        <w:spacing w:after="0" w:line="194" w:lineRule="exact"/>
        <w:rPr>
          <w:sz w:val="20"/>
          <w:szCs w:val="20"/>
          <w:color w:val="auto"/>
        </w:rPr>
      </w:pPr>
    </w:p>
    <w:p>
      <w:pPr>
        <w:jc w:val="both"/>
        <w:ind w:right="20" w:firstLine="8"/>
        <w:spacing w:after="0" w:line="234" w:lineRule="auto"/>
        <w:tabs>
          <w:tab w:leader="none" w:pos="643" w:val="left"/>
        </w:tabs>
        <w:numPr>
          <w:ilvl w:val="0"/>
          <w:numId w:val="3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Cause</w:t>
      </w:r>
      <w:r>
        <w:rPr>
          <w:rFonts w:ascii="Arial" w:cs="Arial" w:eastAsia="Arial" w:hAnsi="Arial"/>
          <w:sz w:val="16"/>
          <w:szCs w:val="16"/>
          <w:color w:val="auto"/>
        </w:rPr>
        <w:t>” shall mean the Company’s good faith determination of Executive’s: (i) conviction of, or plea of guilty or nolo contendere to, any crime involving dishonesty or moral turpitude or any felony; (ii) engagement in material dishonesty, willful misconduct, or gross negligence in each case in connection with Executive’s position at the Company, (iii) unauthorized use or disclosure of the Company’s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rPr>
          <w:sz w:val="20"/>
          <w:szCs w:val="20"/>
          <w:color w:val="auto"/>
        </w:rPr>
      </w:pPr>
      <w:r>
        <w:rPr>
          <w:rFonts w:ascii="Arial" w:cs="Arial" w:eastAsia="Arial" w:hAnsi="Arial"/>
          <w:sz w:val="13"/>
          <w:szCs w:val="13"/>
          <w:color w:val="auto"/>
        </w:rPr>
        <w:t>#95708694v1</w:t>
      </w:r>
    </w:p>
    <w:p>
      <w:pPr>
        <w:sectPr>
          <w:pgSz w:w="11900" w:h="16838" w:orient="portrait"/>
          <w:cols w:equalWidth="0" w:num="1">
            <w:col w:w="11240"/>
          </w:cols>
          <w:pgMar w:left="320" w:top="1440" w:right="339" w:bottom="1440" w:gutter="0" w:footer="0" w:header="0"/>
        </w:sectPr>
      </w:pPr>
    </w:p>
    <w:bookmarkStart w:id="43" w:name="page44"/>
    <w:bookmarkEnd w:id="43"/>
    <w:p>
      <w:pPr>
        <w:spacing w:after="0" w:line="241" w:lineRule="exact"/>
        <w:rPr>
          <w:sz w:val="20"/>
          <w:szCs w:val="20"/>
          <w:color w:val="auto"/>
        </w:rPr>
      </w:pPr>
    </w:p>
    <w:p>
      <w:pPr>
        <w:jc w:val="both"/>
        <w:spacing w:after="0"/>
        <w:rPr>
          <w:sz w:val="20"/>
          <w:szCs w:val="20"/>
          <w:color w:val="auto"/>
        </w:rPr>
      </w:pPr>
      <w:r>
        <w:rPr>
          <w:rFonts w:ascii="Arial" w:cs="Arial" w:eastAsia="Arial" w:hAnsi="Arial"/>
          <w:sz w:val="16"/>
          <w:szCs w:val="16"/>
          <w:color w:val="auto"/>
        </w:rPr>
        <w:t>information or trade secrets, which use or disclosure causes material harm to the Company, (iv) material breach of any agreement entered into between the Company and Executive, (iv) material violation of a written Company policy or procedure that has been provided to Executive causing injury to the Company, its successor, or its affiliates, or any of their businesses, (v) embezzlement, (vi) failure to cooperate with the Company in any investigation or formal proceeding if the Company has requested Executive’s reasonable cooperation, and/or (v) gross negligence or willful misconduct by Executive with respect to Executive’s performance of his or her assigned duties for the Company, following written notice of such negligence or misconduct by the Company and, to the extent such is determined to be curable by the Company, a period of fifteen (15) days to cure the same and Executive’s failure to cure during such time period.</w:t>
      </w:r>
    </w:p>
    <w:p>
      <w:pPr>
        <w:spacing w:after="0" w:line="226"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Code</w:t>
      </w:r>
      <w:r>
        <w:rPr>
          <w:rFonts w:ascii="Arial" w:cs="Arial" w:eastAsia="Arial" w:hAnsi="Arial"/>
          <w:sz w:val="16"/>
          <w:szCs w:val="16"/>
          <w:color w:val="auto"/>
        </w:rPr>
        <w:t>” means the Internal Revenue Code of 1986, as amended.</w:t>
      </w:r>
    </w:p>
    <w:p>
      <w:pPr>
        <w:spacing w:after="0" w:line="194" w:lineRule="exact"/>
        <w:rPr>
          <w:rFonts w:ascii="Arial" w:cs="Arial" w:eastAsia="Arial" w:hAnsi="Arial"/>
          <w:sz w:val="16"/>
          <w:szCs w:val="16"/>
          <w:color w:val="auto"/>
        </w:rPr>
      </w:pPr>
    </w:p>
    <w:p>
      <w:pPr>
        <w:jc w:val="both"/>
        <w:ind w:firstLine="656"/>
        <w:spacing w:after="0" w:line="234" w:lineRule="auto"/>
        <w:tabs>
          <w:tab w:leader="none" w:pos="1291" w:val="left"/>
        </w:tabs>
        <w:numPr>
          <w:ilvl w:val="0"/>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Control</w:t>
      </w:r>
      <w:r>
        <w:rPr>
          <w:rFonts w:ascii="Arial" w:cs="Arial" w:eastAsia="Arial" w:hAnsi="Arial"/>
          <w:sz w:val="16"/>
          <w:szCs w:val="16"/>
          <w:color w:val="auto"/>
        </w:rPr>
        <w:t xml:space="preserve">.” For all purposes under this Agreement, a Change in Control shall mean a “Corporate Transaction,” as such term is defined in the Plan,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transaction (including any series of transactions) also qualifies as a change in control event under U.S. Treasury Regulation 1.409A-3(i)(5).</w:t>
      </w:r>
    </w:p>
    <w:p>
      <w:pPr>
        <w:spacing w:after="0" w:line="163" w:lineRule="exact"/>
        <w:rPr>
          <w:rFonts w:ascii="Arial" w:cs="Arial" w:eastAsia="Arial" w:hAnsi="Arial"/>
          <w:sz w:val="16"/>
          <w:szCs w:val="16"/>
          <w:color w:val="auto"/>
        </w:rPr>
      </w:pPr>
    </w:p>
    <w:p>
      <w:pPr>
        <w:jc w:val="both"/>
        <w:ind w:firstLine="656"/>
        <w:spacing w:after="0" w:line="228" w:lineRule="auto"/>
        <w:tabs>
          <w:tab w:leader="none" w:pos="1296" w:val="left"/>
        </w:tabs>
        <w:numPr>
          <w:ilvl w:val="0"/>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CIC Qualifying Termination</w:t>
      </w:r>
      <w:r>
        <w:rPr>
          <w:rFonts w:ascii="Arial" w:cs="Arial" w:eastAsia="Arial" w:hAnsi="Arial"/>
          <w:sz w:val="16"/>
          <w:szCs w:val="16"/>
          <w:color w:val="auto"/>
        </w:rPr>
        <w:t>” means a Separation within three (3) months before or within twelve (12) months following a Change in Control resulting from (A) the Company or its successor terminating the Executive’s employment for any reason other than Cause or (B) the Executive voluntarily resigning his or her employment for Good Reason. A termination or resignation due to the Executive’s death or disability shall not constitute a CIC Qualifying Termination.</w:t>
      </w:r>
    </w:p>
    <w:p>
      <w:pPr>
        <w:spacing w:after="0" w:line="164" w:lineRule="exact"/>
        <w:rPr>
          <w:rFonts w:ascii="Arial" w:cs="Arial" w:eastAsia="Arial" w:hAnsi="Arial"/>
          <w:sz w:val="16"/>
          <w:szCs w:val="16"/>
          <w:color w:val="auto"/>
        </w:rPr>
      </w:pPr>
    </w:p>
    <w:p>
      <w:pPr>
        <w:ind w:firstLine="656"/>
        <w:spacing w:after="0" w:line="251" w:lineRule="auto"/>
        <w:tabs>
          <w:tab w:leader="none" w:pos="1291" w:val="left"/>
        </w:tabs>
        <w:numPr>
          <w:ilvl w:val="0"/>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Awards</w:t>
      </w:r>
      <w:r>
        <w:rPr>
          <w:rFonts w:ascii="Arial" w:cs="Arial" w:eastAsia="Arial" w:hAnsi="Arial"/>
          <w:sz w:val="16"/>
          <w:szCs w:val="16"/>
          <w:color w:val="auto"/>
        </w:rPr>
        <w:t>” means all options to purchase shares of Company common stock, as well as all other stock-based awards granted to the Executive, including, but not limited to, stock bonus awards, restricted stock, restricted stock units and stock appreciation rights.</w:t>
      </w:r>
    </w:p>
    <w:p>
      <w:pPr>
        <w:spacing w:after="0" w:line="155" w:lineRule="exact"/>
        <w:rPr>
          <w:rFonts w:ascii="Arial" w:cs="Arial" w:eastAsia="Arial" w:hAnsi="Arial"/>
          <w:sz w:val="16"/>
          <w:szCs w:val="16"/>
          <w:color w:val="auto"/>
        </w:rPr>
      </w:pPr>
    </w:p>
    <w:p>
      <w:pPr>
        <w:jc w:val="both"/>
        <w:ind w:firstLine="656"/>
        <w:spacing w:after="0" w:line="215" w:lineRule="auto"/>
        <w:tabs>
          <w:tab w:leader="none" w:pos="1296" w:val="left"/>
        </w:tabs>
        <w:numPr>
          <w:ilvl w:val="0"/>
          <w:numId w:val="3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“Good Reason” </w:t>
      </w:r>
      <w:r>
        <w:rPr>
          <w:rFonts w:ascii="Arial" w:cs="Arial" w:eastAsia="Arial" w:hAnsi="Arial"/>
          <w:sz w:val="16"/>
          <w:szCs w:val="16"/>
          <w:color w:val="auto"/>
        </w:rPr>
        <w:t>means any of the following actions by the Company without Executive’s written consent: (i) a material reduction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Executive’s duties or responsibilities that is inconsistent with Executive’s position, provided that a mere change of title alone shall not constitute such a material reduction; (ii) the requirement that Executive change the location of Executive’s principal office to a facility by more than forty (40) miles from the location at which Executive was employed prior to such change, or (iii) a material reduction in Executive’s annual base salary or a material reduction in Executive’s employee benefits (e.g., medical, dental, insurance, short- and longterm disability insurance and 40l(k) retirement plan benefits, collectively, the </w:t>
      </w:r>
      <w:r>
        <w:rPr>
          <w:rFonts w:ascii="Arial" w:cs="Arial" w:eastAsia="Arial" w:hAnsi="Arial"/>
          <w:sz w:val="16"/>
          <w:szCs w:val="16"/>
          <w:b w:val="1"/>
          <w:bCs w:val="1"/>
          <w:i w:val="1"/>
          <w:iCs w:val="1"/>
          <w:color w:val="auto"/>
        </w:rPr>
        <w:t>“Employee Benefits”</w:t>
      </w:r>
      <w:r>
        <w:rPr>
          <w:rFonts w:ascii="Arial" w:cs="Arial" w:eastAsia="Arial" w:hAnsi="Arial"/>
          <w:sz w:val="16"/>
          <w:szCs w:val="16"/>
          <w:color w:val="auto"/>
        </w:rPr>
        <w:t>) to which Executive was entitled immediately prior to such reduction (other than (i) in connection with a general decrease in the salary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Employee Benefits of all similarly situated employees not to exceed 25% and (ii) following such Change in Control, to the extent necessary to make Executive’s salary or Employee Benefits commensurate with those other employees of the Company or its successor entity or parent entity who are similarly situated with Executive following such Change in Control). For Executive to receive the benefits under this Agreement as a result of a voluntary resignation under this subsection (f), all of the following requirements must be satisfied: (1) the Executive must provide notice to the Company of his or her intent to assert Good Reason within thirty (30) days of the initial existence of one or more of the conditions set forth in subclauses (i) through (iii); (2) the Company will have thirty (30) days from the date of such notice to remedy the condition and, if it does so, the Executive may withdraw his or her resignation or may resign with no benefits; and (3) any termination of employment under this provision must occur within ten (10) days of the earlier of expiration of the thirty day company cure period or written notice from the Company that it will not undertake to cure the condition. Should the Company remedy the condition as set forth above and then one or more of the conditions arises again within twelve months following the occurrence of a Change in Control, the Executive may assert Good Reason again subject to all of the conditions set forth herein.</w:t>
      </w:r>
    </w:p>
    <w:p>
      <w:pPr>
        <w:spacing w:after="0" w:line="170" w:lineRule="exact"/>
        <w:rPr>
          <w:rFonts w:ascii="Arial" w:cs="Arial" w:eastAsia="Arial" w:hAnsi="Arial"/>
          <w:sz w:val="16"/>
          <w:szCs w:val="16"/>
          <w:color w:val="auto"/>
        </w:rPr>
      </w:pPr>
    </w:p>
    <w:p>
      <w:pPr>
        <w:ind w:left="1300" w:hanging="644"/>
        <w:spacing w:after="0"/>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means the Company’s 2021 Equity Incentive Plan, as may be amended from time to time.</w:t>
      </w:r>
    </w:p>
    <w:p>
      <w:pPr>
        <w:spacing w:after="0" w:line="194" w:lineRule="exact"/>
        <w:rPr>
          <w:rFonts w:ascii="Arial" w:cs="Arial" w:eastAsia="Arial" w:hAnsi="Arial"/>
          <w:sz w:val="16"/>
          <w:szCs w:val="16"/>
          <w:color w:val="auto"/>
        </w:rPr>
      </w:pPr>
    </w:p>
    <w:p>
      <w:pPr>
        <w:ind w:firstLine="656"/>
        <w:spacing w:after="0" w:line="251" w:lineRule="auto"/>
        <w:tabs>
          <w:tab w:leader="none" w:pos="1291" w:val="left"/>
        </w:tabs>
        <w:numPr>
          <w:ilvl w:val="0"/>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Release Conditions</w:t>
      </w:r>
      <w:r>
        <w:rPr>
          <w:rFonts w:ascii="Arial" w:cs="Arial" w:eastAsia="Arial" w:hAnsi="Arial"/>
          <w:sz w:val="16"/>
          <w:szCs w:val="16"/>
          <w:color w:val="auto"/>
        </w:rPr>
        <w:t>” mean the following conditions: (i) Company has received the Executive’s executed Release and (ii) any rescission period applicable to the Executive’s executed Release has expired (without Executive having rescinded the executed Release).</w:t>
      </w:r>
    </w:p>
    <w:p>
      <w:pPr>
        <w:spacing w:after="0" w:line="155" w:lineRule="exact"/>
        <w:rPr>
          <w:rFonts w:ascii="Arial" w:cs="Arial" w:eastAsia="Arial" w:hAnsi="Arial"/>
          <w:sz w:val="16"/>
          <w:szCs w:val="16"/>
          <w:color w:val="auto"/>
        </w:rPr>
      </w:pPr>
    </w:p>
    <w:p>
      <w:pPr>
        <w:jc w:val="both"/>
        <w:ind w:firstLine="656"/>
        <w:spacing w:after="0" w:line="234" w:lineRule="auto"/>
        <w:tabs>
          <w:tab w:leader="none" w:pos="1291" w:val="left"/>
        </w:tabs>
        <w:numPr>
          <w:ilvl w:val="0"/>
          <w:numId w:val="3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Qualifying Termination</w:t>
      </w:r>
      <w:r>
        <w:rPr>
          <w:rFonts w:ascii="Arial" w:cs="Arial" w:eastAsia="Arial" w:hAnsi="Arial"/>
          <w:sz w:val="16"/>
          <w:szCs w:val="16"/>
          <w:color w:val="auto"/>
        </w:rPr>
        <w:t>” means a Separation that is not a CIC Qualifying Termination, but which results from the Company terminating the Executive’s employment for any reason other than Cause. A termination or resignation due to the Executive’s death or disability shall not constitute a Qualifying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rPr>
          <w:sz w:val="20"/>
          <w:szCs w:val="20"/>
          <w:color w:val="auto"/>
        </w:rPr>
      </w:pPr>
      <w:r>
        <w:rPr>
          <w:rFonts w:ascii="Arial" w:cs="Arial" w:eastAsia="Arial" w:hAnsi="Arial"/>
          <w:sz w:val="13"/>
          <w:szCs w:val="13"/>
          <w:color w:val="auto"/>
        </w:rPr>
        <w:t>#95708694v1</w:t>
      </w:r>
    </w:p>
    <w:p>
      <w:pPr>
        <w:sectPr>
          <w:pgSz w:w="11900" w:h="16838" w:orient="portrait"/>
          <w:cols w:equalWidth="0" w:num="1">
            <w:col w:w="11240"/>
          </w:cols>
          <w:pgMar w:left="320" w:top="1440" w:right="339" w:bottom="1440" w:gutter="0" w:footer="0" w:header="0"/>
        </w:sectPr>
      </w:pPr>
    </w:p>
    <w:bookmarkStart w:id="44" w:name="page45"/>
    <w:bookmarkEnd w:id="44"/>
    <w:p>
      <w:pPr>
        <w:spacing w:after="0" w:line="221" w:lineRule="exact"/>
        <w:rPr>
          <w:sz w:val="20"/>
          <w:szCs w:val="20"/>
          <w:color w:val="auto"/>
        </w:rPr>
      </w:pPr>
    </w:p>
    <w:p>
      <w:pPr>
        <w:ind w:left="1300" w:hanging="644"/>
        <w:spacing w:after="0"/>
        <w:tabs>
          <w:tab w:leader="none" w:pos="13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Separation</w:t>
      </w:r>
      <w:r>
        <w:rPr>
          <w:rFonts w:ascii="Arial" w:cs="Arial" w:eastAsia="Arial" w:hAnsi="Arial"/>
          <w:sz w:val="16"/>
          <w:szCs w:val="16"/>
          <w:color w:val="auto"/>
        </w:rPr>
        <w:t>” means a “separation from service,” as defined in the regulations under Section 409A of the Code.</w:t>
      </w:r>
    </w:p>
    <w:p>
      <w:pPr>
        <w:spacing w:after="0" w:line="194" w:lineRule="exact"/>
        <w:rPr>
          <w:rFonts w:ascii="Arial" w:cs="Arial" w:eastAsia="Arial" w:hAnsi="Arial"/>
          <w:sz w:val="16"/>
          <w:szCs w:val="16"/>
          <w:color w:val="auto"/>
        </w:rPr>
      </w:pPr>
    </w:p>
    <w:p>
      <w:pPr>
        <w:ind w:left="660" w:hanging="652"/>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b w:val="1"/>
          <w:bCs w:val="1"/>
          <w:color w:val="auto"/>
        </w:rPr>
        <w:t>Successors.</w:t>
      </w:r>
    </w:p>
    <w:p>
      <w:pPr>
        <w:spacing w:after="0" w:line="194" w:lineRule="exact"/>
        <w:rPr>
          <w:rFonts w:ascii="Arial" w:cs="Arial" w:eastAsia="Arial" w:hAnsi="Arial"/>
          <w:sz w:val="16"/>
          <w:szCs w:val="16"/>
          <w:color w:val="auto"/>
        </w:rPr>
      </w:pPr>
    </w:p>
    <w:p>
      <w:pPr>
        <w:jc w:val="both"/>
        <w:ind w:firstLine="656"/>
        <w:spacing w:after="0" w:line="225" w:lineRule="auto"/>
        <w:tabs>
          <w:tab w:leader="none" w:pos="1296" w:val="left"/>
        </w:tabs>
        <w:numPr>
          <w:ilvl w:val="1"/>
          <w:numId w:val="35"/>
        </w:numPr>
        <w:rPr>
          <w:rFonts w:ascii="Arial" w:cs="Arial" w:eastAsia="Arial" w:hAnsi="Arial"/>
          <w:sz w:val="16"/>
          <w:szCs w:val="16"/>
          <w:color w:val="auto"/>
        </w:rPr>
      </w:pPr>
      <w:r>
        <w:rPr>
          <w:rFonts w:ascii="Arial" w:cs="Arial" w:eastAsia="Arial" w:hAnsi="Arial"/>
          <w:sz w:val="16"/>
          <w:szCs w:val="16"/>
          <w:b w:val="1"/>
          <w:bCs w:val="1"/>
          <w:color w:val="auto"/>
        </w:rPr>
        <w:t xml:space="preserve">Company’s Successors. </w:t>
      </w:r>
      <w:r>
        <w:rPr>
          <w:rFonts w:ascii="Arial" w:cs="Arial" w:eastAsia="Arial" w:hAnsi="Arial"/>
          <w:sz w:val="16"/>
          <w:szCs w:val="16"/>
          <w:color w:val="auto"/>
        </w:rPr>
        <w:t>The Company shall require any successor (whether direct or indirect and whether by purchase, lease, merger,</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consolidation, liquidation or otherwise) to all or substantially all of the Company’s business and/or assets, by an agreement in substance and form satisfactory to the Executive, to assume this Agreement and to agree expressly to perform this Agreement in the same manner and to the same extent as the Company would be required to perform it in the absence of a succession. For all purposes under this Agreement, the term “Company” shall include any successor to the Company’s business and/or assets or which becomes bound by this Agreement by operation of law.</w:t>
      </w:r>
    </w:p>
    <w:p>
      <w:pPr>
        <w:spacing w:after="0" w:line="163" w:lineRule="exact"/>
        <w:rPr>
          <w:rFonts w:ascii="Arial" w:cs="Arial" w:eastAsia="Arial" w:hAnsi="Arial"/>
          <w:sz w:val="16"/>
          <w:szCs w:val="16"/>
          <w:color w:val="auto"/>
        </w:rPr>
      </w:pPr>
    </w:p>
    <w:p>
      <w:pPr>
        <w:ind w:firstLine="656"/>
        <w:spacing w:after="0" w:line="251" w:lineRule="auto"/>
        <w:tabs>
          <w:tab w:leader="none" w:pos="1296" w:val="left"/>
        </w:tabs>
        <w:numPr>
          <w:ilvl w:val="1"/>
          <w:numId w:val="35"/>
        </w:numPr>
        <w:rPr>
          <w:rFonts w:ascii="Arial" w:cs="Arial" w:eastAsia="Arial" w:hAnsi="Arial"/>
          <w:sz w:val="16"/>
          <w:szCs w:val="16"/>
          <w:color w:val="auto"/>
        </w:rPr>
      </w:pPr>
      <w:r>
        <w:rPr>
          <w:rFonts w:ascii="Arial" w:cs="Arial" w:eastAsia="Arial" w:hAnsi="Arial"/>
          <w:sz w:val="16"/>
          <w:szCs w:val="16"/>
          <w:b w:val="1"/>
          <w:bCs w:val="1"/>
          <w:color w:val="auto"/>
        </w:rPr>
        <w:t xml:space="preserve">Executive’s Successors. </w:t>
      </w:r>
      <w:r>
        <w:rPr>
          <w:rFonts w:ascii="Arial" w:cs="Arial" w:eastAsia="Arial" w:hAnsi="Arial"/>
          <w:sz w:val="16"/>
          <w:szCs w:val="16"/>
          <w:color w:val="auto"/>
        </w:rPr>
        <w:t>This Agreement and all rights of the Executive hereunder shall inure to the benefit of, and be enforceable by,</w:t>
      </w:r>
      <w:r>
        <w:rPr>
          <w:rFonts w:ascii="Arial" w:cs="Arial" w:eastAsia="Arial" w:hAnsi="Arial"/>
          <w:sz w:val="16"/>
          <w:szCs w:val="16"/>
          <w:b w:val="1"/>
          <w:bCs w:val="1"/>
          <w:color w:val="auto"/>
        </w:rPr>
        <w:t xml:space="preserve"> </w:t>
      </w:r>
      <w:r>
        <w:rPr>
          <w:rFonts w:ascii="Arial" w:cs="Arial" w:eastAsia="Arial" w:hAnsi="Arial"/>
          <w:sz w:val="16"/>
          <w:szCs w:val="16"/>
          <w:color w:val="auto"/>
        </w:rPr>
        <w:t>the Executive’s personal or legal representatives, executors, administrators, successors, heirs, distributees, devisees and legatees.</w:t>
      </w:r>
    </w:p>
    <w:p>
      <w:pPr>
        <w:spacing w:after="0" w:line="155" w:lineRule="exact"/>
        <w:rPr>
          <w:rFonts w:ascii="Arial" w:cs="Arial" w:eastAsia="Arial" w:hAnsi="Arial"/>
          <w:sz w:val="16"/>
          <w:szCs w:val="16"/>
          <w:color w:val="auto"/>
        </w:rPr>
      </w:pPr>
    </w:p>
    <w:p>
      <w:pPr>
        <w:ind w:left="660" w:hanging="652"/>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b w:val="1"/>
          <w:bCs w:val="1"/>
          <w:color w:val="auto"/>
        </w:rPr>
        <w:t>Golden Parachute Taxes.</w:t>
      </w:r>
    </w:p>
    <w:p>
      <w:pPr>
        <w:spacing w:after="0" w:line="194" w:lineRule="exact"/>
        <w:rPr>
          <w:rFonts w:ascii="Arial" w:cs="Arial" w:eastAsia="Arial" w:hAnsi="Arial"/>
          <w:sz w:val="16"/>
          <w:szCs w:val="16"/>
          <w:color w:val="auto"/>
        </w:rPr>
      </w:pPr>
    </w:p>
    <w:p>
      <w:pPr>
        <w:jc w:val="both"/>
        <w:ind w:firstLine="656"/>
        <w:spacing w:after="0" w:line="214" w:lineRule="auto"/>
        <w:tabs>
          <w:tab w:leader="none" w:pos="1287" w:val="left"/>
        </w:tabs>
        <w:numPr>
          <w:ilvl w:val="1"/>
          <w:numId w:val="36"/>
        </w:numPr>
        <w:rPr>
          <w:rFonts w:ascii="Arial" w:cs="Arial" w:eastAsia="Arial" w:hAnsi="Arial"/>
          <w:sz w:val="16"/>
          <w:szCs w:val="16"/>
          <w:color w:val="auto"/>
        </w:rPr>
      </w:pPr>
      <w:r>
        <w:rPr>
          <w:rFonts w:ascii="Arial" w:cs="Arial" w:eastAsia="Arial" w:hAnsi="Arial"/>
          <w:sz w:val="16"/>
          <w:szCs w:val="16"/>
          <w:b w:val="1"/>
          <w:bCs w:val="1"/>
          <w:color w:val="auto"/>
        </w:rPr>
        <w:t xml:space="preserve">Best After-Tax Result. </w:t>
      </w:r>
      <w:r>
        <w:rPr>
          <w:rFonts w:ascii="Arial" w:cs="Arial" w:eastAsia="Arial" w:hAnsi="Arial"/>
          <w:sz w:val="16"/>
          <w:szCs w:val="16"/>
          <w:color w:val="auto"/>
        </w:rPr>
        <w:t>In the event that any payment or benefit received or to be received by Executive pursuant to this Agreement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w:t>
      </w:r>
      <w:r>
        <w:rPr>
          <w:rFonts w:ascii="Arial" w:cs="Arial" w:eastAsia="Arial" w:hAnsi="Arial"/>
          <w:sz w:val="16"/>
          <w:szCs w:val="16"/>
          <w:b w:val="1"/>
          <w:bCs w:val="1"/>
          <w:color w:val="auto"/>
        </w:rPr>
        <w:t>Payments</w:t>
      </w:r>
      <w:r>
        <w:rPr>
          <w:rFonts w:ascii="Arial" w:cs="Arial" w:eastAsia="Arial" w:hAnsi="Arial"/>
          <w:sz w:val="16"/>
          <w:szCs w:val="16"/>
          <w:color w:val="auto"/>
        </w:rPr>
        <w:t>”) would (i) constitute a “parachute payment” within the meaning of Section 280G of the Code and (ii) but for this subsection (a), be subject to the excise tax imposed by Section 4999 of the Code, any successor provisions, or any comparable federal, state, local or foreign excise tax (“</w:t>
      </w:r>
      <w:r>
        <w:rPr>
          <w:rFonts w:ascii="Arial" w:cs="Arial" w:eastAsia="Arial" w:hAnsi="Arial"/>
          <w:sz w:val="16"/>
          <w:szCs w:val="16"/>
          <w:b w:val="1"/>
          <w:bCs w:val="1"/>
          <w:color w:val="auto"/>
        </w:rPr>
        <w:t>Excise Tax</w:t>
      </w:r>
      <w:r>
        <w:rPr>
          <w:rFonts w:ascii="Arial" w:cs="Arial" w:eastAsia="Arial" w:hAnsi="Arial"/>
          <w:sz w:val="16"/>
          <w:szCs w:val="16"/>
          <w:color w:val="auto"/>
        </w:rPr>
        <w:t>”), then, subject to the provisions of Section 8, such Payments shall be either (A) provided in full pursuant to the terms of this Agreement or any other applicable agreement, or (B) provided as to such lesser extent which would result in no portion of such Payments being subject to the Excise Tax (“</w:t>
      </w:r>
      <w:r>
        <w:rPr>
          <w:rFonts w:ascii="Arial" w:cs="Arial" w:eastAsia="Arial" w:hAnsi="Arial"/>
          <w:sz w:val="16"/>
          <w:szCs w:val="16"/>
          <w:b w:val="1"/>
          <w:bCs w:val="1"/>
          <w:color w:val="auto"/>
        </w:rPr>
        <w:t>Reduced Amount</w:t>
      </w:r>
      <w:r>
        <w:rPr>
          <w:rFonts w:ascii="Arial" w:cs="Arial" w:eastAsia="Arial" w:hAnsi="Arial"/>
          <w:sz w:val="16"/>
          <w:szCs w:val="16"/>
          <w:color w:val="auto"/>
        </w:rPr>
        <w:t>”), whichever of the foregoing amounts, taking into account the applicable federal, state, local and foreign income, employment and other taxes and the Excise Tax (including, without limitation, any interest or penalties on such taxes), results in the receipt by Executive, on an after-tax basis, of the greatest amount of payments and benefits provided for hereunder or otherwise, notwithstanding that all or some portion of such Payments may be subject to the Excise Tax. Unless the Company and Executive otherwise agree in writing, any determination required under this Section shall be made by independent tax counsel designated by the Company and reasonably acceptable to Executive (“</w:t>
      </w:r>
      <w:r>
        <w:rPr>
          <w:rFonts w:ascii="Arial" w:cs="Arial" w:eastAsia="Arial" w:hAnsi="Arial"/>
          <w:sz w:val="16"/>
          <w:szCs w:val="16"/>
          <w:b w:val="1"/>
          <w:bCs w:val="1"/>
          <w:color w:val="auto"/>
        </w:rPr>
        <w:t>Independent Tax Counsel</w:t>
      </w:r>
      <w:r>
        <w:rPr>
          <w:rFonts w:ascii="Arial" w:cs="Arial" w:eastAsia="Arial" w:hAnsi="Arial"/>
          <w:sz w:val="16"/>
          <w:szCs w:val="16"/>
          <w:color w:val="auto"/>
        </w:rPr>
        <w:t xml:space="preserve">”), whose determination shall be conclusive and binding upon Executive and the Company for all purposes. For purposes of making the calculations required under this Section, Independent Tax Counsel may make reasonable assumptions and approximations concerning applicable taxes and may rely on reasonable, good faith interpretations concerning the application of Sections 280G and 4999 of the Code;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Independent Tax Counsel shall assume that Executive pays all taxes at the highest marginal rate. The Company and Executive shall furnish to Independent Tax Counsel such information and documents as Independent Tax Counsel may reasonably request in order to make a determination under this Section. The Company shall bear all costs that Independent Tax Counsel may reasonably incur in connection with any calculations contemplated by this Section. In the event that Section 8(a)(ii)(B) above applies, then based on the information provided to Executive and the Company by Independent Tax Counsel, Executive may, in Executive’s sole discretion and within thirty (30) days of the date on which Executive is provided with the information prepared by Independent Tax Counsel, determine which and how much of the Payments (including the accelerated vesting of equity compensation awards) to be otherwise received by Executive shall be eliminated or reduced (as long as after such determination the value (as calculated by Independent Tax Counsel in accordance with the provisions of Sections 280G and 4999 of the Code) of the amounts payable or distributable to Executive equals the Reduced Amount). If the Internal Revenue Service (the “</w:t>
      </w:r>
      <w:r>
        <w:rPr>
          <w:rFonts w:ascii="Arial" w:cs="Arial" w:eastAsia="Arial" w:hAnsi="Arial"/>
          <w:sz w:val="16"/>
          <w:szCs w:val="16"/>
          <w:b w:val="1"/>
          <w:bCs w:val="1"/>
          <w:color w:val="auto"/>
        </w:rPr>
        <w:t>IRS</w:t>
      </w:r>
      <w:r>
        <w:rPr>
          <w:rFonts w:ascii="Arial" w:cs="Arial" w:eastAsia="Arial" w:hAnsi="Arial"/>
          <w:sz w:val="16"/>
          <w:szCs w:val="16"/>
          <w:color w:val="auto"/>
        </w:rPr>
        <w:t>”) determines that any Payment is subject to the Excise Tax, then Section 8(b) hereof shall apply, and the enforcement of Section 8(b) shall be the exclusive remedy to the Company.</w:t>
      </w:r>
    </w:p>
    <w:p>
      <w:pPr>
        <w:spacing w:after="0" w:line="170" w:lineRule="exact"/>
        <w:rPr>
          <w:rFonts w:ascii="Arial" w:cs="Arial" w:eastAsia="Arial" w:hAnsi="Arial"/>
          <w:sz w:val="16"/>
          <w:szCs w:val="16"/>
          <w:color w:val="auto"/>
        </w:rPr>
      </w:pPr>
    </w:p>
    <w:p>
      <w:pPr>
        <w:jc w:val="both"/>
        <w:ind w:firstLine="656"/>
        <w:spacing w:after="0" w:line="215" w:lineRule="auto"/>
        <w:tabs>
          <w:tab w:leader="none" w:pos="1291" w:val="left"/>
        </w:tabs>
        <w:numPr>
          <w:ilvl w:val="1"/>
          <w:numId w:val="36"/>
        </w:numPr>
        <w:rPr>
          <w:rFonts w:ascii="Arial" w:cs="Arial" w:eastAsia="Arial" w:hAnsi="Arial"/>
          <w:sz w:val="16"/>
          <w:szCs w:val="16"/>
          <w:color w:val="auto"/>
        </w:rPr>
      </w:pPr>
      <w:r>
        <w:rPr>
          <w:rFonts w:ascii="Arial" w:cs="Arial" w:eastAsia="Arial" w:hAnsi="Arial"/>
          <w:sz w:val="16"/>
          <w:szCs w:val="16"/>
          <w:b w:val="1"/>
          <w:bCs w:val="1"/>
          <w:color w:val="auto"/>
        </w:rPr>
        <w:t xml:space="preserve">Adjustments. </w:t>
      </w:r>
      <w:r>
        <w:rPr>
          <w:rFonts w:ascii="Arial" w:cs="Arial" w:eastAsia="Arial" w:hAnsi="Arial"/>
          <w:sz w:val="16"/>
          <w:szCs w:val="16"/>
          <w:color w:val="auto"/>
        </w:rPr>
        <w:t>If, notwithstanding any reduction described in Section 8(a) hereof (or in the absence of any such reduction), the IRS</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determines that Executive is liable for the Excise Tax as a result of the receipt of one or more Payments, then Executive shall be obligated to surrender or pay back to the Company, within one-hundred twenty (120) days after a final IRS determination, an amount of such payments or benefits equal to the “</w:t>
      </w:r>
      <w:r>
        <w:rPr>
          <w:rFonts w:ascii="Arial" w:cs="Arial" w:eastAsia="Arial" w:hAnsi="Arial"/>
          <w:sz w:val="16"/>
          <w:szCs w:val="16"/>
          <w:b w:val="1"/>
          <w:bCs w:val="1"/>
          <w:color w:val="auto"/>
        </w:rPr>
        <w:t>Repayment Amount</w:t>
      </w:r>
      <w:r>
        <w:rPr>
          <w:rFonts w:ascii="Arial" w:cs="Arial" w:eastAsia="Arial" w:hAnsi="Arial"/>
          <w:sz w:val="16"/>
          <w:szCs w:val="16"/>
          <w:color w:val="auto"/>
        </w:rPr>
        <w:t>.” The Repayment Amount with respect to such Payments shall be the smallest such amount, if any, as shall be required to be surrendered or paid to the Company so that Executive’s net proceeds with respect to such Payments (after taking into account the payment of the Excise Tax imposed on such Payments) shall be maximized. Notwithstanding the foregoing, the Repayment Amount with respect to such Payments shall be zero</w:t>
      </w:r>
    </w:p>
    <w:p>
      <w:pPr>
        <w:spacing w:after="0" w:line="3" w:lineRule="exact"/>
        <w:rPr>
          <w:rFonts w:ascii="Arial" w:cs="Arial" w:eastAsia="Arial" w:hAnsi="Arial"/>
          <w:sz w:val="16"/>
          <w:szCs w:val="16"/>
          <w:color w:val="auto"/>
        </w:rPr>
      </w:pPr>
    </w:p>
    <w:p>
      <w:pPr>
        <w:jc w:val="both"/>
        <w:spacing w:after="0" w:line="225" w:lineRule="auto"/>
        <w:rPr>
          <w:rFonts w:ascii="Arial" w:cs="Arial" w:eastAsia="Arial" w:hAnsi="Arial"/>
          <w:sz w:val="16"/>
          <w:szCs w:val="16"/>
          <w:color w:val="auto"/>
        </w:rPr>
      </w:pPr>
      <w:r>
        <w:rPr>
          <w:rFonts w:ascii="Arial" w:cs="Arial" w:eastAsia="Arial" w:hAnsi="Arial"/>
          <w:sz w:val="16"/>
          <w:szCs w:val="16"/>
          <w:color w:val="auto"/>
        </w:rPr>
        <w:t>(0) if a Repayment Amount of more than zero (0) would not eliminate the Excise Tax imposed on such Payments or if a Repayment Amount of more than zero would not maximize the net amount received by Executive from the Payments. If the Excise Tax is not eliminated pursuant to this Section 8(b), Executive shall pay the Excise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rPr>
          <w:sz w:val="20"/>
          <w:szCs w:val="20"/>
          <w:color w:val="auto"/>
        </w:rPr>
      </w:pPr>
      <w:r>
        <w:rPr>
          <w:rFonts w:ascii="Arial" w:cs="Arial" w:eastAsia="Arial" w:hAnsi="Arial"/>
          <w:sz w:val="13"/>
          <w:szCs w:val="13"/>
          <w:color w:val="auto"/>
        </w:rPr>
        <w:t>#95708694v1</w:t>
      </w:r>
    </w:p>
    <w:p>
      <w:pPr>
        <w:sectPr>
          <w:pgSz w:w="11900" w:h="16838" w:orient="portrait"/>
          <w:cols w:equalWidth="0" w:num="1">
            <w:col w:w="11240"/>
          </w:cols>
          <w:pgMar w:left="320" w:top="1440" w:right="339" w:bottom="1440" w:gutter="0" w:footer="0" w:header="0"/>
        </w:sectPr>
      </w:pPr>
    </w:p>
    <w:bookmarkStart w:id="45" w:name="page46"/>
    <w:bookmarkEnd w:id="45"/>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auto"/>
        </w:rPr>
        <w:t>Miscellaneous Provisions.</w:t>
      </w:r>
    </w:p>
    <w:p>
      <w:pPr>
        <w:spacing w:after="0" w:line="194" w:lineRule="exact"/>
        <w:rPr>
          <w:rFonts w:ascii="Arial" w:cs="Arial" w:eastAsia="Arial" w:hAnsi="Arial"/>
          <w:sz w:val="16"/>
          <w:szCs w:val="16"/>
          <w:color w:val="auto"/>
        </w:rPr>
      </w:pPr>
    </w:p>
    <w:p>
      <w:pPr>
        <w:jc w:val="both"/>
        <w:ind w:firstLine="656"/>
        <w:spacing w:after="0" w:line="214" w:lineRule="auto"/>
        <w:tabs>
          <w:tab w:leader="none" w:pos="1296" w:val="left"/>
        </w:tabs>
        <w:numPr>
          <w:ilvl w:val="1"/>
          <w:numId w:val="37"/>
        </w:numPr>
        <w:rPr>
          <w:rFonts w:ascii="Arial" w:cs="Arial" w:eastAsia="Arial" w:hAnsi="Arial"/>
          <w:sz w:val="16"/>
          <w:szCs w:val="16"/>
          <w:color w:val="auto"/>
        </w:rPr>
      </w:pPr>
      <w:r>
        <w:rPr>
          <w:rFonts w:ascii="Arial" w:cs="Arial" w:eastAsia="Arial" w:hAnsi="Arial"/>
          <w:sz w:val="16"/>
          <w:szCs w:val="16"/>
          <w:b w:val="1"/>
          <w:bCs w:val="1"/>
          <w:color w:val="auto"/>
        </w:rPr>
        <w:t xml:space="preserve">Section 409A. </w:t>
      </w:r>
      <w:r>
        <w:rPr>
          <w:rFonts w:ascii="Arial" w:cs="Arial" w:eastAsia="Arial" w:hAnsi="Arial"/>
          <w:sz w:val="16"/>
          <w:szCs w:val="16"/>
          <w:color w:val="auto"/>
        </w:rPr>
        <w:t>To the extent (i) any payments to which Executive becomes entitled under this Agreement, or any agreement or plan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referenced herein, in connection with Executive’s termination of employment with the Company constitute deferred compensation subject to Section 409A of the Code and (ii) Executive is deemed at the time of such termination of employment to be a “specified” employee under Section 409A of the Code, then such payment or payments shall not be made or commence until the earlier of (i) the expiration of the six (6)-month period measured from the Executive’s Separation; or (ii) the date of Executive’s death following such Separation;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deferral shall only be effected to the extent required to avoid adverse tax treatment to Executive, including (without limitation) the additional twenty percent (20%) tax for which Executive would otherwise be liable under Section 409A(a)(1)(B) of the Code in the absence of such deferral. Upon the expiration of the applicable deferral period, any payments which would have otherwise been made during that period (whether in a single sum or in installments) in the absence of this paragraph shall be paid to Executive or Executive’s beneficiary in one lump sum (without interest). Except as otherwise expressly provided herein, to the extent any expense reimbursement or the provision of any in-kind benefit under this Agreement (or otherwise referenced herein) is determined to be subject to (and not exempt from) Section 409A of the Code, the amount of any such expenses eligible for reimbursement, or the provision of any in-kind benefit, in one calendar year shall not affect the expenses eligible for reimbursement or in kind benefits to be provided in any other calendar year, in no event shall any expenses be reimbursed after the last day of the calendar year following the calendar year in which Executive incurred such expenses, and in no event shall any right to reimbursement or the provision of any in-kind benefit be subject to liquidation or exchange for another benefit. To the extent that any provision of this Agreement is ambiguous as to its exemption or compliance with Section 409A, the provision will be read in such a manner so that all payments hereunder are exempt from Section 409A to the maximum permissible extent, and for any payments where such construction is not tenable, that those payments comply with Section 409A to the maximum permissible extent.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Agreement (or referenced in this Agreement) are intended to constitute separate payments for purposes of Section 1.409A-2(b)(2) of the regulations under Section 409A.</w:t>
      </w:r>
    </w:p>
    <w:p>
      <w:pPr>
        <w:spacing w:after="0" w:line="174" w:lineRule="exact"/>
        <w:rPr>
          <w:rFonts w:ascii="Arial" w:cs="Arial" w:eastAsia="Arial" w:hAnsi="Arial"/>
          <w:sz w:val="16"/>
          <w:szCs w:val="16"/>
          <w:color w:val="auto"/>
        </w:rPr>
      </w:pPr>
    </w:p>
    <w:p>
      <w:pPr>
        <w:jc w:val="both"/>
        <w:ind w:firstLine="656"/>
        <w:spacing w:after="0" w:line="219" w:lineRule="auto"/>
        <w:tabs>
          <w:tab w:leader="none" w:pos="1291" w:val="left"/>
        </w:tabs>
        <w:numPr>
          <w:ilvl w:val="1"/>
          <w:numId w:val="37"/>
        </w:numPr>
        <w:rPr>
          <w:rFonts w:ascii="Arial" w:cs="Arial" w:eastAsia="Arial" w:hAnsi="Arial"/>
          <w:sz w:val="16"/>
          <w:szCs w:val="16"/>
          <w:color w:val="auto"/>
        </w:rPr>
      </w:pPr>
      <w:r>
        <w:rPr>
          <w:rFonts w:ascii="Arial" w:cs="Arial" w:eastAsia="Arial" w:hAnsi="Arial"/>
          <w:sz w:val="16"/>
          <w:szCs w:val="16"/>
          <w:b w:val="1"/>
          <w:bCs w:val="1"/>
          <w:color w:val="auto"/>
        </w:rPr>
        <w:t xml:space="preserve">Other Arrangements. </w:t>
      </w:r>
      <w:r>
        <w:rPr>
          <w:rFonts w:ascii="Arial" w:cs="Arial" w:eastAsia="Arial" w:hAnsi="Arial"/>
          <w:sz w:val="16"/>
          <w:szCs w:val="16"/>
          <w:color w:val="auto"/>
        </w:rPr>
        <w:t>This Agreement supersedes any and all cash severance arrangements and vesting acceleration arrangements</w:t>
      </w:r>
      <w:r>
        <w:rPr>
          <w:rFonts w:ascii="Arial" w:cs="Arial" w:eastAsia="Arial" w:hAnsi="Arial"/>
          <w:sz w:val="16"/>
          <w:szCs w:val="16"/>
          <w:b w:val="1"/>
          <w:bCs w:val="1"/>
          <w:color w:val="auto"/>
        </w:rPr>
        <w:t xml:space="preserve"> </w:t>
      </w:r>
      <w:r>
        <w:rPr>
          <w:rFonts w:ascii="Arial" w:cs="Arial" w:eastAsia="Arial" w:hAnsi="Arial"/>
          <w:sz w:val="16"/>
          <w:szCs w:val="16"/>
          <w:color w:val="auto"/>
        </w:rPr>
        <w:t>under any agreement governing Equity Awards, severance and salary continuation arrangements, programs and plans which were previously offered by the Company to the Executive, including employment agreement or offer letter, and Executive hereby waives Executive’s rights to such other benefits. In no event shall any individual receive cash severance benefits under both this Agreement and any other vesting acceleration, severance pay or salary continuation program, plan or other arrangement with the Company. For the avoidance of doubt, in no event shall Executive receive payment under both Section 2 and Section 3 with respect to Executive’s Separation. The vesting acceleration provisions set forth in any employment agreement or letter or similar agreement between the Company and Executive in effect on the Effective Date, to the extent more favorable to the Executive, will continue to apply to the Equity Awards held by the Executive on such date.</w:t>
      </w:r>
    </w:p>
    <w:p>
      <w:pPr>
        <w:spacing w:after="0" w:line="168" w:lineRule="exact"/>
        <w:rPr>
          <w:rFonts w:ascii="Arial" w:cs="Arial" w:eastAsia="Arial" w:hAnsi="Arial"/>
          <w:sz w:val="16"/>
          <w:szCs w:val="16"/>
          <w:color w:val="auto"/>
        </w:rPr>
      </w:pPr>
    </w:p>
    <w:p>
      <w:pPr>
        <w:jc w:val="both"/>
        <w:ind w:firstLine="656"/>
        <w:spacing w:after="0" w:line="222" w:lineRule="auto"/>
        <w:tabs>
          <w:tab w:leader="none" w:pos="1296" w:val="left"/>
        </w:tabs>
        <w:numPr>
          <w:ilvl w:val="1"/>
          <w:numId w:val="37"/>
        </w:numPr>
        <w:rPr>
          <w:rFonts w:ascii="Arial" w:cs="Arial" w:eastAsia="Arial" w:hAnsi="Arial"/>
          <w:sz w:val="16"/>
          <w:szCs w:val="16"/>
          <w:color w:val="auto"/>
        </w:rPr>
      </w:pPr>
      <w:r>
        <w:rPr>
          <w:rFonts w:ascii="Arial" w:cs="Arial" w:eastAsia="Arial" w:hAnsi="Arial"/>
          <w:sz w:val="16"/>
          <w:szCs w:val="16"/>
          <w:b w:val="1"/>
          <w:bCs w:val="1"/>
          <w:color w:val="auto"/>
        </w:rPr>
        <w:t xml:space="preserve">Dispute Resolution. </w:t>
      </w:r>
      <w:r>
        <w:rPr>
          <w:rFonts w:ascii="Arial" w:cs="Arial" w:eastAsia="Arial" w:hAnsi="Arial"/>
          <w:sz w:val="16"/>
          <w:szCs w:val="16"/>
          <w:color w:val="auto"/>
        </w:rPr>
        <w:t>To ensure rapid and economical resolution of any and all disputes that might arise in connection with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and the Company agree that any and all disputes, claims, and causes of action, in law or equity, arising from or relating to this Agreement or its enforcement, performance, breach, or interpretation, will be resolved solely and exclusively by final, binding, and confidential arbitration, by a single arbitrator, in King County, and conducted by Judicial Arbitration &amp; Mediation Services, Inc. (“</w:t>
      </w:r>
      <w:r>
        <w:rPr>
          <w:rFonts w:ascii="Arial" w:cs="Arial" w:eastAsia="Arial" w:hAnsi="Arial"/>
          <w:sz w:val="16"/>
          <w:szCs w:val="16"/>
          <w:b w:val="1"/>
          <w:bCs w:val="1"/>
          <w:color w:val="auto"/>
        </w:rPr>
        <w:t>JAMS</w:t>
      </w:r>
      <w:r>
        <w:rPr>
          <w:rFonts w:ascii="Arial" w:cs="Arial" w:eastAsia="Arial" w:hAnsi="Arial"/>
          <w:sz w:val="16"/>
          <w:szCs w:val="16"/>
          <w:color w:val="auto"/>
        </w:rPr>
        <w:t>”) under its then-existing employment rules and procedures. Nothing in this section, however, is intended to prevent either party from obtaining injunctive relief in court to prevent irreparable harm pending the conclusion of any such arbitration. Each party to an arbitration or litigation hereunder shall be responsible for the payment of its own attorneys’ fees.</w:t>
      </w:r>
    </w:p>
    <w:p>
      <w:pPr>
        <w:spacing w:after="0" w:line="166" w:lineRule="exact"/>
        <w:rPr>
          <w:rFonts w:ascii="Arial" w:cs="Arial" w:eastAsia="Arial" w:hAnsi="Arial"/>
          <w:sz w:val="16"/>
          <w:szCs w:val="16"/>
          <w:color w:val="auto"/>
        </w:rPr>
      </w:pPr>
    </w:p>
    <w:p>
      <w:pPr>
        <w:jc w:val="both"/>
        <w:ind w:firstLine="656"/>
        <w:spacing w:after="0" w:line="225" w:lineRule="auto"/>
        <w:tabs>
          <w:tab w:leader="none" w:pos="1296" w:val="left"/>
        </w:tabs>
        <w:numPr>
          <w:ilvl w:val="1"/>
          <w:numId w:val="37"/>
        </w:numPr>
        <w:rPr>
          <w:rFonts w:ascii="Arial" w:cs="Arial" w:eastAsia="Arial" w:hAnsi="Arial"/>
          <w:sz w:val="16"/>
          <w:szCs w:val="16"/>
          <w:color w:val="auto"/>
        </w:rPr>
      </w:pPr>
      <w:r>
        <w:rPr>
          <w:rFonts w:ascii="Arial" w:cs="Arial" w:eastAsia="Arial" w:hAnsi="Arial"/>
          <w:sz w:val="16"/>
          <w:szCs w:val="16"/>
          <w:b w:val="1"/>
          <w:bCs w:val="1"/>
          <w:color w:val="auto"/>
        </w:rPr>
        <w:t xml:space="preserve">Notice. </w:t>
      </w:r>
      <w:r>
        <w:rPr>
          <w:rFonts w:ascii="Arial" w:cs="Arial" w:eastAsia="Arial" w:hAnsi="Arial"/>
          <w:sz w:val="16"/>
          <w:szCs w:val="16"/>
          <w:color w:val="auto"/>
        </w:rPr>
        <w:t>Notices and all other communications contemplated by this Agreement shall be in writing and shall be deemed to have been duly</w:t>
      </w:r>
      <w:r>
        <w:rPr>
          <w:rFonts w:ascii="Arial" w:cs="Arial" w:eastAsia="Arial" w:hAnsi="Arial"/>
          <w:sz w:val="16"/>
          <w:szCs w:val="16"/>
          <w:b w:val="1"/>
          <w:bCs w:val="1"/>
          <w:color w:val="auto"/>
        </w:rPr>
        <w:t xml:space="preserve"> </w:t>
      </w:r>
      <w:r>
        <w:rPr>
          <w:rFonts w:ascii="Arial" w:cs="Arial" w:eastAsia="Arial" w:hAnsi="Arial"/>
          <w:sz w:val="16"/>
          <w:szCs w:val="16"/>
          <w:color w:val="auto"/>
        </w:rPr>
        <w:t>given when personally delivered or when mailed by U.S. registered or certified mail, return receipt requested and postage prepaid or deposited with Federal Express Corporation, with shipping charges prepaid. In the case of the Executive, mailed notices shall be addressed to him or her at the home address which he or she most recently communicated to the Company in writing. In the case of the Company, mailed notices shall be addressed to its corporate headquarters, and all notices shall be directed to the attention of its Secretary.</w:t>
      </w:r>
    </w:p>
    <w:p>
      <w:pPr>
        <w:spacing w:after="0" w:line="163" w:lineRule="exact"/>
        <w:rPr>
          <w:rFonts w:ascii="Arial" w:cs="Arial" w:eastAsia="Arial" w:hAnsi="Arial"/>
          <w:sz w:val="16"/>
          <w:szCs w:val="16"/>
          <w:color w:val="auto"/>
        </w:rPr>
      </w:pPr>
    </w:p>
    <w:p>
      <w:pPr>
        <w:jc w:val="both"/>
        <w:ind w:firstLine="656"/>
        <w:spacing w:after="0" w:line="228" w:lineRule="auto"/>
        <w:tabs>
          <w:tab w:leader="none" w:pos="1296" w:val="left"/>
        </w:tabs>
        <w:numPr>
          <w:ilvl w:val="1"/>
          <w:numId w:val="37"/>
        </w:numPr>
        <w:rPr>
          <w:rFonts w:ascii="Arial" w:cs="Arial" w:eastAsia="Arial" w:hAnsi="Arial"/>
          <w:sz w:val="16"/>
          <w:szCs w:val="16"/>
          <w:color w:val="auto"/>
        </w:rPr>
      </w:pPr>
      <w:r>
        <w:rPr>
          <w:rFonts w:ascii="Arial" w:cs="Arial" w:eastAsia="Arial" w:hAnsi="Arial"/>
          <w:sz w:val="16"/>
          <w:szCs w:val="16"/>
          <w:b w:val="1"/>
          <w:bCs w:val="1"/>
          <w:color w:val="auto"/>
        </w:rPr>
        <w:t xml:space="preserve">Waiver. </w:t>
      </w:r>
      <w:r>
        <w:rPr>
          <w:rFonts w:ascii="Arial" w:cs="Arial" w:eastAsia="Arial" w:hAnsi="Arial"/>
          <w:sz w:val="16"/>
          <w:szCs w:val="16"/>
          <w:color w:val="auto"/>
        </w:rPr>
        <w:t>No provision of this Agreement shall be modified, waived or discharged unless the modification, waiver or discharge is agreed to</w:t>
      </w:r>
      <w:r>
        <w:rPr>
          <w:rFonts w:ascii="Arial" w:cs="Arial" w:eastAsia="Arial" w:hAnsi="Arial"/>
          <w:sz w:val="16"/>
          <w:szCs w:val="16"/>
          <w:b w:val="1"/>
          <w:bCs w:val="1"/>
          <w:color w:val="auto"/>
        </w:rPr>
        <w:t xml:space="preserve"> </w:t>
      </w:r>
      <w:r>
        <w:rPr>
          <w:rFonts w:ascii="Arial" w:cs="Arial" w:eastAsia="Arial" w:hAnsi="Arial"/>
          <w:sz w:val="16"/>
          <w:szCs w:val="16"/>
          <w:color w:val="auto"/>
        </w:rPr>
        <w:t>in writing and signed by the Executive and by an authorized officer of the Company (other than the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rPr>
          <w:sz w:val="20"/>
          <w:szCs w:val="20"/>
          <w:color w:val="auto"/>
        </w:rPr>
      </w:pPr>
      <w:r>
        <w:rPr>
          <w:rFonts w:ascii="Arial" w:cs="Arial" w:eastAsia="Arial" w:hAnsi="Arial"/>
          <w:sz w:val="13"/>
          <w:szCs w:val="13"/>
          <w:color w:val="auto"/>
        </w:rPr>
        <w:t>#95708694v1</w:t>
      </w:r>
    </w:p>
    <w:p>
      <w:pPr>
        <w:sectPr>
          <w:pgSz w:w="11900" w:h="16838" w:orient="portrait"/>
          <w:cols w:equalWidth="0" w:num="1">
            <w:col w:w="11240"/>
          </w:cols>
          <w:pgMar w:left="320" w:top="1440" w:right="339" w:bottom="1440" w:gutter="0" w:footer="0" w:header="0"/>
        </w:sectPr>
      </w:pPr>
    </w:p>
    <w:bookmarkStart w:id="46" w:name="page47"/>
    <w:bookmarkEnd w:id="46"/>
    <w:p>
      <w:pPr>
        <w:spacing w:after="0" w:line="219"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6"/>
          <w:szCs w:val="16"/>
          <w:color w:val="auto"/>
        </w:rPr>
      </w:pPr>
      <w:r>
        <w:rPr>
          <w:rFonts w:ascii="Arial" w:cs="Arial" w:eastAsia="Arial" w:hAnsi="Arial"/>
          <w:sz w:val="16"/>
          <w:szCs w:val="16"/>
          <w:b w:val="1"/>
          <w:bCs w:val="1"/>
          <w:color w:val="auto"/>
        </w:rPr>
        <w:t xml:space="preserve">Withholding Taxes. </w:t>
      </w:r>
      <w:r>
        <w:rPr>
          <w:rFonts w:ascii="Arial" w:cs="Arial" w:eastAsia="Arial" w:hAnsi="Arial"/>
          <w:sz w:val="16"/>
          <w:szCs w:val="16"/>
          <w:color w:val="auto"/>
        </w:rPr>
        <w:t>All payments made under this Agreement shall be subject to reduction to reflect taxes or other charges required to be</w:t>
      </w:r>
    </w:p>
    <w:p>
      <w:pPr>
        <w:spacing w:after="0"/>
        <w:rPr>
          <w:rFonts w:ascii="Arial" w:cs="Arial" w:eastAsia="Arial" w:hAnsi="Arial"/>
          <w:sz w:val="16"/>
          <w:szCs w:val="16"/>
          <w:color w:val="auto"/>
        </w:rPr>
      </w:pPr>
      <w:r>
        <w:rPr>
          <w:rFonts w:ascii="Arial" w:cs="Arial" w:eastAsia="Arial" w:hAnsi="Arial"/>
          <w:sz w:val="16"/>
          <w:szCs w:val="16"/>
          <w:color w:val="auto"/>
        </w:rPr>
        <w:t>withheld by law.</w:t>
      </w:r>
    </w:p>
    <w:p>
      <w:pPr>
        <w:spacing w:after="0" w:line="17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(ab) </w:t>
      </w:r>
      <w:r>
        <w:rPr>
          <w:rFonts w:ascii="Arial" w:cs="Arial" w:eastAsia="Arial" w:hAnsi="Arial"/>
          <w:sz w:val="16"/>
          <w:szCs w:val="16"/>
          <w:b w:val="1"/>
          <w:bCs w:val="1"/>
          <w:color w:val="auto"/>
        </w:rPr>
        <w:t>Severability.</w:t>
      </w:r>
      <w:r>
        <w:rPr>
          <w:rFonts w:ascii="Arial" w:cs="Arial" w:eastAsia="Arial" w:hAnsi="Arial"/>
          <w:sz w:val="16"/>
          <w:szCs w:val="16"/>
          <w:color w:val="auto"/>
        </w:rPr>
        <w:t xml:space="preserve"> The invalidity or unenforceability of any provision or provisions of this Agreement shall not affect the validity or enforceability of any other provision hereof, which shall remain in full force and effect.</w:t>
      </w:r>
    </w:p>
    <w:p>
      <w:pPr>
        <w:spacing w:after="0" w:line="15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color w:val="auto"/>
        </w:rPr>
        <w:t xml:space="preserve">(ac) </w:t>
      </w:r>
      <w:r>
        <w:rPr>
          <w:rFonts w:ascii="Arial" w:cs="Arial" w:eastAsia="Arial" w:hAnsi="Arial"/>
          <w:sz w:val="16"/>
          <w:szCs w:val="16"/>
          <w:b w:val="1"/>
          <w:bCs w:val="1"/>
          <w:color w:val="auto"/>
        </w:rPr>
        <w:t>No Retention Rights.</w:t>
      </w:r>
      <w:r>
        <w:rPr>
          <w:rFonts w:ascii="Arial" w:cs="Arial" w:eastAsia="Arial" w:hAnsi="Arial"/>
          <w:sz w:val="16"/>
          <w:szCs w:val="16"/>
          <w:color w:val="auto"/>
        </w:rPr>
        <w:t xml:space="preserve"> Nothing in this Agreement shall confer upon the Executive any right to continue in service for any period of specific duration or interfere with or otherwise restrict in any way the rights of the Company or any subsidiary of the Company or of the Executive, which rights are hereby expressly reserved by each, to terminate his or her service at any time and for any reason, with or without Cause.</w:t>
      </w:r>
    </w:p>
    <w:p>
      <w:pPr>
        <w:spacing w:after="0" w:line="16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 xml:space="preserve">(ad) </w:t>
      </w:r>
      <w:r>
        <w:rPr>
          <w:rFonts w:ascii="Arial" w:cs="Arial" w:eastAsia="Arial" w:hAnsi="Arial"/>
          <w:sz w:val="16"/>
          <w:szCs w:val="16"/>
          <w:b w:val="1"/>
          <w:bCs w:val="1"/>
          <w:color w:val="auto"/>
        </w:rPr>
        <w:t>Choice of Law.</w:t>
      </w:r>
      <w:r>
        <w:rPr>
          <w:rFonts w:ascii="Arial" w:cs="Arial" w:eastAsia="Arial" w:hAnsi="Arial"/>
          <w:sz w:val="16"/>
          <w:szCs w:val="16"/>
          <w:color w:val="auto"/>
        </w:rPr>
        <w:t xml:space="preserve"> The validity, interpretation, construction and performance of this Agreement shall be governed by the laws of the State of Washington (other than its choice-of-law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pacing w:after="0"/>
        <w:rPr>
          <w:sz w:val="20"/>
          <w:szCs w:val="20"/>
          <w:color w:val="auto"/>
        </w:rPr>
      </w:pPr>
      <w:r>
        <w:rPr>
          <w:rFonts w:ascii="Arial" w:cs="Arial" w:eastAsia="Arial" w:hAnsi="Arial"/>
          <w:sz w:val="13"/>
          <w:szCs w:val="13"/>
          <w:color w:val="auto"/>
        </w:rPr>
        <w:t>#95708694v1</w:t>
      </w:r>
    </w:p>
    <w:p>
      <w:pPr>
        <w:sectPr>
          <w:pgSz w:w="11900" w:h="16838" w:orient="portrait"/>
          <w:cols w:equalWidth="0" w:num="1">
            <w:col w:w="11240"/>
          </w:cols>
          <w:pgMar w:left="320" w:top="1440" w:right="339" w:bottom="1440" w:gutter="0" w:footer="0" w:header="0"/>
        </w:sectPr>
      </w:pPr>
    </w:p>
    <w:bookmarkStart w:id="47" w:name="page48"/>
    <w:bookmarkEnd w:id="47"/>
    <w:p>
      <w:pPr>
        <w:ind w:firstLine="609"/>
        <w:spacing w:after="0" w:line="232" w:lineRule="auto"/>
        <w:rPr>
          <w:sz w:val="20"/>
          <w:szCs w:val="20"/>
          <w:color w:val="auto"/>
        </w:rPr>
      </w:pPr>
      <w:r>
        <w:rPr>
          <w:rFonts w:ascii="Arial" w:cs="Arial" w:eastAsia="Arial" w:hAnsi="Arial"/>
          <w:sz w:val="16"/>
          <w:szCs w:val="16"/>
          <w:color w:val="auto"/>
        </w:rPr>
        <w:t>IN WITNESS WHEREOF, each of the parties has executed this Agreement, in the case of the Company by its duly authorized officer,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tabs>
          <w:tab w:leader="none" w:pos="6140" w:val="left"/>
        </w:tabs>
        <w:rPr>
          <w:sz w:val="20"/>
          <w:szCs w:val="20"/>
          <w:color w:val="auto"/>
        </w:rPr>
      </w:pPr>
      <w:r>
        <w:rPr>
          <w:rFonts w:ascii="Arial" w:cs="Arial" w:eastAsia="Arial" w:hAnsi="Arial"/>
          <w:sz w:val="16"/>
          <w:szCs w:val="16"/>
          <w:color w:val="auto"/>
        </w:rPr>
        <w:t>EXECUTIVE</w:t>
      </w:r>
      <w:r>
        <w:rPr>
          <w:sz w:val="20"/>
          <w:szCs w:val="20"/>
          <w:color w:val="auto"/>
        </w:rPr>
        <w:tab/>
      </w:r>
      <w:r>
        <w:rPr>
          <w:rFonts w:ascii="Arial" w:cs="Arial" w:eastAsia="Arial" w:hAnsi="Arial"/>
          <w:sz w:val="16"/>
          <w:szCs w:val="16"/>
          <w:color w:val="auto"/>
        </w:rPr>
        <w:t>REMITLY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By:</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
        <w:spacing w:after="0"/>
        <w:rPr>
          <w:sz w:val="20"/>
          <w:szCs w:val="20"/>
          <w:color w:val="auto"/>
        </w:rPr>
      </w:pPr>
      <w:r>
        <w:rPr>
          <w:rFonts w:ascii="Arial" w:cs="Arial" w:eastAsia="Arial" w:hAnsi="Arial"/>
          <w:sz w:val="15"/>
          <w:szCs w:val="15"/>
          <w:color w:val="auto"/>
        </w:rPr>
        <w:t>7</w:t>
      </w:r>
    </w:p>
    <w:p>
      <w:pPr>
        <w:spacing w:after="0" w:line="87" w:lineRule="exact"/>
        <w:rPr>
          <w:sz w:val="20"/>
          <w:szCs w:val="20"/>
          <w:color w:val="auto"/>
        </w:rPr>
      </w:pPr>
    </w:p>
    <w:p>
      <w:pPr>
        <w:spacing w:after="0"/>
        <w:rPr>
          <w:sz w:val="20"/>
          <w:szCs w:val="20"/>
          <w:color w:val="auto"/>
        </w:rPr>
      </w:pPr>
      <w:r>
        <w:rPr>
          <w:rFonts w:ascii="Arial" w:cs="Arial" w:eastAsia="Arial" w:hAnsi="Arial"/>
          <w:sz w:val="13"/>
          <w:szCs w:val="13"/>
          <w:color w:val="auto"/>
        </w:rPr>
        <w:t>#95708694v1</w:t>
      </w:r>
    </w:p>
    <w:p>
      <w:pPr>
        <w:sectPr>
          <w:pgSz w:w="11900" w:h="16838" w:orient="portrait"/>
          <w:cols w:equalWidth="0" w:num="1">
            <w:col w:w="11100"/>
          </w:cols>
          <w:pgMar w:left="320" w:top="1424" w:right="479" w:bottom="1440" w:gutter="0" w:footer="0" w:header="0"/>
        </w:sectPr>
      </w:pPr>
    </w:p>
    <w:bookmarkStart w:id="48" w:name="page49"/>
    <w:bookmarkEnd w:id="48"/>
    <w:p>
      <w:pPr>
        <w:ind w:left="10320"/>
        <w:spacing w:after="0"/>
        <w:rPr>
          <w:sz w:val="20"/>
          <w:szCs w:val="20"/>
          <w:color w:val="auto"/>
        </w:rPr>
      </w:pPr>
      <w:r>
        <w:rPr>
          <w:rFonts w:ascii="Arial" w:cs="Arial" w:eastAsia="Arial" w:hAnsi="Arial"/>
          <w:sz w:val="16"/>
          <w:szCs w:val="16"/>
          <w:b w:val="1"/>
          <w:bCs w:val="1"/>
          <w:color w:val="auto"/>
        </w:rPr>
        <w:t>Exhibit 31.1</w:t>
      </w:r>
    </w:p>
    <w:p>
      <w:pPr>
        <w:spacing w:after="0" w:line="289" w:lineRule="exact"/>
        <w:rPr>
          <w:sz w:val="20"/>
          <w:szCs w:val="20"/>
          <w:color w:val="auto"/>
        </w:rPr>
      </w:pPr>
    </w:p>
    <w:p>
      <w:pPr>
        <w:jc w:val="center"/>
        <w:spacing w:after="0" w:line="289"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Matthew Oppenheimer, certify that:</w:t>
      </w:r>
    </w:p>
    <w:p>
      <w:pPr>
        <w:spacing w:after="0" w:line="306" w:lineRule="exact"/>
        <w:rPr>
          <w:sz w:val="20"/>
          <w:szCs w:val="20"/>
          <w:color w:val="auto"/>
        </w:rPr>
      </w:pPr>
    </w:p>
    <w:p>
      <w:pPr>
        <w:ind w:left="640" w:hanging="308"/>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Remitly Global, Inc.;</w:t>
      </w:r>
    </w:p>
    <w:p>
      <w:pPr>
        <w:spacing w:after="0" w:line="319" w:lineRule="exact"/>
        <w:rPr>
          <w:rFonts w:ascii="Arial" w:cs="Arial" w:eastAsia="Arial" w:hAnsi="Arial"/>
          <w:sz w:val="18"/>
          <w:szCs w:val="18"/>
          <w:color w:val="auto"/>
        </w:rPr>
      </w:pPr>
    </w:p>
    <w:p>
      <w:pPr>
        <w:jc w:val="both"/>
        <w:ind w:left="340" w:hanging="8"/>
        <w:spacing w:after="0" w:line="357" w:lineRule="auto"/>
        <w:tabs>
          <w:tab w:leader="none" w:pos="671"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8"/>
        <w:spacing w:after="0" w:line="387" w:lineRule="auto"/>
        <w:tabs>
          <w:tab w:leader="none" w:pos="6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8"/>
          <w:szCs w:val="18"/>
          <w:color w:val="auto"/>
        </w:rPr>
      </w:pPr>
    </w:p>
    <w:p>
      <w:pPr>
        <w:jc w:val="both"/>
        <w:ind w:left="340" w:hanging="8"/>
        <w:spacing w:after="0" w:line="365" w:lineRule="auto"/>
        <w:tabs>
          <w:tab w:leader="none" w:pos="70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8"/>
          <w:szCs w:val="18"/>
          <w:color w:val="auto"/>
        </w:rPr>
      </w:pPr>
    </w:p>
    <w:p>
      <w:pPr>
        <w:jc w:val="both"/>
        <w:ind w:left="660" w:hanging="4"/>
        <w:spacing w:after="0" w:line="357" w:lineRule="auto"/>
        <w:tabs>
          <w:tab w:leader="none" w:pos="989"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Arial" w:cs="Arial" w:eastAsia="Arial" w:hAnsi="Arial"/>
          <w:sz w:val="18"/>
          <w:szCs w:val="18"/>
          <w:color w:val="auto"/>
        </w:rPr>
      </w:pPr>
    </w:p>
    <w:p>
      <w:pPr>
        <w:jc w:val="both"/>
        <w:ind w:left="660" w:hanging="4"/>
        <w:spacing w:after="0" w:line="357" w:lineRule="auto"/>
        <w:tabs>
          <w:tab w:leader="none" w:pos="1065"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20" w:hanging="4"/>
        <w:spacing w:after="0" w:line="424" w:lineRule="auto"/>
        <w:tabs>
          <w:tab w:leader="none" w:pos="1080"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7"/>
          <w:szCs w:val="17"/>
          <w:color w:val="auto"/>
        </w:rPr>
      </w:pPr>
    </w:p>
    <w:p>
      <w:pPr>
        <w:jc w:val="both"/>
        <w:ind w:left="660" w:hanging="4"/>
        <w:spacing w:after="0" w:line="357" w:lineRule="auto"/>
        <w:tabs>
          <w:tab w:leader="none" w:pos="997"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Arial" w:cs="Arial" w:eastAsia="Arial" w:hAnsi="Arial"/>
          <w:sz w:val="18"/>
          <w:szCs w:val="18"/>
          <w:color w:val="auto"/>
        </w:rPr>
      </w:pPr>
    </w:p>
    <w:p>
      <w:pPr>
        <w:ind w:left="340" w:hanging="8"/>
        <w:spacing w:after="0" w:line="407" w:lineRule="auto"/>
        <w:tabs>
          <w:tab w:leader="none" w:pos="654"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660" w:hanging="4"/>
        <w:spacing w:after="0" w:line="387" w:lineRule="auto"/>
        <w:tabs>
          <w:tab w:leader="none" w:pos="1112"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660" w:right="20" w:hanging="4"/>
        <w:spacing w:after="0" w:line="371" w:lineRule="auto"/>
        <w:tabs>
          <w:tab w:leader="none" w:pos="1056"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Date: August 10, 2022</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Matthew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31750</wp:posOffset>
            </wp:positionV>
            <wp:extent cx="36518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4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Matthew Oppenheimer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431" w:right="339" w:bottom="1440" w:gutter="0" w:footer="0" w:header="0"/>
        </w:sectPr>
      </w:pPr>
    </w:p>
    <w:bookmarkStart w:id="49" w:name="page50"/>
    <w:bookmarkEnd w:id="49"/>
    <w:p>
      <w:pPr>
        <w:ind w:left="10320"/>
        <w:spacing w:after="0"/>
        <w:rPr>
          <w:sz w:val="20"/>
          <w:szCs w:val="20"/>
          <w:color w:val="auto"/>
        </w:rPr>
      </w:pPr>
      <w:r>
        <w:rPr>
          <w:rFonts w:ascii="Arial" w:cs="Arial" w:eastAsia="Arial" w:hAnsi="Arial"/>
          <w:sz w:val="16"/>
          <w:szCs w:val="16"/>
          <w:b w:val="1"/>
          <w:bCs w:val="1"/>
          <w:color w:val="auto"/>
        </w:rPr>
        <w:t>Exhibit 31.2</w:t>
      </w:r>
    </w:p>
    <w:p>
      <w:pPr>
        <w:spacing w:after="0" w:line="289" w:lineRule="exact"/>
        <w:rPr>
          <w:sz w:val="20"/>
          <w:szCs w:val="20"/>
          <w:color w:val="auto"/>
        </w:rPr>
      </w:pPr>
    </w:p>
    <w:p>
      <w:pPr>
        <w:jc w:val="center"/>
        <w:spacing w:after="0" w:line="289"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Hemanth Munipalli, certify that:</w:t>
      </w:r>
    </w:p>
    <w:p>
      <w:pPr>
        <w:spacing w:after="0" w:line="306" w:lineRule="exact"/>
        <w:rPr>
          <w:sz w:val="20"/>
          <w:szCs w:val="20"/>
          <w:color w:val="auto"/>
        </w:rPr>
      </w:pPr>
    </w:p>
    <w:p>
      <w:pPr>
        <w:ind w:left="640" w:hanging="308"/>
        <w:spacing w:after="0"/>
        <w:tabs>
          <w:tab w:leader="none" w:pos="6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Remitly Global, Inc.;</w:t>
      </w:r>
    </w:p>
    <w:p>
      <w:pPr>
        <w:spacing w:after="0" w:line="319" w:lineRule="exact"/>
        <w:rPr>
          <w:rFonts w:ascii="Arial" w:cs="Arial" w:eastAsia="Arial" w:hAnsi="Arial"/>
          <w:sz w:val="18"/>
          <w:szCs w:val="18"/>
          <w:color w:val="auto"/>
        </w:rPr>
      </w:pPr>
    </w:p>
    <w:p>
      <w:pPr>
        <w:jc w:val="both"/>
        <w:ind w:left="340" w:hanging="8"/>
        <w:spacing w:after="0" w:line="357" w:lineRule="auto"/>
        <w:tabs>
          <w:tab w:leader="none" w:pos="671" w:val="left"/>
        </w:tabs>
        <w:numPr>
          <w:ilvl w:val="1"/>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8"/>
        <w:spacing w:after="0" w:line="387" w:lineRule="auto"/>
        <w:tabs>
          <w:tab w:leader="none" w:pos="668" w:val="left"/>
        </w:tabs>
        <w:numPr>
          <w:ilvl w:val="1"/>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8"/>
          <w:szCs w:val="18"/>
          <w:color w:val="auto"/>
        </w:rPr>
      </w:pPr>
    </w:p>
    <w:p>
      <w:pPr>
        <w:jc w:val="both"/>
        <w:ind w:left="340" w:hanging="8"/>
        <w:spacing w:after="0" w:line="365" w:lineRule="auto"/>
        <w:tabs>
          <w:tab w:leader="none" w:pos="706"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8"/>
          <w:szCs w:val="18"/>
          <w:color w:val="auto"/>
        </w:rPr>
      </w:pPr>
    </w:p>
    <w:p>
      <w:pPr>
        <w:jc w:val="both"/>
        <w:ind w:left="660" w:hanging="4"/>
        <w:spacing w:after="0" w:line="357" w:lineRule="auto"/>
        <w:tabs>
          <w:tab w:leader="none" w:pos="989" w:val="left"/>
        </w:tabs>
        <w:numPr>
          <w:ilvl w:val="2"/>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Arial" w:cs="Arial" w:eastAsia="Arial" w:hAnsi="Arial"/>
          <w:sz w:val="18"/>
          <w:szCs w:val="18"/>
          <w:color w:val="auto"/>
        </w:rPr>
      </w:pPr>
    </w:p>
    <w:p>
      <w:pPr>
        <w:jc w:val="both"/>
        <w:ind w:left="660" w:hanging="4"/>
        <w:spacing w:after="0" w:line="357" w:lineRule="auto"/>
        <w:tabs>
          <w:tab w:leader="none" w:pos="1065" w:val="left"/>
        </w:tabs>
        <w:numPr>
          <w:ilvl w:val="2"/>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20" w:hanging="4"/>
        <w:spacing w:after="0" w:line="424" w:lineRule="auto"/>
        <w:tabs>
          <w:tab w:leader="none" w:pos="1080" w:val="left"/>
        </w:tabs>
        <w:numPr>
          <w:ilvl w:val="2"/>
          <w:numId w:val="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32" w:lineRule="exact"/>
        <w:rPr>
          <w:rFonts w:ascii="Arial" w:cs="Arial" w:eastAsia="Arial" w:hAnsi="Arial"/>
          <w:sz w:val="17"/>
          <w:szCs w:val="17"/>
          <w:color w:val="auto"/>
        </w:rPr>
      </w:pPr>
    </w:p>
    <w:p>
      <w:pPr>
        <w:jc w:val="both"/>
        <w:ind w:left="660" w:hanging="4"/>
        <w:spacing w:after="0" w:line="357" w:lineRule="auto"/>
        <w:tabs>
          <w:tab w:leader="none" w:pos="997" w:val="left"/>
        </w:tabs>
        <w:numPr>
          <w:ilvl w:val="2"/>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Arial" w:cs="Arial" w:eastAsia="Arial" w:hAnsi="Arial"/>
          <w:sz w:val="18"/>
          <w:szCs w:val="18"/>
          <w:color w:val="auto"/>
        </w:rPr>
      </w:pPr>
    </w:p>
    <w:p>
      <w:pPr>
        <w:ind w:firstLine="8"/>
        <w:spacing w:after="0" w:line="407" w:lineRule="auto"/>
        <w:tabs>
          <w:tab w:leader="none" w:pos="2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660" w:hanging="4"/>
        <w:spacing w:after="0" w:line="387" w:lineRule="auto"/>
        <w:tabs>
          <w:tab w:leader="none" w:pos="1112" w:val="left"/>
        </w:tabs>
        <w:numPr>
          <w:ilvl w:val="2"/>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660" w:right="20" w:hanging="4"/>
        <w:spacing w:after="0" w:line="371" w:lineRule="auto"/>
        <w:tabs>
          <w:tab w:leader="none" w:pos="1056" w:val="left"/>
        </w:tabs>
        <w:numPr>
          <w:ilvl w:val="2"/>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Date: August 10, 2022</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 Hemanth Munipalli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14605</wp:posOffset>
            </wp:positionV>
            <wp:extent cx="37376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Hemanth Munipalli</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43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70" w:lineRule="exact"/>
        <w:rPr>
          <w:sz w:val="20"/>
          <w:szCs w:val="20"/>
          <w:color w:val="auto"/>
        </w:rPr>
      </w:pPr>
    </w:p>
    <w:p>
      <w:pPr>
        <w:ind w:right="420"/>
        <w:spacing w:after="0" w:line="308" w:lineRule="auto"/>
        <w:rPr>
          <w:sz w:val="20"/>
          <w:szCs w:val="20"/>
          <w:color w:val="auto"/>
        </w:rPr>
      </w:pPr>
      <w:r>
        <w:rPr>
          <w:rFonts w:ascii="Arial" w:cs="Arial" w:eastAsia="Arial" w:hAnsi="Arial"/>
          <w:sz w:val="18"/>
          <w:szCs w:val="18"/>
          <w:color w:val="auto"/>
        </w:rPr>
        <w:t>I, Matthew Oppenheimer, Chief Executive Officer of Remitly Global, Inc. (the “Company”), do hereby certify, pursuant to 18 U.S.C. Section 1350, as adopted pursuant to Section 906 of the Sarbanes-Oxley Act of 2002, that to the best of my knowledge:</w:t>
      </w:r>
    </w:p>
    <w:p>
      <w:pPr>
        <w:spacing w:after="0" w:line="184" w:lineRule="exact"/>
        <w:rPr>
          <w:sz w:val="20"/>
          <w:szCs w:val="20"/>
          <w:color w:val="auto"/>
        </w:rPr>
      </w:pPr>
    </w:p>
    <w:p>
      <w:pPr>
        <w:ind w:left="660" w:right="20" w:hanging="328"/>
        <w:spacing w:after="0" w:line="308"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June 30, 2022 (the “Report”) fully complies with the requirements of Section 13(a) or 15(d) of the Securities Exchange Act of 1934, as amended; and</w:t>
      </w:r>
    </w:p>
    <w:p>
      <w:pPr>
        <w:spacing w:after="0" w:line="184" w:lineRule="exact"/>
        <w:rPr>
          <w:rFonts w:ascii="Arial" w:cs="Arial" w:eastAsia="Arial" w:hAnsi="Arial"/>
          <w:sz w:val="18"/>
          <w:szCs w:val="18"/>
          <w:color w:val="auto"/>
        </w:rPr>
      </w:pPr>
    </w:p>
    <w:p>
      <w:pPr>
        <w:ind w:left="660" w:right="240" w:hanging="328"/>
        <w:spacing w:after="0" w:line="308"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Date: August 10, 2022</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Matthew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31750</wp:posOffset>
            </wp:positionV>
            <wp:extent cx="37547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4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Matthew Oppenheimer</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43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324" w:lineRule="exact"/>
        <w:rPr>
          <w:sz w:val="20"/>
          <w:szCs w:val="20"/>
          <w:color w:val="auto"/>
        </w:rPr>
      </w:pPr>
    </w:p>
    <w:p>
      <w:pPr>
        <w:ind w:right="20"/>
        <w:spacing w:after="0" w:line="371" w:lineRule="auto"/>
        <w:rPr>
          <w:sz w:val="20"/>
          <w:szCs w:val="20"/>
          <w:color w:val="auto"/>
        </w:rPr>
      </w:pPr>
      <w:r>
        <w:rPr>
          <w:rFonts w:ascii="Arial" w:cs="Arial" w:eastAsia="Arial" w:hAnsi="Arial"/>
          <w:sz w:val="18"/>
          <w:szCs w:val="18"/>
          <w:color w:val="auto"/>
        </w:rPr>
        <w:t>I, Hemanth Munipalli, Chief Financial Officer of Remitly Global, Inc. (the “Company”), do hereby certify, pursuant to 18 U.S.C. Section 1350, as adopted pursuant to Section 906 of the Sarbanes-Oxley Act of 2002, that to the best of my knowledge:</w:t>
      </w:r>
    </w:p>
    <w:p>
      <w:pPr>
        <w:spacing w:after="0" w:line="143" w:lineRule="exact"/>
        <w:rPr>
          <w:sz w:val="20"/>
          <w:szCs w:val="20"/>
          <w:color w:val="auto"/>
        </w:rPr>
      </w:pPr>
    </w:p>
    <w:p>
      <w:pPr>
        <w:ind w:left="660" w:right="20" w:hanging="328"/>
        <w:spacing w:after="0" w:line="324"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June 30, 2022 (the “Report”) fully complies with the requirements of Section 13(a) or 15(d) of the Securities Exchange Act of 1934, as amended; and</w:t>
      </w:r>
    </w:p>
    <w:p>
      <w:pPr>
        <w:spacing w:after="0" w:line="156" w:lineRule="exact"/>
        <w:rPr>
          <w:rFonts w:ascii="Arial" w:cs="Arial" w:eastAsia="Arial" w:hAnsi="Arial"/>
          <w:sz w:val="18"/>
          <w:szCs w:val="18"/>
          <w:color w:val="auto"/>
        </w:rPr>
      </w:pPr>
    </w:p>
    <w:p>
      <w:pPr>
        <w:ind w:left="660" w:right="240" w:hanging="328"/>
        <w:spacing w:after="0" w:line="324"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8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Date: August 10, 2022</w:t>
      </w:r>
    </w:p>
    <w:p>
      <w:pPr>
        <w:spacing w:after="0" w:line="27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Hemanth Munipalli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14605</wp:posOffset>
            </wp:positionV>
            <wp:extent cx="37630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763010" cy="8890"/>
                    </a:xfrm>
                    <a:prstGeom prst="rect">
                      <a:avLst/>
                    </a:prstGeom>
                    <a:noFill/>
                  </pic:spPr>
                </pic:pic>
              </a:graphicData>
            </a:graphic>
          </wp:anchor>
        </w:drawing>
      </w:r>
    </w:p>
    <w:p>
      <w:pPr>
        <w:spacing w:after="0" w:line="1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Hemanth Munipalli</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4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1."/>
      <w:numFmt w:val="decimal"/>
      <w:start w:val="2"/>
    </w:lvl>
  </w:abstractNum>
  <w:abstractNum w:abstractNumId="5">
    <w:nsid w:val="8EDBDAB"/>
    <w:multiLevelType w:val="hybridMultilevel"/>
    <w:lvl w:ilvl="0">
      <w:lvlJc w:val="left"/>
      <w:lvlText w:val="%1."/>
      <w:numFmt w:val="decimal"/>
      <w:start w:val="3"/>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decimal"/>
      <w:start w:val="5"/>
    </w:lvl>
  </w:abstractNum>
  <w:abstractNum w:abstractNumId="8">
    <w:nsid w:val="B03E0C6"/>
    <w:multiLevelType w:val="hybridMultilevel"/>
    <w:lvl w:ilvl="0">
      <w:lvlJc w:val="left"/>
      <w:lvlText w:val="%1."/>
      <w:numFmt w:val="decimal"/>
      <w:start w:val="6"/>
    </w:lvl>
  </w:abstractNum>
  <w:abstractNum w:abstractNumId="9">
    <w:nsid w:val="189A769B"/>
    <w:multiLevelType w:val="hybridMultilevel"/>
    <w:lvl w:ilvl="0">
      <w:lvlJc w:val="left"/>
      <w:lvlText w:val="%1."/>
      <w:numFmt w:val="decimal"/>
      <w:start w:val="7"/>
    </w:lvl>
  </w:abstractNum>
  <w:abstractNum w:abstractNumId="10">
    <w:nsid w:val="54E49EB4"/>
    <w:multiLevelType w:val="hybridMultilevel"/>
    <w:lvl w:ilvl="0">
      <w:lvlJc w:val="left"/>
      <w:lvlText w:val="%1"/>
      <w:numFmt w:val="decimal"/>
      <w:start w:val="1"/>
    </w:lvl>
    <w:lvl w:ilvl="1">
      <w:lvlJc w:val="left"/>
      <w:lvlText w:val="(%2)"/>
      <w:numFmt w:val="decimal"/>
      <w:start w:val="1"/>
    </w:lvl>
  </w:abstractNum>
  <w:abstractNum w:abstractNumId="11">
    <w:nsid w:val="71F32454"/>
    <w:multiLevelType w:val="hybridMultilevel"/>
    <w:lvl w:ilvl="0">
      <w:lvlJc w:val="left"/>
      <w:lvlText w:val="%1."/>
      <w:numFmt w:val="decimal"/>
      <w:start w:val="8"/>
    </w:lvl>
    <w:lvl w:ilvl="1">
      <w:lvlJc w:val="left"/>
      <w:lvlText w:val="%2"/>
      <w:numFmt w:val="decimal"/>
      <w:start w:val="1"/>
    </w:lvl>
  </w:abstractNum>
  <w:abstractNum w:abstractNumId="12">
    <w:nsid w:val="2CA88611"/>
    <w:multiLevelType w:val="hybridMultilevel"/>
    <w:lvl w:ilvl="0">
      <w:lvlJc w:val="left"/>
      <w:lvlText w:val="%1."/>
      <w:numFmt w:val="decimal"/>
      <w:start w:val="9"/>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11"/>
    </w:lvl>
  </w:abstractNum>
  <w:abstractNum w:abstractNumId="15">
    <w:nsid w:val="3A95F874"/>
    <w:multiLevelType w:val="hybridMultilevel"/>
    <w:lvl w:ilvl="0">
      <w:lvlJc w:val="left"/>
      <w:lvlText w:val="%1."/>
      <w:numFmt w:val="decimal"/>
      <w:start w:val="14"/>
    </w:lvl>
  </w:abstractNum>
  <w:abstractNum w:abstractNumId="16">
    <w:nsid w:val="8138641"/>
    <w:multiLevelType w:val="hybridMultilevel"/>
    <w:lvl w:ilvl="0">
      <w:lvlJc w:val="left"/>
      <w:lvlText w:val="%1"/>
      <w:numFmt w:val="decimal"/>
      <w:start w:val="1"/>
    </w:lvl>
    <w:lvl w:ilvl="1">
      <w:lvlJc w:val="left"/>
      <w:lvlText w:val="(%2)"/>
      <w:numFmt w:val="decimal"/>
      <w:start w:val="1"/>
    </w:lvl>
  </w:abstractNum>
  <w:abstractNum w:abstractNumId="17">
    <w:nsid w:val="1E7FF521"/>
    <w:multiLevelType w:val="hybridMultilevel"/>
    <w:lvl w:ilvl="0">
      <w:lvlJc w:val="left"/>
      <w:lvlText w:val="%1."/>
      <w:numFmt w:val="decimal"/>
      <w:start w:val="16"/>
    </w:lvl>
    <w:lvl w:ilvl="1">
      <w:lvlJc w:val="left"/>
      <w:lvlText w:val="%2"/>
      <w:numFmt w:val="decimal"/>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1."/>
      <w:numFmt w:val="decimal"/>
      <w:start w:val="9"/>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lowerLetter"/>
      <w:start w:val="1"/>
    </w:lvl>
  </w:abstractNum>
  <w:abstractNum w:abstractNumId="29">
    <w:nsid w:val="3804823E"/>
    <w:multiLevelType w:val="hybridMultilevel"/>
    <w:lvl w:ilvl="0">
      <w:lvlJc w:val="left"/>
      <w:lvlText w:val="%1."/>
      <w:numFmt w:val="decimal"/>
      <w:start w:val="2"/>
    </w:lvl>
    <w:lvl w:ilvl="1">
      <w:lvlJc w:val="left"/>
      <w:lvlText w:val="(%2)"/>
      <w:numFmt w:val="lowerLetter"/>
      <w:start w:val="3"/>
    </w:lvl>
  </w:abstractNum>
  <w:abstractNum w:abstractNumId="30">
    <w:nsid w:val="77465F01"/>
    <w:multiLevelType w:val="hybridMultilevel"/>
    <w:lvl w:ilvl="0">
      <w:lvlJc w:val="left"/>
      <w:lvlText w:val="%1."/>
      <w:numFmt w:val="decimal"/>
      <w:start w:val="3"/>
    </w:lvl>
    <w:lvl w:ilvl="1">
      <w:lvlJc w:val="left"/>
      <w:lvlText w:val="(%2)"/>
      <w:numFmt w:val="lowerLetter"/>
      <w:start w:val="5"/>
    </w:lvl>
  </w:abstractNum>
  <w:abstractNum w:abstractNumId="31">
    <w:nsid w:val="7724C67E"/>
    <w:multiLevelType w:val="hybridMultilevel"/>
    <w:lvl w:ilvl="0">
      <w:lvlJc w:val="left"/>
      <w:lvlText w:val="(%1)"/>
      <w:numFmt w:val="lowerLetter"/>
      <w:start w:val="8"/>
    </w:lvl>
  </w:abstractNum>
  <w:abstractNum w:abstractNumId="32">
    <w:nsid w:val="5C482A97"/>
    <w:multiLevelType w:val="hybridMultilevel"/>
    <w:lvl w:ilvl="0">
      <w:lvlJc w:val="left"/>
      <w:lvlText w:val="(%1)"/>
      <w:numFmt w:val="lowerLetter"/>
      <w:start w:val="9"/>
    </w:lvl>
  </w:abstractNum>
  <w:abstractNum w:abstractNumId="33">
    <w:nsid w:val="2463B9EA"/>
    <w:multiLevelType w:val="hybridMultilevel"/>
    <w:lvl w:ilvl="0">
      <w:lvlJc w:val="left"/>
      <w:lvlText w:val="%1"/>
      <w:numFmt w:val="decimal"/>
      <w:start w:val="1"/>
    </w:lvl>
    <w:lvl w:ilvl="1">
      <w:lvlJc w:val="left"/>
      <w:lvlText w:val="(%2)"/>
      <w:numFmt w:val="lowerLetter"/>
      <w:start w:val="17"/>
    </w:lvl>
  </w:abstractNum>
  <w:abstractNum w:abstractNumId="34">
    <w:nsid w:val="5E884ADC"/>
    <w:multiLevelType w:val="hybridMultilevel"/>
    <w:lvl w:ilvl="0">
      <w:lvlJc w:val="left"/>
      <w:lvlText w:val="%1."/>
      <w:numFmt w:val="decimal"/>
      <w:start w:val="7"/>
    </w:lvl>
    <w:lvl w:ilvl="1">
      <w:lvlJc w:val="left"/>
      <w:lvlText w:val="(%2)"/>
      <w:numFmt w:val="lowerLetter"/>
      <w:start w:val="18"/>
    </w:lvl>
  </w:abstractNum>
  <w:abstractNum w:abstractNumId="35">
    <w:nsid w:val="51EAD36B"/>
    <w:multiLevelType w:val="hybridMultilevel"/>
    <w:lvl w:ilvl="0">
      <w:lvlJc w:val="left"/>
      <w:lvlText w:val="%1"/>
      <w:numFmt w:val="decimal"/>
      <w:start w:val="1"/>
    </w:lvl>
    <w:lvl w:ilvl="1">
      <w:lvlJc w:val="left"/>
      <w:lvlText w:val="(%2)"/>
      <w:numFmt w:val="lowerLetter"/>
      <w:start w:val="20"/>
    </w:lvl>
  </w:abstractNum>
  <w:abstractNum w:abstractNumId="36">
    <w:nsid w:val="2D517796"/>
    <w:multiLevelType w:val="hybridMultilevel"/>
    <w:lvl w:ilvl="0">
      <w:lvlJc w:val="left"/>
      <w:lvlText w:val="%1."/>
      <w:numFmt w:val="decimal"/>
      <w:start w:val="9"/>
    </w:lvl>
    <w:lvl w:ilvl="1">
      <w:lvlJc w:val="left"/>
      <w:lvlText w:val="(%2)"/>
      <w:numFmt w:val="lowerLetter"/>
      <w:start w:val="22"/>
    </w:lvl>
  </w:abstractNum>
  <w:abstractNum w:abstractNumId="37">
    <w:nsid w:val="580BD78F"/>
    <w:multiLevelType w:val="hybridMultilevel"/>
    <w:lvl w:ilvl="0">
      <w:lvlJc w:val="left"/>
      <w:lvlText w:val="(%1)"/>
      <w:numFmt w:val="lowerLetter"/>
      <w:start w:val="27"/>
    </w:lvl>
  </w:abstractNum>
  <w:abstractNum w:abstractNumId="38">
    <w:nsid w:val="153EA438"/>
    <w:multiLevelType w:val="hybridMultilevel"/>
    <w:lvl w:ilvl="0">
      <w:lvlJc w:val="left"/>
      <w:lvlText w:val="%1."/>
      <w:numFmt w:val="decimal"/>
      <w:start w:val="1"/>
    </w:lvl>
    <w:lvl w:ilvl="1">
      <w:lvlJc w:val="left"/>
      <w:lvlText w:val="%2)"/>
      <w:numFmt w:val="lowerLetter"/>
      <w:start w:val="1"/>
    </w:lvl>
  </w:abstractNum>
  <w:abstractNum w:abstractNumId="39">
    <w:nsid w:val="3855585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0">
    <w:nsid w:val="70A64E2A"/>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51" Type="http://schemas.openxmlformats.org/officeDocument/2006/relationships/hyperlink" Target="https://www.sec.gov/Archives/edgar/data/0001782170/000178217021000011/exhibit33-remitlyglobalxpu.htm" TargetMode="External"/><Relationship Id="rId52" Type="http://schemas.openxmlformats.org/officeDocument/2006/relationships/hyperlink" Target="https://www.sec.gov/Archives/edgar/data/0001782170/000178217021000011/exhibit34-remitlyglobalxpu.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2022-08-10T16:33:34Z</dcterms:created>
  <dcterms:modified xsi:type="dcterms:W3CDTF">2022-08-10T16:33:34Z</dcterms:modified>
</cp:coreProperties>
</file>