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9" w:lineRule="exact"/>
        <w:rPr>
          <w:sz w:val="24"/>
          <w:szCs w:val="24"/>
          <w:color w:val="auto"/>
        </w:rPr>
      </w:pPr>
    </w:p>
    <w:p>
      <w:pPr>
        <w:ind w:right="3140" w:firstLine="8"/>
        <w:spacing w:after="0" w:line="317"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380" w:right="2800" w:hanging="4372"/>
        <w:spacing w:after="0" w:line="319" w:lineRule="auto"/>
        <w:tabs>
          <w:tab w:leader="none" w:pos="20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001-40822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69215</wp:posOffset>
            </wp:positionV>
            <wp:extent cx="1380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4"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33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Delaware</w:t>
            </w:r>
          </w:p>
        </w:tc>
        <w:tc>
          <w:tcPr>
            <w:tcW w:w="1140" w:type="dxa"/>
            <w:vAlign w:val="bottom"/>
            <w:gridSpan w:val="2"/>
          </w:tcPr>
          <w:p>
            <w:pPr>
              <w:jc w:val="center"/>
              <w:ind w:left="624"/>
              <w:spacing w:after="0"/>
              <w:rPr>
                <w:sz w:val="20"/>
                <w:szCs w:val="20"/>
                <w:color w:val="auto"/>
              </w:rPr>
            </w:pPr>
            <w:r>
              <w:rPr>
                <w:rFonts w:ascii="Arial" w:cs="Arial" w:eastAsia="Arial" w:hAnsi="Arial"/>
                <w:sz w:val="16"/>
                <w:szCs w:val="16"/>
                <w:b w:val="1"/>
                <w:bCs w:val="1"/>
                <w:color w:val="auto"/>
                <w:w w:val="89"/>
              </w:rPr>
              <w:t>7372</w:t>
            </w:r>
          </w:p>
        </w:tc>
        <w:tc>
          <w:tcPr>
            <w:tcW w:w="880" w:type="dxa"/>
            <w:vAlign w:val="bottom"/>
          </w:tcPr>
          <w:p>
            <w:pPr>
              <w:spacing w:after="0"/>
              <w:rPr>
                <w:sz w:val="18"/>
                <w:szCs w:val="18"/>
                <w:color w:val="auto"/>
              </w:rPr>
            </w:pPr>
          </w:p>
        </w:tc>
        <w:tc>
          <w:tcPr>
            <w:tcW w:w="3180" w:type="dxa"/>
            <w:vAlign w:val="bottom"/>
          </w:tcPr>
          <w:p>
            <w:pPr>
              <w:jc w:val="center"/>
              <w:ind w:left="364"/>
              <w:spacing w:after="0"/>
              <w:rPr>
                <w:sz w:val="20"/>
                <w:szCs w:val="20"/>
                <w:color w:val="auto"/>
              </w:rPr>
            </w:pPr>
            <w:r>
              <w:rPr>
                <w:rFonts w:ascii="Arial" w:cs="Arial" w:eastAsia="Arial" w:hAnsi="Arial"/>
                <w:sz w:val="16"/>
                <w:szCs w:val="16"/>
                <w:b w:val="1"/>
                <w:bCs w:val="1"/>
                <w:color w:val="auto"/>
                <w:w w:val="91"/>
              </w:rPr>
              <w:t>83-2301143</w:t>
            </w:r>
          </w:p>
        </w:tc>
      </w:tr>
      <w:tr>
        <w:trPr>
          <w:trHeight w:val="203"/>
        </w:trPr>
        <w:tc>
          <w:tcPr>
            <w:tcW w:w="334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(State or other jurisdiction of</w:t>
            </w:r>
          </w:p>
        </w:tc>
        <w:tc>
          <w:tcPr>
            <w:tcW w:w="202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(Primary Standard Industrial</w:t>
            </w:r>
          </w:p>
        </w:tc>
        <w:tc>
          <w:tcPr>
            <w:tcW w:w="3180" w:type="dxa"/>
            <w:vAlign w:val="bottom"/>
          </w:tcPr>
          <w:p>
            <w:pPr>
              <w:jc w:val="center"/>
              <w:ind w:left="364"/>
              <w:spacing w:after="0"/>
              <w:rPr>
                <w:sz w:val="20"/>
                <w:szCs w:val="20"/>
                <w:color w:val="auto"/>
              </w:rPr>
            </w:pPr>
            <w:r>
              <w:rPr>
                <w:rFonts w:ascii="Arial" w:cs="Arial" w:eastAsia="Arial" w:hAnsi="Arial"/>
                <w:sz w:val="14"/>
                <w:szCs w:val="14"/>
                <w:color w:val="auto"/>
                <w:w w:val="95"/>
              </w:rPr>
              <w:t>(I.R.S. Employer</w:t>
            </w:r>
          </w:p>
        </w:tc>
      </w:tr>
      <w:tr>
        <w:trPr>
          <w:trHeight w:val="182"/>
        </w:trPr>
        <w:tc>
          <w:tcPr>
            <w:tcW w:w="3340" w:type="dxa"/>
            <w:vAlign w:val="bottom"/>
            <w:gridSpan w:val="2"/>
          </w:tcPr>
          <w:p>
            <w:pPr>
              <w:jc w:val="center"/>
              <w:ind w:right="640"/>
              <w:spacing w:after="0"/>
              <w:rPr>
                <w:sz w:val="20"/>
                <w:szCs w:val="20"/>
                <w:color w:val="auto"/>
              </w:rPr>
            </w:pPr>
            <w:r>
              <w:rPr>
                <w:rFonts w:ascii="Arial" w:cs="Arial" w:eastAsia="Arial" w:hAnsi="Arial"/>
                <w:sz w:val="14"/>
                <w:szCs w:val="14"/>
                <w:color w:val="auto"/>
                <w:w w:val="95"/>
              </w:rPr>
              <w:t>incorporation or organization)</w:t>
            </w:r>
          </w:p>
        </w:tc>
        <w:tc>
          <w:tcPr>
            <w:tcW w:w="202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Classification Code Number)</w:t>
            </w:r>
          </w:p>
        </w:tc>
        <w:tc>
          <w:tcPr>
            <w:tcW w:w="3180" w:type="dxa"/>
            <w:vAlign w:val="bottom"/>
          </w:tcPr>
          <w:p>
            <w:pPr>
              <w:jc w:val="center"/>
              <w:ind w:left="364"/>
              <w:spacing w:after="0"/>
              <w:rPr>
                <w:sz w:val="20"/>
                <w:szCs w:val="20"/>
                <w:color w:val="auto"/>
              </w:rPr>
            </w:pPr>
            <w:r>
              <w:rPr>
                <w:rFonts w:ascii="Arial" w:cs="Arial" w:eastAsia="Arial" w:hAnsi="Arial"/>
                <w:sz w:val="14"/>
                <w:szCs w:val="14"/>
                <w:color w:val="auto"/>
                <w:w w:val="97"/>
              </w:rPr>
              <w:t>Identification Number)</w:t>
            </w:r>
          </w:p>
        </w:tc>
      </w:tr>
      <w:tr>
        <w:trPr>
          <w:trHeight w:val="215"/>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180" w:type="dxa"/>
            <w:vAlign w:val="bottom"/>
          </w:tcPr>
          <w:p>
            <w:pPr>
              <w:spacing w:after="0"/>
              <w:rPr>
                <w:sz w:val="18"/>
                <w:szCs w:val="18"/>
                <w:color w:val="auto"/>
              </w:rPr>
            </w:pPr>
          </w:p>
        </w:tc>
      </w:tr>
      <w:tr>
        <w:trPr>
          <w:trHeight w:val="352"/>
        </w:trPr>
        <w:tc>
          <w:tcPr>
            <w:tcW w:w="3340" w:type="dxa"/>
            <w:vAlign w:val="bottom"/>
            <w:gridSpan w:val="2"/>
          </w:tcPr>
          <w:p>
            <w:pPr>
              <w:ind w:left="480"/>
              <w:spacing w:after="0"/>
              <w:rPr>
                <w:sz w:val="20"/>
                <w:szCs w:val="20"/>
                <w:color w:val="auto"/>
              </w:rPr>
            </w:pPr>
            <w:r>
              <w:rPr>
                <w:rFonts w:ascii="Arial" w:cs="Arial" w:eastAsia="Arial" w:hAnsi="Arial"/>
                <w:sz w:val="16"/>
                <w:szCs w:val="16"/>
                <w:b w:val="1"/>
                <w:bCs w:val="1"/>
                <w:color w:val="auto"/>
                <w:w w:val="95"/>
              </w:rPr>
              <w:t>1111 Third Avenue, Suite 2100  Seattle,</w:t>
            </w:r>
          </w:p>
        </w:tc>
        <w:tc>
          <w:tcPr>
            <w:tcW w:w="2020" w:type="dxa"/>
            <w:vAlign w:val="bottom"/>
            <w:gridSpan w:val="3"/>
          </w:tcPr>
          <w:p>
            <w:pPr>
              <w:ind w:left="40"/>
              <w:spacing w:after="0"/>
              <w:rPr>
                <w:sz w:val="20"/>
                <w:szCs w:val="20"/>
                <w:color w:val="auto"/>
              </w:rPr>
            </w:pPr>
            <w:r>
              <w:rPr>
                <w:rFonts w:ascii="Arial" w:cs="Arial" w:eastAsia="Arial" w:hAnsi="Arial"/>
                <w:sz w:val="16"/>
                <w:szCs w:val="16"/>
                <w:b w:val="1"/>
                <w:bCs w:val="1"/>
                <w:color w:val="auto"/>
              </w:rPr>
              <w:t>WA</w:t>
            </w:r>
          </w:p>
        </w:tc>
        <w:tc>
          <w:tcPr>
            <w:tcW w:w="3180" w:type="dxa"/>
            <w:vAlign w:val="bottom"/>
          </w:tcPr>
          <w:p>
            <w:pPr>
              <w:jc w:val="right"/>
              <w:ind w:right="1764"/>
              <w:spacing w:after="0"/>
              <w:rPr>
                <w:sz w:val="20"/>
                <w:szCs w:val="20"/>
                <w:color w:val="auto"/>
              </w:rPr>
            </w:pPr>
            <w:r>
              <w:rPr>
                <w:rFonts w:ascii="Arial" w:cs="Arial" w:eastAsia="Arial" w:hAnsi="Arial"/>
                <w:sz w:val="16"/>
                <w:szCs w:val="16"/>
                <w:b w:val="1"/>
                <w:bCs w:val="1"/>
                <w:color w:val="auto"/>
              </w:rPr>
              <w:t>98101</w:t>
            </w:r>
          </w:p>
        </w:tc>
      </w:tr>
      <w:tr>
        <w:trPr>
          <w:trHeight w:val="190"/>
        </w:trPr>
        <w:tc>
          <w:tcPr>
            <w:tcW w:w="3340" w:type="dxa"/>
            <w:vAlign w:val="bottom"/>
            <w:tcBorders>
              <w:top w:val="single" w:sz="8" w:color="auto"/>
            </w:tcBorders>
            <w:gridSpan w:val="2"/>
          </w:tcPr>
          <w:p>
            <w:pPr>
              <w:ind w:left="980"/>
              <w:spacing w:after="0"/>
              <w:rPr>
                <w:sz w:val="20"/>
                <w:szCs w:val="20"/>
                <w:color w:val="auto"/>
              </w:rPr>
            </w:pPr>
            <w:r>
              <w:rPr>
                <w:rFonts w:ascii="Arial" w:cs="Arial" w:eastAsia="Arial" w:hAnsi="Arial"/>
                <w:sz w:val="14"/>
                <w:szCs w:val="14"/>
                <w:color w:val="auto"/>
                <w:w w:val="95"/>
              </w:rPr>
              <w:t>(Address of Principal Executive Offices)</w:t>
            </w: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824"/>
              <w:spacing w:after="0"/>
              <w:rPr>
                <w:sz w:val="20"/>
                <w:szCs w:val="20"/>
                <w:color w:val="auto"/>
              </w:rPr>
            </w:pPr>
            <w:r>
              <w:rPr>
                <w:rFonts w:ascii="Arial" w:cs="Arial" w:eastAsia="Arial" w:hAnsi="Arial"/>
                <w:sz w:val="14"/>
                <w:szCs w:val="14"/>
                <w:color w:val="auto"/>
                <w:w w:val="96"/>
              </w:rPr>
              <w:t>(Zip Code)</w:t>
            </w:r>
          </w:p>
        </w:tc>
      </w:tr>
    </w:tbl>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(888) 736-4859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73" w:lineRule="exact"/>
        <w:rPr>
          <w:sz w:val="24"/>
          <w:szCs w:val="24"/>
          <w:color w:val="auto"/>
        </w:rPr>
      </w:pPr>
    </w:p>
    <w:tbl>
      <w:tblPr>
        <w:tblLayout w:type="fixed"/>
        <w:tblInd w:w="94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6720" w:type="dxa"/>
            <w:vAlign w:val="bottom"/>
            <w:gridSpan w:val="5"/>
          </w:tcPr>
          <w:p>
            <w:pPr>
              <w:jc w:val="center"/>
              <w:ind w:right="25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56"/>
        </w:trPr>
        <w:tc>
          <w:tcPr>
            <w:tcW w:w="266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0"/>
              </w:rPr>
              <w:t>Title of each class</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6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2660" w:type="dxa"/>
            <w:vAlign w:val="bottom"/>
          </w:tcPr>
          <w:p>
            <w:pPr>
              <w:jc w:val="center"/>
              <w:ind w:left="239"/>
              <w:spacing w:after="0"/>
              <w:rPr>
                <w:sz w:val="20"/>
                <w:szCs w:val="20"/>
                <w:color w:val="auto"/>
              </w:rPr>
            </w:pPr>
            <w:r>
              <w:rPr>
                <w:rFonts w:ascii="Arial" w:cs="Arial" w:eastAsia="Arial" w:hAnsi="Arial"/>
                <w:sz w:val="16"/>
                <w:szCs w:val="16"/>
                <w:color w:val="auto"/>
                <w:w w:val="91"/>
              </w:rPr>
              <w:t>Common Stock, $0.0001 par value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RELY</w:t>
            </w: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The NASDAQ Global Select Market</w:t>
            </w:r>
          </w:p>
        </w:tc>
      </w:tr>
    </w:tbl>
    <w:p>
      <w:pPr>
        <w:spacing w:after="0" w:line="115" w:lineRule="exact"/>
        <w:rPr>
          <w:sz w:val="24"/>
          <w:szCs w:val="24"/>
          <w:color w:val="auto"/>
        </w:rPr>
      </w:pPr>
    </w:p>
    <w:p>
      <w:pPr>
        <w:ind w:right="274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20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r>
        <w:rPr>
          <w:rFonts w:ascii="Arial" w:cs="Arial" w:eastAsia="Arial" w:hAnsi="Arial"/>
          <w:sz w:val="16"/>
          <w:szCs w:val="16"/>
          <w:color w:val="auto"/>
        </w:rPr>
        <w:t xml:space="preserve"> Yes No </w:t>
      </w:r>
      <w:r>
        <w:rPr>
          <w:rFonts w:ascii="MS PGothic" w:cs="MS PGothic" w:eastAsia="MS PGothic" w:hAnsi="MS PGothic"/>
          <w:sz w:val="16"/>
          <w:szCs w:val="16"/>
          <w:color w:val="auto"/>
        </w:rPr>
        <w:t>☐</w:t>
      </w:r>
    </w:p>
    <w:p>
      <w:pPr>
        <w:spacing w:after="0" w:line="47" w:lineRule="exact"/>
        <w:rPr>
          <w:sz w:val="24"/>
          <w:szCs w:val="24"/>
          <w:color w:val="auto"/>
        </w:rPr>
      </w:pPr>
    </w:p>
    <w:p>
      <w:pPr>
        <w:ind w:right="320"/>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Arial" w:cs="Arial" w:eastAsia="Arial" w:hAnsi="Arial"/>
          <w:sz w:val="16"/>
          <w:szCs w:val="16"/>
          <w:color w:val="auto"/>
        </w:rPr>
        <w:t xml:space="preserve"> Yes No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As of June 30, 2022, the aggregate market value of the registrant’s common stock held by non-affiliates of the registrant was approximately $906.7 million based on the closing sale price of $7.66 as reported on the NASDAQ Global Select Market.</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24, 2023, the registrant had 174,189,759 shares of common stock, $0.0001 par value per share, outstanding.</w:t>
      </w:r>
    </w:p>
    <w:p>
      <w:pPr>
        <w:spacing w:after="0" w:line="8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The information required by Part III (Items 10, 11, 12, 13, and 14) is incorporated by reference from the registrant’s Definitive Proxy Statement for its 2023 Annual Meeting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460" w:type="dxa"/>
            <w:vAlign w:val="bottom"/>
            <w:gridSpan w:val="28"/>
          </w:tcPr>
          <w:p>
            <w:pPr>
              <w:spacing w:after="0"/>
              <w:rPr>
                <w:sz w:val="20"/>
                <w:szCs w:val="20"/>
                <w:color w:val="auto"/>
              </w:rPr>
            </w:pPr>
            <w:r>
              <w:rPr>
                <w:rFonts w:ascii="Arial" w:cs="Arial" w:eastAsia="Arial" w:hAnsi="Arial"/>
                <w:sz w:val="16"/>
                <w:szCs w:val="16"/>
                <w:b w:val="1"/>
                <w:bCs w:val="1"/>
                <w:color w:val="auto"/>
              </w:rPr>
              <w:t>TABLE OF CONTENTS</w:t>
            </w:r>
          </w:p>
        </w:tc>
        <w:tc>
          <w:tcPr>
            <w:tcW w:w="1560" w:type="dxa"/>
            <w:vAlign w:val="bottom"/>
          </w:tcPr>
          <w:p>
            <w:pPr>
              <w:jc w:val="center"/>
              <w:ind w:left="1139"/>
              <w:spacing w:after="0"/>
              <w:rPr>
                <w:sz w:val="20"/>
                <w:szCs w:val="20"/>
                <w:color w:val="auto"/>
              </w:rPr>
            </w:pPr>
            <w:r>
              <w:rPr>
                <w:rFonts w:ascii="Arial" w:cs="Arial" w:eastAsia="Arial" w:hAnsi="Arial"/>
                <w:sz w:val="16"/>
                <w:szCs w:val="16"/>
                <w:b w:val="1"/>
                <w:bCs w:val="1"/>
                <w:color w:val="auto"/>
                <w:w w:val="88"/>
              </w:rPr>
              <w:t>Page</w:t>
            </w:r>
          </w:p>
        </w:tc>
      </w:tr>
      <w:tr>
        <w:trPr>
          <w:trHeight w:val="243"/>
        </w:trPr>
        <w:tc>
          <w:tcPr>
            <w:tcW w:w="9460" w:type="dxa"/>
            <w:vAlign w:val="bottom"/>
            <w:gridSpan w:val="28"/>
          </w:tcPr>
          <w:p>
            <w:pPr>
              <w:spacing w:after="0"/>
              <w:rPr>
                <w:sz w:val="20"/>
                <w:szCs w:val="20"/>
                <w:color w:val="auto"/>
              </w:rPr>
            </w:pPr>
            <w:r>
              <w:rPr>
                <w:rFonts w:ascii="Arial" w:cs="Arial" w:eastAsia="Arial" w:hAnsi="Arial"/>
                <w:sz w:val="16"/>
                <w:szCs w:val="16"/>
                <w:b w:val="1"/>
                <w:bCs w:val="1"/>
                <w:color w:val="auto"/>
              </w:rPr>
              <w:t>Special Note Regarding Forward-Looking Statements</w:t>
            </w:r>
          </w:p>
        </w:tc>
        <w:tc>
          <w:tcPr>
            <w:tcW w:w="1560" w:type="dxa"/>
            <w:vAlign w:val="bottom"/>
          </w:tcPr>
          <w:p>
            <w:pPr>
              <w:jc w:val="center"/>
              <w:ind w:left="1139"/>
              <w:spacing w:after="0"/>
              <w:rPr>
                <w:sz w:val="20"/>
                <w:szCs w:val="20"/>
                <w:color w:val="auto"/>
              </w:rPr>
            </w:pPr>
            <w:r>
              <w:rPr>
                <w:rFonts w:ascii="Arial" w:cs="Arial" w:eastAsia="Arial" w:hAnsi="Arial"/>
                <w:sz w:val="16"/>
                <w:szCs w:val="16"/>
                <w:color w:val="auto"/>
              </w:rPr>
              <w:t>ii</w:t>
            </w:r>
          </w:p>
        </w:tc>
      </w:tr>
      <w:tr>
        <w:trPr>
          <w:trHeight w:val="499"/>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3051F2"/>
            </w:tcBorders>
          </w:tcPr>
          <w:p>
            <w:pPr>
              <w:spacing w:after="0"/>
              <w:rPr>
                <w:sz w:val="20"/>
                <w:szCs w:val="20"/>
                <w:color w:val="auto"/>
              </w:rPr>
            </w:pPr>
            <w:r>
              <w:rPr>
                <w:rFonts w:ascii="Arial" w:cs="Arial" w:eastAsia="Arial" w:hAnsi="Arial"/>
                <w:sz w:val="16"/>
                <w:szCs w:val="16"/>
                <w:color w:val="3051F2"/>
                <w:w w:val="86"/>
              </w:rPr>
              <w:t>Business</w:t>
            </w:r>
          </w:p>
        </w:tc>
        <w:tc>
          <w:tcPr>
            <w:tcW w:w="7900" w:type="dxa"/>
            <w:vAlign w:val="bottom"/>
            <w:gridSpan w:val="26"/>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1</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3051F2"/>
            </w:tcBorders>
            <w:gridSpan w:val="4"/>
          </w:tcPr>
          <w:p>
            <w:pPr>
              <w:spacing w:after="0"/>
              <w:rPr>
                <w:sz w:val="20"/>
                <w:szCs w:val="20"/>
                <w:color w:val="auto"/>
              </w:rPr>
            </w:pPr>
            <w:r>
              <w:rPr>
                <w:rFonts w:ascii="Arial" w:cs="Arial" w:eastAsia="Arial" w:hAnsi="Arial"/>
                <w:sz w:val="16"/>
                <w:szCs w:val="16"/>
                <w:color w:val="3051F2"/>
                <w:w w:val="89"/>
              </w:rPr>
              <w:t>Risk Factors</w:t>
            </w:r>
          </w:p>
        </w:tc>
        <w:tc>
          <w:tcPr>
            <w:tcW w:w="7660" w:type="dxa"/>
            <w:vAlign w:val="bottom"/>
            <w:gridSpan w:val="2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12</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3051F2"/>
            </w:tcBorders>
            <w:gridSpan w:val="10"/>
          </w:tcPr>
          <w:p>
            <w:pPr>
              <w:spacing w:after="0"/>
              <w:rPr>
                <w:sz w:val="20"/>
                <w:szCs w:val="20"/>
                <w:color w:val="auto"/>
              </w:rPr>
            </w:pPr>
            <w:r>
              <w:rPr>
                <w:rFonts w:ascii="Arial" w:cs="Arial" w:eastAsia="Arial" w:hAnsi="Arial"/>
                <w:sz w:val="16"/>
                <w:szCs w:val="16"/>
                <w:color w:val="3051F2"/>
                <w:w w:val="90"/>
              </w:rPr>
              <w:t>Unresolved Staff Comments</w:t>
            </w:r>
          </w:p>
        </w:tc>
        <w:tc>
          <w:tcPr>
            <w:tcW w:w="6640" w:type="dxa"/>
            <w:vAlign w:val="bottom"/>
            <w:gridSpan w:val="17"/>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39</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660" w:type="dxa"/>
            <w:vAlign w:val="bottom"/>
            <w:tcBorders>
              <w:bottom w:val="single" w:sz="8" w:color="3051F2"/>
            </w:tcBorders>
            <w:gridSpan w:val="3"/>
          </w:tcPr>
          <w:p>
            <w:pPr>
              <w:spacing w:after="0"/>
              <w:rPr>
                <w:sz w:val="20"/>
                <w:szCs w:val="20"/>
                <w:color w:val="auto"/>
              </w:rPr>
            </w:pPr>
            <w:r>
              <w:rPr>
                <w:rFonts w:ascii="Arial" w:cs="Arial" w:eastAsia="Arial" w:hAnsi="Arial"/>
                <w:sz w:val="16"/>
                <w:szCs w:val="16"/>
                <w:color w:val="3051F2"/>
                <w:w w:val="87"/>
              </w:rPr>
              <w:t>Properties</w:t>
            </w:r>
          </w:p>
        </w:tc>
        <w:tc>
          <w:tcPr>
            <w:tcW w:w="7820" w:type="dxa"/>
            <w:vAlign w:val="bottom"/>
            <w:gridSpan w:val="2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39</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3051F2"/>
            </w:tcBorders>
            <w:gridSpan w:val="6"/>
          </w:tcPr>
          <w:p>
            <w:pPr>
              <w:spacing w:after="0"/>
              <w:rPr>
                <w:sz w:val="20"/>
                <w:szCs w:val="20"/>
                <w:color w:val="auto"/>
              </w:rPr>
            </w:pPr>
            <w:r>
              <w:rPr>
                <w:rFonts w:ascii="Arial" w:cs="Arial" w:eastAsia="Arial" w:hAnsi="Arial"/>
                <w:sz w:val="16"/>
                <w:szCs w:val="16"/>
                <w:color w:val="3051F2"/>
                <w:w w:val="89"/>
              </w:rPr>
              <w:t>Legal Proceedings</w:t>
            </w:r>
          </w:p>
        </w:tc>
        <w:tc>
          <w:tcPr>
            <w:tcW w:w="7280" w:type="dxa"/>
            <w:vAlign w:val="bottom"/>
            <w:gridSpan w:val="21"/>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40</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4.</w:t>
            </w:r>
          </w:p>
        </w:tc>
        <w:tc>
          <w:tcPr>
            <w:tcW w:w="8480" w:type="dxa"/>
            <w:vAlign w:val="bottom"/>
            <w:gridSpan w:val="27"/>
          </w:tcPr>
          <w:p>
            <w:pPr>
              <w:spacing w:after="0"/>
              <w:rPr>
                <w:sz w:val="20"/>
                <w:szCs w:val="20"/>
                <w:color w:val="auto"/>
              </w:rPr>
            </w:pPr>
            <w:r>
              <w:rPr>
                <w:rFonts w:ascii="Arial" w:cs="Arial" w:eastAsia="Arial" w:hAnsi="Arial"/>
                <w:sz w:val="16"/>
                <w:szCs w:val="16"/>
                <w:color w:val="3051F2"/>
              </w:rPr>
              <w:t>Mine Safety Disclosures</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40</w:t>
            </w:r>
          </w:p>
        </w:tc>
      </w:tr>
      <w:tr>
        <w:trPr>
          <w:trHeight w:val="514"/>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3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5.</w:t>
            </w:r>
          </w:p>
        </w:tc>
        <w:tc>
          <w:tcPr>
            <w:tcW w:w="7260" w:type="dxa"/>
            <w:vAlign w:val="bottom"/>
            <w:tcBorders>
              <w:bottom w:val="single" w:sz="8" w:color="3051F2"/>
            </w:tcBorders>
            <w:gridSpan w:val="26"/>
          </w:tcPr>
          <w:p>
            <w:pPr>
              <w:spacing w:after="0"/>
              <w:rPr>
                <w:sz w:val="20"/>
                <w:szCs w:val="20"/>
                <w:color w:val="auto"/>
              </w:rPr>
            </w:pPr>
            <w:r>
              <w:rPr>
                <w:rFonts w:ascii="Arial" w:cs="Arial" w:eastAsia="Arial" w:hAnsi="Arial"/>
                <w:sz w:val="16"/>
                <w:szCs w:val="16"/>
                <w:color w:val="3051F2"/>
                <w:w w:val="91"/>
              </w:rPr>
              <w:t>Market for Registrant's Common Equity, Related Stockholder Matters and Issuer Purchases of Equity Securities</w:t>
            </w:r>
          </w:p>
        </w:tc>
        <w:tc>
          <w:tcPr>
            <w:tcW w:w="1220" w:type="dxa"/>
            <w:vAlign w:val="bottom"/>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41</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6.</w:t>
            </w:r>
          </w:p>
        </w:tc>
        <w:tc>
          <w:tcPr>
            <w:tcW w:w="8480" w:type="dxa"/>
            <w:vAlign w:val="bottom"/>
            <w:gridSpan w:val="27"/>
          </w:tcPr>
          <w:p>
            <w:pPr>
              <w:spacing w:after="0"/>
              <w:rPr>
                <w:sz w:val="20"/>
                <w:szCs w:val="20"/>
                <w:color w:val="auto"/>
              </w:rPr>
            </w:pPr>
            <w:r>
              <w:rPr>
                <w:rFonts w:ascii="Arial" w:cs="Arial" w:eastAsia="Arial" w:hAnsi="Arial"/>
                <w:sz w:val="16"/>
                <w:szCs w:val="16"/>
                <w:color w:val="3051F2"/>
              </w:rPr>
              <w:t>Reserved</w:t>
            </w:r>
          </w:p>
        </w:tc>
        <w:tc>
          <w:tcPr>
            <w:tcW w:w="15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7.</w:t>
            </w:r>
          </w:p>
        </w:tc>
        <w:tc>
          <w:tcPr>
            <w:tcW w:w="5800" w:type="dxa"/>
            <w:vAlign w:val="bottom"/>
            <w:tcBorders>
              <w:bottom w:val="single" w:sz="8" w:color="3051F2"/>
            </w:tcBorders>
            <w:gridSpan w:val="22"/>
          </w:tcPr>
          <w:p>
            <w:pPr>
              <w:spacing w:after="0"/>
              <w:rPr>
                <w:sz w:val="20"/>
                <w:szCs w:val="20"/>
                <w:color w:val="auto"/>
              </w:rPr>
            </w:pPr>
            <w:r>
              <w:rPr>
                <w:rFonts w:ascii="Arial" w:cs="Arial" w:eastAsia="Arial" w:hAnsi="Arial"/>
                <w:sz w:val="16"/>
                <w:szCs w:val="16"/>
                <w:color w:val="3051F2"/>
                <w:w w:val="91"/>
              </w:rPr>
              <w:t>Management's Discussion and Analysis of Financial Condition and Results of Operations</w:t>
            </w:r>
          </w:p>
        </w:tc>
        <w:tc>
          <w:tcPr>
            <w:tcW w:w="2680" w:type="dxa"/>
            <w:vAlign w:val="bottom"/>
            <w:gridSpan w:val="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43</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7A.</w:t>
            </w:r>
          </w:p>
        </w:tc>
        <w:tc>
          <w:tcPr>
            <w:tcW w:w="8480" w:type="dxa"/>
            <w:vAlign w:val="bottom"/>
            <w:gridSpan w:val="27"/>
          </w:tcPr>
          <w:p>
            <w:pPr>
              <w:spacing w:after="0"/>
              <w:rPr>
                <w:sz w:val="20"/>
                <w:szCs w:val="20"/>
                <w:color w:val="auto"/>
              </w:rPr>
            </w:pPr>
            <w:r>
              <w:rPr>
                <w:rFonts w:ascii="Arial" w:cs="Arial" w:eastAsia="Arial" w:hAnsi="Arial"/>
                <w:sz w:val="16"/>
                <w:szCs w:val="16"/>
                <w:color w:val="3051F2"/>
              </w:rPr>
              <w:t>Quantitative and Qualitative Disclosures About Market Risk</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57</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8.</w:t>
            </w:r>
          </w:p>
        </w:tc>
        <w:tc>
          <w:tcPr>
            <w:tcW w:w="3000" w:type="dxa"/>
            <w:vAlign w:val="bottom"/>
            <w:tcBorders>
              <w:top w:val="single" w:sz="8" w:color="3051F2"/>
              <w:bottom w:val="single" w:sz="8" w:color="3051F2"/>
            </w:tcBorders>
            <w:gridSpan w:val="15"/>
          </w:tcPr>
          <w:p>
            <w:pPr>
              <w:spacing w:after="0"/>
              <w:rPr>
                <w:sz w:val="20"/>
                <w:szCs w:val="20"/>
                <w:color w:val="auto"/>
              </w:rPr>
            </w:pPr>
            <w:r>
              <w:rPr>
                <w:rFonts w:ascii="Arial" w:cs="Arial" w:eastAsia="Arial" w:hAnsi="Arial"/>
                <w:sz w:val="16"/>
                <w:szCs w:val="16"/>
                <w:color w:val="3051F2"/>
                <w:w w:val="90"/>
              </w:rPr>
              <w:t>Financial Statements and Supplementary Data</w:t>
            </w:r>
          </w:p>
        </w:tc>
        <w:tc>
          <w:tcPr>
            <w:tcW w:w="920" w:type="dxa"/>
            <w:vAlign w:val="bottom"/>
            <w:tcBorders>
              <w:top w:val="single" w:sz="8" w:color="3051F2"/>
            </w:tcBorders>
            <w:gridSpan w:val="4"/>
          </w:tcPr>
          <w:p>
            <w:pPr>
              <w:spacing w:after="0"/>
              <w:rPr>
                <w:sz w:val="19"/>
                <w:szCs w:val="19"/>
                <w:color w:val="auto"/>
              </w:rPr>
            </w:pPr>
          </w:p>
        </w:tc>
        <w:tc>
          <w:tcPr>
            <w:tcW w:w="4560" w:type="dxa"/>
            <w:vAlign w:val="bottom"/>
            <w:gridSpan w:val="8"/>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59</w:t>
            </w:r>
          </w:p>
        </w:tc>
      </w:tr>
      <w:tr>
        <w:trPr>
          <w:trHeight w:val="223"/>
        </w:trPr>
        <w:tc>
          <w:tcPr>
            <w:tcW w:w="980" w:type="dxa"/>
            <w:vAlign w:val="bottom"/>
          </w:tcPr>
          <w:p>
            <w:pPr>
              <w:spacing w:after="0"/>
              <w:rPr>
                <w:sz w:val="19"/>
                <w:szCs w:val="19"/>
                <w:color w:val="auto"/>
              </w:rPr>
            </w:pPr>
          </w:p>
        </w:tc>
        <w:tc>
          <w:tcPr>
            <w:tcW w:w="3800" w:type="dxa"/>
            <w:vAlign w:val="bottom"/>
            <w:tcBorders>
              <w:bottom w:val="single" w:sz="8" w:color="3051F2"/>
            </w:tcBorders>
            <w:gridSpan w:val="18"/>
          </w:tcPr>
          <w:p>
            <w:pPr>
              <w:spacing w:after="0"/>
              <w:rPr>
                <w:sz w:val="20"/>
                <w:szCs w:val="20"/>
                <w:color w:val="auto"/>
              </w:rPr>
            </w:pPr>
            <w:r>
              <w:rPr>
                <w:rFonts w:ascii="Arial" w:cs="Arial" w:eastAsia="Arial" w:hAnsi="Arial"/>
                <w:sz w:val="16"/>
                <w:szCs w:val="16"/>
                <w:color w:val="3051F2"/>
                <w:w w:val="92"/>
              </w:rPr>
              <w:t>Report of Independent Registered Public Accounting Firm</w:t>
            </w:r>
          </w:p>
        </w:tc>
        <w:tc>
          <w:tcPr>
            <w:tcW w:w="4680" w:type="dxa"/>
            <w:vAlign w:val="bottom"/>
            <w:gridSpan w:val="9"/>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60</w:t>
            </w:r>
          </w:p>
        </w:tc>
      </w:tr>
      <w:tr>
        <w:trPr>
          <w:trHeight w:val="223"/>
        </w:trPr>
        <w:tc>
          <w:tcPr>
            <w:tcW w:w="980" w:type="dxa"/>
            <w:vAlign w:val="bottom"/>
          </w:tcPr>
          <w:p>
            <w:pPr>
              <w:spacing w:after="0"/>
              <w:rPr>
                <w:sz w:val="19"/>
                <w:szCs w:val="19"/>
                <w:color w:val="auto"/>
              </w:rPr>
            </w:pPr>
          </w:p>
        </w:tc>
        <w:tc>
          <w:tcPr>
            <w:tcW w:w="1880" w:type="dxa"/>
            <w:vAlign w:val="bottom"/>
            <w:tcBorders>
              <w:bottom w:val="single" w:sz="8" w:color="3051F2"/>
            </w:tcBorders>
            <w:gridSpan w:val="11"/>
          </w:tcPr>
          <w:p>
            <w:pPr>
              <w:spacing w:after="0"/>
              <w:rPr>
                <w:sz w:val="20"/>
                <w:szCs w:val="20"/>
                <w:color w:val="auto"/>
              </w:rPr>
            </w:pPr>
            <w:r>
              <w:rPr>
                <w:rFonts w:ascii="Arial" w:cs="Arial" w:eastAsia="Arial" w:hAnsi="Arial"/>
                <w:sz w:val="16"/>
                <w:szCs w:val="16"/>
                <w:color w:val="3051F2"/>
                <w:w w:val="88"/>
              </w:rPr>
              <w:t>Consolidated Balance Sheets</w:t>
            </w:r>
          </w:p>
        </w:tc>
        <w:tc>
          <w:tcPr>
            <w:tcW w:w="6600" w:type="dxa"/>
            <w:vAlign w:val="bottom"/>
            <w:gridSpan w:val="16"/>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62</w:t>
            </w:r>
          </w:p>
        </w:tc>
      </w:tr>
      <w:tr>
        <w:trPr>
          <w:trHeight w:val="223"/>
        </w:trPr>
        <w:tc>
          <w:tcPr>
            <w:tcW w:w="980" w:type="dxa"/>
            <w:vAlign w:val="bottom"/>
          </w:tcPr>
          <w:p>
            <w:pPr>
              <w:spacing w:after="0"/>
              <w:rPr>
                <w:sz w:val="19"/>
                <w:szCs w:val="19"/>
                <w:color w:val="auto"/>
              </w:rPr>
            </w:pPr>
          </w:p>
        </w:tc>
        <w:tc>
          <w:tcPr>
            <w:tcW w:w="2540" w:type="dxa"/>
            <w:vAlign w:val="bottom"/>
            <w:tcBorders>
              <w:bottom w:val="single" w:sz="8" w:color="3051F2"/>
            </w:tcBorders>
            <w:gridSpan w:val="12"/>
          </w:tcPr>
          <w:p>
            <w:pPr>
              <w:spacing w:after="0"/>
              <w:rPr>
                <w:sz w:val="20"/>
                <w:szCs w:val="20"/>
                <w:color w:val="auto"/>
              </w:rPr>
            </w:pPr>
            <w:r>
              <w:rPr>
                <w:rFonts w:ascii="Arial" w:cs="Arial" w:eastAsia="Arial" w:hAnsi="Arial"/>
                <w:sz w:val="16"/>
                <w:szCs w:val="16"/>
                <w:color w:val="3051F2"/>
                <w:w w:val="90"/>
              </w:rPr>
              <w:t>Consolidated Statements of Operations</w:t>
            </w:r>
          </w:p>
        </w:tc>
        <w:tc>
          <w:tcPr>
            <w:tcW w:w="5940" w:type="dxa"/>
            <w:vAlign w:val="bottom"/>
            <w:gridSpan w:val="1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63</w:t>
            </w:r>
          </w:p>
        </w:tc>
      </w:tr>
      <w:tr>
        <w:trPr>
          <w:trHeight w:val="223"/>
        </w:trPr>
        <w:tc>
          <w:tcPr>
            <w:tcW w:w="980" w:type="dxa"/>
            <w:vAlign w:val="bottom"/>
          </w:tcPr>
          <w:p>
            <w:pPr>
              <w:spacing w:after="0"/>
              <w:rPr>
                <w:sz w:val="19"/>
                <w:szCs w:val="19"/>
                <w:color w:val="auto"/>
              </w:rPr>
            </w:pPr>
          </w:p>
        </w:tc>
        <w:tc>
          <w:tcPr>
            <w:tcW w:w="8480" w:type="dxa"/>
            <w:vAlign w:val="bottom"/>
            <w:gridSpan w:val="27"/>
          </w:tcPr>
          <w:p>
            <w:pPr>
              <w:spacing w:after="0"/>
              <w:rPr>
                <w:sz w:val="20"/>
                <w:szCs w:val="20"/>
                <w:color w:val="auto"/>
              </w:rPr>
            </w:pPr>
            <w:r>
              <w:rPr>
                <w:rFonts w:ascii="Arial" w:cs="Arial" w:eastAsia="Arial" w:hAnsi="Arial"/>
                <w:sz w:val="16"/>
                <w:szCs w:val="16"/>
                <w:color w:val="3051F2"/>
              </w:rPr>
              <w:t>Consolidated Statements of Comprehensive Loss</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64</w:t>
            </w:r>
          </w:p>
        </w:tc>
      </w:tr>
      <w:tr>
        <w:trPr>
          <w:trHeight w:val="20"/>
        </w:trPr>
        <w:tc>
          <w:tcPr>
            <w:tcW w:w="980" w:type="dxa"/>
            <w:vAlign w:val="bottom"/>
          </w:tcPr>
          <w:p>
            <w:pPr>
              <w:spacing w:after="0" w:line="20" w:lineRule="exact"/>
              <w:rPr>
                <w:sz w:val="1"/>
                <w:szCs w:val="1"/>
                <w:color w:val="auto"/>
              </w:rPr>
            </w:pPr>
          </w:p>
        </w:tc>
        <w:tc>
          <w:tcPr>
            <w:tcW w:w="1180" w:type="dxa"/>
            <w:vAlign w:val="bottom"/>
            <w:gridSpan w:val="5"/>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8480" w:type="dxa"/>
            <w:vAlign w:val="bottom"/>
            <w:gridSpan w:val="27"/>
          </w:tcPr>
          <w:p>
            <w:pPr>
              <w:spacing w:after="0"/>
              <w:rPr>
                <w:sz w:val="20"/>
                <w:szCs w:val="20"/>
                <w:color w:val="auto"/>
              </w:rPr>
            </w:pPr>
            <w:r>
              <w:rPr>
                <w:rFonts w:ascii="Arial" w:cs="Arial" w:eastAsia="Arial" w:hAnsi="Arial"/>
                <w:sz w:val="16"/>
                <w:szCs w:val="16"/>
                <w:color w:val="3051F2"/>
              </w:rPr>
              <w:t>Consolidated Statements of Redeemable Convertible Preferred Stock and Stockholders’ Equity (Deficit)</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65</w:t>
            </w:r>
          </w:p>
        </w:tc>
      </w:tr>
      <w:tr>
        <w:trPr>
          <w:trHeight w:val="223"/>
        </w:trPr>
        <w:tc>
          <w:tcPr>
            <w:tcW w:w="980" w:type="dxa"/>
            <w:vAlign w:val="bottom"/>
          </w:tcPr>
          <w:p>
            <w:pPr>
              <w:spacing w:after="0"/>
              <w:rPr>
                <w:sz w:val="19"/>
                <w:szCs w:val="19"/>
                <w:color w:val="auto"/>
              </w:rPr>
            </w:pPr>
          </w:p>
        </w:tc>
        <w:tc>
          <w:tcPr>
            <w:tcW w:w="6760" w:type="dxa"/>
            <w:vAlign w:val="bottom"/>
            <w:tcBorders>
              <w:top w:val="single" w:sz="8" w:color="3051F2"/>
            </w:tcBorders>
            <w:gridSpan w:val="25"/>
          </w:tcPr>
          <w:p>
            <w:pPr>
              <w:spacing w:after="0"/>
              <w:rPr>
                <w:sz w:val="20"/>
                <w:szCs w:val="20"/>
                <w:color w:val="auto"/>
              </w:rPr>
            </w:pPr>
            <w:r>
              <w:rPr>
                <w:rFonts w:ascii="Arial" w:cs="Arial" w:eastAsia="Arial" w:hAnsi="Arial"/>
                <w:sz w:val="16"/>
                <w:szCs w:val="16"/>
                <w:color w:val="3051F2"/>
              </w:rPr>
              <w:t>Consolidated Statements of Cash Flows</w:t>
            </w:r>
          </w:p>
        </w:tc>
        <w:tc>
          <w:tcPr>
            <w:tcW w:w="1720" w:type="dxa"/>
            <w:vAlign w:val="bottom"/>
            <w:gridSpan w:val="2"/>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67</w:t>
            </w:r>
          </w:p>
        </w:tc>
      </w:tr>
      <w:tr>
        <w:trPr>
          <w:trHeight w:val="20"/>
        </w:trPr>
        <w:tc>
          <w:tcPr>
            <w:tcW w:w="980" w:type="dxa"/>
            <w:vAlign w:val="bottom"/>
          </w:tcPr>
          <w:p>
            <w:pPr>
              <w:spacing w:after="0" w:line="20" w:lineRule="exact"/>
              <w:rPr>
                <w:sz w:val="1"/>
                <w:szCs w:val="1"/>
                <w:color w:val="auto"/>
              </w:rPr>
            </w:pPr>
          </w:p>
        </w:tc>
        <w:tc>
          <w:tcPr>
            <w:tcW w:w="1180" w:type="dxa"/>
            <w:vAlign w:val="bottom"/>
            <w:gridSpan w:val="5"/>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2840" w:type="dxa"/>
            <w:vAlign w:val="bottom"/>
            <w:tcBorders>
              <w:bottom w:val="single" w:sz="8" w:color="3051F2"/>
            </w:tcBorders>
            <w:gridSpan w:val="14"/>
          </w:tcPr>
          <w:p>
            <w:pPr>
              <w:spacing w:after="0"/>
              <w:rPr>
                <w:sz w:val="20"/>
                <w:szCs w:val="20"/>
                <w:color w:val="auto"/>
              </w:rPr>
            </w:pPr>
            <w:r>
              <w:rPr>
                <w:rFonts w:ascii="Arial" w:cs="Arial" w:eastAsia="Arial" w:hAnsi="Arial"/>
                <w:sz w:val="16"/>
                <w:szCs w:val="16"/>
                <w:color w:val="3051F2"/>
                <w:w w:val="90"/>
              </w:rPr>
              <w:t>Notes to Consolidated Financial Statements</w:t>
            </w:r>
          </w:p>
        </w:tc>
        <w:tc>
          <w:tcPr>
            <w:tcW w:w="5640" w:type="dxa"/>
            <w:vAlign w:val="bottom"/>
            <w:gridSpan w:val="1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68</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9.</w:t>
            </w:r>
          </w:p>
        </w:tc>
        <w:tc>
          <w:tcPr>
            <w:tcW w:w="8480" w:type="dxa"/>
            <w:vAlign w:val="bottom"/>
            <w:gridSpan w:val="27"/>
          </w:tcPr>
          <w:p>
            <w:pPr>
              <w:spacing w:after="0"/>
              <w:rPr>
                <w:sz w:val="20"/>
                <w:szCs w:val="20"/>
                <w:color w:val="auto"/>
              </w:rPr>
            </w:pPr>
            <w:r>
              <w:rPr>
                <w:rFonts w:ascii="Arial" w:cs="Arial" w:eastAsia="Arial" w:hAnsi="Arial"/>
                <w:sz w:val="16"/>
                <w:szCs w:val="16"/>
                <w:color w:val="3051F2"/>
              </w:rPr>
              <w:t>Changes in and Disagreements with Accountants on Accounting and Financial Disclosure</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88</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9A.</w:t>
            </w:r>
          </w:p>
        </w:tc>
        <w:tc>
          <w:tcPr>
            <w:tcW w:w="1600" w:type="dxa"/>
            <w:vAlign w:val="bottom"/>
            <w:tcBorders>
              <w:top w:val="single" w:sz="8" w:color="3051F2"/>
              <w:bottom w:val="single" w:sz="8" w:color="3051F2"/>
            </w:tcBorders>
            <w:gridSpan w:val="8"/>
          </w:tcPr>
          <w:p>
            <w:pPr>
              <w:spacing w:after="0"/>
              <w:rPr>
                <w:sz w:val="20"/>
                <w:szCs w:val="20"/>
                <w:color w:val="auto"/>
              </w:rPr>
            </w:pPr>
            <w:r>
              <w:rPr>
                <w:rFonts w:ascii="Arial" w:cs="Arial" w:eastAsia="Arial" w:hAnsi="Arial"/>
                <w:sz w:val="16"/>
                <w:szCs w:val="16"/>
                <w:color w:val="3051F2"/>
                <w:w w:val="89"/>
              </w:rPr>
              <w:t>Controls and Procedures</w:t>
            </w:r>
          </w:p>
        </w:tc>
        <w:tc>
          <w:tcPr>
            <w:tcW w:w="4220" w:type="dxa"/>
            <w:vAlign w:val="bottom"/>
            <w:tcBorders>
              <w:top w:val="single" w:sz="8" w:color="3051F2"/>
            </w:tcBorders>
            <w:gridSpan w:val="15"/>
          </w:tcPr>
          <w:p>
            <w:pPr>
              <w:spacing w:after="0"/>
              <w:rPr>
                <w:sz w:val="19"/>
                <w:szCs w:val="19"/>
                <w:color w:val="auto"/>
              </w:rPr>
            </w:pPr>
          </w:p>
        </w:tc>
        <w:tc>
          <w:tcPr>
            <w:tcW w:w="2660" w:type="dxa"/>
            <w:vAlign w:val="bottom"/>
            <w:gridSpan w:val="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88</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9B.</w:t>
            </w:r>
          </w:p>
        </w:tc>
        <w:tc>
          <w:tcPr>
            <w:tcW w:w="8480" w:type="dxa"/>
            <w:vAlign w:val="bottom"/>
            <w:gridSpan w:val="27"/>
          </w:tcPr>
          <w:p>
            <w:pPr>
              <w:spacing w:after="0"/>
              <w:rPr>
                <w:sz w:val="20"/>
                <w:szCs w:val="20"/>
                <w:color w:val="auto"/>
              </w:rPr>
            </w:pPr>
            <w:r>
              <w:rPr>
                <w:rFonts w:ascii="Arial" w:cs="Arial" w:eastAsia="Arial" w:hAnsi="Arial"/>
                <w:sz w:val="16"/>
                <w:szCs w:val="16"/>
                <w:color w:val="3051F2"/>
              </w:rPr>
              <w:t>Other Information</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89</w:t>
            </w:r>
          </w:p>
        </w:tc>
      </w:tr>
      <w:tr>
        <w:trPr>
          <w:trHeight w:val="20"/>
        </w:trPr>
        <w:tc>
          <w:tcPr>
            <w:tcW w:w="980" w:type="dxa"/>
            <w:vAlign w:val="bottom"/>
          </w:tcPr>
          <w:p>
            <w:pPr>
              <w:spacing w:after="0" w:line="20" w:lineRule="exact"/>
              <w:rPr>
                <w:sz w:val="1"/>
                <w:szCs w:val="1"/>
                <w:color w:val="auto"/>
              </w:rPr>
            </w:pPr>
          </w:p>
        </w:tc>
        <w:tc>
          <w:tcPr>
            <w:tcW w:w="1180" w:type="dxa"/>
            <w:vAlign w:val="bottom"/>
            <w:gridSpan w:val="5"/>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9C.</w:t>
            </w:r>
          </w:p>
        </w:tc>
        <w:tc>
          <w:tcPr>
            <w:tcW w:w="8480" w:type="dxa"/>
            <w:vAlign w:val="bottom"/>
            <w:gridSpan w:val="27"/>
          </w:tcPr>
          <w:p>
            <w:pPr>
              <w:spacing w:after="0"/>
              <w:rPr>
                <w:sz w:val="20"/>
                <w:szCs w:val="20"/>
                <w:color w:val="auto"/>
              </w:rPr>
            </w:pPr>
            <w:r>
              <w:rPr>
                <w:rFonts w:ascii="Arial" w:cs="Arial" w:eastAsia="Arial" w:hAnsi="Arial"/>
                <w:sz w:val="16"/>
                <w:szCs w:val="16"/>
                <w:color w:val="3051F2"/>
              </w:rPr>
              <w:t>Disclosure Regarding Foreign Jurisdictions That Prevent Inspections</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89</w:t>
            </w:r>
          </w:p>
        </w:tc>
      </w:tr>
      <w:tr>
        <w:trPr>
          <w:trHeight w:val="514"/>
        </w:trPr>
        <w:tc>
          <w:tcPr>
            <w:tcW w:w="98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3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50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10.</w:t>
            </w:r>
          </w:p>
        </w:tc>
        <w:tc>
          <w:tcPr>
            <w:tcW w:w="8480" w:type="dxa"/>
            <w:vAlign w:val="bottom"/>
            <w:gridSpan w:val="27"/>
          </w:tcPr>
          <w:p>
            <w:pPr>
              <w:spacing w:after="0"/>
              <w:rPr>
                <w:sz w:val="20"/>
                <w:szCs w:val="20"/>
                <w:color w:val="auto"/>
              </w:rPr>
            </w:pPr>
            <w:r>
              <w:rPr>
                <w:rFonts w:ascii="Arial" w:cs="Arial" w:eastAsia="Arial" w:hAnsi="Arial"/>
                <w:sz w:val="16"/>
                <w:szCs w:val="16"/>
                <w:color w:val="3051F2"/>
              </w:rPr>
              <w:t>Directors, Executive Officers and Corporate Governance</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90</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11.</w:t>
            </w:r>
          </w:p>
        </w:tc>
        <w:tc>
          <w:tcPr>
            <w:tcW w:w="3680" w:type="dxa"/>
            <w:vAlign w:val="bottom"/>
            <w:tcBorders>
              <w:top w:val="single" w:sz="8" w:color="3051F2"/>
            </w:tcBorders>
            <w:gridSpan w:val="17"/>
          </w:tcPr>
          <w:p>
            <w:pPr>
              <w:spacing w:after="0"/>
              <w:rPr>
                <w:sz w:val="20"/>
                <w:szCs w:val="20"/>
                <w:color w:val="auto"/>
              </w:rPr>
            </w:pPr>
            <w:r>
              <w:rPr>
                <w:rFonts w:ascii="Arial" w:cs="Arial" w:eastAsia="Arial" w:hAnsi="Arial"/>
                <w:sz w:val="16"/>
                <w:szCs w:val="16"/>
                <w:color w:val="3051F2"/>
              </w:rPr>
              <w:t>Executive Compensation</w:t>
            </w:r>
          </w:p>
        </w:tc>
        <w:tc>
          <w:tcPr>
            <w:tcW w:w="4800" w:type="dxa"/>
            <w:vAlign w:val="bottom"/>
            <w:gridSpan w:val="10"/>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90</w:t>
            </w:r>
          </w:p>
        </w:tc>
      </w:tr>
      <w:tr>
        <w:trPr>
          <w:trHeight w:val="20"/>
        </w:trPr>
        <w:tc>
          <w:tcPr>
            <w:tcW w:w="980" w:type="dxa"/>
            <w:vAlign w:val="bottom"/>
          </w:tcPr>
          <w:p>
            <w:pPr>
              <w:spacing w:after="0" w:line="20" w:lineRule="exact"/>
              <w:rPr>
                <w:sz w:val="1"/>
                <w:szCs w:val="1"/>
                <w:color w:val="auto"/>
              </w:rPr>
            </w:pPr>
          </w:p>
        </w:tc>
        <w:tc>
          <w:tcPr>
            <w:tcW w:w="1400" w:type="dxa"/>
            <w:vAlign w:val="bottom"/>
            <w:gridSpan w:val="7"/>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12.</w:t>
            </w:r>
          </w:p>
        </w:tc>
        <w:tc>
          <w:tcPr>
            <w:tcW w:w="8480" w:type="dxa"/>
            <w:vAlign w:val="bottom"/>
            <w:gridSpan w:val="27"/>
          </w:tcPr>
          <w:p>
            <w:pPr>
              <w:spacing w:after="0"/>
              <w:rPr>
                <w:sz w:val="20"/>
                <w:szCs w:val="20"/>
                <w:color w:val="auto"/>
              </w:rPr>
            </w:pPr>
            <w:r>
              <w:rPr>
                <w:rFonts w:ascii="Arial" w:cs="Arial" w:eastAsia="Arial" w:hAnsi="Arial"/>
                <w:sz w:val="16"/>
                <w:szCs w:val="16"/>
                <w:color w:val="3051F2"/>
              </w:rPr>
              <w:t>Security Ownership of Certain Beneficial Owners and Management and Related Stockholders Matters</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90</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13.</w:t>
            </w:r>
          </w:p>
        </w:tc>
        <w:tc>
          <w:tcPr>
            <w:tcW w:w="6620" w:type="dxa"/>
            <w:vAlign w:val="bottom"/>
            <w:tcBorders>
              <w:top w:val="single" w:sz="8" w:color="3051F2"/>
            </w:tcBorders>
            <w:gridSpan w:val="24"/>
          </w:tcPr>
          <w:p>
            <w:pPr>
              <w:spacing w:after="0"/>
              <w:rPr>
                <w:sz w:val="20"/>
                <w:szCs w:val="20"/>
                <w:color w:val="auto"/>
              </w:rPr>
            </w:pPr>
            <w:r>
              <w:rPr>
                <w:rFonts w:ascii="Arial" w:cs="Arial" w:eastAsia="Arial" w:hAnsi="Arial"/>
                <w:sz w:val="16"/>
                <w:szCs w:val="16"/>
                <w:color w:val="3051F2"/>
              </w:rPr>
              <w:t>Certain Relationships and Related Transactions, and Director Independence</w:t>
            </w:r>
          </w:p>
        </w:tc>
        <w:tc>
          <w:tcPr>
            <w:tcW w:w="1860" w:type="dxa"/>
            <w:vAlign w:val="bottom"/>
            <w:gridSpan w:val="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90</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14.</w:t>
            </w:r>
          </w:p>
        </w:tc>
        <w:tc>
          <w:tcPr>
            <w:tcW w:w="4900" w:type="dxa"/>
            <w:vAlign w:val="bottom"/>
            <w:tcBorders>
              <w:top w:val="single" w:sz="8" w:color="3051F2"/>
            </w:tcBorders>
            <w:gridSpan w:val="21"/>
          </w:tcPr>
          <w:p>
            <w:pPr>
              <w:spacing w:after="0"/>
              <w:rPr>
                <w:sz w:val="20"/>
                <w:szCs w:val="20"/>
                <w:color w:val="auto"/>
              </w:rPr>
            </w:pPr>
            <w:r>
              <w:rPr>
                <w:rFonts w:ascii="Arial" w:cs="Arial" w:eastAsia="Arial" w:hAnsi="Arial"/>
                <w:sz w:val="16"/>
                <w:szCs w:val="16"/>
                <w:color w:val="3051F2"/>
              </w:rPr>
              <w:t>Principal Accounting Fees and Services</w:t>
            </w:r>
          </w:p>
        </w:tc>
        <w:tc>
          <w:tcPr>
            <w:tcW w:w="3580" w:type="dxa"/>
            <w:vAlign w:val="bottom"/>
            <w:gridSpan w:val="6"/>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90</w:t>
            </w:r>
          </w:p>
        </w:tc>
      </w:tr>
      <w:tr>
        <w:trPr>
          <w:trHeight w:val="514"/>
        </w:trPr>
        <w:tc>
          <w:tcPr>
            <w:tcW w:w="98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3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Item 15.</w:t>
            </w:r>
          </w:p>
        </w:tc>
        <w:tc>
          <w:tcPr>
            <w:tcW w:w="8480" w:type="dxa"/>
            <w:vAlign w:val="bottom"/>
            <w:gridSpan w:val="27"/>
          </w:tcPr>
          <w:p>
            <w:pPr>
              <w:spacing w:after="0"/>
              <w:rPr>
                <w:sz w:val="20"/>
                <w:szCs w:val="20"/>
                <w:color w:val="auto"/>
              </w:rPr>
            </w:pPr>
            <w:r>
              <w:rPr>
                <w:rFonts w:ascii="Arial" w:cs="Arial" w:eastAsia="Arial" w:hAnsi="Arial"/>
                <w:sz w:val="16"/>
                <w:szCs w:val="16"/>
                <w:color w:val="3051F2"/>
              </w:rPr>
              <w:t>Exhibits and Financial Statement Schedules</w:t>
            </w: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91</w:t>
            </w: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16.</w:t>
            </w:r>
          </w:p>
        </w:tc>
        <w:tc>
          <w:tcPr>
            <w:tcW w:w="2840" w:type="dxa"/>
            <w:vAlign w:val="bottom"/>
            <w:tcBorders>
              <w:top w:val="single" w:sz="8" w:color="3051F2"/>
            </w:tcBorders>
            <w:gridSpan w:val="14"/>
          </w:tcPr>
          <w:p>
            <w:pPr>
              <w:spacing w:after="0"/>
              <w:rPr>
                <w:sz w:val="20"/>
                <w:szCs w:val="20"/>
                <w:color w:val="auto"/>
              </w:rPr>
            </w:pPr>
            <w:r>
              <w:rPr>
                <w:rFonts w:ascii="Arial" w:cs="Arial" w:eastAsia="Arial" w:hAnsi="Arial"/>
                <w:sz w:val="16"/>
                <w:szCs w:val="16"/>
                <w:color w:val="3051F2"/>
              </w:rPr>
              <w:t>Form 10-K Summary</w:t>
            </w:r>
          </w:p>
        </w:tc>
        <w:tc>
          <w:tcPr>
            <w:tcW w:w="5640" w:type="dxa"/>
            <w:vAlign w:val="bottom"/>
            <w:gridSpan w:val="1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91</w:t>
            </w:r>
          </w:p>
        </w:tc>
      </w:tr>
      <w:tr>
        <w:trPr>
          <w:trHeight w:val="514"/>
        </w:trPr>
        <w:tc>
          <w:tcPr>
            <w:tcW w:w="980" w:type="dxa"/>
            <w:vAlign w:val="bottom"/>
          </w:tcPr>
          <w:p>
            <w:pPr>
              <w:spacing w:after="0"/>
              <w:rPr>
                <w:sz w:val="20"/>
                <w:szCs w:val="20"/>
                <w:color w:val="auto"/>
              </w:rPr>
            </w:pPr>
            <w:r>
              <w:rPr>
                <w:rFonts w:ascii="Arial" w:cs="Arial" w:eastAsia="Arial" w:hAnsi="Arial"/>
                <w:sz w:val="16"/>
                <w:szCs w:val="16"/>
                <w:b w:val="1"/>
                <w:bCs w:val="1"/>
                <w:color w:val="auto"/>
                <w:w w:val="96"/>
              </w:rPr>
              <w:t>Exhibit Index</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36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92</w:t>
            </w:r>
          </w:p>
        </w:tc>
      </w:tr>
      <w:tr>
        <w:trPr>
          <w:trHeight w:val="243"/>
        </w:trPr>
        <w:tc>
          <w:tcPr>
            <w:tcW w:w="980" w:type="dxa"/>
            <w:vAlign w:val="bottom"/>
          </w:tcPr>
          <w:p>
            <w:pPr>
              <w:spacing w:after="0"/>
              <w:rPr>
                <w:sz w:val="20"/>
                <w:szCs w:val="20"/>
                <w:color w:val="auto"/>
              </w:rPr>
            </w:pPr>
            <w:r>
              <w:rPr>
                <w:rFonts w:ascii="Arial" w:cs="Arial" w:eastAsia="Arial" w:hAnsi="Arial"/>
                <w:sz w:val="16"/>
                <w:szCs w:val="16"/>
                <w:b w:val="1"/>
                <w:bCs w:val="1"/>
                <w:color w:val="auto"/>
              </w:rPr>
              <w:t>Signatures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60" w:type="dxa"/>
            <w:vAlign w:val="bottom"/>
          </w:tcPr>
          <w:p>
            <w:pPr>
              <w:jc w:val="center"/>
              <w:ind w:left="1119"/>
              <w:spacing w:after="0"/>
              <w:rPr>
                <w:sz w:val="20"/>
                <w:szCs w:val="20"/>
                <w:color w:val="auto"/>
              </w:rPr>
            </w:pPr>
            <w:r>
              <w:rPr>
                <w:rFonts w:ascii="Arial" w:cs="Arial" w:eastAsia="Arial" w:hAnsi="Arial"/>
                <w:sz w:val="16"/>
                <w:szCs w:val="16"/>
                <w:color w:val="auto"/>
                <w:w w:val="89"/>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3" w:right="5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660" w:right="440" w:hanging="328"/>
        <w:spacing w:after="0" w:line="29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regarding the impact of general economic and market conditions, including as a result of currency fluctuations, inflation, or regional and global conflicts or related government sanctions;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money transmission licenses and other regulatory approvals;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Annual Report on Form 10-K.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Annual Report on Form 10-K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Remitly was founded in 2011 to transform the lives of immigrants and their families by providing the most trusted financial services on the planet.</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inspiration behind Remitly came when Matt, our co-founder and Chief Executive Officer, was living and working in Kenya. Today, Remitly is a leading digital financial services provider for immigrants and their families in over 170 countries around the world. The long-term, trusted relationships we foster with our customers have enabled us to expand our core cross-border remittance product to over 4,300 corridors worldwide and we are now working to offer complementary new products to our now 4.2 million quarterly active users.</w:t>
      </w:r>
    </w:p>
    <w:p>
      <w:pPr>
        <w:spacing w:after="0" w:line="128"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Remitly’s culture is key to our success.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Our cultural values act as a blueprint for how we get things done. In 2022, we refreshed our values as we do regularly to align with our strategy. The one constant, and single most important of these values is </w:t>
      </w:r>
      <w:r>
        <w:rPr>
          <w:rFonts w:ascii="Arial" w:cs="Arial" w:eastAsia="Arial" w:hAnsi="Arial"/>
          <w:sz w:val="16"/>
          <w:szCs w:val="16"/>
          <w:b w:val="1"/>
          <w:bCs w:val="1"/>
          <w:i w:val="1"/>
          <w:iCs w:val="1"/>
          <w:color w:val="auto"/>
        </w:rPr>
        <w:t>customer centricity</w:t>
      </w:r>
      <w:r>
        <w:rPr>
          <w:rFonts w:ascii="Arial" w:cs="Arial" w:eastAsia="Arial" w:hAnsi="Arial"/>
          <w:sz w:val="16"/>
          <w:szCs w:val="16"/>
          <w:color w:val="auto"/>
        </w:rPr>
        <w:t>, which serves as our north star in all that we do. To us, customer centricity means “</w:t>
      </w:r>
      <w:r>
        <w:rPr>
          <w:rFonts w:ascii="Arial" w:cs="Arial" w:eastAsia="Arial" w:hAnsi="Arial"/>
          <w:sz w:val="16"/>
          <w:szCs w:val="16"/>
          <w:i w:val="1"/>
          <w:iCs w:val="1"/>
          <w:color w:val="auto"/>
        </w:rPr>
        <w:t>we are here to listen to, learn from,</w:t>
      </w:r>
      <w:r>
        <w:rPr>
          <w:rFonts w:ascii="Arial" w:cs="Arial" w:eastAsia="Arial" w:hAnsi="Arial"/>
          <w:sz w:val="16"/>
          <w:szCs w:val="16"/>
          <w:color w:val="auto"/>
        </w:rPr>
        <w:t xml:space="preserve"> </w:t>
      </w:r>
      <w:r>
        <w:rPr>
          <w:rFonts w:ascii="Arial" w:cs="Arial" w:eastAsia="Arial" w:hAnsi="Arial"/>
          <w:sz w:val="16"/>
          <w:szCs w:val="16"/>
          <w:i w:val="1"/>
          <w:iCs w:val="1"/>
          <w:color w:val="auto"/>
        </w:rPr>
        <w:t>and serve our customers.</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other core values fall broadly into three categories:</w:t>
      </w:r>
    </w:p>
    <w:p>
      <w:pPr>
        <w:spacing w:after="0" w:line="16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Our purpose: </w:t>
      </w:r>
      <w:r>
        <w:rPr>
          <w:rFonts w:ascii="Arial" w:cs="Arial" w:eastAsia="Arial" w:hAnsi="Arial"/>
          <w:sz w:val="16"/>
          <w:szCs w:val="16"/>
          <w:color w:val="auto"/>
        </w:rPr>
        <w:t>Aim for the stars, be an owner, earn trust through integrity, and be joyful;</w:t>
      </w:r>
    </w:p>
    <w:p>
      <w:pPr>
        <w:spacing w:after="0" w:line="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Building relationships: </w:t>
      </w:r>
      <w:r>
        <w:rPr>
          <w:rFonts w:ascii="Arial" w:cs="Arial" w:eastAsia="Arial" w:hAnsi="Arial"/>
          <w:sz w:val="15"/>
          <w:szCs w:val="15"/>
          <w:color w:val="auto"/>
        </w:rPr>
        <w:t>Lead authentically, be global, hire and grow exceptional people, be constructively direct, and be a compassionate partner; and</w:t>
      </w:r>
    </w:p>
    <w:p>
      <w:pPr>
        <w:spacing w:after="0" w:line="26" w:lineRule="exact"/>
        <w:rPr>
          <w:rFonts w:ascii="Arial" w:cs="Arial" w:eastAsia="Arial" w:hAnsi="Arial"/>
          <w:sz w:val="15"/>
          <w:szCs w:val="15"/>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Taking action: </w:t>
      </w:r>
      <w:r>
        <w:rPr>
          <w:rFonts w:ascii="Arial" w:cs="Arial" w:eastAsia="Arial" w:hAnsi="Arial"/>
          <w:sz w:val="16"/>
          <w:szCs w:val="16"/>
          <w:color w:val="auto"/>
        </w:rPr>
        <w:t>Have a bias for action, be data-driven, sweat the details, deliver on promises, overcome fear, and continuously improve.</w:t>
      </w:r>
    </w:p>
    <w:p>
      <w:pPr>
        <w:spacing w:after="0" w:line="153"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These values influence our actions every day. Living up to our values builds customer trust, inspires employee engagement, and makes “Promises Delivered” our fundamental ethos.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Rewire</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On January 5, 2023, we acquired 100% of the outstanding equity interests of Rewire (O.S.G) Research and Development Ltd., a company organized under the laws of the State of Israel (“Rewire”), for approximately $77.0 million of aggregate consideration, the majority of which was or will be settled in cash, with the remaining consideration settled in Remitly equity. The acquisition of Rewire allows us to accelerate our opportunity to differentiate the remittance experience with complementary products, by bringing together our remittance businesses in new geographies, along with a strong team that is culturally aligned with Remitly.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Key Performance Metrics</w:t>
      </w:r>
    </w:p>
    <w:p>
      <w:pPr>
        <w:spacing w:after="0" w:line="18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vast majority of our revenue today is generated through our remittance business, where we earn revenue from transaction fees charged to customers who are sending remittances and the foreign exchange spreads earned between the foreign exchange rate offered to customers and the foreign exchange rate on the Company’s currency purchases. In addition to our financial results, we regularly review key business metrics to evaluate our performance. These key business metrics include active customers and send volume.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Our 2022 key performance metrics included the following results:</w:t>
      </w:r>
    </w:p>
    <w:p>
      <w:pPr>
        <w:spacing w:after="0" w:line="18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Active customers for the fourth quarter of 2022 increased to 4.2 million, from 2.8 million, up 48% year over year.</w:t>
      </w:r>
    </w:p>
    <w:p>
      <w:pPr>
        <w:spacing w:after="0" w:line="167" w:lineRule="exact"/>
        <w:rPr>
          <w:rFonts w:ascii="Arial" w:cs="Arial" w:eastAsia="Arial" w:hAnsi="Arial"/>
          <w:sz w:val="16"/>
          <w:szCs w:val="16"/>
          <w:b w:val="1"/>
          <w:b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Send volume for the year ended December 31, 2022 increased to over $28.6 billion, from $20.4 billion, up 40% year over year.</w:t>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We regularly review these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key business metrics that we use to measure the performance of our business are defined as follows:</w:t>
      </w:r>
    </w:p>
    <w:p>
      <w:pPr>
        <w:spacing w:after="0" w:line="167" w:lineRule="exact"/>
        <w:rPr>
          <w:sz w:val="20"/>
          <w:szCs w:val="20"/>
          <w:color w:val="auto"/>
        </w:rPr>
      </w:pPr>
    </w:p>
    <w:p>
      <w:pPr>
        <w:ind w:left="660" w:right="80" w:hanging="328"/>
        <w:spacing w:after="0" w:line="29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“Active customers” </w:t>
      </w:r>
      <w:r>
        <w:rPr>
          <w:rFonts w:ascii="Arial" w:cs="Arial" w:eastAsia="Arial" w:hAnsi="Arial"/>
          <w:sz w:val="16"/>
          <w:szCs w:val="16"/>
          <w:color w:val="auto"/>
        </w:rPr>
        <w:t>is defined as the number of distinct customers that have successfully completed at least one transaction using Remitly during a given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We identify customers through unique account numbers.</w:t>
      </w:r>
    </w:p>
    <w:p>
      <w:pPr>
        <w:spacing w:after="0" w:line="104" w:lineRule="exact"/>
        <w:rPr>
          <w:rFonts w:ascii="Arial" w:cs="Arial" w:eastAsia="Arial" w:hAnsi="Arial"/>
          <w:sz w:val="16"/>
          <w:szCs w:val="16"/>
          <w:color w:val="auto"/>
        </w:rPr>
      </w:pPr>
    </w:p>
    <w:p>
      <w:pPr>
        <w:ind w:left="660" w:right="120" w:hanging="328"/>
        <w:spacing w:after="0" w:line="269"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“Send volume” </w:t>
      </w:r>
      <w:r>
        <w:rPr>
          <w:rFonts w:ascii="Arial" w:cs="Arial" w:eastAsia="Arial" w:hAnsi="Arial"/>
          <w:sz w:val="16"/>
          <w:szCs w:val="16"/>
          <w:color w:val="auto"/>
        </w:rPr>
        <w:t>is defined as the sum of the amount that customers send, measured in U.S. dollars, related to transactions completed during a given period.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is net of cancellations, does not include transaction fees from customers, and does not include any credits, offers, or bonuses applied to the transaction by us.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is not meaningful, and therefore this metric is only presented on a quarterly basis herein.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Services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provide a digital cross-border remittance product that is accessible via our mobile app or the web. Our customers are able to set up an account and start sending money to international recipients on our platform, generally within minutes. Recipients can receive funds in multiple ways using our diversified and global disbursement network. Our customers and their families can also track the status of their transactions in real time. Today, our customers predominately engage with us via their mobile phones, either using our app or website, shifting what traditionally required waiting in line to speak with an agent to the palm of their hands. Providing our customers with a convenient, easy, and safe mobile experience underpins our approach to product development, marketing, and customer success.</w:t>
      </w:r>
    </w:p>
    <w:p>
      <w:pPr>
        <w:spacing w:after="0" w:line="11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remittance revenue is earned from transaction fees charged to customers who are sending remittances and the foreign exchange spreads between the foreign exchange rate offered to customers and the foreign exchange rate on the Company’s currency purchases.</w:t>
      </w:r>
    </w:p>
    <w:p>
      <w:pPr>
        <w:spacing w:after="0" w:line="104"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While our journey began in digital cross-border remittances, we continue to evolve and develop a portfolio of broader complementary financial services including the design and build of a mobile-centric suite of products to address our customers’ discrete financial services needs, many of which are not met by legacy institutions. We expect to expand this opportunity through our recent acquisition of Rewire, along with our continued investment in complementary new products.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revenue is currently generated from digital cross-border remittances.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81"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Our purpose-built technology platform powers localized consumer experiences, enables a robust network of partner integrations, and uses data to optimize business performance, while enabling our ability to expand into complementary products.</w:t>
      </w:r>
    </w:p>
    <w:p>
      <w:pPr>
        <w:spacing w:after="0" w:line="11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Given the scale of our business and the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10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transaction engine that underpins the entire transaction lifecycle from pricing and foreign currency, to funding, processing, and, ultimately, to disbursement;</w:t>
      </w:r>
    </w:p>
    <w:p>
      <w:pPr>
        <w:spacing w:after="0" w:line="95"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Customer experience engine with corridor-specific user journeys and multilingual self-service or real-time support;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Disbursement network for partner integrations that supports a diverse set of delivery methods for our customers and their recipients in over 170 countries;</w:t>
      </w:r>
    </w:p>
    <w:p>
      <w:pPr>
        <w:spacing w:after="0" w:line="70" w:lineRule="exact"/>
        <w:rPr>
          <w:rFonts w:ascii="Arial" w:cs="Arial" w:eastAsia="Arial" w:hAnsi="Arial"/>
          <w:sz w:val="15"/>
          <w:szCs w:val="15"/>
          <w:color w:val="auto"/>
        </w:rPr>
      </w:pPr>
    </w:p>
    <w:p>
      <w:pPr>
        <w:ind w:left="660" w:right="640" w:hanging="328"/>
        <w:spacing w:after="0" w:line="309" w:lineRule="auto"/>
        <w:tabs>
          <w:tab w:leader="none" w:pos="649" w:val="left"/>
        </w:tabs>
        <w:numPr>
          <w:ilvl w:val="0"/>
          <w:numId w:val="7"/>
        </w:numPr>
        <w:rPr>
          <w:rFonts w:ascii="Arial" w:cs="Arial" w:eastAsia="Arial" w:hAnsi="Arial"/>
          <w:sz w:val="15"/>
          <w:szCs w:val="15"/>
          <w:color w:val="auto"/>
        </w:rPr>
      </w:pPr>
      <w:r>
        <w:rPr>
          <w:rFonts w:ascii="Arial" w:cs="Arial" w:eastAsia="Arial" w:hAnsi="Arial"/>
          <w:sz w:val="15"/>
          <w:szCs w:val="15"/>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 and</w:t>
      </w:r>
    </w:p>
    <w:p>
      <w:pPr>
        <w:spacing w:after="0" w:line="1" w:lineRule="exact"/>
        <w:rPr>
          <w:rFonts w:ascii="Arial" w:cs="Arial" w:eastAsia="Arial" w:hAnsi="Arial"/>
          <w:sz w:val="15"/>
          <w:szCs w:val="15"/>
          <w:color w:val="auto"/>
        </w:rPr>
      </w:pPr>
    </w:p>
    <w:p>
      <w:pPr>
        <w:ind w:left="660" w:right="120" w:hanging="328"/>
        <w:spacing w:after="0" w:line="293"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electronic KYC, machine learning-based fraud scoring and payment authentication processes that all take place in real-time to give our customers immediate feedback and are in compliance with highly complex and continuously evolving global and local regulations.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Experience</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We strive to make each customer interaction on our digital products intuitive and friction-free. New customers can initiate a transaction in just minutes after setting up an account and adding their recipient’s information. We invest substantial time, energy, and resources to ensure we have a deep understanding of our customers’ needs, and we continually innovate to deliver value-added features, products and services. We therefore have significant resources dedicated to technology and development across multiple teams including product, engineering, design, analytics, compliance, marketing, and customer service. These teams are responsible for the envisioning, design, development, and testing of our platform and services. We focus the majority of our investment on developing new functionality, making it accessible and relevant globally, and further enhancing the usability, reliability, and performance of our platform and services.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Global Network</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A key focus of our global network strategy is continuing to expand the number of direct integrations with local partners. These direct integrations allow for a better customer experience and lower costs and are a significant competitive advantage. Our partners, including those that are among the most trusted and recognized brands around the world, create a broad and effective payment acceptance (pay-in) and payment delivery (pay-out) ecosystem for our customers:</w:t>
      </w:r>
    </w:p>
    <w:p>
      <w:pPr>
        <w:spacing w:after="0" w:line="126" w:lineRule="exact"/>
        <w:rPr>
          <w:sz w:val="20"/>
          <w:szCs w:val="20"/>
          <w:color w:val="auto"/>
        </w:rPr>
      </w:pPr>
    </w:p>
    <w:p>
      <w:pPr>
        <w:jc w:val="both"/>
        <w:ind w:left="660" w:right="460" w:hanging="328"/>
        <w:spacing w:after="0" w:line="27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Payment acceptance. </w:t>
      </w:r>
      <w:r>
        <w:rPr>
          <w:rFonts w:ascii="Arial" w:cs="Arial" w:eastAsia="Arial" w:hAnsi="Arial"/>
          <w:sz w:val="16"/>
          <w:szCs w:val="16"/>
          <w:color w:val="auto"/>
        </w:rPr>
        <w:t>We have relationships with top tier banks including Barclays, Chase, HSBC, and Wells Fargo, and leading global payment processors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 direct relationship with Visa. These relationships provide our customers an array of payment (or pay-in) options to fund remittances with a bank account, card-based payment, or alternative payment method.</w:t>
      </w:r>
    </w:p>
    <w:p>
      <w:pPr>
        <w:spacing w:after="0" w:line="134" w:lineRule="exact"/>
        <w:rPr>
          <w:rFonts w:ascii="Arial" w:cs="Arial" w:eastAsia="Arial" w:hAnsi="Arial"/>
          <w:sz w:val="16"/>
          <w:szCs w:val="16"/>
          <w:color w:val="auto"/>
        </w:rPr>
      </w:pPr>
    </w:p>
    <w:p>
      <w:pPr>
        <w:ind w:left="660" w:right="160"/>
        <w:spacing w:after="0" w:line="261" w:lineRule="auto"/>
        <w:rPr>
          <w:rFonts w:ascii="Arial" w:cs="Arial" w:eastAsia="Arial" w:hAnsi="Arial"/>
          <w:sz w:val="16"/>
          <w:szCs w:val="16"/>
          <w:color w:val="auto"/>
        </w:rPr>
      </w:pPr>
      <w:r>
        <w:rPr>
          <w:rFonts w:ascii="Arial" w:cs="Arial" w:eastAsia="Arial" w:hAnsi="Arial"/>
          <w:sz w:val="16"/>
          <w:szCs w:val="16"/>
          <w:color w:val="auto"/>
        </w:rPr>
        <w:t>We can accept and settle transfers from hundreds of millions of consumer bank accounts as well as Visa and MasterCard credit and debit cards in the 32 send countries and territories we operate in today. As a digital service, we do not have sending agents who accept cash. We, in turn, do not incur costs or commissions associated with physical agent-based sending and funding.</w:t>
      </w:r>
    </w:p>
    <w:p>
      <w:pPr>
        <w:spacing w:after="0" w:line="138" w:lineRule="exact"/>
        <w:rPr>
          <w:rFonts w:ascii="Arial" w:cs="Arial" w:eastAsia="Arial" w:hAnsi="Arial"/>
          <w:sz w:val="16"/>
          <w:szCs w:val="16"/>
          <w:color w:val="auto"/>
        </w:rPr>
      </w:pPr>
    </w:p>
    <w:p>
      <w:pPr>
        <w:ind w:left="660" w:right="140" w:hanging="328"/>
        <w:spacing w:after="0" w:line="318" w:lineRule="auto"/>
        <w:tabs>
          <w:tab w:leader="none" w:pos="649"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Payment delivery. </w:t>
      </w:r>
      <w:r>
        <w:rPr>
          <w:rFonts w:ascii="Arial" w:cs="Arial" w:eastAsia="Arial" w:hAnsi="Arial"/>
          <w:sz w:val="14"/>
          <w:szCs w:val="14"/>
          <w:color w:val="auto"/>
        </w:rPr>
        <w:t>We have access to many disbursement partners across the globe including major banks, cash pick-up, and mobile wallet partners. These</w:t>
      </w:r>
      <w:r>
        <w:rPr>
          <w:rFonts w:ascii="Arial" w:cs="Arial" w:eastAsia="Arial" w:hAnsi="Arial"/>
          <w:sz w:val="14"/>
          <w:szCs w:val="14"/>
          <w:b w:val="1"/>
          <w:bCs w:val="1"/>
          <w:color w:val="auto"/>
        </w:rPr>
        <w:t xml:space="preserve"> </w:t>
      </w:r>
      <w:r>
        <w:rPr>
          <w:rFonts w:ascii="Arial" w:cs="Arial" w:eastAsia="Arial" w:hAnsi="Arial"/>
          <w:sz w:val="14"/>
          <w:szCs w:val="14"/>
          <w:color w:val="auto"/>
        </w:rPr>
        <w:t>relationships provide our customers with choice of delivery and enable us to send funds within minutes, or even seconds, to approximately 4.0 billion bank accounts, approximately 1.1 billion mobile wallets and alternative payment methods, and over 435,000 cash pickup locations (including retail outlets and banks).</w:t>
      </w:r>
    </w:p>
    <w:p>
      <w:pPr>
        <w:spacing w:after="0" w:line="106" w:lineRule="exact"/>
        <w:rPr>
          <w:rFonts w:ascii="Arial" w:cs="Arial" w:eastAsia="Arial" w:hAnsi="Arial"/>
          <w:sz w:val="14"/>
          <w:szCs w:val="14"/>
          <w:color w:val="auto"/>
        </w:rPr>
      </w:pPr>
    </w:p>
    <w:p>
      <w:pPr>
        <w:ind w:left="660" w:right="160"/>
        <w:spacing w:after="0" w:line="258" w:lineRule="auto"/>
        <w:rPr>
          <w:rFonts w:ascii="Arial" w:cs="Arial" w:eastAsia="Arial" w:hAnsi="Arial"/>
          <w:sz w:val="14"/>
          <w:szCs w:val="14"/>
          <w:color w:val="auto"/>
        </w:rPr>
      </w:pPr>
      <w:r>
        <w:rPr>
          <w:rFonts w:ascii="Arial" w:cs="Arial" w:eastAsia="Arial" w:hAnsi="Arial"/>
          <w:sz w:val="16"/>
          <w:szCs w:val="16"/>
          <w:color w:val="auto"/>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 (3) our specific operating metrics such as credit worthiness and error rates.</w:t>
      </w:r>
    </w:p>
    <w:p>
      <w:pPr>
        <w:spacing w:after="0" w:line="145" w:lineRule="exact"/>
        <w:rPr>
          <w:sz w:val="20"/>
          <w:szCs w:val="20"/>
          <w:color w:val="auto"/>
        </w:rPr>
      </w:pPr>
    </w:p>
    <w:p>
      <w:pPr>
        <w:jc w:val="both"/>
        <w:ind w:left="660" w:right="260"/>
        <w:spacing w:after="0" w:line="295" w:lineRule="auto"/>
        <w:rPr>
          <w:sz w:val="20"/>
          <w:szCs w:val="20"/>
          <w:color w:val="auto"/>
        </w:rPr>
      </w:pPr>
      <w:r>
        <w:rPr>
          <w:rFonts w:ascii="Arial" w:cs="Arial" w:eastAsia="Arial" w:hAnsi="Arial"/>
          <w:sz w:val="15"/>
          <w:szCs w:val="15"/>
          <w:color w:val="auto"/>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106"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Today, our customers primarily send money from the United States, Canada, and other countries in Europe. Our customers and their recipients are located in over 170 countries around the world; our largest receive countries include India, Mexico, and the Philippines.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Sets Us Apart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Core Pillars</w:t>
      </w:r>
    </w:p>
    <w:p>
      <w:pPr>
        <w:spacing w:after="0" w:line="18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1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00" w:lineRule="exact"/>
        <w:rPr>
          <w:sz w:val="20"/>
          <w:szCs w:val="20"/>
          <w:color w:val="auto"/>
        </w:rPr>
      </w:pPr>
    </w:p>
    <w:p>
      <w:pPr>
        <w:ind w:left="660" w:right="100" w:hanging="328"/>
        <w:spacing w:after="0" w:line="26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Providing a Simple and Reliable Way of Sending Money with Our Mobile-Centric Suite of Products</w:t>
      </w:r>
      <w:r>
        <w:rPr>
          <w:rFonts w:ascii="Arial" w:cs="Arial" w:eastAsia="Arial" w:hAnsi="Arial"/>
          <w:sz w:val="16"/>
          <w:szCs w:val="16"/>
          <w:color w:val="auto"/>
        </w:rPr>
        <w:t>. As of December 31, 2022, our mobile app had a 4.9</w:t>
      </w:r>
      <w:r>
        <w:rPr>
          <w:rFonts w:ascii="Arial" w:cs="Arial" w:eastAsia="Arial" w:hAnsi="Arial"/>
          <w:sz w:val="16"/>
          <w:szCs w:val="16"/>
          <w:b w:val="1"/>
          <w:bCs w:val="1"/>
          <w:color w:val="auto"/>
        </w:rPr>
        <w:t xml:space="preserve"> </w:t>
      </w:r>
      <w:r>
        <w:rPr>
          <w:rFonts w:ascii="Arial" w:cs="Arial" w:eastAsia="Arial" w:hAnsi="Arial"/>
          <w:sz w:val="16"/>
          <w:szCs w:val="16"/>
          <w:color w:val="auto"/>
        </w:rPr>
        <w:t>iOS App Store rating with more than 1 million reviewers and a 4.8 Android Google Play rating with more than 580,000 reviewers. We have achieved this level of engagement and these high ratings by designing mobile-centric products that make the customer experience simple and convenient and give our customers complete peace of mind.</w:t>
      </w:r>
    </w:p>
    <w:p>
      <w:pPr>
        <w:spacing w:after="0" w:line="142" w:lineRule="exact"/>
        <w:rPr>
          <w:rFonts w:ascii="Arial" w:cs="Arial" w:eastAsia="Arial" w:hAnsi="Arial"/>
          <w:sz w:val="16"/>
          <w:szCs w:val="16"/>
          <w:color w:val="auto"/>
        </w:rPr>
      </w:pPr>
    </w:p>
    <w:p>
      <w:pPr>
        <w:ind w:left="660" w:right="180"/>
        <w:spacing w:after="0" w:line="262" w:lineRule="auto"/>
        <w:rPr>
          <w:rFonts w:ascii="Arial" w:cs="Arial" w:eastAsia="Arial" w:hAnsi="Arial"/>
          <w:sz w:val="16"/>
          <w:szCs w:val="16"/>
          <w:color w:val="auto"/>
        </w:rPr>
      </w:pPr>
      <w:r>
        <w:rPr>
          <w:rFonts w:ascii="Arial" w:cs="Arial" w:eastAsia="Arial" w:hAnsi="Arial"/>
          <w:sz w:val="16"/>
          <w:szCs w:val="16"/>
          <w:color w:val="auto"/>
        </w:rPr>
        <w:t>Our mobile app for cross-border remittances provides an easy-to-use, end-to-end process. In just a few minutes, customers are able to set up and send money for the first time with Remitly, and repeat transactions become easier with just three taps. Our customers and their families can also track the status of their transactions in real time. This mobile-centric experience enables us to engage beyond the initial transaction, generating strong repeat usage and high customer loyalty.</w:t>
      </w:r>
    </w:p>
    <w:p>
      <w:pPr>
        <w:spacing w:after="0" w:line="124" w:lineRule="exact"/>
        <w:rPr>
          <w:rFonts w:ascii="Arial" w:cs="Arial" w:eastAsia="Arial" w:hAnsi="Arial"/>
          <w:sz w:val="16"/>
          <w:szCs w:val="16"/>
          <w:color w:val="auto"/>
        </w:rPr>
      </w:pPr>
    </w:p>
    <w:p>
      <w:pPr>
        <w:ind w:left="660" w:right="200" w:hanging="328"/>
        <w:spacing w:after="0" w:line="281" w:lineRule="auto"/>
        <w:tabs>
          <w:tab w:leader="none" w:pos="64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Conveniently Putting Money Safely in the Hands of Our Customers’ Families, Wherever They Are, by Relying on Our Global Network. </w:t>
      </w:r>
      <w:r>
        <w:rPr>
          <w:rFonts w:ascii="Arial" w:cs="Arial" w:eastAsia="Arial" w:hAnsi="Arial"/>
          <w:sz w:val="15"/>
          <w:szCs w:val="15"/>
          <w:color w:val="auto"/>
        </w:rPr>
        <w:t>Our global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of funding and disbursement partnerships enables us to complete money transfers in over 4,300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00"/>
        <w:spacing w:after="0" w:line="299" w:lineRule="auto"/>
        <w:rPr>
          <w:sz w:val="20"/>
          <w:szCs w:val="20"/>
          <w:color w:val="auto"/>
        </w:rPr>
      </w:pPr>
      <w:r>
        <w:rPr>
          <w:rFonts w:ascii="Arial" w:cs="Arial" w:eastAsia="Arial" w:hAnsi="Arial"/>
          <w:sz w:val="14"/>
          <w:szCs w:val="14"/>
          <w:color w:val="auto"/>
        </w:rPr>
        <w:t>Our disbursement options within our global network continue to grow and remain an important driver of customer loyalty. 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to approximately 4.0 billion bank accounts, approximately 1.1 billion mobile wallets, and over 435,000 cash pickup locations. We focus on creating financial inclusion by providing payout optionality and access for recipients who don’t always have convenient access to traditional banking. We believe our focus on financial inclusion creates peace of mind for our customers and their families while attracting and retaining loyal customers. We continue to believe the quality of our network and our focus on customer preference in disbursement options remains a competitive differentiator.</w:t>
      </w:r>
    </w:p>
    <w:p>
      <w:pPr>
        <w:spacing w:after="0" w:line="118" w:lineRule="exact"/>
        <w:rPr>
          <w:sz w:val="20"/>
          <w:szCs w:val="20"/>
          <w:color w:val="auto"/>
        </w:rPr>
      </w:pPr>
    </w:p>
    <w:p>
      <w:pPr>
        <w:ind w:left="660" w:hanging="328"/>
        <w:spacing w:after="0" w:line="300" w:lineRule="auto"/>
        <w:tabs>
          <w:tab w:leader="none" w:pos="649"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Creating Trusted and Personalized Experiences with Our Localization Expertise at Scale. </w:t>
      </w:r>
      <w:r>
        <w:rPr>
          <w:rFonts w:ascii="Arial" w:cs="Arial" w:eastAsia="Arial" w:hAnsi="Arial"/>
          <w:sz w:val="14"/>
          <w:szCs w:val="14"/>
          <w:color w:val="auto"/>
        </w:rPr>
        <w:t>We believe our expertise in localizing our marketing, products, and</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15 native languages, and we provide peace of mind with our global customer support team. Additionally, for disbursement of funds, we partner with local brands that are among the most trusted and recognized by our customers and their families.</w:t>
      </w:r>
    </w:p>
    <w:p>
      <w:pPr>
        <w:spacing w:after="0" w:line="103" w:lineRule="exact"/>
        <w:rPr>
          <w:rFonts w:ascii="Arial" w:cs="Arial" w:eastAsia="Arial" w:hAnsi="Arial"/>
          <w:sz w:val="14"/>
          <w:szCs w:val="14"/>
          <w:color w:val="auto"/>
        </w:rPr>
      </w:pPr>
    </w:p>
    <w:p>
      <w:pPr>
        <w:ind w:left="660" w:right="80" w:hanging="328"/>
        <w:spacing w:after="0" w:line="26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Using Our Data-Driven Approach to Better Serve Our Customers and Provide More Value. </w:t>
      </w:r>
      <w:r>
        <w:rPr>
          <w:rFonts w:ascii="Arial" w:cs="Arial" w:eastAsia="Arial" w:hAnsi="Arial"/>
          <w:sz w:val="16"/>
          <w:szCs w:val="16"/>
          <w:color w:val="auto"/>
        </w:rPr>
        <w:t>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185"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We operate in a large and fragmented market. Based on estimates from the World Bank and the International Monetary Fund, the market for global money transfers was estimated to include over $1.6 trillion in total migrant remittance volume in 2022 (including both formal and informal person-to-person channels), and has been growing at over a 5% compound annual growth rate over the past decade, with digital volumes significantly outpacing the rest of the market. In our core serviceable available market, remittance flows to developing countries were expected to reach approximately $626 billion in 2022, according to the World Bank in November 2022. To contextualize the size and importance of this market, according to the United Nations, global remittances are over two times larger than the amount of official development assistance.</w:t>
      </w:r>
    </w:p>
    <w:p>
      <w:pPr>
        <w:spacing w:after="0" w:line="118"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As of December 31, 2022, we captured approximately 2% of the total migrant remittance inflow volume. We believe that we can capture a larger share of this market. We also believe that we have a tremendous opportunity to significantly expand our total addressable market by leveraging our trusted brand to offer a broader set of financial services to the more than 280 million global immigrants and their families.</w:t>
      </w:r>
    </w:p>
    <w:p>
      <w:pPr>
        <w:spacing w:after="0" w:line="124"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 xml:space="preserve">Our approach to achieving these goals has been rooted from Day 1 in </w:t>
      </w:r>
      <w:r>
        <w:rPr>
          <w:rFonts w:ascii="Arial" w:cs="Arial" w:eastAsia="Arial" w:hAnsi="Arial"/>
          <w:sz w:val="15"/>
          <w:szCs w:val="15"/>
          <w:i w:val="1"/>
          <w:iCs w:val="1"/>
          <w:color w:val="auto"/>
        </w:rPr>
        <w:t>customer centricity,</w:t>
      </w:r>
      <w:r>
        <w:rPr>
          <w:rFonts w:ascii="Arial" w:cs="Arial" w:eastAsia="Arial" w:hAnsi="Arial"/>
          <w:sz w:val="15"/>
          <w:szCs w:val="15"/>
          <w:color w:val="auto"/>
        </w:rPr>
        <w:t xml:space="preserve"> which means deeply understanding our customers’ unique and local needs to provide them with a differentiated experience in remittances and complementary financial services. Strategically managing the business from this perspective has been key to our success since the very beginning and forms the frame for the remainder of our strategy, which includes the following focus areas:</w:t>
      </w:r>
    </w:p>
    <w:p>
      <w:pPr>
        <w:spacing w:after="0" w:line="102" w:lineRule="exact"/>
        <w:rPr>
          <w:sz w:val="20"/>
          <w:szCs w:val="20"/>
          <w:color w:val="auto"/>
        </w:rPr>
      </w:pPr>
    </w:p>
    <w:p>
      <w:pPr>
        <w:ind w:left="660" w:right="80" w:hanging="328"/>
        <w:spacing w:after="0" w:line="26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Increase our active customer base by focusing on efficient new customer acquisition. </w:t>
      </w:r>
      <w:r>
        <w:rPr>
          <w:rFonts w:ascii="Arial" w:cs="Arial" w:eastAsia="Arial" w:hAnsi="Arial"/>
          <w:sz w:val="16"/>
          <w:szCs w:val="16"/>
          <w:color w:val="auto"/>
        </w:rPr>
        <w:t>We plan on continuing our marketing efforts across existing and new</w:t>
      </w:r>
      <w:r>
        <w:rPr>
          <w:rFonts w:ascii="Arial" w:cs="Arial" w:eastAsia="Arial" w:hAnsi="Arial"/>
          <w:sz w:val="16"/>
          <w:szCs w:val="16"/>
          <w:b w:val="1"/>
          <w:bCs w:val="1"/>
          <w:color w:val="auto"/>
        </w:rPr>
        <w:t xml:space="preserve"> </w:t>
      </w:r>
      <w:r>
        <w:rPr>
          <w:rFonts w:ascii="Arial" w:cs="Arial" w:eastAsia="Arial" w:hAnsi="Arial"/>
          <w:sz w:val="16"/>
          <w:szCs w:val="16"/>
          <w:color w:val="auto"/>
        </w:rPr>
        <w:t>corridors to increase brand awareness with customers and highlight the value of our products and services. We believe this will attract new customers to try Remitly. As we grow our customer base, we expect to benefit from increased operating leverage in the business and more data and insight to enhance our models. We have been able to drive efficiencies in new customer acquisition by focusing on elasticity testing, optimizing channel mix, and by increasing word of mouth and referrals driven by our increasing scale.</w:t>
      </w:r>
    </w:p>
    <w:p>
      <w:pPr>
        <w:spacing w:after="0" w:line="125"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Expand our geographic footprint</w:t>
      </w:r>
      <w:r>
        <w:rPr>
          <w:rFonts w:ascii="Arial" w:cs="Arial" w:eastAsia="Arial" w:hAnsi="Arial"/>
          <w:sz w:val="14"/>
          <w:szCs w:val="14"/>
          <w:color w:val="auto"/>
        </w:rPr>
        <w:t>. While our global network spans across over 4,300 corridors around the world, we have plans to increase our reach to</w:t>
      </w:r>
      <w:r>
        <w:rPr>
          <w:rFonts w:ascii="Arial" w:cs="Arial" w:eastAsia="Arial" w:hAnsi="Arial"/>
          <w:sz w:val="14"/>
          <w:szCs w:val="14"/>
          <w:b w:val="1"/>
          <w:bCs w:val="1"/>
          <w:color w:val="auto"/>
        </w:rPr>
        <w:t xml:space="preserve"> </w:t>
      </w:r>
      <w:r>
        <w:rPr>
          <w:rFonts w:ascii="Arial" w:cs="Arial" w:eastAsia="Arial" w:hAnsi="Arial"/>
          <w:sz w:val="14"/>
          <w:szCs w:val="14"/>
          <w:color w:val="auto"/>
        </w:rPr>
        <w:t>thousands of additional corridors. We see an opportunity to generate value by expanding our remittance services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 We will also continue to establish new disbursement partnerships and add new payment methods to enhance our cross-border payment remittance experience for current and potential customers in our existing corridors.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00" w:hanging="328"/>
        <w:spacing w:after="0" w:line="278" w:lineRule="auto"/>
        <w:tabs>
          <w:tab w:leader="none" w:pos="649"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Continue investing in remittance product enhancements and developing complementary new products to increase customer engagement and drive long-term repeat use. </w:t>
      </w:r>
      <w:r>
        <w:rPr>
          <w:rFonts w:ascii="Arial" w:cs="Arial" w:eastAsia="Arial" w:hAnsi="Arial"/>
          <w:sz w:val="15"/>
          <w:szCs w:val="15"/>
          <w:color w:val="auto"/>
        </w:rPr>
        <w:t>We believe there are enormous opportunities to create a more inclusive financial system that not only encompasses, but caters to the needs of</w:t>
      </w:r>
      <w:r>
        <w:rPr>
          <w:rFonts w:ascii="Arial" w:cs="Arial" w:eastAsia="Arial" w:hAnsi="Arial"/>
          <w:sz w:val="15"/>
          <w:szCs w:val="15"/>
          <w:b w:val="1"/>
          <w:bCs w:val="1"/>
          <w:color w:val="auto"/>
        </w:rPr>
        <w:t xml:space="preserve"> </w:t>
      </w:r>
      <w:r>
        <w:rPr>
          <w:rFonts w:ascii="Arial" w:cs="Arial" w:eastAsia="Arial" w:hAnsi="Arial"/>
          <w:sz w:val="15"/>
          <w:szCs w:val="15"/>
          <w:color w:val="auto"/>
        </w:rPr>
        <w:t>immigrants. Specifically, we are using the insights we gain about immigrant customers through our data-driven platform to invest in remittance product enhancements and develop complementary new products. The majority of our customers use our products and services multiple times per month. To further strengthen our customer relationships and brand loyalty, we will continue to enhance our products and services and develop new features to tailor and personalize our customers’ experiences, as we continue to learn what our customers need, in order to optimize our pricing and delivery options. We believe our complementary new product strategy will deepen and expand our remittance relationship with our customers creating a unique and virtuous cycle that leads to increased customer value, long term customer engagement and a competitive advantage for Remitly that will be hard to replicate.</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While our main growth strategy has historically been organic, we may also selectively pursue strategic partnerships and acquisitions to accelerate our growth objectives or to enhance our competitive position within existing and new products and markets. For example, in August 2022 we announced our intent to acquire Rewire, as part of our strategy to accelerate our growth objectives. We completed the acquisition of Rewire in January 2023.</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5" w:lineRule="exact"/>
        <w:rPr>
          <w:sz w:val="20"/>
          <w:szCs w:val="20"/>
          <w:color w:val="auto"/>
        </w:rPr>
      </w:pPr>
    </w:p>
    <w:p>
      <w:pPr>
        <w:ind w:right="560"/>
        <w:spacing w:after="0" w:line="310" w:lineRule="auto"/>
        <w:rPr>
          <w:sz w:val="20"/>
          <w:szCs w:val="20"/>
          <w:color w:val="auto"/>
        </w:rPr>
      </w:pPr>
      <w:r>
        <w:rPr>
          <w:rFonts w:ascii="Arial" w:cs="Arial" w:eastAsia="Arial" w:hAnsi="Arial"/>
          <w:sz w:val="15"/>
          <w:szCs w:val="15"/>
          <w:color w:val="auto"/>
        </w:rPr>
        <w:t>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90" w:lineRule="exact"/>
        <w:rPr>
          <w:sz w:val="20"/>
          <w:szCs w:val="20"/>
          <w:color w:val="auto"/>
        </w:rPr>
      </w:pPr>
    </w:p>
    <w:p>
      <w:pPr>
        <w:ind w:left="660" w:right="200" w:hanging="328"/>
        <w:spacing w:after="0" w:line="298"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Incumbent providers with a scaled legacy footprint. </w:t>
      </w:r>
      <w:r>
        <w:rPr>
          <w:rFonts w:ascii="Arial" w:cs="Arial" w:eastAsia="Arial" w:hAnsi="Arial"/>
          <w:sz w:val="16"/>
          <w:szCs w:val="16"/>
          <w:color w:val="auto"/>
        </w:rPr>
        <w:t>Traditional providers with large networks of brick-and-mortar locations and agents around the world that</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slow to adopt digital solutions.</w:t>
      </w:r>
    </w:p>
    <w:p>
      <w:pPr>
        <w:spacing w:after="0" w:line="96" w:lineRule="exact"/>
        <w:rPr>
          <w:rFonts w:ascii="Arial" w:cs="Arial" w:eastAsia="Arial" w:hAnsi="Arial"/>
          <w:sz w:val="16"/>
          <w:szCs w:val="16"/>
          <w:color w:val="auto"/>
        </w:rPr>
      </w:pPr>
    </w:p>
    <w:p>
      <w:pPr>
        <w:ind w:left="660" w:right="260" w:hanging="328"/>
        <w:spacing w:after="0" w:line="298"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Traditional banks. </w:t>
      </w:r>
      <w:r>
        <w:rPr>
          <w:rFonts w:ascii="Arial" w:cs="Arial" w:eastAsia="Arial" w:hAnsi="Arial"/>
          <w:sz w:val="16"/>
          <w:szCs w:val="16"/>
          <w:color w:val="auto"/>
        </w:rPr>
        <w:t>Traditional bank networks that offer a wide variety of financial services, including international remittances, but have limited disbursement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may have burdensome KYC processes that do not cater to immigrant populations.</w:t>
      </w:r>
    </w:p>
    <w:p>
      <w:pPr>
        <w:spacing w:after="0" w:line="96" w:lineRule="exact"/>
        <w:rPr>
          <w:rFonts w:ascii="Arial" w:cs="Arial" w:eastAsia="Arial" w:hAnsi="Arial"/>
          <w:sz w:val="16"/>
          <w:szCs w:val="16"/>
          <w:color w:val="auto"/>
        </w:rPr>
      </w:pPr>
    </w:p>
    <w:p>
      <w:pPr>
        <w:ind w:left="660" w:right="60" w:hanging="328"/>
        <w:spacing w:after="0" w:line="28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Digital-first cross-border payment providers. </w:t>
      </w:r>
      <w:r>
        <w:rPr>
          <w:rFonts w:ascii="Arial" w:cs="Arial" w:eastAsia="Arial" w:hAnsi="Arial"/>
          <w:sz w:val="16"/>
          <w:szCs w:val="16"/>
          <w:color w:val="auto"/>
        </w:rPr>
        <w:t>Digital-first providers of payments, money transfer and remittance products that aim to be convenient, transparent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affordable, with varying corridor-related focuses, such as developed-to-developing or developed-to-developed markets.</w:t>
      </w:r>
    </w:p>
    <w:p>
      <w:pPr>
        <w:spacing w:after="0" w:line="124"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Emerging players focused on complementary financial services. </w:t>
      </w:r>
      <w:r>
        <w:rPr>
          <w:rFonts w:ascii="Arial" w:cs="Arial" w:eastAsia="Arial" w:hAnsi="Arial"/>
          <w:sz w:val="16"/>
          <w:szCs w:val="16"/>
          <w:color w:val="auto"/>
        </w:rPr>
        <w:t>Online-only banks, wallets, and other emerging digital players typically offer a subset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services offered by traditional banks, and generally place a greater emphasis on convenience and user experience. Similarly, those utilizing blockchain technology and digital or crypto assets often claim benefits of lower cost transactions and higher transfer speeds relative to incumbent money-movement providers. However, price volatility, various fiat conversion fees, user friction, lack of trust and other factors have limited the utility of cryptocurrencies, as well as digital assets broadly, for remittances. Still, Remitly continues to assess blockchain technologies and digital assets as both an opportunity and competitive risk, particularly as the technology continues to evolve.</w:t>
      </w:r>
    </w:p>
    <w:p>
      <w:pPr>
        <w:spacing w:after="0" w:line="127" w:lineRule="exact"/>
        <w:rPr>
          <w:rFonts w:ascii="Arial" w:cs="Arial" w:eastAsia="Arial" w:hAnsi="Arial"/>
          <w:sz w:val="16"/>
          <w:szCs w:val="16"/>
          <w:color w:val="auto"/>
        </w:rPr>
      </w:pPr>
    </w:p>
    <w:p>
      <w:pPr>
        <w:ind w:left="660" w:right="260" w:hanging="328"/>
        <w:spacing w:after="0" w:line="298"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Informal person-to-person channels. </w:t>
      </w:r>
      <w:r>
        <w:rPr>
          <w:rFonts w:ascii="Arial" w:cs="Arial" w:eastAsia="Arial" w:hAnsi="Arial"/>
          <w:sz w:val="16"/>
          <w:szCs w:val="16"/>
          <w:color w:val="auto"/>
        </w:rPr>
        <w:t>Bringing cash home when immigrants travel, trusting others to deliver cash back home, established networks of “IOUs”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documentation or passwords, and other systems of trust-based cash transfers that evade tracking and regulation.</w:t>
      </w:r>
    </w:p>
    <w:p>
      <w:pPr>
        <w:spacing w:after="0" w:line="101" w:lineRule="exact"/>
        <w:rPr>
          <w:sz w:val="20"/>
          <w:szCs w:val="20"/>
          <w:color w:val="auto"/>
        </w:rPr>
      </w:pPr>
    </w:p>
    <w:p>
      <w:pPr>
        <w:ind w:right="720"/>
        <w:spacing w:after="0" w:line="275" w:lineRule="auto"/>
        <w:rPr>
          <w:sz w:val="20"/>
          <w:szCs w:val="20"/>
          <w:color w:val="auto"/>
        </w:rPr>
      </w:pPr>
      <w:r>
        <w:rPr>
          <w:rFonts w:ascii="Arial" w:cs="Arial" w:eastAsia="Arial" w:hAnsi="Arial"/>
          <w:sz w:val="16"/>
          <w:szCs w:val="16"/>
          <w:color w:val="auto"/>
        </w:rPr>
        <w:t>Digital-first companies are increasingly gaining market share from legacy providers and traditional banks. We believe that the principal competitive factors across experience, product, network and technology include:</w:t>
      </w:r>
    </w:p>
    <w:p>
      <w:pPr>
        <w:spacing w:after="0" w:line="128" w:lineRule="exact"/>
        <w:rPr>
          <w:sz w:val="20"/>
          <w:szCs w:val="20"/>
          <w:color w:val="auto"/>
        </w:rPr>
      </w:pPr>
    </w:p>
    <w:p>
      <w:pPr>
        <w:ind w:left="660" w:right="100" w:hanging="328"/>
        <w:spacing w:after="0" w:line="294" w:lineRule="auto"/>
        <w:tabs>
          <w:tab w:leader="none" w:pos="649"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Experience: </w:t>
      </w:r>
      <w:r>
        <w:rPr>
          <w:rFonts w:ascii="Arial" w:cs="Arial" w:eastAsia="Arial" w:hAnsi="Arial"/>
          <w:sz w:val="15"/>
          <w:szCs w:val="15"/>
          <w:color w:val="auto"/>
        </w:rPr>
        <w:t>Digital-first companies, like Remitly, are focusing on the customer experience, by providing a trusted relationship with customers and their families,</w:t>
      </w:r>
      <w:r>
        <w:rPr>
          <w:rFonts w:ascii="Arial" w:cs="Arial" w:eastAsia="Arial" w:hAnsi="Arial"/>
          <w:sz w:val="15"/>
          <w:szCs w:val="15"/>
          <w:b w:val="1"/>
          <w:bCs w:val="1"/>
          <w:color w:val="auto"/>
        </w:rPr>
        <w:t xml:space="preserve"> </w:t>
      </w:r>
      <w:r>
        <w:rPr>
          <w:rFonts w:ascii="Arial" w:cs="Arial" w:eastAsia="Arial" w:hAnsi="Arial"/>
          <w:sz w:val="15"/>
          <w:szCs w:val="15"/>
          <w:color w:val="auto"/>
        </w:rPr>
        <w:t>especially during devastating times, which ranges from family emergencies to natural disasters. Digital first companies also provide a simple and convenient customer experience, which is specialized to customers by region, which appeals to customers and their families on a hyper-local level.</w:t>
      </w:r>
    </w:p>
    <w:p>
      <w:pPr>
        <w:ind w:left="660" w:right="120" w:hanging="328"/>
        <w:spacing w:after="0" w:line="27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Product: </w:t>
      </w:r>
      <w:r>
        <w:rPr>
          <w:rFonts w:ascii="Arial" w:cs="Arial" w:eastAsia="Arial" w:hAnsi="Arial"/>
          <w:sz w:val="16"/>
          <w:szCs w:val="16"/>
          <w:color w:val="auto"/>
        </w:rPr>
        <w:t>Digital-first companies have the ability to focus on the product. With the various pay-in and pay-out options, the speed and certainty of transactions is a</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advantage. Additionally, these companies are able to provide an adjacent suite of digital-first financial services (complementary products) with fair and transparent product pricing, while providing global and local customer service.</w:t>
      </w:r>
    </w:p>
    <w:p>
      <w:pPr>
        <w:spacing w:after="0" w:line="8" w:lineRule="exact"/>
        <w:rPr>
          <w:rFonts w:ascii="Arial" w:cs="Arial" w:eastAsia="Arial" w:hAnsi="Arial"/>
          <w:sz w:val="16"/>
          <w:szCs w:val="16"/>
          <w:color w:val="auto"/>
        </w:rPr>
      </w:pPr>
    </w:p>
    <w:p>
      <w:pPr>
        <w:ind w:left="660" w:right="320" w:hanging="328"/>
        <w:spacing w:after="0" w:line="28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Network: </w:t>
      </w:r>
      <w:r>
        <w:rPr>
          <w:rFonts w:ascii="Arial" w:cs="Arial" w:eastAsia="Arial" w:hAnsi="Arial"/>
          <w:sz w:val="16"/>
          <w:szCs w:val="16"/>
          <w:color w:val="auto"/>
        </w:rPr>
        <w:t>Digital-first companies leverage their expansive global network, which allows the companies to provide a vast array of easy-to-access disbursement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the ability to accept alternative payment methods.</w:t>
      </w:r>
    </w:p>
    <w:p>
      <w:pPr>
        <w:spacing w:after="0" w:line="16" w:lineRule="exact"/>
        <w:rPr>
          <w:rFonts w:ascii="Arial" w:cs="Arial" w:eastAsia="Arial" w:hAnsi="Arial"/>
          <w:sz w:val="16"/>
          <w:szCs w:val="16"/>
          <w:color w:val="auto"/>
        </w:rPr>
      </w:pPr>
    </w:p>
    <w:p>
      <w:pPr>
        <w:ind w:left="660" w:right="280" w:hanging="328"/>
        <w:spacing w:after="0" w:line="27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Technology: </w:t>
      </w:r>
      <w:r>
        <w:rPr>
          <w:rFonts w:ascii="Arial" w:cs="Arial" w:eastAsia="Arial" w:hAnsi="Arial"/>
          <w:sz w:val="16"/>
          <w:szCs w:val="16"/>
          <w:color w:val="auto"/>
        </w:rPr>
        <w:t>In a world of being digitally connected, digital-first companies focus on technological differentiation, through service availability,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scalability, and reliability. The ability to innovate continues to be a competitive advantage. Additionally, technology allows for efficient fraud, compliance, and regulatory management in the highly regulated industry.</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By focusing on the unique needs of immigrants and having a relentless customer focus, we believe that we have built a differentiated and compelling value proposition, and that we compete favorably on the basis of these factors.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Specifically, we believe that our mobile-centric suite of products, our vast global network, our localization expertise at scale, and our data-driven approach create sustainable differentiation against competitors.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Our business is subject to a wide range of federal, state, and international laws, regulations, and supervisory guidance across the globe. The majority of these are applicable to us on the basis of the jurisdictions in which we operate and conduct our activities. These include, without limitation, the United States, Canada, the United Kingdom, and the European Economic Area (the “EEA”). We are also subject to laws, regulations and guidance on the basis of the jurisdictions in which recipients receive disbursements. These include, without limitation, India, Mexico, and the Philippines as well as other developing countries. These laws and regulations include strict requirements intended to help detect and prevent money laundering, terrorist financing, fraud, data misuse, theft and misappropriation, and other illicit activity. In addition, the applicable regulatory framework includes laws, regulations, and guidance regarding money transmission licensing, financial services, consumer disclosure and protection, foreign exchange, currency controls, unclaimed property, privacy, and data security. The regulatory requirements applicable to our business in any given jurisdiction are typically extensive, complex, frequently changing, increasing in scope, and may impose overlapping and/or conflicting requirements or obligations. For more information, see the section titled “Risk Factors—Legal and Compliance Risks.”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have developed and implemented a compliance program, including our anti-money laundering (“AML”) program, comprised of policies and procedures designed to comply with such regulatory framework as it applies to our business. We also monitor these areas closely to continue to adapt our business practices and strategies to help us comply with current and evolving regulatory environment.</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i w:val="1"/>
          <w:iCs w:val="1"/>
          <w:color w:val="auto"/>
        </w:rPr>
        <w:t>Anti-Money Laundering</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United States, our business is subject to federal AML laws, regulations, and supervisory guidance, which include the Bank Secrecy Act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“BSA”), as amended by the USA PATRIOT Act of 2001, as well as similar state laws, regulations and supervisory guidance. The BSA, among other things, requires companies engaged in money transmission register with the Financial Crimes Enforcement Network (“FinCEN”) of the U.S. Department of the Treasury as money services businesses; and to develop and maintain risk-based AML programs, report suspicious activity, and collect and maintain information about their customers and certain transaction records. These requirements may also apply to our distribution partners and sub-partners. Furthermore, FinCEN has interpreted the BSA to require money services businesses to conduct risk-based monitoring of their agents, which may include distribution partners.</w:t>
      </w:r>
    </w:p>
    <w:p>
      <w:pPr>
        <w:spacing w:after="0" w:line="120"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Similar AML laws, regulations, and supervisory guidance in the countries where we operate and those where we are licensed apply to our business internationally. These include laws, regulations, and supervisory guidance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AML laws, regulations, and supervisory guidance in the other countries in which our disbursement partners operate.</w:t>
      </w:r>
    </w:p>
    <w:p>
      <w:pPr>
        <w:spacing w:after="0" w:line="9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As a money services business, we maintain a stringent AML compliance program that includes internal policies and controls, designation of AML compliance officers for each of our regulated subsidiaries, ongoing employee training and monitoring programs, and annual independent reviews.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i w:val="1"/>
          <w:iCs w:val="1"/>
          <w:color w:val="auto"/>
        </w:rPr>
        <w:t>Sanctions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business must also comply with U.S. economic and trade sanctions programs administered by the U.S. Department of the Treasury’s Office of Foreign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Assets Control (“OFAC”) and with similar sanctions administered by sanctions authorities in other jurisdictions in which we operate or where we are licensed. These laws, regulations, and supervisory guidance prohibit or restrict transactions in, to or from certain countries, regions or governments, as well as with certain individuals and entities such as traffickers in illegal goods or services, terrorists and terrorist organizations. Sanctions are imposed to address acute foreign policy and national security threats, and may change rapidly and unpredictably in response to world events or domestic or international political developments.</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implemented policies, procedures, and internal controls that are designed to comply with these economic and trade sanctions programs. These measures include, without limitation, controls designed to prevent transactions to or from countries or territories that are subject to comprehensive sanctions, screening certain transactions and customer information against OFAC and other international government watch-lists, blocking funds of persons named on OFAC’s list of Specially Designated Nationals and Blocked Persons and other persons and entities designated as prohibited persons by U.S. and non-U.S. sanctions authorities, and preparing and submitting blocking and other reports as required by relevant authorities.</w:t>
      </w:r>
    </w:p>
    <w:p>
      <w:pPr>
        <w:spacing w:after="0" w:line="14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Anti-Bribery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regulations imposed by the Foreign Corrupt Practices Act (the “FCPA”) in the United States, the Corruption of Foreign Public Officials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Canada (“CFPOA”), the U.K. Bribery Act in the United Kingdom and similar laws in the other 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regulations, and supervisory guidance.</w:t>
      </w:r>
    </w:p>
    <w:p>
      <w:pPr>
        <w:spacing w:after="0" w:line="14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i w:val="1"/>
          <w:iCs w:val="1"/>
          <w:color w:val="auto"/>
        </w:rPr>
        <w:t>Money Transmission and Stored Value Licensing or Registration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licensing and registration requirements in relation to our money transmission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stored value issuance activities on a state by state and federal basis in the United States and in almost every other jurisdiction from which our customers initiate transactions, including, but not limited to, Canada, the United Kingdom, and the EEA.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In the United States, we are registered as a Money Services Business with FinCEN and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AML and sanctions compliance, cybersecurity program requirements, and examination by state regulatory agencies. In connection with certain licenses we hold in the United States, there are also different shareholding thresholds (as low as 10% or more of the total equity in the United States) that may require a shareholder to obtain regulatory approval prior to exceeding such thresholds.</w:t>
      </w:r>
    </w:p>
    <w:p>
      <w:pPr>
        <w:spacing w:after="0" w:line="120"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Outside the United States, we provide services to our customers in a variety of ways. In several key jurisdictions, we have obtained licenses to operate as a money services business or payment institution, as applicable. In Canada, we are registered with the Financial Transactions and Reports Analysis Centre of Canada as a money services business. In the United Kingdom, we have obtained a payment institution license from the Financial Conduct Authority and are also registered as a Money Service Business. In Ireland, we have obtained a payment institution license from the Central Bank of Ireland, and such license is recognized across the EEA. In Singapore, we are licensed by the Monetary Authority of Singapore as a major payment institution. In Australia, we are registered as a remittance service provider. We also hold licenses in several other jurisdictions and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i w:val="1"/>
          <w:iCs w:val="1"/>
          <w:color w:val="auto"/>
        </w:rPr>
        <w:t>Unclaimed Property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must also comply with unclaimed property laws in the United States and in other countries where we are licensed. These laws require us to remit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b w:val="1"/>
          <w:bCs w:val="1"/>
          <w:i w:val="1"/>
          <w:iCs w:val="1"/>
          <w:color w:val="auto"/>
        </w:rPr>
        <w:t>Consumer Disclosure and Consumer Protection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subject to laws, regulations and disclosure requirements relating to consumer protection in the United States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jurisdictions in which we have operations, where such laws, regulations, and supervisory guidance are enforced by numerous government agencies. In the U.S., the Consumer Financial Protection Bureau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 and receipts; (2) an obligation to investigate and resolve certain errors, including errors that may be outside our control; and (3) an obligation to cancel certain transactions upon that have not been completed at a customer’s request. The CFPB has recently signaled greater scrutiny regarding consumer fees and disclosures generally, and stronger enforcement of the Remittance Transfer Rule specifically. We expect a heightened enforcement environment for remittance companies, especially regarding transparency of fees and exchange rates. Furthermore, the CFPB may be considering new restrictions or rules on such fees and disclosures.</w:t>
      </w:r>
    </w:p>
    <w:p>
      <w:pPr>
        <w:spacing w:after="0" w:line="138" w:lineRule="exact"/>
        <w:rPr>
          <w:sz w:val="20"/>
          <w:szCs w:val="20"/>
          <w:color w:val="auto"/>
        </w:rPr>
      </w:pPr>
    </w:p>
    <w:p>
      <w:pPr>
        <w:ind w:right="160"/>
        <w:spacing w:after="0" w:line="310" w:lineRule="auto"/>
        <w:rPr>
          <w:sz w:val="20"/>
          <w:szCs w:val="20"/>
          <w:color w:val="auto"/>
        </w:rPr>
      </w:pPr>
      <w:r>
        <w:rPr>
          <w:rFonts w:ascii="Arial" w:cs="Arial" w:eastAsia="Arial" w:hAnsi="Arial"/>
          <w:sz w:val="14"/>
          <w:szCs w:val="14"/>
          <w:color w:val="auto"/>
        </w:rPr>
        <w:t>In addition, under the Dodd-Frank Act, it is unlawful for any provider of consumer financial products or services to engage in unfair, deceptive or abusive acts or practice (“UDAAP violations”). The CFPB has substantial rule-making and enforcement authority to prevent UDAAP violations in connection with any transaction involving a consumer financial product or service. As a larger participant in the market for international money transfers, we are subject to direct CFPB supervisory authority over our business. This includes the authority to fine and provide consumer restitution for violations, track and respond to consumer complaints, and request data.</w:t>
      </w:r>
    </w:p>
    <w:p>
      <w:pPr>
        <w:spacing w:after="0" w:line="100"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b w:val="1"/>
          <w:bCs w:val="1"/>
          <w:i w:val="1"/>
          <w:iCs w:val="1"/>
          <w:color w:val="auto"/>
        </w:rPr>
        <w:t>Indirect Regulatory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direct licenses discussed above, we also seek, obtain and maintain additional licenses to support new products and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and we also are subject to indirect regulatory requirements based on the requirements of our product partners. At the current time, none of the businesses supported by these indirect or new licenses are material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8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Intellectual property and proprietary rights (“IP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IP Rights, including our proprietary technology, software, know-how, and brand.</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of December 31, 2022, we owned six U.S. registered trademarks, one pending U.S. trademark application, 88 foreign registered trademarks and 40 pending foreign trademark applications covering the mark REMITLY, our collapsed Clasped Hand logo, REMITLY (+ Clasped Hand Logo), PASSBOOK BY REMITLY, and Hui Mei Yi (Remitly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 (+ Clasped Hand Logo) mark in the United States and certain other jurisdictions where common law rights are recognized. We also own several domain names, including www.remitly.com.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rely upon a substantial amount of intellectual property licensed from third parties, including under certain open source licenses.</w:t>
      </w:r>
    </w:p>
    <w:p>
      <w:pPr>
        <w:spacing w:after="0" w:line="1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also seek to preserve the integrity and confidentiality of our IP Rights through contractual protections and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to limit access to, and disclosure and use of, our confidential information and proprietary information. We further control the use of our proprietary technology and intellectual property through provisions in our terms of service.</w:t>
      </w:r>
    </w:p>
    <w:p>
      <w:pPr>
        <w:spacing w:after="0" w:line="13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See the section titled “Risk Factors—Privacy, Data Security, Intellectual Property, and Technology Risks” for a more comprehensive description of risks related to our IP Rights.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and Data Security</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i w:val="1"/>
          <w:iCs w:val="1"/>
          <w:color w:val="auto"/>
        </w:rPr>
        <w:t>Privacy Regulations</w:t>
      </w:r>
      <w:r>
        <w:rPr>
          <w:rFonts w:ascii="Arial" w:cs="Arial" w:eastAsia="Arial" w:hAnsi="Arial"/>
          <w:sz w:val="16"/>
          <w:szCs w:val="16"/>
          <w:color w:val="auto"/>
        </w:rPr>
        <w:t>. We collect, use, receive, store, transmit, disclose, and otherwise process a wide variety of data and information (including personal information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sensitive personal information) for various purposes in our business. This aspect of our business is subject to numerous laws, rules, regulations, industry standards and other obligations in the United States and globally. Regulation and proposed regulation in this area has increased significantly in recent years and is expected to continue to do so. Our data handling is also subject to contractual obligations.</w:t>
      </w:r>
    </w:p>
    <w:p>
      <w:pPr>
        <w:spacing w:after="0" w:line="142"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the United States, various federal, state and local laws, rules and regulations apply to the collection, disclosure, security and other processing of personal information, including the Electronic Communications Privacy Act, the Computer Fraud and Abuse Act, the Federal Trade Commission Act, the Gramm-Leach-Bliley Act (the “GLBA”), and various state laws and regulations relating to privacy and data security. The GLBA (along with its implementing regulations), a federal privacy law that applies to financial institutions, like Remitly, restricts certain collection, storage, use, disclosure and other processing of certain nonpublic or otherwise legally protected information, requires notice to individuals of privacy policies and practices relating to sharing such information and provides individuals with certain rights to prevent the use and disclosure of such information. These rules also impose requirements for the safeguarding and proper destruction of such information through the issuance of data security standards or guidelines.</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addition to numerous privacy and data security laws and regulations already in place, U.S. states are increasingly adopting laws imposing comprehensive privacy and data security obligations, which may be more stringent, broader in scope, or offer greater individual rights, with respect to personal information (including sensitive personal information) than foreign, federal, or other state laws and regulations, and such laws and regulations may differ from or conflict with each other. For example, the California Consumer Privacy Act, as amended by the California Privacy Rights Act of 2020 (collectively, the “CCPA”), broadly defines personal information, gives California residents expanded privacy rights and protections, and provides for civil penalties for violations and a private right of action for data breaches. Other states have enacted, or are considering enacting, comprehensive privacy and data security laws that share similarities with the CCPA, with at least four such laws (in Virginia, Colorado, Connecticut, and Utah) having taken effect, or scheduled to take effect, in 2023. There are also ongoing discussions in the U.S. Congress of a new federal privacy and data security law to which we may become subject if it is enacted. Additionally, the FTC and many state attorneys general are interpreting federal and state consumer protection laws as imposing standards for the online collection, use, dissemination, security and other processing of personal information.</w:t>
      </w:r>
    </w:p>
    <w:p>
      <w:pPr>
        <w:spacing w:after="0" w:line="119"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Internationally, many countries have established their own privacy and data security legal framework with which we, our customers and/or partners may need to comply. For example, as a result of our presence in Europe and our service offering in the European Union, we are subject to the EU General Data Protection Regulation (the “GDPR”), which imposes stringent privacy and data security requirements. The GDPR includes numerous requirements and changes from previously existing European law, including more robust obligations on data controllers and processors and more fulsome documentation requirements for data protection compliance programs by covered companies. Failure to comply with the GDPR can result in fines up to the greater of €20 million or 4% of annual global revenues of the violator. The GDPR also imposes strict rules on the transfer of personal data to countries outside of the EEA, including the United States, in respect of which the European Commission or other relevant regulatory body has not issued a so called ‘adequacy decision,’ unless the parties to the transfer have implemented specific safeguards to protect the transferred personal data. We rely on the standard contractual clauses promulgated and recently substantially revised by the European Commission for such data transfers. However, recent legal developments in Europe have created complexity and uncertainty regarding such transfers, in particular in relation to transfers to the United States.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Moreover, following the exit of the United Kingdom from the European Union, the GDPR was transposed into U.K. law (the “U.K. GDPR”) as supplemented by the U.K. Data Protection Act 2018, which currently imposes the same obligations as the GDPR in most material respects. Failure to comply with the U.K. GDPR can result in fines up to the greater of £17.5 million or 4% of annual global revenues of the violator. However, the U.K. GDPR will not automatically incorporate changes made to the GDPR going forward (which would need to be specifically incorporated by the U.K. Government), which creates a risk of divergent parallel regimes and related uncertainty. For example, in 2021, the European Commission announced an adequacy decision concluding that the United Kingdom ensures an equivalent level of data protection to the GDPR, which provides some relief regarding the legality of continued personal data flows from the EEA to the United Kingdom. This adequacy determination will automatically expire in June 2025 unless the European Commission renews or extends it and may be modified or revoked in the interim. We cannot predict how the U.K. GDPR and other U.K. privacy and data security laws, rules or regulations may develop, including as compared to the GDPR, nor can we predict the effects of divergent laws and related guidance. Moreover, the U.K. Government has launched a public consultation on proposed reforms to the data protection framework in the United Kingdom. This may lead to future divergence and variance between the two regimes.</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Additionally, many statutory requirements, both in the United States and abroad, include obligations for companies to notify individuals of data breaches involving certain personal information. For example, laws in all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consumers or other third parties of a cyber-attack, data security breach or other similar incident.</w:t>
      </w:r>
    </w:p>
    <w:p>
      <w:pPr>
        <w:spacing w:after="0" w:line="145"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U.K. GDPR, GLBA, CCPA, and other regulatory and legislative requirements will continue to require substantial investments, including investments in compliance processes and technical infrastructure. In addition, some countries are considering or have passed legislation implementing data security requirements, including requiring local storage and processing of data or similar requirements that could increase the cost and complexity of delivering our services.</w:t>
      </w:r>
    </w:p>
    <w:p>
      <w:pPr>
        <w:spacing w:after="0" w:line="145" w:lineRule="exact"/>
        <w:rPr>
          <w:sz w:val="20"/>
          <w:szCs w:val="20"/>
          <w:color w:val="auto"/>
        </w:rPr>
      </w:pPr>
    </w:p>
    <w:p>
      <w:pPr>
        <w:jc w:val="both"/>
        <w:ind w:right="340"/>
        <w:spacing w:after="0" w:line="325" w:lineRule="auto"/>
        <w:rPr>
          <w:sz w:val="20"/>
          <w:szCs w:val="20"/>
          <w:color w:val="auto"/>
        </w:rPr>
      </w:pPr>
      <w:r>
        <w:rPr>
          <w:rFonts w:ascii="Arial" w:cs="Arial" w:eastAsia="Arial" w:hAnsi="Arial"/>
          <w:sz w:val="14"/>
          <w:szCs w:val="14"/>
          <w:color w:val="auto"/>
        </w:rPr>
        <w:t>We are engaged in ongoing privacy and data security compliance and oversight efforts, including in connection with the requirements of privacy and data security laws, rules, regulations, industry standards, and other obligations. Many of these privacy and data security laws, rules and regulations are subject to change and uncertain and inconsistent interpretation and enforcement, and may conflict with one another, other requirements or obligations, or our practices of the features of our services.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For additional information about privacy and associated risks, see the section titled “Risk Factors—Privacy, Data Security, Intellectual Property, and Technology Risks.”</w:t>
      </w:r>
    </w:p>
    <w:p>
      <w:pPr>
        <w:spacing w:after="0" w:line="179"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b w:val="1"/>
          <w:bCs w:val="1"/>
          <w:i w:val="1"/>
          <w:iCs w:val="1"/>
          <w:color w:val="auto"/>
        </w:rPr>
        <w:t xml:space="preserve">Data Security. </w:t>
      </w:r>
      <w:r>
        <w:rPr>
          <w:rFonts w:ascii="Arial" w:cs="Arial" w:eastAsia="Arial" w:hAnsi="Arial"/>
          <w:sz w:val="14"/>
          <w:szCs w:val="14"/>
          <w:color w:val="auto"/>
        </w:rPr>
        <w:t>While we take reasonable efforts to secure our customers’ information, financial technology companies such as us are prone to cyber-attacks, data security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breaches and other similar incidents by third parties seeking unauthorized access to our data or to disrupt our ability to provide access to our products and services.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our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 In addition, third parties may attempt to fraudulently induce employees to disclose information in order to gain access to our data. Cyber-attacks continue to evolve in sophistication and volume, and inherently may be difficult to detect for long periods of time.</w:t>
      </w:r>
    </w:p>
    <w:p>
      <w:pPr>
        <w:spacing w:after="0" w:line="106"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For additional information about data security and associated risks, see the section titled “Risk Factors—Privacy, Data Security, Intellectual Property, and Technology Risks.”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b w:val="1"/>
          <w:bCs w:val="1"/>
          <w:i w:val="1"/>
          <w:iCs w:val="1"/>
          <w:color w:val="auto"/>
        </w:rPr>
        <w:t>Our Team</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of December 31, 2022, we had over 2,700 full-time equivalent employees working out of our headquarters in Seattle, Washington, several other office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locations, or remotely.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 Attracting, recruiting, developing, and retaining globally diverse talent enables us to deliver on our brand promise to customers and serve our broad set of stakeholders. We are focused on supporting our employees from recruitment and onboarding, to ongoing development, and have implemented programs designed to encourage engagement, and personal wellness.</w:t>
      </w:r>
    </w:p>
    <w:p>
      <w:pPr>
        <w:spacing w:after="0" w:line="10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i w:val="1"/>
          <w:iCs w:val="1"/>
          <w:color w:val="auto"/>
        </w:rPr>
        <w:t xml:space="preserve">Our Culture and Values: </w:t>
      </w:r>
      <w:r>
        <w:rPr>
          <w:rFonts w:ascii="Arial" w:cs="Arial" w:eastAsia="Arial" w:hAnsi="Arial"/>
          <w:sz w:val="16"/>
          <w:szCs w:val="16"/>
          <w:color w:val="auto"/>
        </w:rPr>
        <w:t>Culture is the set of habits that allows a group of people to cooperate by assumption rather than by negotiation. It is composed of artifacts, norms,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and behaviors - and it is not what we say, but what we do without asking. Culture serves as the invisible glue that binds together the intangibles (e.g., how we treat each other, how we make decisions, how we serve our customers) with business objectives.</w:t>
      </w:r>
    </w:p>
    <w:p>
      <w:pPr>
        <w:spacing w:after="0" w:line="12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Remitly’s Cultural Values define our ideal behaviors and interactions. Each of us as individuals, teams, and as a company has strengths and growth opportunities. We view our values as a north star and, with a ‘growth mindset’, our aspiration to work towards. Our values give us a common language to guide our work, behavior and decision making every day.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Remitly’s culture is the foundation of our success. We invested in our culture and values the day we started this company more than a decade ago, and we will continue to invest for the decades to come. Our values are not stagnant. Every so often we take a step back to refresh our values, and we did so in 2022, with the goal of continuously improving as we grow to serve millions of new customers, attract exceptional employees, globalize, grasp opportunities and face challenges in our ever-changing world. Our cultural values define how we get things done. At Remitly we believe that how we accomplish our work leads to great outcomes in what we accomplish.</w:t>
      </w:r>
    </w:p>
    <w:p>
      <w:pPr>
        <w:spacing w:after="0" w:line="11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We’re intentional about infusing our values into everything we do. We actively use them in our daily conversations, for recognizing outstanding contributions, throughout our People processes, and when giving each other feedback to grow our careers and our impact.</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i w:val="1"/>
          <w:iCs w:val="1"/>
          <w:color w:val="auto"/>
        </w:rPr>
        <w:t>Diversity, Equity, and Inclusion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Diversity, Equity and Inclusion (“DEI”) is deeply rooted in our purpose and mission at Remitly. Our focus every day is to tirelessly deliver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our customers, many of whom may be underrepresented in the countries they've migrated to and have historically been left out of traditional financial systems. Effectively serving millions of customers sending money home to their families across the globe requires global teams of committed individuals who demonstrate a deep level of compassion, genuine curiosity, and who value varied lived experiences, perspectives and backgrounds.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13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To ensure we create an inclusive culture that embraces the diversity of our employees, we have invested in resources and created programs that encourage continuous learning and constructive dialogue at all levels of our organization, such as executive members co-hosting DEI monthly meetings with our Vice President of Environment Social Governance; creating working groups of senior leaders, managers, and individual contributors focused on improving policies and practices to improve employee development, belonging and hiring; supporting a variety of employee resource groups; offering inclusive interview training; and investing in tools that deliver weekly DEI-related learning content to employees.</w:t>
      </w:r>
    </w:p>
    <w:p>
      <w:pPr>
        <w:spacing w:after="0" w:line="145"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b w:val="1"/>
          <w:bCs w:val="1"/>
          <w:i w:val="1"/>
          <w:iCs w:val="1"/>
          <w:color w:val="auto"/>
        </w:rPr>
        <w:t xml:space="preserve">Employee Engagement and Retention. </w:t>
      </w:r>
      <w:r>
        <w:rPr>
          <w:rFonts w:ascii="Arial" w:cs="Arial" w:eastAsia="Arial" w:hAnsi="Arial"/>
          <w:sz w:val="16"/>
          <w:szCs w:val="16"/>
          <w:color w:val="auto"/>
        </w:rPr>
        <w:t>Employee voice and engagement is a cornerstone to how we foster a culture of belonging. This focus allows all of us to do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best to deliver for our customers every day. Activities and initiatives include annual employee engagement surveys, pulse surveys, ongoing feedback sessions, office hours, and 1:1s. Our cultural values are used as a common language for feedback, recognition and candidate assessment. Our cultural values are also woven throughout our employee lifecycle processes including onboarding, performance management, and development planning, which help us to attract, inspire, and retain a world-class and globally diverse team.</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Learning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encourage our employees to aim for the stars and continuously improve not only in tirelessly delivering to our customers, but also investing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themselves. We provide our employees with ongoing professional development, educational resources and leadership opportunities, reimbursements for continued education and encourage conference attendance, utilization of online educational curriculum, reimbursement for travel to our corridor countries, and participation in customer empathy programs and workshops.</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i w:val="1"/>
          <w:iCs w:val="1"/>
          <w:color w:val="auto"/>
        </w:rPr>
        <w:t>Benefits and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strive to offer market-competitive compensation and benefits to attract and retain employees for the long-term. Equity ownership is a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 of our total compensation program, allowing employees to share in our successes and aligning their interests with our long-term goals. We believe that providing employees with equity ownership in our company encourages long-term impact, creates an owner mindset, and is fundamental to employee engagement and to our employees feeling valued and recognized. We award promotions and performance equity grants based on an employee’s customer and business impact and their demonstration of our values. To ensure fair and equitable pay, we benchmark our employee compensation with external sources and audit for pay parity annually during the performance cycle.</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time, as well as mental wellness access from Modern Health, which provides coaching and counseling services for employees and dependents in their household. To support parents and families, we offer benefits through Maven so all employees on any path to parenthood have 24/7 access to virtual care, ranging from prenatal support and family planning, to delivery, postpartum, and pediatrics that support diverse family structures. Remitly also participates in the World Professional Association for Transgender Health (WPATH) so our teammates who identify as Transsexual, Transgender, and Gender Nonconforming People have access to the care they need. We sponsor a 401(k) plan that includes a matching contribution and offer financial coaching through a third-party provider. We also offer an employee stock purchase plan to enable eligible employees to purchase shares of common stock at a discount via accumulated payroll deductions.</w:t>
      </w:r>
    </w:p>
    <w:p>
      <w:pPr>
        <w:spacing w:after="0" w:line="133"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b w:val="1"/>
          <w:bCs w:val="1"/>
          <w:i w:val="1"/>
          <w:iCs w:val="1"/>
          <w:color w:val="auto"/>
        </w:rPr>
        <w:t>New Ways of Working</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 flexibility and well-being is paramount to us. We provide all employees productivity and collaboration tools and resources, including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training and toolkits to help managers effectively lead and manage remote teams. We are vested in providing equitable experiences, regardless of work mode. All employees are eligible for ergonomic assessments. For employees who have hybrid schedules, we offer in-office benefits like subsidized parking and public transportation benefits. For employees who are distributed, we offer remote work benefits such as home office set up stipends. We believe humans also benefit from in-person connection, so we bring our teams together for ‘moments that matter’ to create better products and services for our customers and to build stronger teams across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Philanthropy</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When immigrant communities have access to financial tools and resources, they change the future for themselves and their loved ones. They also transform the local economies where they live and work, as well as the countries where they send money. Through Remitly’s charitable giving programs, we aspire to invest in and support the organizations and coalitions who are committed to improving the economic, financial and social inclusion of immigrants and their families. In 2021, we joined Pledge 1%, a global movement that encourages and empowers companies of all sizes and stages to donate 1% of their staff time, product, profit, and/or equity to social good. Our major corporate philanthropy programs include the following:</w:t>
      </w:r>
    </w:p>
    <w:p>
      <w:pPr>
        <w:spacing w:after="0" w:line="130"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b w:val="1"/>
          <w:bCs w:val="1"/>
          <w:i w:val="1"/>
          <w:iCs w:val="1"/>
          <w:color w:val="auto"/>
        </w:rPr>
        <w:t xml:space="preserve">Pledge 1%. </w:t>
      </w:r>
      <w:r>
        <w:rPr>
          <w:rFonts w:ascii="Arial" w:cs="Arial" w:eastAsia="Arial" w:hAnsi="Arial"/>
          <w:sz w:val="14"/>
          <w:szCs w:val="14"/>
          <w:color w:val="auto"/>
        </w:rPr>
        <w:t>Our Pledge 1% commitment publicly acknowledges our intent to give back and expand our social impact in order to sustainably further our mission to expand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financial inclusion of immigrants. As such, in July 2021, our board of directors approved the reservation of up to 1,819,609 shares of our common stock (which was approximately 1.0% of our fully-diluted capitalization as of June 30, 2021) that we may issue to or for the benefit of a 501(c)(3) nonprofit foundation or a similar charitable organization pursuant to our Pledge 1% commitment in equal installments over ten years. In 2021 and 2022, we donated 181,961 shares of our common stock each year to the Remitly Philanthropic Fund. We also have a multifaceted social good program that aligns with our Pledge 1% philanthropic commitment. This includes:</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i w:val="1"/>
          <w:iCs w:val="1"/>
          <w:color w:val="auto"/>
        </w:rPr>
        <w:t xml:space="preserve">Corporate and Employee Giving. </w:t>
      </w:r>
      <w:r>
        <w:rPr>
          <w:rFonts w:ascii="Arial" w:cs="Arial" w:eastAsia="Arial" w:hAnsi="Arial"/>
          <w:sz w:val="16"/>
          <w:szCs w:val="16"/>
          <w:color w:val="auto"/>
        </w:rPr>
        <w:t>In 2022, we funded nearly $110,000 in financial assistance through our Remitly Scholars Program that helps students at the University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Philippines and the Mapua Institute of Technology, pay for school fees, books, food, school supplies and other resources they might need to successfully graduate from college. In addition, in the past year, Remitly, Inc. and our employees have collectively donated over $130,000 to support immigrant communities and helped strengthen community resilience by responding to disasters around the world.</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 xml:space="preserve">Product Deployment. </w:t>
      </w:r>
      <w:r>
        <w:rPr>
          <w:rFonts w:ascii="Arial" w:cs="Arial" w:eastAsia="Arial" w:hAnsi="Arial"/>
          <w:sz w:val="16"/>
          <w:szCs w:val="16"/>
          <w:color w:val="auto"/>
        </w:rPr>
        <w:t>When global crises and natural disasters occur, especially in the global south where many of our customers' families reside, we support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 need to send money home quickly by providing fee waivers so more of their remittances can be deployed to address immediate needs. In 2022, we provided over $500,000 in fee waivers and donations to support customers responding to their loved ones impacted by heavy storm damage in Nicaragua, Nigeria, Pakistan, the Philippines, and Puerto Rico.</w:t>
      </w:r>
    </w:p>
    <w:p>
      <w:pPr>
        <w:spacing w:after="0" w:line="128" w:lineRule="exact"/>
        <w:rPr>
          <w:sz w:val="20"/>
          <w:szCs w:val="20"/>
          <w:color w:val="auto"/>
        </w:rPr>
      </w:pPr>
    </w:p>
    <w:p>
      <w:pPr>
        <w:jc w:val="both"/>
        <w:spacing w:after="0" w:line="325" w:lineRule="auto"/>
        <w:rPr>
          <w:sz w:val="20"/>
          <w:szCs w:val="20"/>
          <w:color w:val="auto"/>
        </w:rPr>
      </w:pPr>
      <w:r>
        <w:rPr>
          <w:rFonts w:ascii="Arial" w:cs="Arial" w:eastAsia="Arial" w:hAnsi="Arial"/>
          <w:sz w:val="14"/>
          <w:szCs w:val="14"/>
          <w:b w:val="1"/>
          <w:bCs w:val="1"/>
          <w:i w:val="1"/>
          <w:iCs w:val="1"/>
          <w:color w:val="auto"/>
        </w:rPr>
        <w:t xml:space="preserve">Volunteering. </w:t>
      </w:r>
      <w:r>
        <w:rPr>
          <w:rFonts w:ascii="Arial" w:cs="Arial" w:eastAsia="Arial" w:hAnsi="Arial"/>
          <w:sz w:val="14"/>
          <w:szCs w:val="14"/>
          <w:color w:val="auto"/>
        </w:rPr>
        <w:t>In 2022, we focused on volunteer opportunities that addressed financial inclusion, family support for immigrants and refugees, and youth education. Volunteer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events included employees volunteering as mentors and career coaches, offering time and experience to students entering into the technology field. We also delivered several Employee Action Guides that provided Remitly employees with self-paced learning and mental health resources that could be shared with their online and offline networks.</w:t>
      </w:r>
    </w:p>
    <w:p>
      <w:pPr>
        <w:spacing w:after="0" w:line="10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 xml:space="preserve">Civic Engagement. </w:t>
      </w:r>
      <w:r>
        <w:rPr>
          <w:rFonts w:ascii="Arial" w:cs="Arial" w:eastAsia="Arial" w:hAnsi="Arial"/>
          <w:sz w:val="16"/>
          <w:szCs w:val="16"/>
          <w:color w:val="auto"/>
        </w:rPr>
        <w:t>In addition to volunteering, we encourage our employees to use their voice in local civic processes, register to vote, and learn about how to engage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leaders to influence change. We hosted workshops to help employees learn about civic engagement and community issues.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Copies of our Annual Reports on Form 10-K, Quarterly Reports on Form 10-Q, Current Reports on Form 8-K, and amendments to these reports filed or furnished pursuant to Section 13(a) or 15(d) of the Securities Exchange Act of 1934, as amended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site is www.sec.gov.</w:t>
      </w:r>
    </w:p>
    <w:p>
      <w:pPr>
        <w:spacing w:after="0" w:line="128"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We webcast our earnings calls and certain events we participate in or host with members of the investment community on our investor relations website. Additionally, we offer notifications of news or announcements regarding our financial performance, including SEC filings, investor events, and press and earnings releases through our investor relations website. We have used, and intend to continue to use, the Investor Relations section of our website at https://ir.remitly.com as a means of disclosing material non-public information and for complying with our disclosure obligations under Regulation FD. Further corporate governance information, including our board committee composition and charters, code of business conduct and ethics, and corporate governance guidelines,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our Consolidated Financial Statements and the accompanying notes included elsewhere in this Annual Report on Form 10-K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Some of the material risks that we face include:</w:t>
      </w:r>
    </w:p>
    <w:p>
      <w:pPr>
        <w:spacing w:after="0" w:line="181" w:lineRule="exact"/>
        <w:rPr>
          <w:sz w:val="20"/>
          <w:szCs w:val="20"/>
          <w:color w:val="auto"/>
        </w:rPr>
      </w:pPr>
    </w:p>
    <w:p>
      <w:pPr>
        <w:ind w:left="660" w:right="32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retain or grow our customer base, number of payment corridors, or scope of send and receive countries, our business and operating results will be harmed;</w:t>
      </w:r>
    </w:p>
    <w:p>
      <w:pPr>
        <w:spacing w:after="0" w:line="118" w:lineRule="exact"/>
        <w:rPr>
          <w:rFonts w:ascii="Arial" w:cs="Arial" w:eastAsia="Arial" w:hAnsi="Arial"/>
          <w:sz w:val="16"/>
          <w:szCs w:val="16"/>
          <w:color w:val="auto"/>
        </w:rPr>
      </w:pPr>
    </w:p>
    <w:p>
      <w:pPr>
        <w:ind w:left="660" w:right="220" w:hanging="328"/>
        <w:spacing w:after="0" w:line="29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partner with third parties to support fulfillment of our service, including risk management, payment processing, customer support, and disbursement, which exposes us to risks outside our direct control;</w:t>
      </w:r>
    </w:p>
    <w:p>
      <w:pPr>
        <w:spacing w:after="0" w:line="104" w:lineRule="exact"/>
        <w:rPr>
          <w:rFonts w:ascii="Arial" w:cs="Arial" w:eastAsia="Arial" w:hAnsi="Arial"/>
          <w:sz w:val="16"/>
          <w:szCs w:val="16"/>
          <w:color w:val="auto"/>
        </w:rPr>
      </w:pPr>
    </w:p>
    <w:p>
      <w:pPr>
        <w:ind w:left="660" w:right="42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31" w:lineRule="exact"/>
        <w:rPr>
          <w:rFonts w:ascii="Arial" w:cs="Arial" w:eastAsia="Arial" w:hAnsi="Arial"/>
          <w:sz w:val="16"/>
          <w:szCs w:val="16"/>
          <w:color w:val="auto"/>
        </w:rPr>
      </w:pPr>
    </w:p>
    <w:p>
      <w:pPr>
        <w:ind w:left="660" w:right="42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Cyber-attacks, data security breaches, or other similar incidents could result in serious harm to our business, reputation and financial condition, including by triggering a breach of our agreements with significant partners that we rely on to deliver our services;</w:t>
      </w:r>
    </w:p>
    <w:p>
      <w:pPr>
        <w:spacing w:after="0" w:line="131" w:lineRule="exact"/>
        <w:rPr>
          <w:rFonts w:ascii="Arial" w:cs="Arial" w:eastAsia="Arial" w:hAnsi="Arial"/>
          <w:sz w:val="16"/>
          <w:szCs w:val="16"/>
          <w:color w:val="auto"/>
        </w:rPr>
      </w:pPr>
    </w:p>
    <w:p>
      <w:pPr>
        <w:ind w:left="660" w:right="60" w:hanging="328"/>
        <w:spacing w:after="0" w:line="349" w:lineRule="auto"/>
        <w:tabs>
          <w:tab w:leader="none" w:pos="649"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subject to privacy laws across multiple jurisdictions which are highly complex, overlapping, frequently changing, and which create compliance challenges that may expose us to substantial costs, liabilities, or loss of customer trust. Our actual or perceived failure to comply with these laws could harm our business;</w:t>
      </w:r>
    </w:p>
    <w:p>
      <w:pPr>
        <w:spacing w:after="0" w:line="71" w:lineRule="exact"/>
        <w:rPr>
          <w:rFonts w:ascii="Arial" w:cs="Arial" w:eastAsia="Arial" w:hAnsi="Arial"/>
          <w:sz w:val="14"/>
          <w:szCs w:val="14"/>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Use of our platform for illegal or fraudulent activities could harm our business, reputation, financial condition, and operating results;</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platform is susceptible to fraud, and our business, reputation, financial condition and operating results could be harmed as a result;</w:t>
      </w:r>
    </w:p>
    <w:p>
      <w:pPr>
        <w:spacing w:after="0" w:line="167" w:lineRule="exact"/>
        <w:rPr>
          <w:rFonts w:ascii="Arial" w:cs="Arial" w:eastAsia="Arial" w:hAnsi="Arial"/>
          <w:sz w:val="16"/>
          <w:szCs w:val="16"/>
          <w:color w:val="auto"/>
        </w:rPr>
      </w:pPr>
    </w:p>
    <w:p>
      <w:pPr>
        <w:ind w:left="660" w:right="380" w:hanging="328"/>
        <w:spacing w:after="0" w:line="29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comply with sanctions laws, anti-terrorist financing laws, anti-money laundering laws and similar laws associated with our activities outside of the United States, and anti-corruption laws could subject us to penalties and other adverse consequences;</w:t>
      </w:r>
    </w:p>
    <w:p>
      <w:pPr>
        <w:spacing w:after="0" w:line="104" w:lineRule="exact"/>
        <w:rPr>
          <w:rFonts w:ascii="Arial" w:cs="Arial" w:eastAsia="Arial" w:hAnsi="Arial"/>
          <w:sz w:val="16"/>
          <w:szCs w:val="16"/>
          <w:color w:val="auto"/>
        </w:rPr>
      </w:pPr>
    </w:p>
    <w:p>
      <w:pPr>
        <w:ind w:left="660" w:right="42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3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there is any material change of service terms or loss of coverage in our payment processors and disbursement network, our business could be harmed;</w:t>
      </w:r>
    </w:p>
    <w:p>
      <w:pPr>
        <w:spacing w:after="0" w:line="178" w:lineRule="exact"/>
        <w:rPr>
          <w:rFonts w:ascii="Arial" w:cs="Arial" w:eastAsia="Arial" w:hAnsi="Arial"/>
          <w:sz w:val="15"/>
          <w:szCs w:val="15"/>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our disbursement partners do not provide a positive recipient experience, our business would be harmed;</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color w:val="auto"/>
        </w:rPr>
        <w:t>We may fail to maintain an effective system of internal controls over financial reporting and may not be able to accurately and timely report our financial results;</w:t>
      </w:r>
    </w:p>
    <w:p>
      <w:pPr>
        <w:spacing w:after="0" w:line="178" w:lineRule="exact"/>
        <w:rPr>
          <w:rFonts w:ascii="Arial" w:cs="Arial" w:eastAsia="Arial" w:hAnsi="Arial"/>
          <w:sz w:val="15"/>
          <w:szCs w:val="15"/>
          <w:b w:val="1"/>
          <w:bCs w:val="1"/>
          <w:i w:val="1"/>
          <w:iCs w:val="1"/>
          <w:color w:val="auto"/>
        </w:rPr>
      </w:pPr>
    </w:p>
    <w:p>
      <w:pPr>
        <w:ind w:left="660" w:hanging="328"/>
        <w:spacing w:after="0" w:line="310" w:lineRule="auto"/>
        <w:tabs>
          <w:tab w:leader="none" w:pos="649"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 and</w:t>
      </w:r>
    </w:p>
    <w:p>
      <w:pPr>
        <w:spacing w:after="0" w:line="107" w:lineRule="exact"/>
        <w:rPr>
          <w:rFonts w:ascii="Arial" w:cs="Arial" w:eastAsia="Arial" w:hAnsi="Arial"/>
          <w:sz w:val="15"/>
          <w:szCs w:val="15"/>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currency exchange rates could harm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and Strategic Risks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or grow our customer base, number of payment corridors, or scope of send and receive countries, our business and operating results will be harmed.</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13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118"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In addition, in certain markets there is a limited number of third-party service providers capable of processing payments on our behalf.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103" w:lineRule="exact"/>
        <w:rPr>
          <w:sz w:val="20"/>
          <w:szCs w:val="20"/>
          <w:color w:val="auto"/>
        </w:rPr>
      </w:pPr>
    </w:p>
    <w:p>
      <w:pPr>
        <w:ind w:right="100"/>
        <w:spacing w:after="0" w:line="325" w:lineRule="auto"/>
        <w:rPr>
          <w:sz w:val="20"/>
          <w:szCs w:val="20"/>
          <w:color w:val="auto"/>
        </w:rPr>
      </w:pPr>
      <w:r>
        <w:rPr>
          <w:rFonts w:ascii="Arial" w:cs="Arial" w:eastAsia="Arial" w:hAnsi="Arial"/>
          <w:sz w:val="14"/>
          <w:szCs w:val="14"/>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addition, some of these third parties process personal information and customer payments subject to our security requirements. Any failure of these parties to implement and operate adequate privacy, data security,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14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1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Our solution is a technology-driven platform that relies on innovation to remain competitive. Our process of developing new features and products is complex and relies upon both internally developed and third-party technologies and services, including artificial intelligence (“AI”) and machine learning, and cloud-based technologies. We may not be able to make product or technological improvements as quickly as demanded by our customers, or to market them effectively, which could harm our ability to attract or retain customers. For example, we continue to develop new products and services which require ongoing investment. It is possible that these new products may not return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13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13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and operating results.</w:t>
      </w:r>
    </w:p>
    <w:p>
      <w:pPr>
        <w:spacing w:after="0" w:line="142"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In addition, the broader financial services sector is experiencing rapid evolution in technologies and there has recently been significant advancement in the development of neobanking and the exchange of digital assets, or cryptocurrency, as well as other real time payment technologies. In particular, the advancement in the development of cryptocurrencies has led to new entrants in the market for remittances and financial services more generally and could materially impact the remittance and financial services industry in the future. Any failure to timely anticipate changes in customer behavior related to new payment technologies, including a preference by our customers for cryptocurrency usage, or to successfully integrate such technologies into our services could result in a loss of customers and corresponding loss of revenue.</w:t>
      </w:r>
    </w:p>
    <w:p>
      <w:pPr>
        <w:spacing w:after="0" w:line="118"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 this growth. For example, in the previous four years, our headcount grew from over 750 employees as of the beginning of 2019, to over 2,700 global employees as of December 31, 2022,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133"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15"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For example, our controls, policies and procedures, including with respect to accounting, risk management, privacy, data 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12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If we, our partners, or our industry generally are unable to provide a high-quality and secure customer experience in the various locales in which we operate, our brand could suffer reputational damage and our business results could be harmed.</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is largely driven by and reliant on customer trust in our handling of money remittances. The pricing and reliability of our service, the security of personal information (including sensitive personal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actual or reported cyber-attack, data security breach or other security incident with respect to our systems, or violation of our privacy or information security policies, or applicable legal or contractual obligations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349" w:lineRule="auto"/>
        <w:rPr>
          <w:sz w:val="20"/>
          <w:szCs w:val="20"/>
          <w:color w:val="auto"/>
        </w:rPr>
      </w:pPr>
      <w:r>
        <w:rPr>
          <w:rFonts w:ascii="Arial" w:cs="Arial" w:eastAsia="Arial" w:hAnsi="Arial"/>
          <w:sz w:val="14"/>
          <w:szCs w:val="14"/>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85"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Our business is subject to the risk of financial losses as a result of operational errors, fraudulent activity, employee misconduct, or other similar actions or errors on our platform or our partners’ platform solutions. We have been in the past, and will continue to be, subject to losses due to software errors in our platform, operational errors by our employees or third-party 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$41.9 million, or 0.15%, $29.7 million, or 0.15%, and $17.2 million, or 0.14%, of total send volume in connection with such errors, fraud, and misconduct in the years ended December 31, 2022, 2021, and 2020, respectively. We expect that losses of similar or greater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operating losses and there is no assurance that our business will become profitable or that, if we achieve profitability, we will be able to sustain it.</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were incorporated in 2011 and we have experienced net losses since inception. We generated net losses of $114.0 million, $38.8 million, and $32.6 million for the years ended December 31, 2022, 2021, and 2020, respectively.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1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04"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revenue was $653.6 million, $458.6 million and $257.0 million, and our send volume was over $28.6 billion, $20.4 billion and $12.1 billion, for the years ended December 31, 2022, 2021, and 2020, respectively. Although a large market share for remittance services remains untapped by us, we have recently 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14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 the rates at which customers transact on our platform;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attract new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the functionality and scope of the products we offer on our platform;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our services competitively;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 high quality, highly available products;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 trust with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 send volume;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our customers with high-quality customer support that meets their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introduce our services in new payment corridors and markets, including maintaining existing and obtaining new money transmitter licenses;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localize our services;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successfully identify and acquire or invest in businesses, products, or technologies that we believe could complement or expand our platform;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awareness of our brand and successfully compete with other companies.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growth.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Data Security, Intellectual Property, and Technology Risks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Cyber-attacks, data security breaches, or other similar incidents could result in serious harm to our business, reputation and financial condition, including by triggering a breach of our agreements with significant partners that we rely on to deliver our services.</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Cyber-attacks, data security breaches and other similar incidents continue to increase in frequency, evolve in nature, become more sophisticated, and may be difficult to detect for long periods of time, particularly as our business continues to rapidly grow. These incidents, which include, among other things, advanced and persisting cyber-attacks, ransomware, cyber extortion, phishing and social engineering schemes, the introduction of computer viruses or other malware, computer hacking, fraudulent use attempts, vendor errors, human error, fraud, denial-of-service attacks, credential stuffing, and the physical destruction of all or portions of our IT infrastructure and those of third parties with whom we partner could compromise the confidentiality, availability, and integrity of the data in our systems. In addition, third parties may attempt to fraudulently induce employees to disclose information in order to gain access to our data. Moreover, we regularly encounter attempts to create false or undesirable accounts or take other actions on our platform for purposes such as spamming, spreading misinformation, or other objectionable ends. Threats to our computer systems and those of our third-party technology providers or clients come from a variety of sources, including organized criminal threat actors, nation states and state-sponsored organizations with significant financial and technological resources. We have experienced from time to time, and may experience in the future, security incidents due to, among other things, human error, fraud, malice, malfeasance, insider threats, system errors or vulnerabilities, accidental technological failure or other irregularities on the part of employees, contractors, vendors or other third parties. Any such incidents with respect to our network infrastructure or IT systems or to computer hardware we lease from third parties, could, among other things, cause interruptions to our platform, degrade the user experience, cause users to lose confidence and trust in our platform, impair our internal systems and harm our reputation and our ability to retain existing customers and attract new customers.</w:t>
      </w:r>
    </w:p>
    <w:p>
      <w:pPr>
        <w:spacing w:after="0" w:line="127" w:lineRule="exact"/>
        <w:rPr>
          <w:sz w:val="20"/>
          <w:szCs w:val="20"/>
          <w:color w:val="auto"/>
        </w:rPr>
      </w:pPr>
    </w:p>
    <w:p>
      <w:pPr>
        <w:ind w:right="140"/>
        <w:spacing w:after="0" w:line="308" w:lineRule="auto"/>
        <w:rPr>
          <w:sz w:val="20"/>
          <w:szCs w:val="20"/>
          <w:color w:val="auto"/>
        </w:rPr>
      </w:pPr>
      <w:r>
        <w:rPr>
          <w:rFonts w:ascii="Arial" w:cs="Arial" w:eastAsia="Arial" w:hAnsi="Arial"/>
          <w:sz w:val="14"/>
          <w:szCs w:val="14"/>
          <w:color w:val="auto"/>
        </w:rPr>
        <w:t>In addition, because we rely on third-party service providers in our business, we rely on the cybersecurity practices and policies adopted by third parties. Our ability to monitor our third-party service providers’ cybersecurity practices is limited. Our third-party technology providers, disbursement partners and other third parties, including downstream service providers,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and/or blackmail us to pay a ransom.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 cyber-attack, data security breach or other similar incident breach could lead to any of the following:</w:t>
      </w:r>
    </w:p>
    <w:p>
      <w:pPr>
        <w:spacing w:after="0" w:line="16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monetary and other losses for us or our customers;</w:t>
      </w:r>
    </w:p>
    <w:p>
      <w:pPr>
        <w:spacing w:after="0" w:line="22"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identity theft for our customers;</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inability to expand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scrutiny, restrictions, fines or penalties from regulatory or governmental authorities;</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 of customers and customer confidence in our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declines in user growth or engagement;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regulatory oversight, assessments and audits;</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exposure to civil litigation (including civil claims, such as representative actions and other class action-type litigation);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orders to cease or change our processing of our data;</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breach of our contracts with lenders or other third parties;</w:t>
      </w:r>
    </w:p>
    <w:p>
      <w:pPr>
        <w:spacing w:after="0" w:line="1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termination of services provided to us; or</w:t>
      </w:r>
    </w:p>
    <w:p>
      <w:pPr>
        <w:spacing w:after="0" w:line="8" w:lineRule="exact"/>
        <w:rPr>
          <w:rFonts w:ascii="Arial" w:cs="Arial" w:eastAsia="Arial" w:hAnsi="Arial"/>
          <w:sz w:val="16"/>
          <w:szCs w:val="16"/>
          <w:color w:val="auto"/>
        </w:rPr>
      </w:pPr>
    </w:p>
    <w:p>
      <w:pPr>
        <w:ind w:left="660" w:right="340" w:hanging="328"/>
        <w:spacing w:after="0" w:line="27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liquidity risks or a negative impact on our relationships with our financial services providers, including payment processors or relevant network organizations, such as Visa or MasterCard, disbursement partners, and other third parties.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a result, any such attack or breach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cyber-attack, data security breach or other similar incident, including repairing system damage, increasing security protection costs, investigating and remediating any information security vulnerabilities, complying with data breach notification obligations and applicable laws, and defending against and resolving legal and regulatory claims, all of which could divert resources and the attention of our management and key personnel away from our business operations and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While we maintain insurance policies, our coverage may be insufficient to compensate us for all losses caused by cyber-attacks, data security breaches or other similar incidents, and any such incidents may result in increased costs for such insurance. We also cannot ensure that our existing cybersecurity insurance coverage will continue to be available on acceptable terms, or at all, or that the insurer will not deny coverage as to any future claim. The successful assertion of one or more large claims against us that exceed available insurance coverage, or the occurrence of any changes in our insurance policies, including premium increases or the imposition of large deductible or co-insurance requirements, could adversely affect our reputation and our business, financial condition, and operating results.</w:t>
      </w:r>
    </w:p>
    <w:p>
      <w:pPr>
        <w:spacing w:after="0" w:line="113"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In addition, the trend towards working from home and using private residential networks to access the internet may further exacerbate risks associated with cyber-attacks, data security breaches and other similar incidents as private work environments and electronic connections to our work environment may not have the same security measures deployed in our offices.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For additional information, see “—Our business is subject to the risks of earthquakes, fires, floods, public health crises, pandemics, and other natural catastrophic events, and to interruption by man-made problems such as cyber-attacks, ransomware internal or third-party system failures, political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unrest, market or currency disruptions, and terrorism, which could result in system and process failures and interruptions which could harm our business.”</w:t>
      </w:r>
    </w:p>
    <w:p>
      <w:pPr>
        <w:spacing w:after="0" w:line="153"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b w:val="1"/>
          <w:bCs w:val="1"/>
          <w:i w:val="1"/>
          <w:iCs w:val="1"/>
          <w:color w:val="auto"/>
        </w:rPr>
        <w:t>We are subject to numerous privacy and data security laws, rules, regulations, industry standards and other obligations across multiple jurisdictions which are highly complex, overlapping, frequently changing, and which create compliance challenges that may expose us to substantial costs, liabilities, or loss of customer trust. Our actual or perceived failure to comply with these obligations could harm our business.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color w:val="auto"/>
        </w:rPr>
        <w:t>The various privacy and data security laws, rules, regulations, industry standards and other obligations with which we must comply, including with respect to technologies such as cloud computing, AI, machine learning, cryptocurrency, and blockchain technology, are complex and evolving. In addition, practices regarding the collection, use, storage, transmission, disclosure, deletion, security and other processing of personal information by companies operating over the internet have recently come under increased public scrutiny. State, federal and foreign lawmakers and regulatory authorities have increased their attention on the collection and use of consumer data and personal information. In addition, many jurisdictions in which we operate have or are developing laws that protect the privacy and security of sensitive and personal information. Further, we have internal and publicly posted privacy policies regarding our collection, processing, use, disclosure, deletion, security and other processing of personal information. Further, our agreements with third parties, including significant agreements with payment processors, credit card and debit card issuers and bank partners, contain contractual commitments we are required to adhere to related to privacy and data security compliance.</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Compliance with such laws, rules, regulations, industry standards and other obligations, including our policies and documentation, requires that we expend significant resources, and we cannot guarantee that we will be able to successfully comply with all such privacy and data security obligations,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Our failure to adequately address privacy and data security-related concerns, even if unfounded, or to comply with applicable laws, rules, regulations, industry standards and other obligations relating to privacy and data security could result in regulatory or government investigations, monetary penalties, fines, sanctions, claims, litigation (including civil claims, such as representative actions and other class action-type litigation), orders to cease or change our processing of our data, enforcement notices, assessment notices (for a compulsory audit), compensation or damages liabilities, increased cost of operations, changes to our business practices (including changes to the manner in which we transfer personal information between and among countries and regions in which we operate or the manner in which we provide our services and the geographical location or segregation of our relevant systems and operations), declines in user growth or engagement, diversion of internal resources and reputational damage, all of which could have a material adverse effect on our business, including how we collect, use and otherwise process personal information, and harm our business, operating results, and financial condition. Such penalties may be in addition to any civil litigation claim by customers and data subjects. In addition, the publication of our privacy policies and other documentation that provide commitments about privacy and data security can subject us to potential actions if they are found to be deceptive, unfair, or otherwise misrepresent our actual practices, which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For additional discussion about privacy and the regulatory environment that we operate in, please see the section titled “Business—Privacy and Cybersecurity.”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efficient and uninterrupted operation of technologies that we use to deliver our services is essential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cyber-attacks, data security breaches and other similar incidents,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new customers and could decrease the frequency with which existing customers use our website and mobile solutions. As a result, our business, financial results and operating results may be harmed.</w:t>
      </w:r>
    </w:p>
    <w:p>
      <w:pPr>
        <w:spacing w:after="0" w:line="13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In addition, our platform is currently vulnerable to downtime should a major physical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12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If we are unable to adequately obtain, maintain, protect, defend, or enforce our IP Rights, our business, prospects, financial condition, and operating results could be harmed.</w:t>
      </w:r>
    </w:p>
    <w:p>
      <w:pPr>
        <w:spacing w:after="0" w:line="104" w:lineRule="exact"/>
        <w:rPr>
          <w:sz w:val="20"/>
          <w:szCs w:val="20"/>
          <w:color w:val="auto"/>
        </w:rPr>
      </w:pPr>
    </w:p>
    <w:p>
      <w:pPr>
        <w:ind w:right="240"/>
        <w:spacing w:after="0" w:line="284" w:lineRule="auto"/>
        <w:rPr>
          <w:sz w:val="20"/>
          <w:szCs w:val="20"/>
          <w:color w:val="auto"/>
        </w:rPr>
      </w:pPr>
      <w:r>
        <w:rPr>
          <w:rFonts w:ascii="Arial" w:cs="Arial" w:eastAsia="Arial" w:hAnsi="Arial"/>
          <w:sz w:val="15"/>
          <w:szCs w:val="15"/>
          <w:color w:val="auto"/>
        </w:rPr>
        <w:t>The Remitly brand and our proprietary technology, trademarks, service marks, trade names, copyrights, domain names, trade dress, patents and trade secrets, and other IP Rights that support that brand are important to our business. We rely on, and expect to continue to rely on, a combination of intellectual property laws, technological restrictions, provisions in our terms of service and contractual provisions including confidentiality, invention assignment, and license agreements with our employees, contractors, consultants, and other third parties with whom we work, to establish and protect our brand, proprietary technology, and other IP Rights.</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In particular, the laws of some foreign countries do not protect IP Rights to the same extent as U.S. laws, and many companies have encountered significant challenges in establishing and enforcing their IP Rights outside of the United States. These challenges can be caused by the absence or inconsistency of the application of rules and methods for the establishment and enforcement of IP Rights outside of the United States. In addition, the legal systems of some countries, particularly certain developing countries, do not favor the enforcement of intellectual property protection. This could make it difficult for us to stop the infringement, misappropriation or other violation of our IP Rights. Accordingly, we may choose not to seek protection in certain countries, and we will not have the benefit of protection in such countries.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United States. These products and services may compete with our products and services, and our IP Rights may not be effective or sufficient to prevent them from competing. In addition, changes in U.S. and foreign law and legal decisions in U.S. and foreign courts may affect our ability to obtain adequate protection for our products, services and other technologies and the enforcement of our IP Rights. Furthermore,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 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5"/>
          <w:szCs w:val="15"/>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122"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Although we take steps to protect our proprietary technology and IP Rights, we cannot be certain that the steps we have taken will be sufficient to prevent others from using or seeking to register our IP Rights. Additionally, we cannot be certain that the steps we have taken will be sufficient or effective to prevent the unauthorized access, use, copying, reverse engineering, independent development, infringement, misappropriation or other violation of our proprietary technology and IP Rights, including by third parties who may use our technology or other proprietary information, including to develop services that compete with ours. The contractual provisions that we enter into with employees, contractors, consultants, disbursement partners, vendors, and customers may not prevent unauthorized use or disclosure of our proprietary technology and IP Rights and may not provide an adequate remedy in the event of such unauthorized use or disclosure. We also cannot guarantee that we have entered into confidentiality agreements with each party that may have or has had access to our trade secrets or proprietary technology or that our invention assignment agreements will be effective or self-executing. In addition, we may be unable to determine the extent of any unauthorized use or infringement, misappropriation, or other violation of our services, technologies, or IP Rights. Policing unauthorized use of our technologies, services, and intellectual property is difficult, expensive, and time consuming, particularly in countries where the laws and enforcement of said laws may not effectively protect our IP Rights. In addition, we may be unable to determine the extent of any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123" w:lineRule="exact"/>
        <w:rPr>
          <w:sz w:val="20"/>
          <w:szCs w:val="20"/>
          <w:color w:val="auto"/>
        </w:rPr>
      </w:pPr>
    </w:p>
    <w:p>
      <w:pPr>
        <w:ind w:right="200"/>
        <w:spacing w:after="0" w:line="394" w:lineRule="auto"/>
        <w:rPr>
          <w:sz w:val="20"/>
          <w:szCs w:val="20"/>
          <w:color w:val="auto"/>
        </w:rPr>
      </w:pPr>
      <w:r>
        <w:rPr>
          <w:rFonts w:ascii="Arial" w:cs="Arial" w:eastAsia="Arial" w:hAnsi="Arial"/>
          <w:sz w:val="13"/>
          <w:szCs w:val="13"/>
          <w:b w:val="1"/>
          <w:bCs w:val="1"/>
          <w:i w:val="1"/>
          <w:iCs w:val="1"/>
          <w:color w:val="auto"/>
        </w:rPr>
        <w:t>If we fail to comply with our obligations under license or technology agreements with third parties, or if we cannot license rights to use technologies on reasonable terms, we could be required to pay damages, lose license rights that are critical to our business or be unable to commercialize new products and services in the future.</w:t>
      </w:r>
    </w:p>
    <w:p>
      <w:pPr>
        <w:spacing w:after="0" w:line="49"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products and services, or inhibit our ability to commercialize current or future products and services. Our business may suffer if any current or future licenses or other grants of rights to us terminate, if the licensors (or other applicable counterparties) fail to abide by the terms of the license or other applicable agreement, if the licensors fail to enforce the licensed IP Rights against infringing third parties, or if the licensed IP Rights are found to be invalid or unenforceable. Third parties from whom we currently license intellectual property and technology could refuse to renew our agreements upon their expiration or could impose additional terms and fees that we otherwise would not deem acceptable requiring us to obtain the intellectual property or technology from another third party, if any is available, or to pay increased licensing fees or be subject to additional restrictions on our use of such third party intellectual property or technology.</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future, we may also identify additional third-party intellectual property and technologies that we may need to license or otherwise obtain rights to conduct our business, including to develop or commercialize new products and services. However, such licenses or other grants of rights may not be available on acceptable terms, or at all. The licensing or acquisition of third-party IP Rights is a competitive area, and several more established companies may pursue strategies to license or acquire third-party IP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license or otherwise grant rights to us. Even if such licenses or other grants of rights are available, we may be required to pay the licensor (or other applicable counterparty) substantial royalties, which may affect the margins on our products and services. In addition, such licenses or other grants of rights may be non-exclusive, which could give our competitors access to the same intellectual property licensed to us. Failure to obtain the necessary licenses or otherwise obtain adequate grants of rights on favorable terms, or at all, could prevent us from commercializing products and services, which could have a material adverse effect on our competitive position,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Assertions by third parties of infringement, misappropriation, or other violations by us of their IP Rights could result in significant costs and substantially harm our business and operating results.</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Intellectual property disputes are common in the payments and digital financial services industries. We may become involved in lawsuits to protect or enforce our IP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IP Rights against us. As the number of services and competitors in our market increases and overlaps occur, claims of infringement, misappropriation, and other violations of IP Rights may increase. Any claim of infringement, misappropriation, or other violation of IP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misappropriate, or otherwise violate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and third-party technology could impose limitations on our ability to offer our products and services to customers.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use open source software in connection with our products and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products and services to conditions we do not 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products and services, to make our proprietary code generally available in source code form, to re-engineer our products and services, or to discontinue our products and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products and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129"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i w:val="1"/>
          <w:iCs w:val="1"/>
          <w:color w:val="auto"/>
        </w:rPr>
        <w:t>If we do not or cannot maintain the compatibility of our platform with the most popular mobile, desktop, and tablet device and browser platforms, our revenue and growth prospects may decline.</w:t>
      </w:r>
    </w:p>
    <w:p>
      <w:pPr>
        <w:spacing w:after="0" w:line="104"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Our customers access our product offerings increasingly through mobile phones and also through the use of various hardware devices, browser, and software platforms. If any of the device, browser, or software platforms that our product offerings depend upon change features of their application programming interfaces (“APIs”), discontinue their support of such APIs, restrict our access to their APIs, or alter the terms governing their use in a manner that is adverse to our business, we will not be able to provide compatible product offerings, which could significantly diminish the value of our product offerings and harm our business, operating results, and financial condition.</w:t>
      </w:r>
    </w:p>
    <w:p>
      <w:pPr>
        <w:spacing w:after="0" w:line="113"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The functionality and popularity of our product offerings depends, in part, on our ability to integrate our systems with the systems of our strategic partners. These strategic partners periodically update and change their systems, and although we have been able to adapt our systems to their evolving needs in the past, there can be no guarantee that we will be able to do so in the future. While we have multiple API integrations and partner redundancies built into our systems, if we are unable to adapt to the needs of our strategic partners’ systems,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Compliance Risks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obtain or maintain necessary money transmission licenses across our global footprint could adversely affect our operations.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provision of money transfer services is highly regulated, and the requirements vary from jurisdiction to jurisdiction. As a licensed money transmitter, we are subject to net worth requirements, including requirements to maintain reserves in an amount equivalent to outstanding payment obligations, bonding requirements, liquidity requirements, limitations on receivables from our affiliates or third parties,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Failure by Remitly, our agents or their subagents, and service providers to comply with any of these requirements or their interpretation could result in the suspension or revocation of a license or registration required to provide money transfer, payment or foreign exchange services, the limitation, suspension, or termination of services, changes to our business model, loss of consumer confidence, the seizure of our assets, and/or the imposition of civil and criminal penalties, including fines and restrictions on our ability to offer services.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In addition, our regulators could further restrict the type of instruments that qualify as permissible investments or require our regulated subsidiaries to maintain higher levels of eligible assets.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33" w:lineRule="exact"/>
        <w:rPr>
          <w:sz w:val="20"/>
          <w:szCs w:val="20"/>
          <w:color w:val="auto"/>
        </w:rPr>
      </w:pPr>
    </w:p>
    <w:p>
      <w:pPr>
        <w:ind w:right="380"/>
        <w:spacing w:after="0" w:line="328" w:lineRule="auto"/>
        <w:rPr>
          <w:sz w:val="20"/>
          <w:szCs w:val="20"/>
          <w:color w:val="auto"/>
        </w:rPr>
      </w:pPr>
      <w:r>
        <w:rPr>
          <w:rFonts w:ascii="Arial" w:cs="Arial" w:eastAsia="Arial" w:hAnsi="Arial"/>
          <w:sz w:val="15"/>
          <w:szCs w:val="15"/>
          <w:b w:val="1"/>
          <w:bCs w:val="1"/>
          <w:i w:val="1"/>
          <w:iCs w:val="1"/>
          <w:color w:val="auto"/>
        </w:rPr>
        <w:t>Our fees, profit margins, and/or foreign exchange spreads may be reduced or limited because of regulatory initiatives and changes in laws and regulations or their interpretation and industry practices and standards that are either industry wide or specifically targeted at our Company.</w:t>
      </w:r>
    </w:p>
    <w:p>
      <w:pPr>
        <w:spacing w:after="0" w:line="82"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The evolving regulatory environment, including increased fees or taxes, regulatory initiatives, and changes in laws and regulations or their interpretation, industry practices and standards imposed by state, federal, or foreign governments, and expectations regarding our compliance efforts, is impacting the manner in which we operate our business, may change the competitive landscape, and is expected to continue to adversely affect our financial results. Existing, new, and proposed legislation relating to financial services providers and consumer protection in various jurisdictions around the world has affected and may continue to affect the manner in which we provide our services. Recently proposed and enacted legislation related to financial services providers and consumer protection in various jurisdictions around the world and at the federal and state level in the United States has subjected and may continue to subject us to additional regulatory oversight, mandate additional consumer disclosures and remedies, including refunds to consumers, or otherwise impact the manner in which we provide our services. In particular, the CFPB may be contemplating new regulations or limitations on the fees imposed by remittance companies, the exchange rates applied to transactions by these companies, as well as the level of transparency surrounding such fees and exchange rates. Such regulations may require us to assume fees and charges by third-party providers that are outside of our control.</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w:t>
      </w:r>
    </w:p>
    <w:p>
      <w:pPr>
        <w:spacing w:after="0" w:line="1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Furthermore, governmental agencies both in the United States and worldwide may impose new or additional rules on money transfers affecting us, our agents, partner banks or commercial counterparties, including regulations that:</w:t>
      </w:r>
    </w:p>
    <w:p>
      <w:pPr>
        <w:spacing w:after="0" w:line="104"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prohibit, restrict, and/or impose taxes or fees on remittance transactions in, to, or from certain countries or with certain governments, individuals, and entities;</w:t>
      </w:r>
    </w:p>
    <w:p>
      <w:pPr>
        <w:spacing w:after="0" w:line="178" w:lineRule="exact"/>
        <w:rPr>
          <w:rFonts w:ascii="Arial" w:cs="Arial" w:eastAsia="Arial" w:hAnsi="Arial"/>
          <w:sz w:val="15"/>
          <w:szCs w:val="15"/>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agent, subagent due diligence, and vendor management requirements;</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167" w:lineRule="exact"/>
        <w:rPr>
          <w:rFonts w:ascii="Arial" w:cs="Arial" w:eastAsia="Arial" w:hAnsi="Arial"/>
          <w:sz w:val="16"/>
          <w:szCs w:val="16"/>
          <w:color w:val="auto"/>
        </w:rPr>
      </w:pPr>
    </w:p>
    <w:p>
      <w:pPr>
        <w:ind w:left="660" w:right="20" w:hanging="328"/>
        <w:spacing w:after="0" w:line="29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 on us or our agents and their subagents;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or restrict the revenue which may be generated from money transfers, including transaction fees and revenue derived from foreign exchange;</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additional consumer protection rights to our customers (including enhanced disclosures);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the principal amount of money originated in a country to be invested in that country or held in a trust until they are paid;</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limit the number or principal amount of remittances, which may be sent to or from a jurisdiction, whether by an individual, through one agent, or in aggregate;</w:t>
      </w:r>
    </w:p>
    <w:p>
      <w:pPr>
        <w:spacing w:after="0" w:line="178" w:lineRule="exact"/>
        <w:rPr>
          <w:rFonts w:ascii="Arial" w:cs="Arial" w:eastAsia="Arial" w:hAnsi="Arial"/>
          <w:sz w:val="15"/>
          <w:szCs w:val="15"/>
          <w:color w:val="auto"/>
        </w:rPr>
      </w:pPr>
    </w:p>
    <w:p>
      <w:pPr>
        <w:ind w:left="660" w:right="3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more stringent information technology, data security, privacy, and operational security requirements on us or our agents and their subagents, including relating to data transfers and the use of cloud infrastructure;</w:t>
      </w:r>
    </w:p>
    <w:p>
      <w:pPr>
        <w:spacing w:after="0" w:line="131" w:lineRule="exact"/>
        <w:rPr>
          <w:rFonts w:ascii="Arial" w:cs="Arial" w:eastAsia="Arial" w:hAnsi="Arial"/>
          <w:sz w:val="16"/>
          <w:szCs w:val="16"/>
          <w:color w:val="auto"/>
        </w:rPr>
      </w:pPr>
    </w:p>
    <w:p>
      <w:pPr>
        <w:ind w:left="660" w:right="14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additional risk management and related governance and oversight requirements, including relating to the outsources of services to other group companies or to third parties; and</w:t>
      </w:r>
    </w:p>
    <w:p>
      <w:pPr>
        <w:spacing w:after="0" w:line="13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 or limit exclusive arrangements with our agents and subagents.</w:t>
      </w:r>
    </w:p>
    <w:p>
      <w:pPr>
        <w:spacing w:after="0" w:line="167" w:lineRule="exact"/>
        <w:rPr>
          <w:sz w:val="20"/>
          <w:szCs w:val="20"/>
          <w:color w:val="auto"/>
        </w:rPr>
      </w:pPr>
    </w:p>
    <w:p>
      <w:pPr>
        <w:ind w:right="260"/>
        <w:spacing w:after="0" w:line="284" w:lineRule="auto"/>
        <w:rPr>
          <w:sz w:val="20"/>
          <w:szCs w:val="20"/>
          <w:color w:val="auto"/>
        </w:rPr>
      </w:pPr>
      <w:r>
        <w:rPr>
          <w:rFonts w:ascii="Arial" w:cs="Arial" w:eastAsia="Arial" w:hAnsi="Arial"/>
          <w:sz w:val="15"/>
          <w:szCs w:val="15"/>
          <w:color w:val="auto"/>
        </w:rPr>
        <w:t>If governments implement new laws or regulations that limit our right to set fees and/or foreign exchange spreads, then our business, financial condition, results of operations, and cash flows could be adversely affected. In addition, changes in regulatory expectations, interpretations, or practices could increase the risk of regulatory enforcement actions, fines, and penalties.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enhanced supervisory and compliance environment in the financial sector increases the risk of regulatory action against us, whether formal or informal.</w:t>
      </w:r>
    </w:p>
    <w:p>
      <w:pPr>
        <w:spacing w:after="0" w:line="19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service is subject to a variety of laws and regulations worldwide, and a large number of regulatory and enforcement authorities in each of the jurisdictions in which we operate. Regulators across the globe subject financial sector institutions, including us, to intense review, supervision and scrutiny. This heightened level of review and scrutiny or any changes in the existing regulatory supervision framework, increases the possibility that we will face adverse legal or regulatory actions. Regulators regularly review our operations, and there can be no guarantee that all regulators will agree with our internal assessments of compliance with applicable laws, regulations, or regulatory policies.</w:t>
      </w:r>
    </w:p>
    <w:p>
      <w:pPr>
        <w:spacing w:after="0" w:line="145"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We have been and continue to be subject to examination by the CFPB, which defines “larger participants of a market for other consumer financial products or services” as including companies, such as Remitly, that make at least one million aggregate annual international money transfers. The CFPB has the authority to examine and supervise us and our larger competitors, which will involve providing reports to the CFPB. The CFPB has used information gained in these examinations as the basis for enforcement actions resulting in settlements involving monetary penalties and other remedies.</w:t>
      </w:r>
    </w:p>
    <w:p>
      <w:pPr>
        <w:spacing w:after="0" w:line="12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Regulators, including the CFPB, may take formal or informal actions against us. Such formal or informal actions might force us to adopt new compliance programs or policies, remove personnel including senior executives, provide remediation or refunds to customers, or undertake other changes to our business operations. Any weaknesses in our compliance management system or Remittance Rule program may also subject us to penalties or enforcement action by the CFPB.</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If we fail to manage our legal and regulatory risk in the many jurisdictions in which we operate, our business could suffer, our reputation could be harmed and we would be subject to additional legal and regulatory risks. This could, in turn, increase the size and number of claims and damages asserted against us and/or subject us to regulatory investigations, enforcement actions or other proceedings, or lead to increased regulatory concerns. We may also be required to spend additional time and resources on remedial measures and conducting inquiries, beyond those already initiated and ongoing, which could have an adverse effect on our business. Similarly, a failure to comply with the applicable regulations in various jurisdictions by our employees, representatives, agents and third-party service providers either in or outside the course of their services, or suspected or perceived failures by them, may result in further inquiries or investigations by regulatory and enforcement authorities and in additional regulatory or enforcement action against either us, or such employees, representatives, agents and third-party service providers.</w:t>
      </w:r>
    </w:p>
    <w:p>
      <w:pPr>
        <w:spacing w:after="0" w:line="118"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color w:val="auto"/>
        </w:rPr>
        <w:t>While we have implemented policies and procedures designed to help ensure compliance with applicable laws and regulations, there are a number of risks that cannot be completely controlled. Our international presence, especially in high risk jurisdictions such as Nigeria and India, has led to increased legal and regulatory risks. Regulators in every jurisdiction in which we operate have the power to restrict our operations or bring administrative or judicial proceedings against us (or our employees, representatives, agents and third-party service providers), which could result, among other things, in suspension or revocation of one or more of our licenses, cease and desist orders, fines, civil penalties, criminal penalties or other disciplinary action which could materially harm our reputation, results of operations and financial condition. Expansion into additional jurisdictions also increases the complexity of our risks in a number of areas including currency risks, interest rate risks, compliance risk, regulatory risk, reputational risk and operational risk. We, or our employees, may from time to time, and as is common in the financial services industry, be the subject of inquiries, examinations or investigations that could lead to proceedings against us or our employees.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our platform for illegal or fraudulent activities could harm our business, reputation, financial condition, and operating results.</w:t>
      </w:r>
    </w:p>
    <w:p>
      <w:pPr>
        <w:spacing w:after="0" w:line="16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114"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platform is susceptible to fraud, and our business, reputation, financial condition and operating results could be harmed as a result.</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offer our customers the ability to fund transactions utilizing their credit card or debit card. We also offer bank funding and alternative payment methods. Because these are card-not-present/online/non face-to-face transactions, they involve a greater risk of fraud. We also release some funded transactions for disbursement prior to our receiving funds from our customers, which exposes us to repayment risk in the event that these customers have insufficient funds in their bank account or are otherwise invalidated.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13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0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For example, the Central Bank of Nigeria previously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Policy makers have also discussed potential legislation to add taxes to remittances from the United States to Mexico and/or other countries. Further, one state has passed a law imposing a fee on certain money transfer transactions, and certain other states have proposed similar legislation. Several foreign countries have enacted or proposed rules imposing taxes or fees on certain money transfer transactions, as well. The approach of policy makers and the ongoing budget shortfalls in many jurisdictions, combined with future federal action or inaction on immigration reform, may lead other states or localities to impose similar taxes or fees or other requirements or restrictions. Foreign countries in similar circumstances have invoked and could continue to invoke the imposition of sales, service, or similar taxes, or other requirements or restrictions, on money transfer services. A tax, fee, or other requirement or restriction exclusively on money transfer services by Remitly could put us at a competitive disadvantage to other means of remittance which are not subject to the same taxes, fees, requirements, or restrictions. Other examples of changes to our financial environment include the possibility of regulatory initiatives that focus on lowering international remittance costs. Such initiatives may have a material adverse impact on our business, financial condition, results of operations, and cash flows.</w:t>
      </w:r>
    </w:p>
    <w:p>
      <w:pPr>
        <w:spacing w:after="0" w:line="151" w:lineRule="exact"/>
        <w:rPr>
          <w:sz w:val="20"/>
          <w:szCs w:val="20"/>
          <w:color w:val="auto"/>
        </w:rPr>
      </w:pPr>
    </w:p>
    <w:p>
      <w:pPr>
        <w:jc w:val="both"/>
        <w:ind w:right="80"/>
        <w:spacing w:after="0" w:line="310" w:lineRule="auto"/>
        <w:rPr>
          <w:sz w:val="20"/>
          <w:szCs w:val="20"/>
          <w:color w:val="auto"/>
        </w:rPr>
      </w:pPr>
      <w:r>
        <w:rPr>
          <w:rFonts w:ascii="Arial" w:cs="Arial" w:eastAsia="Arial" w:hAnsi="Arial"/>
          <w:sz w:val="14"/>
          <w:szCs w:val="14"/>
          <w:color w:val="auto"/>
        </w:rPr>
        <w:t>In addition,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and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0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i w:val="1"/>
          <w:iCs w:val="1"/>
          <w:color w:val="auto"/>
        </w:rPr>
        <w:t>Failure to comply with sanctions laws, anti-terrorist financing laws, anti-money laundering laws, and similar laws associated with our activities outside of the United States, and anti-corruption laws could subject us to penalties and other adverse consequences.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or that are otherwise the target of sanctions.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1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for transactions with sanctioned persons or jurisdictions subject to comprehensive sanctions, including Cuba, North Korea, Syria, Iran, and the Crimea, Donetsk People’s Republic, and Luhansk People’s Republic regions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other relevant sanctions authorities are located in a jurisdiction subject to comprehensive sanctions or an embargo by the United States or another country in which we operate or are licensed to do business, and such services may not be in compliance with applicable economic sanctions regulations.</w:t>
      </w:r>
    </w:p>
    <w:p>
      <w:pPr>
        <w:spacing w:after="0" w:line="137" w:lineRule="exact"/>
        <w:rPr>
          <w:sz w:val="20"/>
          <w:szCs w:val="20"/>
          <w:color w:val="auto"/>
        </w:rPr>
      </w:pPr>
    </w:p>
    <w:p>
      <w:pPr>
        <w:ind w:right="160"/>
        <w:spacing w:after="0" w:line="310" w:lineRule="auto"/>
        <w:rPr>
          <w:sz w:val="20"/>
          <w:szCs w:val="20"/>
          <w:color w:val="auto"/>
        </w:rPr>
      </w:pPr>
      <w:r>
        <w:rPr>
          <w:rFonts w:ascii="Arial" w:cs="Arial" w:eastAsia="Arial" w:hAnsi="Arial"/>
          <w:sz w:val="14"/>
          <w:szCs w:val="14"/>
          <w:color w:val="auto"/>
        </w:rPr>
        <w:t>Sanctions are imposed to address acute foreign policy and national security threats and may change rapidly and unpredictably in response to world events or domestic or international political developments. Additionally, as we expand our services into additional jurisdictions, we may become subject to additional sanctions requirements imposed by those jurisdictions or face increased risk of processing transactions in violation of sanctions requirements to which we are currently subject. We may be unable to update policies, procedures, or controls to timely and effectively address changes in applicable legal requirements or in our sanctions risk environment.</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U.S. policy makers have sought and may continue to seek heightened customer due diligence requirements on, or restrict, remittances from the United States to Mexico or other jurisdictions. For example, government sanctions imposed in February 2022 with respect to Russia and Ukraine are impacting our ability to offer services in the region, and additional sanctions could be imposed in the future.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145" w:lineRule="exact"/>
        <w:rPr>
          <w:sz w:val="20"/>
          <w:szCs w:val="20"/>
          <w:color w:val="auto"/>
        </w:rPr>
      </w:pPr>
    </w:p>
    <w:p>
      <w:pPr>
        <w:jc w:val="both"/>
        <w:ind w:right="140"/>
        <w:spacing w:after="0" w:line="286" w:lineRule="auto"/>
        <w:rPr>
          <w:sz w:val="20"/>
          <w:szCs w:val="20"/>
          <w:color w:val="auto"/>
        </w:rPr>
      </w:pPr>
      <w:r>
        <w:rPr>
          <w:rFonts w:ascii="Arial" w:cs="Arial" w:eastAsia="Arial" w:hAnsi="Arial"/>
          <w:sz w:val="15"/>
          <w:szCs w:val="15"/>
          <w:color w:val="auto"/>
        </w:rPr>
        <w:t>In the EEA, our Irish operating company has increasingly become directly subject to reporting, recordkeeping, and anti-money laundering regulations, agent oversight and monitoring requirements, as well as broader supervision by EEA member states. Additionally, the financial penalties associated with the failure to comply with anti-money laundering laws have increased recently. Legislation that has been enacted or proposed in other jurisdictions could have similar effects.</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also face significant risks if we cannot comply with the FCPA and other anti-corruption laws that prohibit companies and their agents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disbursement partners fail to comply with applicable laws, it could harm our business.</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12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services are regulated by state, federal, and international governments, regulators, and agencies.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132" w:lineRule="exact"/>
        <w:rPr>
          <w:sz w:val="20"/>
          <w:szCs w:val="20"/>
          <w:color w:val="auto"/>
        </w:rPr>
      </w:pPr>
    </w:p>
    <w:p>
      <w:pPr>
        <w:ind w:right="260"/>
        <w:spacing w:after="0" w:line="369" w:lineRule="auto"/>
        <w:rPr>
          <w:sz w:val="20"/>
          <w:szCs w:val="20"/>
          <w:color w:val="auto"/>
        </w:rPr>
      </w:pPr>
      <w:r>
        <w:rPr>
          <w:rFonts w:ascii="Arial" w:cs="Arial" w:eastAsia="Arial" w:hAnsi="Arial"/>
          <w:sz w:val="14"/>
          <w:szCs w:val="14"/>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global and evolving marketing laws could subject us to claims or otherwise harm our business.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 among others, the CAN-SPAM Act of 2003, the U.S. Federal Trade Commission guidelines with respect to misleading or deceptive advertising or marketing practices, the Telephone Consumer Protection Act of 1991, state banking laws that prohibit non-banks, including licensed money transmitters, from holding themselves out as banks or providing banking services, the CCPA, and other comprehensive state privacy and data security laws.</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These laws are continuously evolving and developing in light of technological change and regulatory objectives. These laws are overseen by regulators at the national, provincial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 banks and other commercial counterparties,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endorsers, emails, and text messages may adversely impact our reputation or subject us to fines or other penalties.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IP Rights, as well as the public disclosure of proprietary, confidential, or personal information (including sensitive personal information) of our business, employees, customers, or others. Any such inappropriate use of social media, emails, and text messages could also cause reputational damage.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142" w:lineRule="exact"/>
        <w:rPr>
          <w:sz w:val="20"/>
          <w:szCs w:val="20"/>
          <w:color w:val="auto"/>
        </w:rPr>
      </w:pPr>
    </w:p>
    <w:p>
      <w:pPr>
        <w:ind w:right="500"/>
        <w:spacing w:after="0" w:line="349" w:lineRule="auto"/>
        <w:rPr>
          <w:sz w:val="20"/>
          <w:szCs w:val="20"/>
          <w:color w:val="auto"/>
        </w:rPr>
      </w:pPr>
      <w:r>
        <w:rPr>
          <w:rFonts w:ascii="Arial" w:cs="Arial" w:eastAsia="Arial" w:hAnsi="Arial"/>
          <w:sz w:val="14"/>
          <w:szCs w:val="14"/>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72"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From time to time, we may be subject to claims, lawsuits (including class actions), government investigations, disciplinary actions, administrative proceedings, arbitration, and other proceedings involving competition and antitrust, intellectual property, privacy, data security, consumer protection, regulatory compliance, securities, tax, labor and employment, commercial disputes, money transmission, and other matters that could adversely affect our business operations and financial condition. The outcome of any legal or administrative proceedings,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Insurance might not cover such claims, might not provide sufficient payments to cover all the costs to resolve one or more such claims, and might not continue to be available on terms acceptable to us. In addition, we expect the costs of insurance to increase generally over time, which may have an impact on our financial results. A claim brought against us that is uninsured or under insured could result in unanticipated costs. We may also determine in certain instances that a settlement may be a more cost-effective and efficient resolution for a dispute.</w:t>
      </w:r>
    </w:p>
    <w:p>
      <w:pPr>
        <w:spacing w:after="0" w:line="124"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Risks</w:t>
      </w:r>
    </w:p>
    <w:p>
      <w:pPr>
        <w:spacing w:after="0" w:line="171" w:lineRule="exact"/>
        <w:rPr>
          <w:sz w:val="20"/>
          <w:szCs w:val="20"/>
          <w:color w:val="auto"/>
        </w:rPr>
      </w:pPr>
    </w:p>
    <w:p>
      <w:pPr>
        <w:ind w:right="840"/>
        <w:spacing w:after="0" w:line="293" w:lineRule="auto"/>
        <w:rPr>
          <w:sz w:val="20"/>
          <w:szCs w:val="20"/>
          <w:color w:val="auto"/>
        </w:rPr>
      </w:pPr>
      <w:r>
        <w:rPr>
          <w:rFonts w:ascii="Arial" w:cs="Arial" w:eastAsia="Arial" w:hAnsi="Arial"/>
          <w:sz w:val="16"/>
          <w:szCs w:val="16"/>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is any material change of service terms or loss of coverage in our payment processors and disbursement network, our business could be harmed.</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disbursement partners do not provide a positive recipient experience, our business would be harmed.</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w:t>
      </w:r>
    </w:p>
    <w:p>
      <w:pPr>
        <w:spacing w:after="0" w:line="12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13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 significant costs, 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company culture as we grow, our success and our business may be harmed.</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auto"/>
        </w:rPr>
        <w:t>We believe our culture has been a key contributor to our success to date and that the critical nature of the platform that we provide promotes a sense of greater purpose and fulfillment in our employees. Inorganic growth through mergers and acquisitions may pose significant challenges to assimilating the company cultures of acquired companies.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Interruptions or delays in the services provided by critical data centers or internet service providers could impair the delivery of our platform and our business could suffer.</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cyber-attacks, data security breaches or other similar incidents,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133"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113" w:lineRule="exact"/>
        <w:rPr>
          <w:sz w:val="20"/>
          <w:szCs w:val="20"/>
          <w:color w:val="auto"/>
        </w:rPr>
      </w:pPr>
    </w:p>
    <w:p>
      <w:pPr>
        <w:ind w:right="120"/>
        <w:spacing w:after="0" w:line="279" w:lineRule="auto"/>
        <w:rPr>
          <w:sz w:val="20"/>
          <w:szCs w:val="20"/>
          <w:color w:val="auto"/>
        </w:rPr>
      </w:pPr>
      <w:r>
        <w:rPr>
          <w:rFonts w:ascii="Arial" w:cs="Arial" w:eastAsia="Arial" w:hAnsi="Arial"/>
          <w:sz w:val="15"/>
          <w:szCs w:val="15"/>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Sustained financial market illiquidity, or illiquidity at our partner financial institutions, could harm our business, financial condition, and operating results.</w:t>
      </w:r>
    </w:p>
    <w:p>
      <w:pPr>
        <w:spacing w:after="0" w:line="17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104" w:lineRule="exact"/>
        <w:rPr>
          <w:sz w:val="20"/>
          <w:szCs w:val="20"/>
          <w:color w:val="auto"/>
        </w:rPr>
      </w:pPr>
    </w:p>
    <w:p>
      <w:pPr>
        <w:ind w:left="660" w:right="80" w:hanging="328"/>
        <w:spacing w:after="0" w:line="26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123" w:lineRule="exact"/>
        <w:rPr>
          <w:rFonts w:ascii="Arial" w:cs="Arial" w:eastAsia="Arial" w:hAnsi="Arial"/>
          <w:sz w:val="16"/>
          <w:szCs w:val="16"/>
          <w:color w:val="auto"/>
        </w:rPr>
      </w:pPr>
    </w:p>
    <w:p>
      <w:pPr>
        <w:ind w:left="660" w:right="100" w:hanging="328"/>
        <w:spacing w:after="0" w:line="25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131" w:lineRule="exact"/>
        <w:rPr>
          <w:rFonts w:ascii="Arial" w:cs="Arial" w:eastAsia="Arial" w:hAnsi="Arial"/>
          <w:sz w:val="16"/>
          <w:szCs w:val="16"/>
          <w:color w:val="auto"/>
        </w:rPr>
      </w:pPr>
    </w:p>
    <w:p>
      <w:pPr>
        <w:ind w:left="660" w:right="80" w:hanging="328"/>
        <w:spacing w:after="0" w:line="328" w:lineRule="auto"/>
        <w:tabs>
          <w:tab w:leader="none" w:pos="649"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If financial liquidity deteriorates, our ability to access capital may be harmed and we could become insolvent.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in the past, and we may in the future, seek to acquire or invest in businesses, products, or technologies that we believe could complement or expand our platform, address additional customer needs, enhance our technical capabilities, or otherwise offer growth opportunities. For example, in January 2023, we completed the acquisition of Rewire.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identify key risks during the due diligence phase,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13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We may also make significant investments in new products, marketing campaigns, technologies, or services developed solely by us or in conjunction with strategic partners we identify. It is possible that our strategic investments may not become profitable and fail to return our initial investment, and this may have a harmful effect on our business and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Remitly Global is a holding company with no operations of its own and manages a network of local subsidiaries, each of which is subject to different local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the future, we may depend on our subsidiaries to fund our operations and expenses.</w:t>
      </w:r>
    </w:p>
    <w:p>
      <w:pPr>
        <w:spacing w:after="0" w:line="163" w:lineRule="exact"/>
        <w:rPr>
          <w:sz w:val="20"/>
          <w:szCs w:val="20"/>
          <w:color w:val="auto"/>
        </w:rPr>
      </w:pPr>
    </w:p>
    <w:p>
      <w:pPr>
        <w:ind w:right="320"/>
        <w:spacing w:after="0" w:line="310" w:lineRule="auto"/>
        <w:rPr>
          <w:sz w:val="20"/>
          <w:szCs w:val="20"/>
          <w:color w:val="auto"/>
        </w:rPr>
      </w:pPr>
      <w:r>
        <w:rPr>
          <w:rFonts w:ascii="Arial" w:cs="Arial" w:eastAsia="Arial" w:hAnsi="Arial"/>
          <w:sz w:val="14"/>
          <w:szCs w:val="14"/>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We cannot guarantee that we will be able to successfully navigate the challenging and changing legal and regulatory landscapes. If any of the regulatory environments applicable to our subsidiaries change materially, and we fail to adapt to such change, our business and financial results may be harmed.</w:t>
      </w:r>
    </w:p>
    <w:p>
      <w:pPr>
        <w:spacing w:after="0" w:line="113"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04"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There are significant costs and risks inherent in conducting business in international markets, including:</w:t>
      </w:r>
    </w:p>
    <w:p>
      <w:pPr>
        <w:spacing w:after="0" w:line="167"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and maintaining effective controls at international locations and the associated costs;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competition from local providers;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international laws and regulations, including privacy and data security frameworks similar to the GDPR;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adapting to doing business in other languages or cultures;</w:t>
      </w:r>
    </w:p>
    <w:p>
      <w:pPr>
        <w:spacing w:after="0" w:line="72" w:lineRule="exact"/>
        <w:rPr>
          <w:rFonts w:ascii="Arial" w:cs="Arial" w:eastAsia="Arial" w:hAnsi="Arial"/>
          <w:sz w:val="16"/>
          <w:szCs w:val="16"/>
          <w:color w:val="auto"/>
        </w:rPr>
      </w:pPr>
    </w:p>
    <w:p>
      <w:pPr>
        <w:ind w:left="660" w:right="3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anti-bribery laws, such as the FCPA, the CFPOA, and the U.K. Bribery 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currency exchange rate fluctuations and related effects on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economic and political instability in some countries;</w:t>
      </w:r>
    </w:p>
    <w:p>
      <w:pPr>
        <w:spacing w:after="0" w:line="72" w:lineRule="exact"/>
        <w:rPr>
          <w:rFonts w:ascii="Arial" w:cs="Arial" w:eastAsia="Arial" w:hAnsi="Arial"/>
          <w:sz w:val="16"/>
          <w:szCs w:val="16"/>
          <w:color w:val="auto"/>
        </w:rPr>
      </w:pPr>
    </w:p>
    <w:p>
      <w:pPr>
        <w:ind w:left="660" w:right="3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uncertainty of protection for IP Rights in some countries and practical difficulties of obtaining, maintaining, protecting, defending and enforcing IP Rights abroad; and</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costs of doing business internationally.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These factors and other factors could harm our international operations and, consequently, materially impact our business, operating results, and financial condition.</w:t>
      </w:r>
    </w:p>
    <w:p>
      <w:pPr>
        <w:spacing w:after="0" w:line="19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115"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Risks associated with operations outside the United States and foreign currencies could adversely affect our business, financial condition, results of operations, and cash flows.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Since a substantial portion of our send volume is exposed to the U.S. dollar, any deterioration in the value of the U.S. dollar, including as a result of macroeconomics factors, including inflation, could have a material impact on our business. In addition, a substantial portion of our revenue is generated in currencies other than the U.S. dollar, a significant portion of which occurs in Canada and Europe. As a result, we are subject to risks associated with changes in the value of our revenues and net monetary assets denominated in foreign currencies. For example, a considerable portion of our revenue is generated in the euro. In an environment of a rising U.S. dollar relative to the euro, the value of our euro-denominated revenue, operating income and net monetary assets would be reduced when translated into U.S. dollars for inclusion in our financial statements. Some of these adverse financial effects may be partially mitigated by our efforts to offset these financial impacts through natural hedging of our assets and liabilities held in foreign currencies . In an environment of a declining U.S. dollar relative to the euro, some of the translation benefits on our reported financial results could be limited by the impact of foreign currency hedging activities.</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We are also subject to changes in the value of other foreign currencies. For instance, we have seen increased money transfer volume if the U.S. dollar strengthens against certain currencies, especially the Indian rupee, the Mexican peso, or the Philippine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In addition, our international subsidiary financial statements are denominated in and operated in currencies outside of the U.S. dollar. Our financial results are also subject to changes in exchange rates that impact the settlement of transactions in non-local currencies. As a result, it could be more difficult to detect underlying trends in our business and operating results.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 substantial portion of our revenue is generated outside the United States. We utilize a variety of planning and financial strategies to help ensure that our worldwide cash is available where needed, including decisions related to the amounts, timing, and manner by which cash is repatriated or otherwise made available from our international subsidiaries. Changes in the amounts, timing, and manner by which cash is repatriated (or deemed repatriated) or otherwise made available from our international subsidiaries, including changes arising from new legal or tax rules, disagreements with legal or tax authorities concerning existing rules that are ultimately resolved in their favor, or changes in our operations or business, could result in material adverse effects on our financial condition, results of operations, and cash flows including our ability to pay future dividends or make share repurchases.</w:t>
      </w:r>
    </w:p>
    <w:p>
      <w:pPr>
        <w:spacing w:after="0" w:line="132"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Money transfers and payments to, from, within, or between countries may be limited or prohibited by law. Additionally, economic or political instability or natural disasters may make money transfers to, from, within, or between particular countries difficult or impossible, such as when banks are closed, when currency devaluation makes exchange rates difficult to manage or when natural disasters or civil unrest makes access to agent locations unsafe. These risks could negatively impact our ability to offer our services, to make payments to or receive payments from international agents or our subsidiaries or to recoup funds that have been advanced to international agents or are held by our subsidiaries, and as a result could adversely affect our business, financial condition, results of operations, and cash flows. In addition, the general state of telecommunications and infrastructure in some lesser developed countries, including countries where we have a large number of transactions, creates operational risks for us and our agents that generally are not present in our operations in the United States and other more developed countries.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i w:val="1"/>
          <w:iCs w:val="1"/>
          <w:color w:val="auto"/>
        </w:rPr>
        <w:t>A substantial amount of our revenue is derived from remittances to Mexico, India, and the Philippines and our business could be significantly affected by any adverse changes in these regions.</w:t>
      </w:r>
    </w:p>
    <w:p>
      <w:pPr>
        <w:spacing w:after="0" w:line="132"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Historically, our revenue has been substantially derived from remittances to Mexico, India, and the Philippines. Remittances sent to these three countries represented approximately 65%, 70%, and 75% of our revenue for the years ended December 31, 2022, 2021, and 2020, respectively. Because these countries account for a substantial portion of our revenue,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maintain an effective system of internal controls over financial reporting and may not be able to accurately and timely report our financial results.</w:t>
      </w:r>
    </w:p>
    <w:p>
      <w:pPr>
        <w:spacing w:after="0" w:line="20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As of the date of this Annual Report on Form 10-K, we have remediated the three previously identified material weaknesses, as described within Part II Item 9A of this Annual Report on Form 10-K.</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cannot assure you that the measures that we have taken, and that we will take,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 which could cause us to fail to meet our reporting obligations, any of which could diminish investor confidence in us and cause a decline in the price of our common stock.</w:t>
      </w:r>
    </w:p>
    <w:p>
      <w:pPr>
        <w:spacing w:after="0" w:line="13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We have built proprietary financial systems as part of our technology platform. Such systems could become unstable, include defects, experience outages, and include undetected errors, each of which could adversely affect our business and financial results.</w:t>
      </w:r>
    </w:p>
    <w:p>
      <w:pPr>
        <w:spacing w:after="0" w:line="10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proprietary financial systems are an integral part of our technology and business platform, which is a complex system composed of many interoperating components and which incorporates other third-party software.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bugs or human error. If sustained or repeated, any of these outages could impact the accuracy and completeness of our financial information over several reporting periods. In addition, our release of new software functionality may result in future interruptions in the availability of our financial information. Our financial systems may now, or in the future, contain undetected errors, defects, and vulnerabilities. Errors, defects, outages, vulnerabilities, and other unintended systems issues could result in an interruption in the availability of our financial information, failure to accurately or timely comply with domestic and international regulatory financial reporting obligations, or inaccurate and incomplete financial information, any of which could adversely affect our business and financial results.</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9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operating results have fluctuated in the past and are expected to fluctuate in the future due to a variety of factors, many of which are outside of our control. In particular, we expect our revenue mix to vary from period to period, especially if our newly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w:t>
      </w:r>
    </w:p>
    <w:p>
      <w:pPr>
        <w:spacing w:after="0" w:line="12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demand for our services or pricing of our fees associated with our services;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attract new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retain and grow engagement with our existing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expand our relationships with our marketing, payment processing, disbursement, and banking partners, or identify and attract new strategic partners;</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customer growth rates and the revenue derived from and quantity of existing customers retained;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34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customer preference for mobile-first services as a result of cyber-attacks, data security breaches or other similar incidents in the industry or privacy concerns, or other security or reliability concerns regarding our services;</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customers’ budgets and in the timing of their budget cycles and money transfer decisions;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and existing strategic partners choosing our competitors’ products or developing their own solutions in-house;</w:t>
      </w:r>
    </w:p>
    <w:p>
      <w:pPr>
        <w:spacing w:after="0" w:line="72" w:lineRule="exact"/>
        <w:rPr>
          <w:rFonts w:ascii="Arial" w:cs="Arial" w:eastAsia="Arial" w:hAnsi="Arial"/>
          <w:sz w:val="16"/>
          <w:szCs w:val="16"/>
          <w:color w:val="auto"/>
        </w:rPr>
      </w:pPr>
    </w:p>
    <w:p>
      <w:pPr>
        <w:ind w:left="660" w:right="60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development or introduction of new platforms or services by our competitors that are easier to use or more advanced than our current suite of services, especially in respect of the application of AI-based services;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failure to adapt to new forms of payment that become widely accepted, including cryptocurrency;</w:t>
      </w:r>
    </w:p>
    <w:p>
      <w:pPr>
        <w:spacing w:after="0" w:line="72" w:lineRule="exact"/>
        <w:rPr>
          <w:rFonts w:ascii="Arial" w:cs="Arial" w:eastAsia="Arial" w:hAnsi="Arial"/>
          <w:sz w:val="16"/>
          <w:szCs w:val="16"/>
          <w:color w:val="auto"/>
        </w:rPr>
      </w:pPr>
    </w:p>
    <w:p>
      <w:pPr>
        <w:ind w:left="660" w:right="12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cyber-attacks, data security breaches, technical difficulties, interruptions or other similar incidents with respect to the delivery and use of our platform which may result in data theft and/or misappropriation;</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adoption or retention of more entrenched or rival services in the international markets where we compete;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and timing of payment for operating expenses, particularly technology and development and marketing expenses;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 and timing of noncash expenses, including stock-based compensation expense, depreciation and amortization, and other noncash charges;</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and motivating existing employees;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fluctuation in market interest rates, which impacts interest earned on funds held for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fluctuation in currency exchange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effects of acquisitions and their integration;</w:t>
      </w:r>
    </w:p>
    <w:p>
      <w:pPr>
        <w:spacing w:after="0" w:line="72" w:lineRule="exact"/>
        <w:rPr>
          <w:rFonts w:ascii="Arial" w:cs="Arial" w:eastAsia="Arial" w:hAnsi="Arial"/>
          <w:sz w:val="16"/>
          <w:szCs w:val="16"/>
          <w:color w:val="auto"/>
        </w:rPr>
      </w:pPr>
    </w:p>
    <w:p>
      <w:pPr>
        <w:ind w:left="660" w:right="52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economic conditions, both domestically and internationally, as well as economic conditions specifically affecting industries in which our customers participate;</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 of new accounting pronouncements;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competitive dynamics of our market;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awareness of our brand and our reputation in our target markets.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Any of these and other factors, or the cumulative effect of some of these factors, may cause our operating results to vary significantly. As a result, our past results may not be indicative of our future performance. In addition,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Furthermore, 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Inaccurate forecasts of our customer growth and retention could result in higher operating expenses relative to actual revenue and ultimately harm our business.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80"/>
        <w:spacing w:after="0" w:line="310" w:lineRule="auto"/>
        <w:rPr>
          <w:sz w:val="20"/>
          <w:szCs w:val="20"/>
          <w:color w:val="auto"/>
        </w:rPr>
      </w:pPr>
      <w:r>
        <w:rPr>
          <w:rFonts w:ascii="Arial" w:cs="Arial" w:eastAsia="Arial" w:hAnsi="Arial"/>
          <w:sz w:val="15"/>
          <w:szCs w:val="15"/>
          <w:b w:val="1"/>
          <w:bCs w:val="1"/>
          <w:i w:val="1"/>
          <w:iCs w:val="1"/>
          <w:color w:val="auto"/>
        </w:rPr>
        <w:t>If the revenue generated by new customers differs significantly from our expectations, or if our customer acquisition costs or costs associated with servicing our customers increase, we may not be able to recover our customer acquisition costs or generate profits from this investment.</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invest significant resources in marketing with the aim to acquire new customers and expect to continue to spend significant amounts to acquire additional customers, primarily through online advertising and marketing promotions. When making decisions regarding investments in customer acquisition, we analyze the transaction profit we have historically generated per customer over the expected lifetime value of the customer, and, where relevant, look to the estimated future transaction profit on a long-term basis. Our analysis of the transaction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 profits may be subject to greater variance in new or recently added corridors, as compared to our more established corridors.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 which could harm our operating and financial results.</w:t>
      </w:r>
    </w:p>
    <w:p>
      <w:pPr>
        <w:spacing w:after="0" w:line="190" w:lineRule="exact"/>
        <w:rPr>
          <w:sz w:val="20"/>
          <w:szCs w:val="20"/>
          <w:color w:val="auto"/>
        </w:rPr>
      </w:pPr>
    </w:p>
    <w:p>
      <w:pPr>
        <w:ind w:right="160"/>
        <w:spacing w:after="0" w:line="300" w:lineRule="auto"/>
        <w:rPr>
          <w:sz w:val="20"/>
          <w:szCs w:val="20"/>
          <w:color w:val="auto"/>
        </w:rPr>
      </w:pPr>
      <w:r>
        <w:rPr>
          <w:rFonts w:ascii="Arial" w:cs="Arial" w:eastAsia="Arial" w:hAnsi="Arial"/>
          <w:sz w:val="14"/>
          <w:szCs w:val="14"/>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and evolving requirements in tax laws or their interpretation, including as applied to us and our customers, could adversely affect our business.</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indirect tax accrual estimates, the amount of our cash flow, our liquidity, financial condition and results of operations.</w:t>
      </w:r>
    </w:p>
    <w:p>
      <w:pPr>
        <w:spacing w:after="0" w:line="101" w:lineRule="exact"/>
        <w:rPr>
          <w:sz w:val="20"/>
          <w:szCs w:val="20"/>
          <w:color w:val="auto"/>
        </w:rPr>
      </w:pPr>
    </w:p>
    <w:p>
      <w:pPr>
        <w:ind w:right="360"/>
        <w:spacing w:after="0" w:line="308" w:lineRule="auto"/>
        <w:rPr>
          <w:sz w:val="20"/>
          <w:szCs w:val="20"/>
          <w:color w:val="auto"/>
        </w:rPr>
      </w:pPr>
      <w:r>
        <w:rPr>
          <w:rFonts w:ascii="Arial" w:cs="Arial" w:eastAsia="Arial" w:hAnsi="Arial"/>
          <w:sz w:val="14"/>
          <w:szCs w:val="14"/>
          <w:color w:val="auto"/>
        </w:rPr>
        <w:t>Many of the jurisdictions in which we conduct business have detailed transfer pricing rules or may comply with the Organization for Economic Cooperation and Development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101" w:lineRule="exact"/>
        <w:rPr>
          <w:sz w:val="20"/>
          <w:szCs w:val="20"/>
          <w:color w:val="auto"/>
        </w:rPr>
      </w:pPr>
    </w:p>
    <w:p>
      <w:pPr>
        <w:ind w:right="60"/>
        <w:spacing w:after="0" w:line="317" w:lineRule="auto"/>
        <w:rPr>
          <w:sz w:val="20"/>
          <w:szCs w:val="20"/>
          <w:color w:val="auto"/>
        </w:rPr>
      </w:pPr>
      <w:r>
        <w:rPr>
          <w:rFonts w:ascii="Arial" w:cs="Arial" w:eastAsia="Arial" w:hAnsi="Arial"/>
          <w:sz w:val="14"/>
          <w:szCs w:val="14"/>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9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A number of U.S. states, the U.S. federal government, and foreign jurisdictions have implemented and may impose reporting or recordkeeping obligations on companies that engage in or facilitate e-commerce. A number of jurisdictions are also reviewing whether payment service providers and other intermediaries could be deemed to be the legal agent of merchants for certain tax purposes.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32"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We believe that our cash, cash equivalents, and funds available our revolving credit facility will be sufficient to meet our operating and capital requirements for at least the next twelve months. However, since inception through December 31, 2022 and December 31, 2021, the Company has incurred losses from operations, negative cash flows from operations, and had an accumulated deficit of $373.5 million and of $259.4 million, respectively, and has been dependent on equity and debt financing to fund operations. As such,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 xml:space="preserve">We have a $250.0 million revolving credit facility with certain lenders and JPMorgan Chase Bank, N.A. acting as administrative agent and collateral agent (the “New Revolving Credit Facility”, as defined in Note 6. </w:t>
      </w:r>
      <w:r>
        <w:rPr>
          <w:rFonts w:ascii="Arial" w:cs="Arial" w:eastAsia="Arial" w:hAnsi="Arial"/>
          <w:sz w:val="15"/>
          <w:szCs w:val="15"/>
          <w:i w:val="1"/>
          <w:iCs w:val="1"/>
          <w:color w:val="auto"/>
        </w:rPr>
        <w:t>Debt</w:t>
      </w:r>
      <w:r>
        <w:rPr>
          <w:rFonts w:ascii="Arial" w:cs="Arial" w:eastAsia="Arial" w:hAnsi="Arial"/>
          <w:sz w:val="15"/>
          <w:szCs w:val="15"/>
          <w:color w:val="auto"/>
        </w:rPr>
        <w:t xml:space="preserve"> in the Notes to the Company’s Consolidated Financial Statements included in Part II, Item 8 of this Annual Report on Form 10-K). We may incur additional indebtedness in the future. We expect to rely on the New Revolving Credit Facility to finance a substantial portion of the capital requirements and obligations we are subject to in connection with our remittance business. Additionally, certain borrowings under the New Revolving Credit Facility are subject to variable interest rates. If the interest rate on New Revolving Credit Facility or any alternative financing were to increase, our operating results could be harmed, particularly because we rely on drawings under our line of credit to satisfy regulatory compliance requirements with respect to maintaining sufficient capital. The credit agreement governing our New Revolving Credit Facility contains conditions to borrowing and significant restrictive covenants; any failure to satisfy these conditions to borrowing or covenants could result in us being unable to borrow additional amounts under the New Revolving Credit Facility or having to repay outstanding amounts, and could limit our ability to execute on our business or growth strategies. If we were unable to refinance the New Revolving Credit Facility or enter into an alternative facility on similar terms, we may be unable to meet regulatory compliance requirements with respect to maintaining sufficient capital. Additionally, the restrictive covenants impose significant operating and financial restrictions that may impact our ability to engage in certain transactions or make investments that could be in our long-term best interests. The restrictive covenants also require us to comply with financial maintenance covenants in certain circumstances; our ability to satisfy these covenants can be affected by events beyond our control and we cannot assure you that we will be able to comply. Any debt financing secured by us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maintain sufficient capital could harm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have significant working capital requirements driven by:</w:t>
      </w:r>
    </w:p>
    <w:p>
      <w:pPr>
        <w:spacing w:after="0" w:line="167" w:lineRule="exact"/>
        <w:rPr>
          <w:sz w:val="20"/>
          <w:szCs w:val="20"/>
          <w:color w:val="auto"/>
        </w:rPr>
      </w:pPr>
    </w:p>
    <w:p>
      <w:pPr>
        <w:ind w:left="660" w:right="80" w:hanging="328"/>
        <w:spacing w:after="0" w:line="29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delay between when we release funds for disbursement and when we receive customer funds from our payment processors, which can be exacerbated by time zone differences, bank holidays, national or governmental holidays, and weekends;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capital requirements pertaining to net worth;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requirements pertaining to permissible investments and safeguarding of customer funds;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requirements contained in the credit agreement governing our New Revolving Credit Facility;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collateral requirements imposed on us by our payment processors;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collateral requirements imposed on us by our disbursement partners.</w:t>
      </w:r>
    </w:p>
    <w:p>
      <w:pPr>
        <w:spacing w:after="0" w:line="16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132"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00"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In addition, we may not be able to meet new capital requirements introduced or required by our regulators and payment processors. We currently have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adversely affect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67" w:lineRule="exact"/>
        <w:rPr>
          <w:sz w:val="20"/>
          <w:szCs w:val="20"/>
          <w:color w:val="auto"/>
        </w:rPr>
      </w:pPr>
    </w:p>
    <w:p>
      <w:pPr>
        <w:ind w:left="660" w:right="20" w:hanging="328"/>
        <w:spacing w:after="0" w:line="29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U.S. and international jurisdictions in which we operate due to differing statutory tax rates in various jurisdictions;</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interpretations of them, including the 2017 Tax Act as modified by the CARES Act;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500" w:hanging="328"/>
        <w:spacing w:after="0" w:line="27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 in which we do business; and</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developments could adversely affect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financial results may be materially and adversely affected by changes in accounting principles generally accepted in the United States.</w:t>
      </w:r>
    </w:p>
    <w:p>
      <w:pPr>
        <w:spacing w:after="0" w:line="179" w:lineRule="exact"/>
        <w:rPr>
          <w:sz w:val="20"/>
          <w:szCs w:val="20"/>
          <w:color w:val="auto"/>
        </w:rPr>
      </w:pPr>
    </w:p>
    <w:p>
      <w:pPr>
        <w:jc w:val="both"/>
        <w:ind w:right="180"/>
        <w:spacing w:after="0" w:line="269" w:lineRule="auto"/>
        <w:rPr>
          <w:sz w:val="20"/>
          <w:szCs w:val="20"/>
          <w:color w:val="auto"/>
        </w:rPr>
      </w:pPr>
      <w:r>
        <w:rPr>
          <w:rFonts w:ascii="Arial" w:cs="Arial" w:eastAsia="Arial" w:hAnsi="Arial"/>
          <w:sz w:val="16"/>
          <w:szCs w:val="16"/>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Operating Results, in the section titled “Critical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share-based compensation,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15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 count or over 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performance or customer base;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185"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majority of our total revenue is currently derived from remittances being sent from the United States, Canada, and other countries in Europe to India, Mexico, and the Philippines and other locations in Latin America, Africa and Asia. In particular, a substantial portion of our send volume is derived from remittances being sent to India, Mexico, and the Philippines. As a result, any macroeconomic trends and conditions (including a continued rise in inflation) or geopolitical trends that disrupt these regions or alter their immigration patterns, economic conditions or cultural norms could have an impact on the demand for our services or our ability to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we have recently ceased all transactions to Russia and Belarus due to the armed conflict in Ukraine and resulting economic sanctions against Russia and Belarus. Although remittances to Russia and Belarus do not represent a significant portion of our business, the continuation or escalation of the conflict in Ukraine could have broader geopolitical and macroeconomic consequences and may have an impact to our business beyond the direct impact on Russia and Belarus customers, transactions, and send volume.</w:t>
      </w:r>
    </w:p>
    <w:p>
      <w:pPr>
        <w:spacing w:after="0" w:line="128"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Changes in U.S. immigration laws or changes in the immigration laws of other jurisdictions that discourage international migration, and political or other events, such as war, terrorism, or public health crises, that make it 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130" w:lineRule="exact"/>
        <w:rPr>
          <w:sz w:val="20"/>
          <w:szCs w:val="20"/>
          <w:color w:val="auto"/>
        </w:rPr>
      </w:pPr>
    </w:p>
    <w:p>
      <w:pPr>
        <w:jc w:val="both"/>
        <w:ind w:right="320"/>
        <w:spacing w:after="0" w:line="325" w:lineRule="auto"/>
        <w:rPr>
          <w:sz w:val="20"/>
          <w:szCs w:val="20"/>
          <w:color w:val="auto"/>
        </w:rPr>
      </w:pPr>
      <w:r>
        <w:rPr>
          <w:rFonts w:ascii="Arial" w:cs="Arial" w:eastAsia="Arial" w:hAnsi="Arial"/>
          <w:sz w:val="14"/>
          <w:szCs w:val="14"/>
          <w:b w:val="1"/>
          <w:bCs w:val="1"/>
          <w:i w:val="1"/>
          <w:iCs w:val="1"/>
          <w:color w:val="auto"/>
        </w:rPr>
        <w:t>Our business is subject to the risks of earthquakes, fires, floods, public health crises, pandemics, and other natural catastrophic events, and to interruption by man-made problems such as cyber-attacks, data security breaches or other similar incidents, internal or third-party system failures, political unrest, market or currency disruptions, and terrorism, which could result in system and process failures and interruptions which could harm our business.</w:t>
      </w:r>
    </w:p>
    <w:p>
      <w:pPr>
        <w:spacing w:after="0" w:line="88"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data security breaches or other similar incidents,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126"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insurance we maintain may be insufficient to cover our losses resulting from any such incidents or events, and any such incidents or events may result in loss of, or increased costs of, such insurance.</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For additional information regarding risks associated with cyber-attacks, data security breaches and other similar incidents, see “—Cyber-attacks, data security breaches or other similar incidents could result in serious harm to our business, reputation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continuing effects of the COVID-19 pandemic could materially and adversely affect our business, financial condition, and results of operations.</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ultimate extent to which the COVID-19 pandemic impacts our business, financial condition, and results of operations will depend on future developments, which are highly uncertain, difficult to predict, and subject to change, including, but not limited to, the duration, scope, severity, proliferation of variants and increase in the transmissibility of the virus, its impact on the global economy, actions taken to contain or limit the impact of COVID-19, such as the availability of an effective vaccine or treatment, geographic variation in how countries and states are handling the pandemic, and how quickly and to what extent normal economic and operating conditions may potentially resume.</w:t>
      </w:r>
    </w:p>
    <w:p>
      <w:pPr>
        <w:spacing w:after="0" w:line="2"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The COVID-19 pandemic has adversely impacted the operations of our customers, suppliers, vendors and other business partners, and may adversely impact our results of operations in the future. Cross-border and domestic commerce may be adversely impacted by measures taken by government authorities and businesses globally to contain and limit the spread of COVID-19, including travel restrictions, border closures, quarantines, shelter-in-place and lock-down orders, mask and social distancing requirements, and business limitations and shutdowns. To the extent that such mitigation measures remain in place or are reinstated for significant periods of time, they may adversely affect our business, financial condition, and results of operations. Actions that we have taken or may take in the future intended to assist customers impacted by COVID-19 may negatively impact our results of operations. In particular, we have experienced and may continue to experience adverse financial impacts from a number of operational factors, including, but not limited to: increased cybersecurity and payment fraud risk; increased volume of customer requests for support; increased regulatory requests and requirements; challenges to the availability and reliability of our products and services; and supply chain disruptions impacting our business.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significant increase in the number of our employees who are working remotely as a result of the pandemic, and an extended period of remote work arrangements and subsequent reintroduction into the workplace could introduce operational risk, increase cybersecurity risk, strain our business continuity plans, negatively impact productivity, and give rise to claims by employees or otherwise adversely affect our business. Additionally, COVID-19 could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13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impacts of COVID-19, individually or collectively, could have a material adverse impact on our business, financial condition, and results of operations and have the effect of heightening or exacerbating many of the other risks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Provisions in our amended and restated certificate of incorporation and restated bylaws may have the effect of delaying or preventing a change of control or changes in our management. Our amended and restated certificate of incorporation and restated bylaws include provisions that:</w:t>
      </w:r>
    </w:p>
    <w:p>
      <w:pPr>
        <w:spacing w:after="0" w:line="132" w:lineRule="exact"/>
        <w:rPr>
          <w:sz w:val="20"/>
          <w:szCs w:val="20"/>
          <w:color w:val="auto"/>
        </w:rPr>
      </w:pPr>
    </w:p>
    <w:p>
      <w:pPr>
        <w:ind w:left="660" w:right="32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72" w:lineRule="exact"/>
        <w:rPr>
          <w:rFonts w:ascii="Arial" w:cs="Arial" w:eastAsia="Arial" w:hAnsi="Arial"/>
          <w:sz w:val="16"/>
          <w:szCs w:val="16"/>
          <w:color w:val="auto"/>
        </w:rPr>
      </w:pPr>
    </w:p>
    <w:p>
      <w:pPr>
        <w:ind w:left="660" w:right="28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the chairperson of our board of directors, or our Chief Executive Officer;</w:t>
      </w:r>
    </w:p>
    <w:p>
      <w:pPr>
        <w:spacing w:after="0" w:line="2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 an advance notice procedure for stockholder proposals to be brought before an annual meeting, including proposed nominations of persons for election to our board of directors;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with each class serving three-year staggered terms;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prohibit cumulative voting in the election of directors;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that our directors may be removed for cause only upon the vote of sixty-six and two-thirds percent (66 2/3%) of our outstanding shares of common stock;</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vote of directors then in office, even though less than a quorum; and</w:t>
      </w:r>
    </w:p>
    <w:p>
      <w:pPr>
        <w:spacing w:after="0" w:line="72" w:lineRule="exact"/>
        <w:rPr>
          <w:rFonts w:ascii="Arial" w:cs="Arial" w:eastAsia="Arial" w:hAnsi="Arial"/>
          <w:sz w:val="16"/>
          <w:szCs w:val="16"/>
          <w:color w:val="auto"/>
        </w:rPr>
      </w:pPr>
    </w:p>
    <w:p>
      <w:pPr>
        <w:ind w:left="660" w:right="22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32"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We have incurred and will continue to incur increased costs as a result of operating as a public company, and our management is required to devote substantial time to compliance with our public company responsibilities and corporate governance practices.</w:t>
      </w:r>
    </w:p>
    <w:p>
      <w:pPr>
        <w:spacing w:after="0" w:line="11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which we expect to further increase. The Sarbanes-Oxley Act, the Dodd-Frank Wall Street Reform and Consumer Protection Act, the listing requirements of NASDAQ,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compared to when we were a private company.</w:t>
      </w:r>
    </w:p>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b w:val="1"/>
          <w:bCs w:val="1"/>
          <w:i w:val="1"/>
          <w:iCs w:val="1"/>
          <w:color w:val="auto"/>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spacing w:after="0" w:line="124"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Regulators, investor advocacy groups, certain institutional investors, investment funds, stockholders, consumers and other market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strategy, practices and related disclosures. If our ESG strategy, practices and related disclosures, including the impact of our business on climate change, do not meet (or are viewed as not meeting) regulator, investor or other industry stakeholder expectations and standards, which continue to evolve, our brand, reputation and employee retention may be negatively impacted.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181"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3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do not intend to pay any cash dividends in the foreseeable future. In addition, our New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unfavorable or inaccurate research about our business, our stock price and trading volume could decline.</w:t>
      </w:r>
    </w:p>
    <w:p>
      <w:pPr>
        <w:spacing w:after="0" w:line="167" w:lineRule="exact"/>
        <w:rPr>
          <w:sz w:val="20"/>
          <w:szCs w:val="20"/>
          <w:color w:val="auto"/>
        </w:rPr>
      </w:pPr>
    </w:p>
    <w:p>
      <w:pPr>
        <w:jc w:val="both"/>
        <w:ind w:right="280"/>
        <w:spacing w:after="0" w:line="269" w:lineRule="auto"/>
        <w:rPr>
          <w:sz w:val="20"/>
          <w:szCs w:val="20"/>
          <w:color w:val="auto"/>
        </w:rPr>
      </w:pPr>
      <w:r>
        <w:rPr>
          <w:rFonts w:ascii="Arial" w:cs="Arial" w:eastAsia="Arial" w:hAnsi="Arial"/>
          <w:sz w:val="16"/>
          <w:szCs w:val="16"/>
          <w:color w:val="auto"/>
        </w:rPr>
        <w:t>Our stock price and trading volume is heavily influenced by the way analysts and investors interpret our financial information and other disclosures.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14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The stock price of our common stock has been, and may continue to be, volatile or may decline regardless of our operating performance, and you may lose part or all of your investment.</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market prices of the securities of newly-public companies, including ours, have historically been highly volatile and will likely continue to be, volatile. In addition to the factors discussed in this Annual Report on Form 10-K, the market price of our common stock may fluctuate significantly in response to numerous factors, many of which are beyond our control, including:</w:t>
      </w:r>
    </w:p>
    <w:p>
      <w:pPr>
        <w:spacing w:after="0" w:line="14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overall performance of the equity markets;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other operating results;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right="22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us, or our failure to meet these estimates or the expectations of investors;</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72" w:lineRule="exact"/>
        <w:rPr>
          <w:rFonts w:ascii="Arial" w:cs="Arial" w:eastAsia="Arial" w:hAnsi="Arial"/>
          <w:sz w:val="16"/>
          <w:szCs w:val="16"/>
          <w:color w:val="auto"/>
        </w:rPr>
      </w:pPr>
    </w:p>
    <w:p>
      <w:pPr>
        <w:ind w:left="660" w:right="54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negative publicity related to the real or perceived quality of our platform, as well as the failure to timely launch new products and services that gain market acceptance;</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 or newly public companies;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880" w:hanging="328"/>
        <w:spacing w:after="0" w:line="275"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 by us or our competitors of new products or services (including with respect to cryptocurrency or blockchain technology), commercial relationships, or significant technical innovations;</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acquisitions, strategic partnerships, joint ventures, or capital commitments;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or our business;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IP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72"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interpretations of any of the above or other factors by trading algorithms, including those that employ natural language processing and related methods to evaluate our public disclosures;</w:t>
      </w:r>
    </w:p>
    <w:p>
      <w:pPr>
        <w:spacing w:after="0" w:line="2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natural disasters, pandemics, or responses to those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sales of shares of our common stock by us or our stockholders.</w:t>
      </w:r>
    </w:p>
    <w:p>
      <w:pPr>
        <w:spacing w:after="0" w:line="181"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5"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Based upon the information available to us about our shares outstanding as of December 31, 2022,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our common stock in the public market could cause the market price of our common stock to decline.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3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There were 39,354,623 shares of common stock issuable upon the exercise of options or the settlement of RSUs outstanding as of December 31, 2022. We registered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 Furthermore, we also provide eligible employees with the opportunity to purchase shares of our common stock at a discounted price per share through our ESPP.</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There were a total of 173,250,865 shares of our common stock outstanding as of December 31, 2022. All shares of our common stock are freely tradable, except for any shares purchased by our “affiliates” as defined in Rule 144 under the Securities Act. Further, certain holders of our common stock have rights, subject to some conditions, to require us to file registration statements for the public resale of common stock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18" w:lineRule="exact"/>
        <w:rPr>
          <w:sz w:val="20"/>
          <w:szCs w:val="20"/>
          <w:color w:val="auto"/>
        </w:rPr>
      </w:pPr>
    </w:p>
    <w:p>
      <w:pPr>
        <w:ind w:right="240"/>
        <w:spacing w:after="0" w:line="328" w:lineRule="auto"/>
        <w:rPr>
          <w:sz w:val="20"/>
          <w:szCs w:val="20"/>
          <w:color w:val="auto"/>
        </w:rPr>
      </w:pPr>
      <w:r>
        <w:rPr>
          <w:rFonts w:ascii="Arial" w:cs="Arial" w:eastAsia="Arial" w:hAnsi="Arial"/>
          <w:sz w:val="15"/>
          <w:szCs w:val="15"/>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As of December 31, 2022, we occupied facilities in various countries. Substantially all these facilities were leased. Our corporate headquarters are located in Seattle, Washington, where we occupy facilities totaling approximately 48,412 square feet under a lease that expires in June 2025. Other significant leased properties include facilities in Nicaragua, the United Kingdom, the Philippines, Poland, Ireland, and Singapore. We use these facilities for administration, finance, legal, human resources, IT, marketing software engineering, and customer success.</w:t>
      </w:r>
    </w:p>
    <w:p>
      <w:pPr>
        <w:sectPr>
          <w:pgSz w:w="11900" w:h="16838" w:orient="portrait"/>
          <w:cols w:equalWidth="0" w:num="1">
            <w:col w:w="11220"/>
          </w:cols>
          <w:pgMar w:left="320" w:top="3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80"/>
        <w:spacing w:after="0" w:line="269" w:lineRule="auto"/>
        <w:rPr>
          <w:sz w:val="20"/>
          <w:szCs w:val="20"/>
          <w:color w:val="auto"/>
        </w:rPr>
      </w:pPr>
      <w:r>
        <w:rPr>
          <w:rFonts w:ascii="Arial" w:cs="Arial" w:eastAsia="Arial" w:hAnsi="Arial"/>
          <w:sz w:val="16"/>
          <w:szCs w:val="16"/>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85"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From time to time, we may be subject to legal or regulatory proceedings and claims in the ordinary course of business, including intellectual property, privacy, data 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3" w:right="39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71"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Our common stock began trading on the NASDAQ under the symbol “RELY” on September 23, 2021. Prior to that date, there was no public trading market for our common stock. As of February 24, 2023, there were 34 stockholders of record of our common stock. The actual number of stockholders is significantly greater than this number of record holders, and includes stockholders who are beneficial owners but whose shares are held in street name by brokers and other nominees.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The information in this “Stock Performance” section shall not be deemed to be “soliciting material” or to be “filed” with the SEC for purposes of Section 18 of the Exchange Act, or otherwise subject to liabilities under that Section, and shall not be deemed to be incorporated by reference into any of our filings under the Securities Act of 1933, as amended.</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following data and graph show a comparison of the cumulative total shareholder return for our common stock, the Russell 2000 Growth Index and the KBW NASDAQ Financial Technology Index from September 23, 2021 through December 31, 2022. This data assumes simultaneous investments of $100 on September 23, 2021 and reinvestment of any dividends.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95885</wp:posOffset>
            </wp:positionV>
            <wp:extent cx="5829300" cy="3086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ind w:left="820"/>
              <w:spacing w:after="0"/>
              <w:rPr>
                <w:sz w:val="20"/>
                <w:szCs w:val="20"/>
                <w:color w:val="auto"/>
              </w:rPr>
            </w:pPr>
            <w:r>
              <w:rPr>
                <w:rFonts w:ascii="Arial" w:cs="Arial" w:eastAsia="Arial" w:hAnsi="Arial"/>
                <w:sz w:val="16"/>
                <w:szCs w:val="16"/>
                <w:b w:val="1"/>
                <w:bCs w:val="1"/>
                <w:color w:val="auto"/>
              </w:rPr>
              <w:t>Company Index</w:t>
            </w:r>
          </w:p>
        </w:tc>
        <w:tc>
          <w:tcPr>
            <w:tcW w:w="42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9/23/2021</w:t>
            </w:r>
          </w:p>
        </w:tc>
        <w:tc>
          <w:tcPr>
            <w:tcW w:w="220" w:type="dxa"/>
            <w:vAlign w:val="bottom"/>
          </w:tcPr>
          <w:p>
            <w:pPr>
              <w:spacing w:after="0"/>
              <w:rPr>
                <w:sz w:val="19"/>
                <w:szCs w:val="19"/>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9/30/2021</w:t>
            </w:r>
          </w:p>
        </w:tc>
        <w:tc>
          <w:tcPr>
            <w:tcW w:w="200" w:type="dxa"/>
            <w:vAlign w:val="bottom"/>
          </w:tcPr>
          <w:p>
            <w:pPr>
              <w:spacing w:after="0"/>
              <w:rPr>
                <w:sz w:val="19"/>
                <w:szCs w:val="19"/>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12/31/2021</w:t>
            </w:r>
          </w:p>
        </w:tc>
        <w:tc>
          <w:tcPr>
            <w:tcW w:w="20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3/31/2022</w:t>
            </w:r>
          </w:p>
        </w:tc>
        <w:tc>
          <w:tcPr>
            <w:tcW w:w="2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6/30/2022</w:t>
            </w:r>
          </w:p>
        </w:tc>
        <w:tc>
          <w:tcPr>
            <w:tcW w:w="220" w:type="dxa"/>
            <w:vAlign w:val="bottom"/>
          </w:tcPr>
          <w:p>
            <w:pPr>
              <w:spacing w:after="0"/>
              <w:rPr>
                <w:sz w:val="19"/>
                <w:szCs w:val="19"/>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9/30/2022</w:t>
            </w:r>
          </w:p>
        </w:tc>
        <w:tc>
          <w:tcPr>
            <w:tcW w:w="20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12/31/2022</w:t>
            </w:r>
          </w:p>
        </w:tc>
      </w:tr>
      <w:tr>
        <w:trPr>
          <w:trHeight w:val="25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Remitly Global, Inc.</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33"/>
        </w:trPr>
        <w:tc>
          <w:tcPr>
            <w:tcW w:w="2500" w:type="dxa"/>
            <w:vAlign w:val="bottom"/>
          </w:tcPr>
          <w:p>
            <w:pPr>
              <w:ind w:left="20"/>
              <w:spacing w:after="0"/>
              <w:rPr>
                <w:sz w:val="20"/>
                <w:szCs w:val="20"/>
                <w:color w:val="auto"/>
              </w:rPr>
            </w:pPr>
            <w:r>
              <w:rPr>
                <w:rFonts w:ascii="Arial" w:cs="Arial" w:eastAsia="Arial" w:hAnsi="Arial"/>
                <w:sz w:val="16"/>
                <w:szCs w:val="16"/>
                <w:color w:val="auto"/>
              </w:rPr>
              <w:t>Russell 2000 Growth Index</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95.97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67.44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70.11</w:t>
            </w:r>
          </w:p>
        </w:tc>
      </w:tr>
      <w:tr>
        <w:trPr>
          <w:trHeight w:val="25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KBW Financial Technology Index</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Authorized for Issuance Under Equity Compensation Plans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information on securities authorized for issuance under our equity compensation plans see “Item 12. Security Ownership of Certain Beneficial Owners and Management and Related Stockholders Matters”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All of the shares issued and sold in our IPO were registered under the Securities Act pursuant to a registration statement on Form S-1 (File No. 333-259167), which was declared effective by the SEC on September 22, 2021. There has been no material change in the planned use of proceeds from our IPO as described in our final prospectus filed with the SEC on September 24, 2021 pursuant to Rule 424(b) under the Securities Act. The managing underwriters of our IPO were Goldman Sachs &amp; Co. LLC and J.P. Morgan Securities LLC. No payments were made by us to directors, officers or persons owning ten percent or more of our common stock or to their associates, or to our affiliates, in connection with the issuance and sale of the securities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appearing elsewhere in this Annual Report on Form 10-K and our audited Consolidated Financial Statements and the related notes.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10-K represent our views as of the date of this Form 10-K.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10-K.</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5" w:lineRule="exact"/>
        <w:rPr>
          <w:sz w:val="20"/>
          <w:szCs w:val="20"/>
          <w:color w:val="auto"/>
        </w:rPr>
      </w:pPr>
    </w:p>
    <w:p>
      <w:pPr>
        <w:ind w:right="440"/>
        <w:spacing w:after="0" w:line="286"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32"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Active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Active customers, measured as of the three months ended December 31, 2022, 2021, and 2020 were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56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Active customers increased to approximately 4.2 million, or 48% growth, for the three months ended December 31, 2022, compared to the three months ended December 31, 2021. This increase was primarily due to an increase in new customers, driven by investments in our mobile platform and efficient marketing spend, our focus on customer experience,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 In addition, while not a primary driver of results, we believe the strength in our primary send currencies relative to receive market currencies contributed to new customer acquisition in certain markets during the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Send Volume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220" w:type="dxa"/>
            <w:vAlign w:val="bottom"/>
            <w:tcBorders>
              <w:bottom w:val="single" w:sz="8" w:color="auto"/>
            </w:tcBorders>
          </w:tcPr>
          <w:p>
            <w:pPr>
              <w:spacing w:after="0"/>
              <w:rPr>
                <w:sz w:val="19"/>
                <w:szCs w:val="19"/>
                <w:color w:val="auto"/>
              </w:rPr>
            </w:pPr>
          </w:p>
        </w:tc>
      </w:tr>
      <w:tr>
        <w:trPr>
          <w:trHeight w:val="23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Send volume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28,631</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w:t>
            </w:r>
          </w:p>
        </w:tc>
      </w:tr>
    </w:tbl>
    <w:p>
      <w:pPr>
        <w:spacing w:after="0" w:line="247"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color w:val="auto"/>
        </w:rPr>
        <w:t>We measure send volume to assess the scale of remittances sent using our platform. Our customers mostly send from the United States, Canada, and other countries in Europe. Our customers and their recipients are located in over 170 countries and territories across the globe; the largest receive countries by send volume include India, Mexico, and the Philippines.</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Send volume increased $8.2 billion, or 40%, to over $28.6 billion for the year ended December 31, 2022, compared to $20.4 billion for the year ended December 31, 2021, driven by the increase in active customers.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Retention and High Customer Engagement</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w:t>
      </w:r>
    </w:p>
    <w:p>
      <w:pPr>
        <w:spacing w:after="0" w:line="132" w:lineRule="exact"/>
        <w:rPr>
          <w:sz w:val="20"/>
          <w:szCs w:val="20"/>
          <w:color w:val="auto"/>
        </w:rPr>
      </w:pPr>
    </w:p>
    <w:p>
      <w:pPr>
        <w:ind w:right="780"/>
        <w:spacing w:after="0" w:line="275" w:lineRule="auto"/>
        <w:rPr>
          <w:sz w:val="20"/>
          <w:szCs w:val="20"/>
          <w:color w:val="auto"/>
        </w:rPr>
      </w:pPr>
      <w:r>
        <w:rPr>
          <w:rFonts w:ascii="Arial" w:cs="Arial" w:eastAsia="Arial" w:hAnsi="Arial"/>
          <w:sz w:val="16"/>
          <w:szCs w:val="16"/>
          <w:color w:val="auto"/>
        </w:rPr>
        <w:t>We measure active customers to monitor the growth and performance of our customer base. The majority of our active customers send money for recurring, non-discretionary needs multiple times per month, providing a reoccurring revenue stream with high visibility and predictability.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Attracting New Customers</w:t>
      </w:r>
    </w:p>
    <w:p>
      <w:pPr>
        <w:spacing w:after="0" w:line="18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immigrants. We plan to continue to acquire new customers through digital marketing channels and word-of-mouth referrals from existing customers and by exploring new customer acquisition channels. Given the nature of our business, new customer acquisition may negatively impact net loss and Adjusted EBITDA in the initial period, while positively impacting net loss and Adjusted EBITDA in subsequent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Acquisition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Efficiently acquiring customers is critical to our growth and maintaining attractive customer economics, which is impacted by online marketing competition, our ability to effectively target the right demographic, and competitor pricing. We have a history of successfully monitoring customer acquisitions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includes digital advertising costs. As we look ahead, we remain focused on driving efficiencies across the marketing funnel.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Corridor Mix</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81"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 The number of business days in a quarter and the day of week that the last day of the quarter falls on may also introduce variability in our results, working capital balances, or cash flows period over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of Risk and Fraud</w:t>
      </w:r>
    </w:p>
    <w:p>
      <w:pPr>
        <w:spacing w:after="0" w:line="167"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tailor our risk models to target other illegitimate activity.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Global macroeconomic and geopolitical factors, including inflation, currency fluctuations, immigration, trade and regulatory policies, the conflict in Ukraine,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do impact our business in numerous ways. For example, as the U.S. dollar strengthens, we see customers in certain markets taking advantage of the ability to get more local currency to their families and friends. We also believe the strength of the U.S. dollar and the strength in other developed market currencies versus emerging market currencies make it easier to acquire new customers in certain markets. Conversely, expansion of our international business can negatively impact our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in the Notes to the Company’s Consolidated Financial Statements included in Part II, Item 8 of this Annual Report on Form 10-K for a more comprehensive description of current business concentrations.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67" w:lineRule="exact"/>
        <w:rPr>
          <w:sz w:val="20"/>
          <w:szCs w:val="20"/>
          <w:color w:val="auto"/>
        </w:rPr>
      </w:pPr>
    </w:p>
    <w:p>
      <w:pPr>
        <w:jc w:val="both"/>
        <w:ind w:right="140"/>
        <w:spacing w:after="0" w:line="295" w:lineRule="auto"/>
        <w:rPr>
          <w:sz w:val="20"/>
          <w:szCs w:val="20"/>
          <w:color w:val="auto"/>
        </w:rPr>
      </w:pPr>
      <w:r>
        <w:rPr>
          <w:rFonts w:ascii="Arial" w:cs="Arial" w:eastAsia="Arial" w:hAnsi="Arial"/>
          <w:sz w:val="15"/>
          <w:szCs w:val="15"/>
          <w:color w:val="auto"/>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although we expect some variability in transaction expense from quarter to quarter.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Reserve for Transaction Losses</w:t>
      </w:r>
    </w:p>
    <w:p>
      <w:pPr>
        <w:spacing w:after="0" w:line="18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Consolidated Balance Sheets. The provision for transaction losses is included as a component of </w:t>
      </w: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67"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67"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and legal fees. Technology and development expenses also include professional services fees and costs for software subscription services dedicated for use by the Company’s technology and development teams, as well as other company wide technology tools. Technology and development expenses also include product and engineering teams used to support the development of both internal infrastructure and internal-use software, to the extent such costs do not qualify for capitalization.</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invest in and expand our technology and development team to develop new solutions and enhancements to existing solutions.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General and administrative expenses consist primarily of personnel-related expenses for the Company’s finance, legal, corporate and business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as well as advisory and other professional services fees necessary to integrate acquired businesses.</w:t>
      </w:r>
    </w:p>
    <w:p>
      <w:pPr>
        <w:spacing w:after="0" w:line="145" w:lineRule="exact"/>
        <w:rPr>
          <w:sz w:val="20"/>
          <w:szCs w:val="20"/>
          <w:color w:val="auto"/>
        </w:rPr>
      </w:pPr>
    </w:p>
    <w:p>
      <w:pPr>
        <w:jc w:val="both"/>
        <w:ind w:right="400"/>
        <w:spacing w:after="0" w:line="325" w:lineRule="auto"/>
        <w:rPr>
          <w:sz w:val="20"/>
          <w:szCs w:val="20"/>
          <w:color w:val="auto"/>
        </w:rPr>
      </w:pPr>
      <w:r>
        <w:rPr>
          <w:rFonts w:ascii="Arial" w:cs="Arial" w:eastAsia="Arial" w:hAnsi="Arial"/>
          <w:sz w:val="14"/>
          <w:szCs w:val="14"/>
          <w:color w:val="auto"/>
        </w:rPr>
        <w:t>We have incurred and expect to continue to incur expenses as a direct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have also invested in additional headcount to support both public company costs and to support our growth initiatives.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67" w:lineRule="exact"/>
        <w:rPr>
          <w:sz w:val="20"/>
          <w:szCs w:val="20"/>
          <w:color w:val="auto"/>
        </w:rPr>
      </w:pPr>
    </w:p>
    <w:p>
      <w:pPr>
        <w:jc w:val="both"/>
        <w:ind w:right="100"/>
        <w:spacing w:after="0" w:line="295" w:lineRule="auto"/>
        <w:rPr>
          <w:sz w:val="20"/>
          <w:szCs w:val="20"/>
          <w:color w:val="auto"/>
        </w:rPr>
      </w:pPr>
      <w:r>
        <w:rPr>
          <w:rFonts w:ascii="Arial" w:cs="Arial" w:eastAsia="Arial" w:hAnsi="Arial"/>
          <w:sz w:val="15"/>
          <w:szCs w:val="15"/>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906"/>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Results of Operations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4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4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653,560</w:t>
            </w:r>
          </w:p>
        </w:tc>
        <w:tc>
          <w:tcPr>
            <w:tcW w:w="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458,605</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194,955</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bl>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Revenue increased $195.0 million, or 43%, to $653.6 million for the year ended December 31, 2022, compared to $458.6 million for the year ended December 31, 2021. This increase was primarily driven by growth in send volume, which increased $8.2 billion, or 40%, to over $28.6 billion for the year ended December 31, 2022, compared to $20.4 billion for the year ended December 31, 2021, reflecting a 48% increase in active customers year over year and continued strength in the retention of existing customers.</w:t>
      </w:r>
    </w:p>
    <w:p>
      <w:pPr>
        <w:spacing w:after="0" w:line="1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While not a primary driver of results, foreign currency movements, particularly the recent strength in the U.S. dollar, impacted our business in the year ended December 31, 2022. For example, we saw customers taking advantage of the ability to get more local currency to their families and friends. The strength in our primary send currencies relative to receive market currencies was also a benefit to new customer acquisition and retention in certain markets. We also saw strong revenue growth in international send countries outside of North America as our business continues to scale, contributing to greater diversification of our revenue globally. This increase in global revenue growth was partially offset by foreign currency translation related to our international revenue, and currencies such as the British Pound and Euro weakened against the U.S. dollar. For further information about our revenue by major geography, see Note 3.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in the Notes to the Consolidated Financial Statements included in Part II Item 8 of this Annual Report on Form 10-K.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Transaction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1"/>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258,827</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191,606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67,221</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160"/>
        <w:spacing w:after="0" w:line="310" w:lineRule="auto"/>
        <w:rPr>
          <w:sz w:val="20"/>
          <w:szCs w:val="20"/>
          <w:color w:val="auto"/>
        </w:rPr>
      </w:pPr>
      <w:r>
        <w:rPr>
          <w:rFonts w:ascii="Arial" w:cs="Arial" w:eastAsia="Arial" w:hAnsi="Arial"/>
          <w:sz w:val="14"/>
          <w:szCs w:val="14"/>
          <w:color w:val="auto"/>
        </w:rPr>
        <w:t>Transaction expenses increased $67.2 million, or 35%, to $258.8 million for the year ended December 31, 2022, compared to $191.6 million, for the year ended December 31, 2021. The increase was primarily due to a $49.4 million increase in direct costs associated with processing a higher volume of our customers’ remittance transactions and the disbursement of our customers’ funds to their recipients, a $13.9 million increase in fraud and other losses largely driven by growth in new customers and send volume, and a $3.9 million increase in other transaction expenses, primarily related to software and tools that support our compliance and risk operations.</w:t>
      </w:r>
    </w:p>
    <w:p>
      <w:pPr>
        <w:spacing w:after="0" w:line="113"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As a percentage of revenue, transaction expenses decreased to 40% for the year ended December 31, 2022, from 42% for the year ended December 31, 2021, primarily due to better economics with partners as we are able to drive better terms with our payment and disbursement partners as a result of increasing scale.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Customer Support and Operations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68,106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45,525</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22,581</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Customer support and operations expenses increased $22.6 million, or 50%, for the year ended December 31, 2022, compared to the year ended December 31, 2021. The increase was primarily driven by an $8.7 million increase in internal personnel costs at our sites in the Philippines, Nicaragua, and Ireland that support customer operations, an $8.7 million increase in third party customer support costs, a $3.9 million increase in software and telephony costs as we supported more active customers, and $1.3 million increase in other operating expenses.</w:t>
      </w:r>
    </w:p>
    <w:p>
      <w:pPr>
        <w:spacing w:after="0" w:line="1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percentage of revenue, customer support and operations expenses remained flat at 10% for the year ended December 31, 2022 as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906"/>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Marketing Expenses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24"/>
                <w:szCs w:val="24"/>
                <w:color w:val="auto"/>
              </w:rPr>
            </w:pPr>
          </w:p>
        </w:tc>
      </w:tr>
      <w:tr>
        <w:trPr>
          <w:trHeight w:val="236"/>
        </w:trPr>
        <w:tc>
          <w:tcPr>
            <w:tcW w:w="45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170,970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120,906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50,064</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Marketing expenses increased $50.1 million, or 41%, for the year ended December 31, 2022, compared to the year ended December 31, 2021, due primarily to an increase of $34.2 million in direct marketing expense, including online and offline marketing spend and promotion costs to acquire new customers. Personnel-related costs increased by $12.4 million, driven by a 29% increase in marketing headcount compared to the same period in 2021, and inclusive of an $8.2 million increase in stock-based compensation expense. The increase in marketing expenses was also driven by a $2.2 million increase in other indirect marketing, a $0.5 million increase in professional fees, $0.5 million increase in software costs, and a $0.4 million increase in employee-related expenses, partially offset by a $0.1 million decrease in other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marketing expenses remained flat at 26% for the year ended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138,719</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64,093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74,626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180"/>
        <w:spacing w:after="0" w:line="279" w:lineRule="auto"/>
        <w:rPr>
          <w:sz w:val="20"/>
          <w:szCs w:val="20"/>
          <w:color w:val="auto"/>
        </w:rPr>
      </w:pPr>
      <w:r>
        <w:rPr>
          <w:rFonts w:ascii="Arial" w:cs="Arial" w:eastAsia="Arial" w:hAnsi="Arial"/>
          <w:sz w:val="15"/>
          <w:szCs w:val="15"/>
          <w:color w:val="auto"/>
        </w:rPr>
        <w:t>Technology and development expenses increased $74.6 million, or 116%, for the year ended December 31, 2022, compared to the year ended December 31, 2021. The increase was driven by $64.4 million in personnel-related expenses resulting from a 45% increase in headcount compared to the same period in 2021 undertaken as part of our continued investment in our technology platform and included a $39.5 million increase in stock-based compensation expense. The increase in technology and development expense was also driven by a $6.7 million increase in software costs for cloud services to support incremental transaction volume, a $1.4 million increase in employee-related expenses, a $1.4 million increase in professional fees, and a $0.7 million increase in facilities costs.</w:t>
      </w:r>
    </w:p>
    <w:p>
      <w:pPr>
        <w:spacing w:after="0" w:line="13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As a percentage of revenue, technology and development expenses increased to 21% for the year ended December 31, 2022, from 14% for the year ended December 31, 2021, driven by an increase in stock-based compensation expense and headcount due to hiring additional personnel and contractors who are directly engaged in developing our platform and providing technology support and security.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131,250</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70,941</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60,309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General and administrative expenses increased $60.3 million, or 85%, for the year ended December 31, 2022, compared to the year ended December 31, 2021. This increase was primarily driven by a $46.8 million increase in personnel-related costs due to a 61% increase in general and administrative headcount compared to the same period in 2021 and inclusive of a $29.9 million increase in stock-based compensation expense. Contributing to the increase in general and administrative expenses were $3.5 million of legal, accounting, and diligence acquisition and integration expenses, primarily driven by the acquisition of Rewire, $7.6 million in professional fees, $3.8 million in corporate costs, $2.6 million in employee-related costs, $2.6 million in facilities costs, and $1.0 million in software, partially offset by a $4.7 million decrease in charitable contributions, a $2.7 million decrease in indirect taxes, and a $0.2 million decrease in other operating expenses. The increase in headcount and professional, regulatory, and corporate fees has been to support the growth of the business and ongoing public company costs, including incremental D&amp;O insurance required as a public company.</w:t>
      </w:r>
    </w:p>
    <w:p>
      <w:pPr>
        <w:spacing w:after="0" w:line="12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a percentage of revenue, general and administrative expenses increased to 20% for the year ended December 31, 2022, from 15% for the year ended December 31, 2021, due to an increase in headcount, stock-based compensation, and ongoing public company costs.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905"/>
        </w:trPr>
        <w:tc>
          <w:tcPr>
            <w:tcW w:w="45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Depreciation and Amortization</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6,724</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5,256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24"/>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380"/>
        <w:spacing w:after="0" w:line="349" w:lineRule="auto"/>
        <w:rPr>
          <w:sz w:val="20"/>
          <w:szCs w:val="20"/>
          <w:color w:val="auto"/>
        </w:rPr>
      </w:pPr>
      <w:r>
        <w:rPr>
          <w:rFonts w:ascii="Arial" w:cs="Arial" w:eastAsia="Arial" w:hAnsi="Arial"/>
          <w:sz w:val="14"/>
          <w:szCs w:val="14"/>
          <w:color w:val="auto"/>
        </w:rPr>
        <w:t>Depreciation and amortization increased $1.5 million, or 28%, for the year ended December 31, 2022, compared to the year ended December 31, 2021. This increase is primarily due to an increase in depreciation for internally developed software, computers, and leasehold improvements and the amortization of intangible assets.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2864 %</w:t>
            </w:r>
          </w:p>
        </w:tc>
      </w:tr>
    </w:tbl>
    <w:p>
      <w:pPr>
        <w:spacing w:after="0" w:line="24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Interest income increased by $4.0 million for the year ended December 31, 2022, as compared to the year ended December 31, 2021 due to an increase in yield on interest bearing accounts driven by the increase in the U.S. Federal interest rate.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by an immaterial amount for the year ended December 31, 2022, as compared to the year ended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bl>
    <w:p>
      <w:pPr>
        <w:spacing w:after="0" w:line="247"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Other income, net, increased $2.1 million for the year ended December 31, 2022, compared to the year ended December 31, 2021, primarily due to unrealized gains on foreign exchange remeasurements related to transactions associated with high-volume balance sheet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gridSpan w:val="3"/>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7"/>
              </w:rPr>
              <w:t>—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was flat for the year ended December 31, 2022, as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905"/>
        </w:trPr>
        <w:tc>
          <w:tcPr>
            <w:tcW w:w="4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Comparison of the years ended December 31, 2021 and 2020</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4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1"/>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458,605</w:t>
            </w:r>
          </w:p>
        </w:tc>
        <w:tc>
          <w:tcPr>
            <w:tcW w:w="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256,956</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201,649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Revenue increased $201.6 million, or 78%, to $458.6 million for the year ended December 31, 2021, compared to $257.0 million for the year ended December 31, 2020.</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This increase was driven primarily by the growth in send volume for the same time period, which increased $8.4 billion, or 70%, to over $20.4 billion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compared to $12.1 billion for the year ended December 31, 2020, along with an increase in active customers and average revenue per active customer.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Transaction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191,606</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110,414</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81,192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160"/>
        <w:spacing w:after="0" w:line="310" w:lineRule="auto"/>
        <w:rPr>
          <w:sz w:val="20"/>
          <w:szCs w:val="20"/>
          <w:color w:val="auto"/>
        </w:rPr>
      </w:pPr>
      <w:r>
        <w:rPr>
          <w:rFonts w:ascii="Arial" w:cs="Arial" w:eastAsia="Arial" w:hAnsi="Arial"/>
          <w:sz w:val="14"/>
          <w:szCs w:val="14"/>
          <w:color w:val="auto"/>
        </w:rPr>
        <w:t>Transaction expenses increased $81.2 million, or 74%, to $191.6 million for the year ended December 31, 2021, compared to $110.4 million, for the year ended December 31, 2020. The increase was primarily due to a $66.4 million increase in direct costs associated with processing a higher volume of our customers’ remittance transactions and the disbursement of our customers’ funds to their recipients, a $10.6 million increase in fraud and other losses largely driven by growth in new customers and send volume, and a $4.2 million increase in other transaction expenses, primarily software and tools that support our compliance and risk operations.</w:t>
      </w:r>
    </w:p>
    <w:p>
      <w:pPr>
        <w:spacing w:after="0" w:line="10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a percentage of revenue, transaction expenses decreased to 42% for the year ended December 31, 2021, from 43% for the year ended December 31, 2020, primarily as a result of lower fraud and other losses, relative to the increase in revenue.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Customer Support and Operations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45,525</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25,428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Customer support and operations expenses increased $20.1 million, or 79%, for the year ended December 31, 2021, compared to the year ended December 31, 2020, primarily due to increased costs as a result of supporting more active users. The increase was primarily driven by a $9.4 million increase in third-party customer support costs, a $5.8 million increase in internal personnel costs at our sites in the Philippines, Nicaragua, and Ireland that support customer operations, a $3.2 million increase in software and telephony costs as we supported more active customers, and a $1.7 million increase in other operating expenses including customer set up fees and other costs.</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 percentage of revenue, customer support and operations expenses remained flat at 10% for the year ended December 31, 2021 as compared to the year ended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Marketing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2"/>
        </w:trPr>
        <w:tc>
          <w:tcPr>
            <w:tcW w:w="4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120,906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73,804</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Marketing expenses increased $47.1 million, or 64%, for the year ended December 31, 2021, compared to the year ended December 31, 2020, due primarily to an increase of $40.1 million in direct marketing expense, including online and offline marketing spend and promotion costs to acquire new customers. Personnel-related costs increased by $3.8 million driven by a 34% increase in marketing headcount compared to the same period in 2020, as well as a $1.5 million increase in stock-based compensation expense. The increase in marketing expenses was also driven by a $0.7 million increase in other indirect marketing costs, a $0.4 million increase in other expenses including professional fees, a $0.3 million increase in software, and a $0.3 million increase in other employee-related costs.</w:t>
      </w:r>
    </w:p>
    <w:p>
      <w:pPr>
        <w:spacing w:after="0" w:line="113"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As a percent of revenue, marketing expenses decreased to 26% for the year ended December 31, 2021, from 29% for the year ended December 31, 2020, as our existing customer base became a larger portion of revenue while our marketing spend was mostly dedicated to acquiring new customers.</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905"/>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Technology and Development Expenses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64,093</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40,777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24"/>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Technology and development expenses increased $23.3 million, or 57%, for the year ended December 31, 2021, compared to the year ended December 31, 2020. The increase was driven by a $13.4 million increase in personnel related expenses resulting from a 30% increase in headcount compared to the same period in 2020, as well as a $4.8 million increase in stock-based compensation expense. The increase in technology and development expense was also driven by a $3.7 million increase in software costs for employee tools and cloud services due to growth in headcount and volume of transactions, as well as a $0.6 million increase in other employee-related expenses, a $0.4 million increase in professional fees and a $0.4 million increase in facility costs.</w:t>
      </w:r>
    </w:p>
    <w:p>
      <w:pPr>
        <w:spacing w:after="0" w:line="13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As a percentage of revenue, technology and development expenses decreased to 14% for the year ended December 31, 2021, from 16% for the year ended December 31, 2020, as we leveraged our technology platform and infrastructure over a larger revenue and customer base.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70,941</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31,656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39,285</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General and administrative expenses increased $39.3 million, or 124%, for the year ended December 31, 2021, compared to the year ended December 31, 2020. Personnel-related expenses increased by $10.0 million, primarily driven by a 56% increase in general and administrative headcount compared to the same period in 2020, as well as a $5.4 million increase in stock-based compensation expense. The increase in our general and administrative headcount over the last year is primarily due to the investments we have made in our human resources, legal, and finance teams to prepare to become a public company. The increase in general and administrative expense was also due to a $7.9 million increase in professional, regulatory, and corporate fees to support the Company in preparing for its IPO, as well as ongoing public company costs, a $6.9 million donation of common stock in September 2021, a $4.9 million increase to other taxes, a $1.9 million increase to other employee-related expenses, a $1.2 million increase in software expense, a $0.8 million increase in facilities expense, and $0.3 million of other costs.</w:t>
      </w:r>
    </w:p>
    <w:p>
      <w:pPr>
        <w:spacing w:after="0" w:line="132"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As a percentage of revenue, general and administrative expenses increased to 15% for the year ended December 31, 2021, from 12% for the year ended December 31, 2020, due primarily to the September 2021 donation of common stock in connection with our Pledge 1% and costs related to operating as a public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20"/>
                <w:szCs w:val="20"/>
                <w:color w:val="auto"/>
              </w:rPr>
            </w:pPr>
            <w:r>
              <w:rPr>
                <w:rFonts w:ascii="Arial" w:cs="Arial" w:eastAsia="Arial" w:hAnsi="Arial"/>
                <w:sz w:val="16"/>
                <w:szCs w:val="16"/>
                <w:b w:val="1"/>
                <w:bCs w:val="1"/>
                <w:i w:val="1"/>
                <w:iCs w:val="1"/>
                <w:color w:val="auto"/>
              </w:rPr>
              <w:t>Depreciation and Amortization</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1"/>
        </w:trPr>
        <w:tc>
          <w:tcPr>
            <w:tcW w:w="45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5,256</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4,060</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Depreciation and amortization increased $1.2 million, or 30%, for the year ended December 31, 2021, compared to the year ended December 31, 2020. This increase is mostly due to an increase in depreciation for internally developed software, computers, and leasehold improvements.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32"/>
        </w:trPr>
        <w:tc>
          <w:tcPr>
            <w:tcW w:w="46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bl>
    <w:p>
      <w:pPr>
        <w:spacing w:after="0" w:line="2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Interest income decreased by an immaterial amount for the year ended December 31, 2021, compared to the year ended December 31, 2020 due to lower yields on interest-bearing accounts.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3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906"/>
        </w:trPr>
        <w:tc>
          <w:tcPr>
            <w:tcW w:w="46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by an immaterial amount for the year ended December 31, 2021, as compared to the year ended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32"/>
        </w:trPr>
        <w:tc>
          <w:tcPr>
            <w:tcW w:w="47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24"/>
                <w:szCs w:val="24"/>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ind w:left="160"/>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8"/>
              </w:rPr>
              <w:t>nm*</w:t>
            </w:r>
          </w:p>
        </w:tc>
      </w:tr>
      <w:tr>
        <w:trPr>
          <w:trHeight w:val="190"/>
        </w:trPr>
        <w:tc>
          <w:tcPr>
            <w:tcW w:w="4760" w:type="dxa"/>
            <w:vAlign w:val="bottom"/>
          </w:tcPr>
          <w:p>
            <w:pPr>
              <w:ind w:left="360"/>
              <w:spacing w:after="0"/>
              <w:rPr>
                <w:sz w:val="20"/>
                <w:szCs w:val="20"/>
                <w:color w:val="auto"/>
              </w:rPr>
            </w:pPr>
            <w:r>
              <w:rPr>
                <w:rFonts w:ascii="Arial" w:cs="Arial" w:eastAsia="Arial" w:hAnsi="Arial"/>
                <w:sz w:val="14"/>
                <w:szCs w:val="14"/>
                <w:color w:val="auto"/>
              </w:rPr>
              <w:t>*not meaningful</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72" w:lineRule="exact"/>
        <w:rPr>
          <w:sz w:val="20"/>
          <w:szCs w:val="20"/>
          <w:color w:val="auto"/>
        </w:rPr>
      </w:pPr>
    </w:p>
    <w:p>
      <w:pPr>
        <w:jc w:val="both"/>
        <w:ind w:right="320"/>
        <w:spacing w:after="0" w:line="269" w:lineRule="auto"/>
        <w:rPr>
          <w:sz w:val="20"/>
          <w:szCs w:val="20"/>
          <w:color w:val="auto"/>
        </w:rPr>
      </w:pPr>
      <w:r>
        <w:rPr>
          <w:rFonts w:ascii="Arial" w:cs="Arial" w:eastAsia="Arial" w:hAnsi="Arial"/>
          <w:sz w:val="16"/>
          <w:szCs w:val="16"/>
          <w:color w:val="auto"/>
        </w:rPr>
        <w:t>Other income (expense), net, increased $4.4 million from other (expense), net, for the year ended December 31, 2021, compared to the year ended December 31, 2020, primarily due to foreign exchange remeasurements on transactions associated with high-volume balance sheet balances, and volatility in related currencies including the Mexican peso, Philippine peso, and Colombian peso.</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247" w:lineRule="exact"/>
        <w:rPr>
          <w:sz w:val="20"/>
          <w:szCs w:val="20"/>
          <w:color w:val="auto"/>
        </w:rPr>
      </w:pPr>
    </w:p>
    <w:p>
      <w:pPr>
        <w:ind w:right="940"/>
        <w:spacing w:after="0" w:line="457" w:lineRule="auto"/>
        <w:rPr>
          <w:sz w:val="20"/>
          <w:szCs w:val="20"/>
          <w:color w:val="auto"/>
        </w:rPr>
      </w:pPr>
      <w:r>
        <w:rPr>
          <w:rFonts w:ascii="Arial" w:cs="Arial" w:eastAsia="Arial" w:hAnsi="Arial"/>
          <w:sz w:val="16"/>
          <w:szCs w:val="16"/>
          <w:color w:val="auto"/>
        </w:rPr>
        <w:t xml:space="preserve">The provision for income taxes decreased by an immaterial amount for the year ended December 31, 2021, as compared to the year ended December 31, 2020. </w:t>
      </w:r>
      <w:r>
        <w:rPr>
          <w:rFonts w:ascii="Arial" w:cs="Arial" w:eastAsia="Arial" w:hAnsi="Arial"/>
          <w:sz w:val="16"/>
          <w:szCs w:val="16"/>
          <w:b w:val="1"/>
          <w:bCs w:val="1"/>
          <w:color w:val="auto"/>
        </w:rPr>
        <w:t>Non-GAAP Financial Measures</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2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use Adjusted EBITDA, a non-GAAP financial measure to supplement net loss. Adjusted EBITDA is calculated as net loss adjusted by (i) interest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transaction and integration costs associated with acquisitions.</w:t>
      </w:r>
    </w:p>
    <w:p>
      <w:pPr>
        <w:spacing w:after="0" w:line="14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18"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04" w:lineRule="exact"/>
        <w:rPr>
          <w:sz w:val="20"/>
          <w:szCs w:val="20"/>
          <w:color w:val="auto"/>
        </w:rPr>
      </w:pPr>
    </w:p>
    <w:p>
      <w:pPr>
        <w:ind w:left="660" w:right="480" w:hanging="328"/>
        <w:spacing w:after="0" w:line="332" w:lineRule="auto"/>
        <w:tabs>
          <w:tab w:leader="none" w:pos="649"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70" w:lineRule="exact"/>
        <w:rPr>
          <w:rFonts w:ascii="Arial" w:cs="Arial" w:eastAsia="Arial" w:hAnsi="Arial"/>
          <w:sz w:val="15"/>
          <w:szCs w:val="15"/>
          <w:color w:val="auto"/>
        </w:rPr>
      </w:pPr>
    </w:p>
    <w:p>
      <w:pPr>
        <w:ind w:left="660" w:right="20" w:hanging="328"/>
        <w:spacing w:after="0" w:line="29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w:t>
      </w:r>
    </w:p>
    <w:p>
      <w:pPr>
        <w:ind w:left="660" w:right="6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80" w:hanging="328"/>
        <w:spacing w:after="0" w:line="269"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excludes certain transaction costs, primarily acquisition and integration expenses related to the pending Rewire acquisition. Transaction costs primarily include legal, accounting, valuation and due diligence costs, as well as advisory and other professional services fees necessary to integrate acquired businesses; and</w:t>
      </w:r>
    </w:p>
    <w:p>
      <w:pPr>
        <w:spacing w:after="0" w:line="15" w:lineRule="exact"/>
        <w:rPr>
          <w:rFonts w:ascii="Arial" w:cs="Arial" w:eastAsia="Arial" w:hAnsi="Arial"/>
          <w:sz w:val="16"/>
          <w:szCs w:val="16"/>
          <w:color w:val="auto"/>
        </w:rPr>
      </w:pPr>
    </w:p>
    <w:p>
      <w:pPr>
        <w:ind w:left="660" w:right="520" w:hanging="328"/>
        <w:spacing w:after="0" w:line="293"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(32,564)</w:t>
            </w:r>
          </w:p>
        </w:tc>
      </w:tr>
      <w:tr>
        <w:trPr>
          <w:trHeight w:val="233"/>
        </w:trPr>
        <w:tc>
          <w:tcPr>
            <w:tcW w:w="638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1,163</w:t>
            </w: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Foreign exchange (gain)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1,302</w:t>
            </w: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Donation of common stock</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Stock-based compensation expense,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95,293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5,264</w:t>
            </w:r>
          </w:p>
        </w:tc>
      </w:tr>
      <w:tr>
        <w:trPr>
          <w:trHeight w:val="24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(10,517)</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(19,859)</w:t>
            </w:r>
          </w:p>
        </w:tc>
      </w:tr>
      <w:tr>
        <w:trPr>
          <w:trHeight w:val="21"/>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Adjusted EBITDA declined to $(13.6) million for the year ended December 31, 2022, compared to $(10.5) million for the year ended December 31, 2021. Although we have continued to experience revenue growth, this has been offset by higher customer support costs, continued investments in customer acquisition and our technology platform, and other general and administrative expenses to support growth initiatives and operate as a public company.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Adjusted EBITDA remained flat at (2)% for the year ended December 31, 2022 and the year ended December 31, 2021.</w:t>
      </w:r>
    </w:p>
    <w:p>
      <w:pPr>
        <w:spacing w:after="0" w:line="167"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Adjusted EBITDA improved to $(10.5) million for the year ended December 31, 2021, compared to $(19.9) million for the year ended December 31, 2020, driven by continued acceleration in revenue, as a result of our growing customer base and corresponding increase in send volume, partially offset by higher processing and customer support costs, investments in customer acquisition and our technology platform, and other general and administrative expenses during 2021.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 and Material Future Cash Requirements</w:t>
      </w:r>
    </w:p>
    <w:p>
      <w:pPr>
        <w:spacing w:after="0" w:line="167"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As of December 31, 2022 and December 31, 2021, our principal sources of liquidity were cash and cash equivalents of $300.6 million and $403.3 million, respectively, as well as funds available under the New Revolving Credit Facility. We have historically financed our operations and capital expenditures primarily through cash generated from operations including transaction fees and foreign exchange spreads and sales of our redeemable convertible preferred stock. Since September 2021, we have primarily financed our operating growth and capital expenditures through the proceeds from our IPO and concurrent private placement. In addition, in September 2021, we entered into our $250.0 million New Revolving Credit Facility; however, we have not yet borrowed against this credit facility, given the cash we have on hand to fund operations, other than utilizing the letter of credit sub-facility, on an as needed basis. As of December 31, 2022, we have unused borrowing capacity of $227.7 million.</w:t>
      </w:r>
    </w:p>
    <w:p>
      <w:pPr>
        <w:spacing w:after="0" w:line="103"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$77.0 million which includes the fair value of cash and equity issued, or to be issued, to selling shareholders. Approximately $12.0 million of these proceeds were held back at closing for any potential indemnity claims, which will be released after a 15-month holdback period, subject to any deductions, the majority of which will be settled in cash, subject to any deductions. 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as discussed elsewhere in this Annual Report on Form 10-K, we expect that our operating expenses may continue to increase to support the continued growth of our business, including increased investments in our technology to support product improvements, new product development, and geographic expansion, as well as ongoing operating costs as a public company. We also routinely enter into marketing and advertising contracts, as well as software and other service arrangements, that can include minimum purchase quantities, requiring us to utilize cash on hand to fulfill these amounts. Refer to “Contractual Obligations and Commitments” discussed further below.</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our Consolidated Statements of Cash Flows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38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(105,140)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(18,391)</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(114,209)</w:t>
            </w:r>
          </w:p>
        </w:tc>
      </w:tr>
      <w:tr>
        <w:trPr>
          <w:trHeight w:val="253"/>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r>
      <w:tr>
        <w:trPr>
          <w:trHeight w:val="224"/>
        </w:trPr>
        <w:tc>
          <w:tcPr>
            <w:tcW w:w="638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238,203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122,216</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 These balances in our Consolidated Statement of Cash Flows include disbursement prefunding, customer funds receivable, customer liabilities, and book overdrafts and disbursement postfunding liabilities, which are included within the line item ‘</w:t>
      </w:r>
      <w:r>
        <w:rPr>
          <w:rFonts w:ascii="Arial" w:cs="Arial" w:eastAsia="Arial" w:hAnsi="Arial"/>
          <w:sz w:val="14"/>
          <w:szCs w:val="14"/>
          <w:i w:val="1"/>
          <w:iCs w:val="1"/>
          <w:color w:val="auto"/>
        </w:rPr>
        <w:t>Accrued expenses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liabilities</w:t>
      </w:r>
      <w:r>
        <w:rPr>
          <w:rFonts w:ascii="Arial" w:cs="Arial" w:eastAsia="Arial" w:hAnsi="Arial"/>
          <w:sz w:val="16"/>
          <w:szCs w:val="16"/>
          <w:color w:val="auto"/>
        </w:rPr>
        <w:t>’.</w:t>
      </w:r>
    </w:p>
    <w:p>
      <w:pPr>
        <w:spacing w:after="0" w:line="1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For the year ended December 31, 2022, net cash used in operating activities was $105.1 million, which was primarily driven by the timing of funding customer transactions year over year, due to the current year ending on a Saturday during a holiday funding weekend, compared to the same date in prior year, which ended on a Friday. Contributing to the changes was an overall growth in our business, increasing our volume of customer related balances as compared to the prior period. Specifically, as a result of both growth and timing, we saw an increase in customer funds receivable of $126.9 million, which was the key driver for the unfavorable changes in our operating assets and liabilities of $95.5 million at the end of 2022. Also affecting the net cash used in operating activities was a net loss of $114.0 million, substantially offset by $104.4 million of noncash charges included within net loss for the period.</w:t>
      </w:r>
    </w:p>
    <w:p>
      <w:pPr>
        <w:spacing w:after="0" w:line="132"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For the year ended December 31, 2021, net cash used in operating activities was $18.4 million, which primarily consisted of a net loss of $38.8 million, substantially offset by excluding approximately $29.7 million of noncash charges included within net loss for the period, as well as unfavorable changes in our operating assets and liabilities of $9.3 million. The main drivers for the unfavorable change in operating assets and liabilities were an increase in disbursement prefunding of $18.1 million, in line with the growth in our business and related to funding disbursement partners for expected send volume over a long holiday weekend, as well as an increase of $17.3 million in customer funds receivable, partially offset by an increase in accrued expenses and other liabilities of $26.1 million due to the timing of cash payments to vendors.</w:t>
      </w:r>
    </w:p>
    <w:p>
      <w:pPr>
        <w:spacing w:after="0" w:line="101"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For the year ended December 31, 2020, net cash used in operating activities was $114.2 million, which primarily consisted of changes in our operating assets and liabilities of $91.0 million, as well as a net loss of $32.6 million, excluding $9.3 million of non-cash charges included within net loss for the period.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7"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Cash used in investing activities consists primarily of purchases of property and equipment, capitalization of internal-use software, and cash paid for acquisitions of businesses.</w:t>
      </w:r>
    </w:p>
    <w:p>
      <w:pPr>
        <w:spacing w:after="0" w:line="132" w:lineRule="exact"/>
        <w:rPr>
          <w:sz w:val="20"/>
          <w:szCs w:val="20"/>
          <w:color w:val="auto"/>
        </w:rPr>
      </w:pPr>
    </w:p>
    <w:p>
      <w:pPr>
        <w:ind w:right="540"/>
        <w:spacing w:after="0" w:line="275" w:lineRule="auto"/>
        <w:rPr>
          <w:sz w:val="20"/>
          <w:szCs w:val="20"/>
          <w:color w:val="auto"/>
        </w:rPr>
      </w:pPr>
      <w:r>
        <w:rPr>
          <w:rFonts w:ascii="Arial" w:cs="Arial" w:eastAsia="Arial" w:hAnsi="Arial"/>
          <w:sz w:val="16"/>
          <w:szCs w:val="16"/>
          <w:color w:val="auto"/>
        </w:rPr>
        <w:t>Net cash used in investing activities was $7.3 million for the year ended December 31, 2022, primarily related to purchases of property and equipment to support the increase in headcount, capitalization of internal-use software costs, and the acquisition of a business.</w:t>
      </w:r>
    </w:p>
    <w:p>
      <w:pPr>
        <w:spacing w:after="0" w:line="13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Net cash used in investing activities was $4.5 million for the year ended December 31, 2021 and $4.4 million for the year ended December 31, 2020, primarily related to purchases of property and equipment to support the increase in headcount, and capitalization of internal-use software costs.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Cash provided by financing activities consists primarily of proceeds from the exercise of stock options, offset by repayments of our revolving credit facility borrowings, payment of debt issuance costs, and other long-term debt. Cash provided by financing activities also historically consisted of proceeds from our IPO and concurrent private placement, as well as previous issuances of redeemable convertible preferred stock.</w:t>
      </w:r>
    </w:p>
    <w:p>
      <w:pPr>
        <w:spacing w:after="0" w:line="13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Net cash provided by financing activities for the year ended December 31, 2022 of $11.1 million was primarily driven by proceeds from the exercise of stock options of $11.6 million, partially offset by payment of long-term debt acquired as part of an acquisition of $0.4 million.</w:t>
      </w:r>
    </w:p>
    <w:p>
      <w:pPr>
        <w:spacing w:after="0" w:line="118"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Net cash provided by financing activities for the year ended December 31, 2021 of $238.2 million was primarily driven by proceeds from the issuance of common stock upon our IPO and concurrent private placement, net of underwriting discounts and commissions and other offering costs of $305.2 million, as well as proceeds from: the exercise of stock options of $8.3 million, the repayment of a non-recourse promissory note of $3.1 million, and the issuance of Series F redeemable convertible preferred stock, net of issuance costs of $3.0 million. These proceeds were partially offset by repayments of our prior revolving credit facility borrowings of $80.0 million and payments of debt issuance costs on our New Revolving Credit Facility of $1.4 million.</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Net cash provided by financing activities for the year ended December 31, 2020 of $122.2 million was primarily driven by proceeds from the issuance of Series F convertible preferred stock of $84.8 million, net of issuance costs, and $35.0 million of proceeds from our revolving credit facility to meet our working capital needs, as well as $2.4 million in proceeds from the exercise of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principal commitments consist of standby letters of credits, long-term leases, and other purchase commitments entered into in the normal course of business. In addition, we routinely enter into marketing and advertising contracts, as well as software or other service arrangements, that contractually obligate us to purchase services in the near term, including minimum service quantities, unless we give notice of cancellation based on the applicable terms of the agreements. Most contracts are typically cancelable within a period of less than one year. As of December 31, 2022, we had approximately $8.0 million in total purchase commitments under these arrangements, of which the majority are expected to be paid within the next two years. Changes in our business needs, contractual cancellation provisions, fluctuating interest rates, and other factors may result in actual payments differing from the estimates. We cannot provide certainty regarding the timing and amounts of these payments. In addition, we have entered into the following commitments during 2022:</w:t>
      </w:r>
    </w:p>
    <w:p>
      <w:pPr>
        <w:spacing w:after="0" w:line="146" w:lineRule="exact"/>
        <w:rPr>
          <w:sz w:val="20"/>
          <w:szCs w:val="20"/>
          <w:color w:val="auto"/>
        </w:rPr>
      </w:pPr>
    </w:p>
    <w:p>
      <w:pPr>
        <w:ind w:left="660" w:hanging="328"/>
        <w:spacing w:after="0" w:line="25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August 15, 2022, we entered into a definitive agreement to acquire the outstanding equity interests of Rewire and on January 5, 2023, we completed this acquisition. Pursuant to the terms and conditions set forth in the agreement, and after customary adjustments for net debt, working capital, and transaction expenses, the net proceeds due to Rewire’s selling shareholders was approximately $77.0 million which includes the fair value of cash and equity issued, or to be issued, to selling shareholders. Approximately $12.0 million of these proceeds were held back at closing for any potential indemnity claims, which will be released after a 15-month holdback period, subject to any deductions, the majority of which will be settled in cash. The remaining consideration was transferred to Rewire’s selling shareholders through a combination of cash and Remitly equity.</w:t>
      </w:r>
    </w:p>
    <w:p>
      <w:pPr>
        <w:spacing w:after="0" w:line="131" w:lineRule="exact"/>
        <w:rPr>
          <w:rFonts w:ascii="Arial" w:cs="Arial" w:eastAsia="Arial" w:hAnsi="Arial"/>
          <w:sz w:val="16"/>
          <w:szCs w:val="16"/>
          <w:color w:val="auto"/>
        </w:rPr>
      </w:pPr>
    </w:p>
    <w:p>
      <w:pPr>
        <w:ind w:left="660" w:right="60" w:hanging="328"/>
        <w:spacing w:after="0" w:line="308" w:lineRule="auto"/>
        <w:tabs>
          <w:tab w:leader="none" w:pos="649"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On May 4, 2022, the Company amended and renewed the lease for its corporate headquarters in Seattle, Washington. In addition, during 2022, the Company amended certain of its existing lease agreements to accommodate additional space needed for its workforce, as a result of the Company’s continued growth, which included entering into a new multi-year lease agreement in Ireland. These leases commenced, or will commence, in various months during 2022 and expire between 2023 and 2025. Total incremental estimated cash payments that will be made over the course of these lease agreements total approximately $10 million. These leases have been recorded in accordance with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the Company’s Consolidated Balance Sheets as of December 31, 2022.</w:t>
      </w:r>
    </w:p>
    <w:p>
      <w:pPr>
        <w:spacing w:after="0" w:line="10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For further information on our material commitments refer to Note 6. </w:t>
      </w:r>
      <w:r>
        <w:rPr>
          <w:rFonts w:ascii="Arial" w:cs="Arial" w:eastAsia="Arial" w:hAnsi="Arial"/>
          <w:sz w:val="16"/>
          <w:szCs w:val="16"/>
          <w:i w:val="1"/>
          <w:iCs w:val="1"/>
          <w:color w:val="auto"/>
        </w:rPr>
        <w:t>Debt ,</w:t>
      </w:r>
      <w:r>
        <w:rPr>
          <w:rFonts w:ascii="Arial" w:cs="Arial" w:eastAsia="Arial" w:hAnsi="Arial"/>
          <w:sz w:val="16"/>
          <w:szCs w:val="16"/>
          <w:color w:val="auto"/>
        </w:rPr>
        <w:t xml:space="preserv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the Consolidated Financial Statements included in Part II, Item 8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 xml:space="preserve">As of December 31, 2022, we had no off-balance sheet arrangements that have, or are reasonably likely to have, a current or future material effect on our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we elected not to record leases on our Consolidated Balance Sheets if the lease term is 12 months or less. For further information on our lease arrangements refer to Note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the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The Company’s Consolidated Financial Statements and accompanying notes included in this Annual Report on Form 10-K are prepared in accordance with GAAP. The preparation of these Consolidated Financial Statements requires management to make estimates, judgments and assumptions that affect the reported amounts of assets, liabilities, equity, revenue and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While our significant accounting policies are described in the Notes to the Consolidated Financial Statements included in Part II, Item 8 of this Annual Report on Form 10-K, we believe that the following critical accounting policies involve a greater degree of judgment and complexity. Accordingly, these are the policies we believe are the most important to aid in fully understanding and evaluating our reported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7"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 xml:space="preserve">Our primary source of revenue is generated from our remittance business. Our revenue is earned from transaction fees charged to customers who are sending remittances and the foreign exchange spreads earned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 We account for revenue in accordance with Accounting Standards Codification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which includes the following steps:</w:t>
      </w:r>
    </w:p>
    <w:p>
      <w:pPr>
        <w:spacing w:after="0" w:line="13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81"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color w:val="auto"/>
        </w:rPr>
        <w:t>Customers engage us to perform one integrated service — collect the customer’s money and deliver funds to the intended recipient in the currency requested. Payment is generally due from the customer upfront upon initiation of a transaction, when the customer simultaneously agrees to our terms and conditions.</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 at which time a receivable is recorded, along with a corresponding customer liability. None of our contracts contain a significant financing component.</w:t>
      </w:r>
    </w:p>
    <w:p>
      <w:pPr>
        <w:spacing w:after="0" w:line="142"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w:t>
      </w:r>
      <w:r>
        <w:rPr>
          <w:rFonts w:ascii="Arial" w:cs="Arial" w:eastAsia="Arial" w:hAnsi="Arial"/>
          <w:sz w:val="15"/>
          <w:szCs w:val="15"/>
          <w:i w:val="1"/>
          <w:iCs w:val="1"/>
          <w:color w:val="auto"/>
        </w:rPr>
        <w:t>Transaction expenses</w:t>
      </w:r>
      <w:r>
        <w:rPr>
          <w:rFonts w:ascii="Arial" w:cs="Arial" w:eastAsia="Arial" w:hAnsi="Arial"/>
          <w:sz w:val="15"/>
          <w:szCs w:val="15"/>
          <w:color w:val="auto"/>
        </w:rPr>
        <w:t>’ within the Consolidated Statements of Operations. We do not have any deferred contract acquisition costs.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67"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We account for stock-based compensation expense by calculating the estimated fair value of each employee and nonemployee award at the grant date or modification date. Stock-based compensation expense is generally recognized on a straight-line basis over the requisite service period, which is typically the vesting period of the respective award. Forfeitures are recognized in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For restricted stock units that are granted under our equity incentive plans, we estimate the fair value of the award based on the fair market value of the Company’s common stock on the date of grant. For stock options granted under our equity incentive plans, and purchase rights issued under our employee stock purchase plan, we use the Black-Scholes option pricing model to estimate the fair value of the award at the grant date. The model utilizes the fair market value of our common stock at the measurement date and also incorporates the following assumptions to determine the fair value of the award:</w:t>
      </w:r>
    </w:p>
    <w:p>
      <w:pPr>
        <w:spacing w:after="0" w:line="14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We calculate the expected term based on the average period the options are expected to remain outstanding using the simplified method, generally calculated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midpoint of the requisite service period and the contractual term of the award.</w:t>
      </w:r>
    </w:p>
    <w:p>
      <w:pPr>
        <w:spacing w:after="0" w:line="118"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We base our estimate of expected volatility on the historical volatility of comparable companies from a representative peer group selected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financial, and market capitalization data.</w:t>
      </w:r>
    </w:p>
    <w:p>
      <w:pPr>
        <w:spacing w:after="0" w:line="104"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used in the model is based on the implied yield currently available for the U.S. Treasury securities at maturity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 term.</w:t>
      </w:r>
    </w:p>
    <w:p>
      <w:pPr>
        <w:spacing w:after="0" w:line="104" w:lineRule="exact"/>
        <w:rPr>
          <w:sz w:val="20"/>
          <w:szCs w:val="20"/>
          <w:color w:val="auto"/>
        </w:rPr>
      </w:pPr>
    </w:p>
    <w:p>
      <w:pPr>
        <w:ind w:right="780"/>
        <w:spacing w:after="0" w:line="466"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Our expected dividend yield is zero as we have never declared nor paid any dividends and do not currently expect to do so in the future.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Common Stock Valuation</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Prior to the completion of our IPO, the fair values of the shares of common stock underlying our stock-based awards were determined by our board of directors, with input from management, considering numerous objective and subjective factors to determine the fair value of the Company’s common stock at each meeting in which awards were approved. The values of stock-based awards granted were determined in accordance with the guidelines outlined in the American Institute of Certified Public Accountants Practice Aid, Valuation of Privately-Held-Company Equity Securities Issued as Compensation. The assumptions we used in the valuation model were based on future expectations combined with management judgment.</w:t>
      </w:r>
    </w:p>
    <w:p>
      <w:pPr>
        <w:spacing w:after="0" w:line="14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Application of these approaches and methodologies involved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at the time of such historical grants prior to our IPO. After the completion of the IPO, the fair value of our common stock is determined by the closing price, on the date of grant, of its common stock, which is traded on the NASDAQ.</w:t>
      </w:r>
    </w:p>
    <w:p>
      <w:pPr>
        <w:spacing w:after="0" w:line="12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For further disclosure of the assumptions used in determining the grant date fair value of stock-based awards, refer to Note 10</w:t>
      </w:r>
      <w:r>
        <w:rPr>
          <w:rFonts w:ascii="Arial" w:cs="Arial" w:eastAsia="Arial" w:hAnsi="Arial"/>
          <w:sz w:val="16"/>
          <w:szCs w:val="16"/>
          <w:i w:val="1"/>
          <w:iCs w:val="1"/>
          <w:color w:val="auto"/>
        </w:rPr>
        <w:t>. Stock-Based Compensation</w:t>
      </w:r>
      <w:r>
        <w:rPr>
          <w:rFonts w:ascii="Arial" w:cs="Arial" w:eastAsia="Arial" w:hAnsi="Arial"/>
          <w:sz w:val="16"/>
          <w:szCs w:val="16"/>
          <w:color w:val="auto"/>
        </w:rPr>
        <w:t xml:space="preserve"> in the Notes to the Company’s Consolidated Financial Statements included in Part II, Item 8 of this Annual Report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in the Notes to the Company’s Consolidated Financial Statements included in Part II, Item 8 of this Annual Report on Form 10-K for a discussion of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85"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92" w:lineRule="exact"/>
        <w:rPr>
          <w:sz w:val="20"/>
          <w:szCs w:val="20"/>
          <w:color w:val="auto"/>
        </w:rPr>
      </w:pPr>
    </w:p>
    <w:p>
      <w:pPr>
        <w:ind w:left="660" w:hanging="328"/>
        <w:spacing w:after="0" w:line="25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31"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our international subsidiary financial statements are denominated in and operated in currencies outside of the U.S. dollar. As such, the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the U.S. dollar.</w:t>
      </w:r>
    </w:p>
    <w:p>
      <w:pPr>
        <w:spacing w:after="0" w:line="132"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As of December 31, 2022 and December 31, 2021, a hypothetical uniform 10% strengthening or weakening in the value of the U.S. dollar relative to other currencies in which our net loss is generated, would have resulted in a decrease or increase to the fair value of our customer transaction related assets and liabilities denominated in currencies other than the subsidiaries’ functional currencies of approximately $10.2 million and $11.6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19"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Page</w:t>
            </w:r>
          </w:p>
        </w:tc>
      </w:tr>
      <w:tr>
        <w:trPr>
          <w:trHeight w:val="189"/>
        </w:trPr>
        <w:tc>
          <w:tcPr>
            <w:tcW w:w="20" w:type="dxa"/>
            <w:vAlign w:val="bottom"/>
          </w:tcPr>
          <w:p>
            <w:pPr>
              <w:spacing w:after="0"/>
              <w:rPr>
                <w:sz w:val="16"/>
                <w:szCs w:val="16"/>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0000FF"/>
              </w:rPr>
              <w:t xml:space="preserve">Report of Independent Registered Accounting Firm </w:t>
            </w:r>
            <w:r>
              <w:rPr>
                <w:rFonts w:ascii="Arial" w:cs="Arial" w:eastAsia="Arial" w:hAnsi="Arial"/>
                <w:sz w:val="16"/>
                <w:szCs w:val="16"/>
                <w:color w:val="000000"/>
              </w:rPr>
              <w:t>(PCAOB ID 238)</w:t>
            </w:r>
          </w:p>
        </w:tc>
        <w:tc>
          <w:tcPr>
            <w:tcW w:w="2380" w:type="dxa"/>
            <w:vAlign w:val="bottom"/>
            <w:gridSpan w:val="2"/>
          </w:tcPr>
          <w:p>
            <w:pPr>
              <w:jc w:val="right"/>
              <w:spacing w:after="0"/>
              <w:rPr>
                <w:sz w:val="20"/>
                <w:szCs w:val="20"/>
                <w:color w:val="auto"/>
              </w:rPr>
            </w:pPr>
            <w:r>
              <w:rPr>
                <w:rFonts w:ascii="Arial" w:cs="Arial" w:eastAsia="Arial" w:hAnsi="Arial"/>
                <w:sz w:val="16"/>
                <w:szCs w:val="16"/>
                <w:color w:val="0000FF"/>
              </w:rPr>
              <w:t>60</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Consolidated Balance Sheets</w:t>
            </w:r>
          </w:p>
        </w:tc>
        <w:tc>
          <w:tcPr>
            <w:tcW w:w="5480" w:type="dxa"/>
            <w:vAlign w:val="bottom"/>
            <w:gridSpan w:val="2"/>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78"/>
              </w:rPr>
              <w:t>62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0"/>
              </w:rPr>
              <w:t>Consolidated Statements of Operations</w:t>
            </w:r>
          </w:p>
        </w:tc>
        <w:tc>
          <w:tcPr>
            <w:tcW w:w="6280" w:type="dxa"/>
            <w:vAlign w:val="bottom"/>
            <w:gridSpan w:val="6"/>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63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0"/>
              </w:rPr>
              <w:t>Consolidated Statements of Comprehensive Loss</w:t>
            </w:r>
          </w:p>
        </w:tc>
        <w:tc>
          <w:tcPr>
            <w:tcW w:w="5620" w:type="dxa"/>
            <w:vAlign w:val="bottom"/>
            <w:gridSpan w:val="3"/>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64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2"/>
              </w:rPr>
              <w:t>Consolidated Statements of Redeemable Convertible Preferred Stock and Stockholders’ Equity (Deficit)</w:t>
            </w:r>
          </w:p>
        </w:tc>
        <w:tc>
          <w:tcPr>
            <w:tcW w:w="2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65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0000FF"/>
              </w:rPr>
              <w:t>Consolidated Statements of Cash Flows</w:t>
            </w:r>
          </w:p>
        </w:tc>
        <w:tc>
          <w:tcPr>
            <w:tcW w:w="2380" w:type="dxa"/>
            <w:vAlign w:val="bottom"/>
            <w:gridSpan w:val="2"/>
          </w:tcPr>
          <w:p>
            <w:pPr>
              <w:jc w:val="right"/>
              <w:spacing w:after="0"/>
              <w:rPr>
                <w:sz w:val="20"/>
                <w:szCs w:val="20"/>
                <w:color w:val="auto"/>
              </w:rPr>
            </w:pPr>
            <w:r>
              <w:rPr>
                <w:rFonts w:ascii="Arial" w:cs="Arial" w:eastAsia="Arial" w:hAnsi="Arial"/>
                <w:sz w:val="16"/>
                <w:szCs w:val="16"/>
                <w:color w:val="0000FF"/>
              </w:rPr>
              <w:t>67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2380" w:type="dxa"/>
            <w:vAlign w:val="bottom"/>
            <w:gridSpan w:val="2"/>
          </w:tcPr>
          <w:p>
            <w:pPr>
              <w:jc w:val="right"/>
              <w:spacing w:after="0"/>
              <w:rPr>
                <w:sz w:val="20"/>
                <w:szCs w:val="20"/>
                <w:color w:val="auto"/>
              </w:rPr>
            </w:pPr>
            <w:r>
              <w:rPr>
                <w:rFonts w:ascii="Arial" w:cs="Arial" w:eastAsia="Arial" w:hAnsi="Arial"/>
                <w:sz w:val="16"/>
                <w:szCs w:val="16"/>
                <w:color w:val="0000FF"/>
              </w:rPr>
              <w:t>68</w:t>
            </w:r>
          </w:p>
        </w:tc>
        <w:tc>
          <w:tcPr>
            <w:tcW w:w="20" w:type="dxa"/>
            <w:vAlign w:val="bottom"/>
          </w:tcPr>
          <w:p>
            <w:pPr>
              <w:spacing w:after="0"/>
              <w:rPr>
                <w:sz w:val="19"/>
                <w:szCs w:val="19"/>
                <w:color w:val="auto"/>
              </w:rPr>
            </w:pPr>
          </w:p>
        </w:tc>
      </w:tr>
      <w:tr>
        <w:trPr>
          <w:trHeight w:val="1108"/>
        </w:trPr>
        <w:tc>
          <w:tcPr>
            <w:tcW w:w="20" w:type="dxa"/>
            <w:vAlign w:val="bottom"/>
          </w:tcPr>
          <w:p>
            <w:pPr>
              <w:spacing w:after="0"/>
              <w:rPr>
                <w:sz w:val="24"/>
                <w:szCs w:val="24"/>
                <w:color w:val="auto"/>
              </w:rPr>
            </w:pPr>
          </w:p>
        </w:tc>
        <w:tc>
          <w:tcPr>
            <w:tcW w:w="2840" w:type="dxa"/>
            <w:vAlign w:val="bottom"/>
            <w:tcBorders>
              <w:top w:val="single" w:sz="8" w:color="0000FF"/>
            </w:tcBorders>
            <w:gridSpan w:val="4"/>
          </w:tcPr>
          <w:p>
            <w:pPr>
              <w:spacing w:after="0"/>
              <w:rPr>
                <w:sz w:val="24"/>
                <w:szCs w:val="24"/>
                <w:color w:val="auto"/>
              </w:rPr>
            </w:pPr>
          </w:p>
        </w:tc>
        <w:tc>
          <w:tcPr>
            <w:tcW w:w="3940" w:type="dxa"/>
            <w:vAlign w:val="bottom"/>
            <w:gridSpan w:val="3"/>
          </w:tcPr>
          <w:p>
            <w:pPr>
              <w:jc w:val="right"/>
              <w:ind w:right="1100"/>
              <w:spacing w:after="0"/>
              <w:rPr>
                <w:sz w:val="20"/>
                <w:szCs w:val="20"/>
                <w:color w:val="auto"/>
              </w:rPr>
            </w:pPr>
            <w:r>
              <w:rPr>
                <w:rFonts w:ascii="Arial" w:cs="Arial" w:eastAsia="Arial" w:hAnsi="Arial"/>
                <w:sz w:val="16"/>
                <w:szCs w:val="16"/>
                <w:color w:val="auto"/>
              </w:rPr>
              <w:t>59</w:t>
            </w:r>
          </w:p>
        </w:tc>
        <w:tc>
          <w:tcPr>
            <w:tcW w:w="2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440" w:type="dxa"/>
            <w:vAlign w:val="bottom"/>
            <w:tcBorders>
              <w:bottom w:val="single" w:sz="8" w:color="9A9A9A"/>
            </w:tcBorders>
          </w:tcPr>
          <w:p>
            <w:pPr>
              <w:spacing w:after="0"/>
              <w:rPr>
                <w:sz w:val="23"/>
                <w:szCs w:val="23"/>
                <w:color w:val="auto"/>
              </w:rPr>
            </w:pPr>
          </w:p>
        </w:tc>
        <w:tc>
          <w:tcPr>
            <w:tcW w:w="20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Remitly Global, Inc.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have audited the accompanying consolidated balance sheets of Remitly Global, Inc. and its subsidiaries (the “Company”) as of December 31, 2022 and 2021, and the related consolidated statements of operations, of comprehensive loss, of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30"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described in Note 3 to the consolidated financial statements, the Company’s consolidated revenue was $653.6 million for the year ended December 31, 2022. The Company's primary source of revenue is generated from its remittance business. Revenue is earned from transaction fees charged to customers who are sending remittances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Company’s service comprises a single performance obligation to complete transactions for the Company’s customers. The Company recognizes transaction revenue on a gross basis as it is the principal for fulfilling payment transactions.</w:t>
      </w:r>
    </w:p>
    <w:p>
      <w:pPr>
        <w:spacing w:after="0" w:line="13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related to the revenue recognition process, including controls over the completeness, accuracy and occurrence of revenue recognized. These procedures also included, among others, testing the completeness, accuracy and occurrence of revenue recognized for a sample of revenue transactions by (i) obtaining and inspecting source documents, which included customer invoices, incoming cash receipts, and cash disbursement statements, and (ii) evaluating the appropriateness of revenue recognized based on the terms of the related customer invoice.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884"/>
        </w:trPr>
        <w:tc>
          <w:tcPr>
            <w:tcW w:w="1160" w:type="dxa"/>
            <w:vAlign w:val="bottom"/>
            <w:tcBorders>
              <w:top w:val="single" w:sz="8" w:color="0000FF"/>
            </w:tcBorders>
          </w:tcPr>
          <w:p>
            <w:pPr>
              <w:spacing w:after="0"/>
              <w:rPr>
                <w:sz w:val="24"/>
                <w:szCs w:val="24"/>
                <w:color w:val="auto"/>
              </w:rPr>
            </w:pPr>
          </w:p>
        </w:tc>
        <w:tc>
          <w:tcPr>
            <w:tcW w:w="7080" w:type="dxa"/>
            <w:vAlign w:val="bottom"/>
          </w:tcPr>
          <w:p>
            <w:pPr>
              <w:jc w:val="center"/>
              <w:ind w:left="1759"/>
              <w:spacing w:after="0"/>
              <w:rPr>
                <w:sz w:val="20"/>
                <w:szCs w:val="20"/>
                <w:color w:val="auto"/>
              </w:rPr>
            </w:pPr>
            <w:r>
              <w:rPr>
                <w:rFonts w:ascii="Arial" w:cs="Arial" w:eastAsia="Arial" w:hAnsi="Arial"/>
                <w:sz w:val="16"/>
                <w:szCs w:val="16"/>
                <w:b w:val="1"/>
                <w:bCs w:val="1"/>
                <w:color w:val="auto"/>
              </w:rPr>
              <w:t>REMITLY GLOBAL,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1160" w:type="dxa"/>
            <w:vAlign w:val="bottom"/>
          </w:tcPr>
          <w:p>
            <w:pPr>
              <w:spacing w:after="0"/>
              <w:rPr>
                <w:sz w:val="17"/>
                <w:szCs w:val="17"/>
                <w:color w:val="auto"/>
              </w:rPr>
            </w:pPr>
          </w:p>
        </w:tc>
        <w:tc>
          <w:tcPr>
            <w:tcW w:w="7080" w:type="dxa"/>
            <w:vAlign w:val="bottom"/>
          </w:tcPr>
          <w:p>
            <w:pPr>
              <w:jc w:val="center"/>
              <w:ind w:left="1779"/>
              <w:spacing w:after="0"/>
              <w:rPr>
                <w:sz w:val="20"/>
                <w:szCs w:val="20"/>
                <w:color w:val="auto"/>
              </w:rPr>
            </w:pPr>
            <w:r>
              <w:rPr>
                <w:rFonts w:ascii="Arial" w:cs="Arial" w:eastAsia="Arial" w:hAnsi="Arial"/>
                <w:sz w:val="16"/>
                <w:szCs w:val="16"/>
                <w:b w:val="1"/>
                <w:bCs w:val="1"/>
                <w:color w:val="auto"/>
                <w:w w:val="88"/>
              </w:rPr>
              <w:t>Consolidated Balance Sheets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7080" w:type="dxa"/>
            <w:vAlign w:val="bottom"/>
          </w:tcPr>
          <w:p>
            <w:pPr>
              <w:jc w:val="center"/>
              <w:ind w:left="1779"/>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99"/>
        </w:trPr>
        <w:tc>
          <w:tcPr>
            <w:tcW w:w="11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300,635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403,262</w:t>
            </w: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Disbursement prefunding</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158,055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119,627</w:t>
            </w: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191,402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67,215</w:t>
            </w: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19,327</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17,448</w:t>
            </w:r>
          </w:p>
        </w:tc>
      </w:tr>
      <w:tr>
        <w:trPr>
          <w:trHeight w:val="243"/>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669,419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607,552</w:t>
            </w: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w:t>
            </w: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5,302</w:t>
            </w:r>
          </w:p>
        </w:tc>
      </w:tr>
      <w:tr>
        <w:trPr>
          <w:trHeight w:val="24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w:t>
            </w:r>
          </w:p>
        </w:tc>
      </w:tr>
      <w:tr>
        <w:trPr>
          <w:trHeight w:val="243"/>
        </w:trPr>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695,953</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Customer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111,075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70,483</w:t>
            </w: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66,683</w:t>
            </w: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w:t>
            </w:r>
          </w:p>
        </w:tc>
      </w:tr>
      <w:tr>
        <w:trPr>
          <w:trHeight w:val="243"/>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209,142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141,616</w:t>
            </w: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5,674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2,907</w:t>
            </w:r>
          </w:p>
        </w:tc>
      </w:tr>
      <w:tr>
        <w:trPr>
          <w:trHeight w:val="24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36"/>
        </w:trPr>
        <w:tc>
          <w:tcPr>
            <w:tcW w:w="8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145,336</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2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2"/>
              </w:rPr>
              <w:t>Common stock, $0.0001 par value; 725,000,000 shares authorized as of December 31, 2022 and 2021; 173,250,865 and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164,239,555 shares issued and outstanding, as of December 31, 2022 and 2021, respectively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854,276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739,503</w:t>
            </w: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 income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36"/>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(373,463)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(259,444)</w:t>
            </w:r>
          </w:p>
        </w:tc>
      </w:tr>
      <w:tr>
        <w:trPr>
          <w:trHeight w:val="237"/>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480,087</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480,328</w:t>
            </w:r>
          </w:p>
        </w:tc>
      </w:tr>
      <w:tr>
        <w:trPr>
          <w:trHeight w:val="243"/>
        </w:trPr>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695,953</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r>
      <w:tr>
        <w:trPr>
          <w:trHeight w:val="20"/>
        </w:trPr>
        <w:tc>
          <w:tcPr>
            <w:tcW w:w="1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84"/>
        </w:trPr>
        <w:tc>
          <w:tcPr>
            <w:tcW w:w="116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312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rPr>
              <w:t>REMITLY GLOBAL, INC.</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1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12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160" w:type="dxa"/>
            <w:vAlign w:val="bottom"/>
            <w:gridSpan w:val="4"/>
          </w:tcPr>
          <w:p>
            <w:pPr>
              <w:jc w:val="center"/>
              <w:ind w:right="62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61"/>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12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256,956</w:t>
            </w: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5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110,414</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68,106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25,428</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73,804</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138,719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64,093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40,777</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31,656</w:t>
            </w:r>
          </w:p>
        </w:tc>
      </w:tr>
      <w:tr>
        <w:trPr>
          <w:trHeight w:val="237"/>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w:t>
            </w:r>
          </w:p>
        </w:tc>
      </w:tr>
      <w:tr>
        <w:trPr>
          <w:trHeight w:val="237"/>
        </w:trPr>
        <w:tc>
          <w:tcPr>
            <w:tcW w:w="38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25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774,596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498,327</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286,139</w:t>
            </w:r>
          </w:p>
        </w:tc>
      </w:tr>
      <w:tr>
        <w:trPr>
          <w:trHeight w:val="233"/>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Loss from operations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(121,036)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(29,183)</w:t>
            </w:r>
          </w:p>
        </w:tc>
      </w:tr>
      <w:tr>
        <w:trPr>
          <w:trHeight w:val="25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4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r>
      <w:tr>
        <w:trPr>
          <w:trHeight w:val="233"/>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Loss before provision for income taxes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(112,976)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(37,713)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(31,401)</w:t>
            </w:r>
          </w:p>
        </w:tc>
      </w:tr>
      <w:tr>
        <w:trPr>
          <w:trHeight w:val="24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r>
      <w:tr>
        <w:trPr>
          <w:trHeight w:val="243"/>
        </w:trPr>
        <w:tc>
          <w:tcPr>
            <w:tcW w:w="3860" w:type="dxa"/>
            <w:vAlign w:val="bottom"/>
            <w:gridSpan w:val="2"/>
          </w:tcPr>
          <w:p>
            <w:pPr>
              <w:ind w:left="680"/>
              <w:spacing w:after="0"/>
              <w:rPr>
                <w:sz w:val="20"/>
                <w:szCs w:val="20"/>
                <w:color w:val="auto"/>
              </w:rPr>
            </w:pPr>
            <w:r>
              <w:rPr>
                <w:rFonts w:ascii="Arial" w:cs="Arial" w:eastAsia="Arial" w:hAnsi="Arial"/>
                <w:sz w:val="16"/>
                <w:szCs w:val="16"/>
                <w:color w:val="auto"/>
                <w:w w:val="98"/>
              </w:rPr>
              <w:t>Net loss attributable to common stockholders</w:t>
            </w:r>
          </w:p>
        </w:tc>
        <w:tc>
          <w:tcPr>
            <w:tcW w:w="312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(114,019)</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(32,564)</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Net loss per share attributable to common stockholders:</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3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Basic and diluted</w:t>
            </w: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06"/>
        </w:trPr>
        <w:tc>
          <w:tcPr>
            <w:tcW w:w="6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 attributable to common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2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6"/>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Basic and diluted</w:t>
            </w:r>
          </w:p>
        </w:tc>
        <w:tc>
          <w:tcPr>
            <w:tcW w:w="25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167,774,123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60,728,748</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21,459,062</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 Exclusive of depreciation and amortization, shown separately,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40"/>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3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56"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29210</wp:posOffset>
            </wp:positionV>
            <wp:extent cx="3086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3" w:lineRule="exact"/>
        <w:rPr>
          <w:sz w:val="20"/>
          <w:szCs w:val="20"/>
          <w:color w:val="auto"/>
        </w:rPr>
      </w:pPr>
    </w:p>
    <w:tbl>
      <w:tblPr>
        <w:tblLayout w:type="fixed"/>
        <w:tblInd w:w="2440" w:type="dxa"/>
        <w:tblCellMar>
          <w:top w:w="0" w:type="dxa"/>
          <w:left w:w="0" w:type="dxa"/>
          <w:bottom w:w="0" w:type="dxa"/>
          <w:right w:w="0" w:type="dxa"/>
        </w:tblCellMar>
      </w:tblPr>
      <w:tr>
        <w:trPr>
          <w:trHeight w:val="223"/>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37"/>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(114,019)</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(32,564)</w:t>
            </w:r>
          </w:p>
        </w:tc>
      </w:tr>
      <w:tr>
        <w:trPr>
          <w:trHeight w:val="466"/>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r>
      <w:tr>
        <w:trPr>
          <w:trHeight w:val="237"/>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(115,015)</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(32,007)</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-668020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-351155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373"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8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 Ended December 31, 2022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Redeemable Convertible</w:t>
            </w: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2400" w:type="dxa"/>
            <w:vAlign w:val="bottom"/>
            <w:tcBorders>
              <w:right w:val="single" w:sz="8" w:color="auto"/>
            </w:tcBorders>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8"/>
                <w:szCs w:val="8"/>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80" w:type="dxa"/>
            <w:vAlign w:val="bottom"/>
          </w:tcPr>
          <w:p>
            <w:pPr>
              <w:spacing w:after="0"/>
              <w:rPr>
                <w:sz w:val="7"/>
                <w:szCs w:val="7"/>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6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0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7"/>
                <w:szCs w:val="17"/>
                <w:color w:val="auto"/>
              </w:rPr>
            </w:pPr>
          </w:p>
        </w:tc>
        <w:tc>
          <w:tcPr>
            <w:tcW w:w="1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CCEEFF"/>
              <w:right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2022</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164,239,555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739,503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Arial" w:cs="Arial" w:eastAsia="Arial" w:hAnsi="Arial"/>
                <w:sz w:val="14"/>
                <w:szCs w:val="14"/>
                <w:color w:val="auto"/>
              </w:rPr>
              <w:t>Issuance of common stock in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Arial" w:cs="Arial" w:eastAsia="Arial" w:hAnsi="Arial"/>
                <w:sz w:val="14"/>
                <w:szCs w:val="14"/>
                <w:color w:val="auto"/>
              </w:rPr>
              <w:t>connection with ESPP</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379,674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exercise of stock options, including</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early exercised options, and vesting</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tcBorders>
              <w:right w:val="single" w:sz="8" w:color="auto"/>
            </w:tcBorders>
            <w:gridSpan w:val="2"/>
            <w:vMerge w:val="restart"/>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8,458,814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12,271</w:t>
            </w:r>
          </w:p>
        </w:tc>
        <w:tc>
          <w:tcPr>
            <w:tcW w:w="0" w:type="dxa"/>
            <w:vAlign w:val="bottom"/>
          </w:tcPr>
          <w:p>
            <w:pPr>
              <w:spacing w:after="0"/>
              <w:rPr>
                <w:sz w:val="1"/>
                <w:szCs w:val="1"/>
                <w:color w:val="auto"/>
              </w:rPr>
            </w:pPr>
          </w:p>
        </w:tc>
      </w:tr>
      <w:tr>
        <w:trPr>
          <w:trHeight w:val="188"/>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restricted stock units</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related to net shares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settlement of equity awards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97,114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97,114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(114,019)</w:t>
            </w:r>
          </w:p>
        </w:tc>
        <w:tc>
          <w:tcPr>
            <w:tcW w:w="0" w:type="dxa"/>
            <w:vAlign w:val="bottom"/>
          </w:tcPr>
          <w:p>
            <w:pPr>
              <w:spacing w:after="0"/>
              <w:rPr>
                <w:sz w:val="1"/>
                <w:szCs w:val="1"/>
                <w:color w:val="auto"/>
              </w:rPr>
            </w:pPr>
          </w:p>
        </w:tc>
      </w:tr>
      <w:tr>
        <w:trPr>
          <w:trHeight w:val="39"/>
        </w:trPr>
        <w:tc>
          <w:tcPr>
            <w:tcW w:w="2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CCEEFF"/>
              <w:right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173,250,865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854,276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(373,463)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480,087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 Ended December 31, 2021</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Redeemable Convertible</w:t>
            </w: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2400" w:type="dxa"/>
            <w:vAlign w:val="bottom"/>
            <w:tcBorders>
              <w:right w:val="single" w:sz="8" w:color="auto"/>
            </w:tcBorders>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8"/>
                <w:szCs w:val="8"/>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80" w:type="dxa"/>
            <w:vAlign w:val="bottom"/>
          </w:tcPr>
          <w:p>
            <w:pPr>
              <w:spacing w:after="0"/>
              <w:rPr>
                <w:sz w:val="7"/>
                <w:szCs w:val="7"/>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6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center"/>
              <w:ind w:right="88"/>
              <w:spacing w:after="0" w:line="12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7"/>
                <w:szCs w:val="17"/>
                <w:color w:val="auto"/>
              </w:rPr>
            </w:pPr>
          </w:p>
        </w:tc>
        <w:tc>
          <w:tcPr>
            <w:tcW w:w="13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CCEEFF"/>
              <w:right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387,707</w:t>
            </w:r>
          </w:p>
        </w:tc>
        <w:tc>
          <w:tcPr>
            <w:tcW w:w="680" w:type="dxa"/>
            <w:vAlign w:val="bottom"/>
            <w:tcBorders>
              <w:bottom w:val="single" w:sz="8" w:color="CCEEFF"/>
              <w:right w:val="single" w:sz="8" w:color="auto"/>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8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328,026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2,980</w:t>
            </w: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Repayment of non-recourse promissory</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Arial" w:cs="Arial" w:eastAsia="Arial" w:hAnsi="Arial"/>
                <w:sz w:val="14"/>
                <w:szCs w:val="14"/>
                <w:color w:val="auto"/>
                <w:w w:val="98"/>
              </w:rPr>
              <w:t>Conversion of redeemable convertible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180"/>
              <w:spacing w:after="0"/>
              <w:rPr>
                <w:sz w:val="20"/>
                <w:szCs w:val="20"/>
                <w:color w:val="auto"/>
              </w:rPr>
            </w:pPr>
            <w:r>
              <w:rPr>
                <w:rFonts w:ascii="Arial" w:cs="Arial" w:eastAsia="Arial" w:hAnsi="Arial"/>
                <w:sz w:val="14"/>
                <w:szCs w:val="14"/>
                <w:color w:val="auto"/>
                <w:w w:val="99"/>
              </w:rPr>
              <w:t>preferred stock to common stock in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80"/>
              <w:spacing w:after="0"/>
              <w:rPr>
                <w:sz w:val="20"/>
                <w:szCs w:val="20"/>
                <w:color w:val="auto"/>
              </w:rPr>
            </w:pPr>
            <w:r>
              <w:rPr>
                <w:rFonts w:ascii="Arial" w:cs="Arial" w:eastAsia="Arial" w:hAnsi="Arial"/>
                <w:sz w:val="14"/>
                <w:szCs w:val="14"/>
                <w:color w:val="auto"/>
              </w:rPr>
              <w:t>connection with initial public</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(127,410,631)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(390,687)</w:t>
            </w: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Arial" w:cs="Arial" w:eastAsia="Arial" w:hAnsi="Arial"/>
                <w:sz w:val="14"/>
                <w:szCs w:val="14"/>
                <w:color w:val="auto"/>
              </w:rPr>
              <w:t>offering</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Issuance of common stock upon initial</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public offering and private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placements, net of offering costs,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 and</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commissions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80"/>
              <w:spacing w:after="0"/>
              <w:rPr>
                <w:sz w:val="20"/>
                <w:szCs w:val="20"/>
                <w:color w:val="auto"/>
              </w:rPr>
            </w:pPr>
            <w:r>
              <w:rPr>
                <w:rFonts w:ascii="Arial" w:cs="Arial" w:eastAsia="Arial" w:hAnsi="Arial"/>
                <w:sz w:val="14"/>
                <w:szCs w:val="14"/>
                <w:color w:val="auto"/>
                <w:w w:val="99"/>
              </w:rPr>
              <w:t>exercise of stock options, including</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80"/>
              <w:spacing w:after="0"/>
              <w:rPr>
                <w:sz w:val="20"/>
                <w:szCs w:val="20"/>
                <w:color w:val="auto"/>
              </w:rPr>
            </w:pPr>
            <w:r>
              <w:rPr>
                <w:rFonts w:ascii="Arial" w:cs="Arial" w:eastAsia="Arial" w:hAnsi="Arial"/>
                <w:sz w:val="14"/>
                <w:szCs w:val="14"/>
                <w:color w:val="auto"/>
                <w:w w:val="97"/>
              </w:rPr>
              <w:t>early exercised options, and vesting</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tcBorders>
              <w:right w:val="single" w:sz="8" w:color="auto"/>
            </w:tcBorders>
            <w:gridSpan w:val="2"/>
            <w:vMerge w:val="restart"/>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4,495,889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Arial" w:cs="Arial" w:eastAsia="Arial" w:hAnsi="Arial"/>
                <w:sz w:val="14"/>
                <w:szCs w:val="14"/>
                <w:color w:val="auto"/>
              </w:rPr>
              <w:t>of restricted stock units</w:t>
            </w: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right w:val="single" w:sz="8" w:color="auto"/>
            </w:tcBorders>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17,290</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(38,756)</w:t>
            </w:r>
          </w:p>
        </w:tc>
        <w:tc>
          <w:tcPr>
            <w:tcW w:w="0" w:type="dxa"/>
            <w:vAlign w:val="bottom"/>
          </w:tcPr>
          <w:p>
            <w:pPr>
              <w:spacing w:after="0"/>
              <w:rPr>
                <w:sz w:val="1"/>
                <w:szCs w:val="1"/>
                <w:color w:val="auto"/>
              </w:rPr>
            </w:pPr>
          </w:p>
        </w:tc>
      </w:tr>
      <w:tr>
        <w:trPr>
          <w:trHeight w:val="39"/>
        </w:trPr>
        <w:tc>
          <w:tcPr>
            <w:tcW w:w="2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CCEEFF"/>
              <w:right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right w:val="single" w:sz="8" w:color="auto"/>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164,239,555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739,503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-98425</wp:posOffset>
            </wp:positionV>
            <wp:extent cx="5640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4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20" w:type="dxa"/>
            <w:vAlign w:val="bottom"/>
            <w:tcBorders>
              <w:right w:val="single" w:sz="8" w:color="auto"/>
            </w:tcBorders>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7"/>
                <w:szCs w:val="7"/>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center"/>
              <w:ind w:right="1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5"/>
                <w:szCs w:val="5"/>
                <w:color w:val="auto"/>
              </w:rPr>
            </w:pPr>
          </w:p>
        </w:tc>
        <w:tc>
          <w:tcPr>
            <w:tcW w:w="182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42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w w:val="92"/>
              </w:rPr>
              <w:t>Paid-in</w:t>
            </w:r>
          </w:p>
        </w:tc>
        <w:tc>
          <w:tcPr>
            <w:tcW w:w="1020" w:type="dxa"/>
            <w:vAlign w:val="bottom"/>
            <w:gridSpan w:val="3"/>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8"/>
                <w:szCs w:val="8"/>
                <w:color w:val="auto"/>
              </w:rPr>
            </w:pPr>
          </w:p>
        </w:tc>
        <w:tc>
          <w:tcPr>
            <w:tcW w:w="880" w:type="dxa"/>
            <w:vAlign w:val="bottom"/>
            <w:gridSpan w:val="2"/>
            <w:vMerge w:val="restart"/>
          </w:tcPr>
          <w:p>
            <w:pPr>
              <w:spacing w:after="0" w:line="120"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8"/>
                <w:szCs w:val="8"/>
                <w:color w:val="auto"/>
              </w:rPr>
            </w:pPr>
          </w:p>
        </w:tc>
        <w:tc>
          <w:tcPr>
            <w:tcW w:w="840" w:type="dxa"/>
            <w:vAlign w:val="bottom"/>
            <w:vMerge w:val="restart"/>
          </w:tcPr>
          <w:p>
            <w:pPr>
              <w:jc w:val="center"/>
              <w:ind w:right="31"/>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40" w:type="dxa"/>
            <w:vAlign w:val="bottom"/>
          </w:tcPr>
          <w:p>
            <w:pPr>
              <w:jc w:val="center"/>
              <w:ind w:right="1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2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302,873</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22,425,112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rPr>
                <w:sz w:val="20"/>
                <w:szCs w:val="20"/>
                <w:color w:val="auto"/>
              </w:rPr>
            </w:pPr>
            <w:r>
              <w:rPr>
                <w:rFonts w:ascii="Arial" w:cs="Arial" w:eastAsia="Arial" w:hAnsi="Arial"/>
                <w:sz w:val="14"/>
                <w:szCs w:val="14"/>
                <w:color w:val="auto"/>
              </w:rPr>
              <w:t>Issuance of Series E redeemable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9,294,084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84,834</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Issuance of common stock upon exercise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stock options, including early</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 options, and vesting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1,864,794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5,262</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(32,564)</w:t>
            </w:r>
          </w:p>
        </w:tc>
        <w:tc>
          <w:tcPr>
            <w:tcW w:w="0" w:type="dxa"/>
            <w:vAlign w:val="bottom"/>
          </w:tcPr>
          <w:p>
            <w:pPr>
              <w:spacing w:after="0"/>
              <w:rPr>
                <w:sz w:val="1"/>
                <w:szCs w:val="1"/>
                <w:color w:val="auto"/>
              </w:rPr>
            </w:pPr>
          </w:p>
        </w:tc>
      </w:tr>
      <w:tr>
        <w:trPr>
          <w:trHeight w:val="39"/>
        </w:trPr>
        <w:tc>
          <w:tcPr>
            <w:tcW w:w="2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CCEEFF"/>
              <w:right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66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39"/>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0"/>
        </w:trPr>
        <w:tc>
          <w:tcPr>
            <w:tcW w:w="6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(114,019)</w:t>
            </w:r>
          </w:p>
        </w:tc>
        <w:tc>
          <w:tcPr>
            <w:tcW w:w="4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(38,756)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(32,564)</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0"/>
        </w:trPr>
        <w:tc>
          <w:tcPr>
            <w:tcW w:w="66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4,060</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 net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95,293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17,016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r>
      <w:tr>
        <w:trPr>
          <w:trHeight w:val="190"/>
        </w:trPr>
        <w:tc>
          <w:tcPr>
            <w:tcW w:w="6680" w:type="dxa"/>
            <w:vAlign w:val="bottom"/>
          </w:tcPr>
          <w:p>
            <w:pPr>
              <w:ind w:left="240"/>
              <w:spacing w:after="0"/>
              <w:rPr>
                <w:sz w:val="20"/>
                <w:szCs w:val="20"/>
                <w:color w:val="auto"/>
              </w:rPr>
            </w:pPr>
            <w:r>
              <w:rPr>
                <w:rFonts w:ascii="Arial" w:cs="Arial" w:eastAsia="Arial" w:hAnsi="Arial"/>
                <w:sz w:val="14"/>
                <w:szCs w:val="14"/>
                <w:color w:val="auto"/>
              </w:rPr>
              <w:t>Donation of common stock</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1"/>
        </w:trPr>
        <w:tc>
          <w:tcPr>
            <w:tcW w:w="668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Disbursement prefunding</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(69,719)</w:t>
            </w:r>
          </w:p>
        </w:tc>
      </w:tr>
      <w:tr>
        <w:trPr>
          <w:trHeight w:val="190"/>
        </w:trPr>
        <w:tc>
          <w:tcPr>
            <w:tcW w:w="6680" w:type="dxa"/>
            <w:vAlign w:val="bottom"/>
          </w:tcPr>
          <w:p>
            <w:pPr>
              <w:ind w:left="460"/>
              <w:spacing w:after="0"/>
              <w:rPr>
                <w:sz w:val="20"/>
                <w:szCs w:val="20"/>
                <w:color w:val="auto"/>
              </w:rPr>
            </w:pPr>
            <w:r>
              <w:rPr>
                <w:rFonts w:ascii="Arial" w:cs="Arial" w:eastAsia="Arial" w:hAnsi="Arial"/>
                <w:sz w:val="14"/>
                <w:szCs w:val="14"/>
                <w:color w:val="auto"/>
              </w:rPr>
              <w:t>Customer funds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(126,942)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(17,282)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(20,028)</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(12,559)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r>
      <w:tr>
        <w:trPr>
          <w:trHeight w:val="190"/>
        </w:trPr>
        <w:tc>
          <w:tcPr>
            <w:tcW w:w="6680" w:type="dxa"/>
            <w:vAlign w:val="bottom"/>
          </w:tcPr>
          <w:p>
            <w:pPr>
              <w:ind w:left="460"/>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2,376</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4,044</w:t>
            </w:r>
          </w:p>
        </w:tc>
      </w:tr>
      <w:tr>
        <w:trPr>
          <w:trHeight w:val="190"/>
        </w:trPr>
        <w:tc>
          <w:tcPr>
            <w:tcW w:w="6680" w:type="dxa"/>
            <w:vAlign w:val="bottom"/>
          </w:tcPr>
          <w:p>
            <w:pPr>
              <w:ind w:left="460"/>
              <w:spacing w:after="0"/>
              <w:rPr>
                <w:sz w:val="20"/>
                <w:szCs w:val="20"/>
                <w:color w:val="auto"/>
              </w:rPr>
            </w:pPr>
            <w:r>
              <w:rPr>
                <w:rFonts w:ascii="Arial" w:cs="Arial" w:eastAsia="Arial" w:hAnsi="Arial"/>
                <w:sz w:val="14"/>
                <w:szCs w:val="14"/>
                <w:color w:val="auto"/>
              </w:rPr>
              <w:t>Customer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42,979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(29,073)</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26,298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26,071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25,935</w:t>
            </w:r>
          </w:p>
        </w:tc>
      </w:tr>
      <w:tr>
        <w:trPr>
          <w:trHeight w:val="191"/>
        </w:trPr>
        <w:tc>
          <w:tcPr>
            <w:tcW w:w="6680" w:type="dxa"/>
            <w:vAlign w:val="bottom"/>
          </w:tcPr>
          <w:p>
            <w:pPr>
              <w:ind w:left="460"/>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(2,547)</w:t>
            </w:r>
          </w:p>
        </w:tc>
      </w:tr>
      <w:tr>
        <w:trPr>
          <w:trHeight w:val="39"/>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6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(114,209)</w:t>
            </w:r>
          </w:p>
        </w:tc>
      </w:tr>
      <w:tr>
        <w:trPr>
          <w:trHeight w:val="171"/>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Capitalized internal-use software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(2,306)</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acquisition, net of acquired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680" w:type="dxa"/>
            <w:vAlign w:val="bottom"/>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(7,309)</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(4,370)</w:t>
            </w:r>
          </w:p>
        </w:tc>
      </w:tr>
      <w:tr>
        <w:trPr>
          <w:trHeight w:val="39"/>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4"/>
        </w:trPr>
        <w:tc>
          <w:tcPr>
            <w:tcW w:w="6680" w:type="dxa"/>
            <w:vAlign w:val="bottom"/>
          </w:tcPr>
          <w:p>
            <w:pPr>
              <w:ind w:left="20"/>
              <w:spacing w:after="0"/>
              <w:rPr>
                <w:sz w:val="20"/>
                <w:szCs w:val="20"/>
                <w:color w:val="auto"/>
              </w:rPr>
            </w:pPr>
            <w:r>
              <w:rPr>
                <w:rFonts w:ascii="Arial" w:cs="Arial" w:eastAsia="Arial" w:hAnsi="Arial"/>
                <w:sz w:val="14"/>
                <w:szCs w:val="14"/>
                <w:color w:val="auto"/>
                <w:w w:val="94"/>
              </w:rPr>
              <w:t>Proceeds from issuance of common stock upon initial public offering and private placements, net of offering costs,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6680" w:type="dxa"/>
            <w:vAlign w:val="bottom"/>
          </w:tcPr>
          <w:p>
            <w:pPr>
              <w:ind w:left="180"/>
              <w:spacing w:after="0"/>
              <w:rPr>
                <w:sz w:val="20"/>
                <w:szCs w:val="20"/>
                <w:color w:val="auto"/>
              </w:rPr>
            </w:pPr>
            <w:r>
              <w:rPr>
                <w:rFonts w:ascii="Arial" w:cs="Arial" w:eastAsia="Arial" w:hAnsi="Arial"/>
                <w:sz w:val="14"/>
                <w:szCs w:val="14"/>
                <w:color w:val="auto"/>
              </w:rPr>
              <w:t>underwriting discounts and commissions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non-recourse promissory note</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Proceeds from issuance of Series E and F convertible preferred stock, net of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84,834</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r>
      <w:tr>
        <w:trPr>
          <w:trHeight w:val="190"/>
        </w:trPr>
        <w:tc>
          <w:tcPr>
            <w:tcW w:w="668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(repayments of) revolving credit facility borrowings, net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long-term debt</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680" w:type="dxa"/>
            <w:vAlign w:val="bottom"/>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11,071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238,203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122,216</w:t>
            </w:r>
          </w:p>
        </w:tc>
      </w:tr>
      <w:tr>
        <w:trPr>
          <w:trHeight w:val="39"/>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r>
      <w:tr>
        <w:trPr>
          <w:trHeight w:val="184"/>
        </w:trPr>
        <w:tc>
          <w:tcPr>
            <w:tcW w:w="668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(102,579)</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215,238</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4,555</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403,313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188,075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183,520</w:t>
            </w:r>
          </w:p>
        </w:tc>
      </w:tr>
      <w:tr>
        <w:trPr>
          <w:trHeight w:val="217"/>
        </w:trPr>
        <w:tc>
          <w:tcPr>
            <w:tcW w:w="66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300,734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403,313</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188,075</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0"/>
        </w:trPr>
        <w:tc>
          <w:tcPr>
            <w:tcW w:w="66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906</w:t>
            </w:r>
          </w:p>
        </w:tc>
        <w:tc>
          <w:tcPr>
            <w:tcW w:w="4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7,441</w:t>
            </w:r>
          </w:p>
        </w:tc>
        <w:tc>
          <w:tcPr>
            <w:tcW w:w="4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Vesting of early exercised options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issuance of common stock in connection with ESPP</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Stock-based compensation expense capitalized to internal-use software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IPO and debt issuance costs incurred but not yet paid</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w w:val="96"/>
              </w:rPr>
              <w:t>Conversion of redeemable convertible preferred stock to common stock in connection with initial public offering</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390,687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1"/>
        </w:trPr>
        <w:tc>
          <w:tcPr>
            <w:tcW w:w="66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300,635</w:t>
            </w:r>
          </w:p>
        </w:tc>
        <w:tc>
          <w:tcPr>
            <w:tcW w:w="4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403,262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186,694</w:t>
            </w:r>
          </w:p>
        </w:tc>
      </w:tr>
      <w:tr>
        <w:trPr>
          <w:trHeight w:val="39"/>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r>
      <w:tr>
        <w:trPr>
          <w:trHeight w:val="217"/>
        </w:trPr>
        <w:tc>
          <w:tcPr>
            <w:tcW w:w="668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300,734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403,313</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188,075</w:t>
            </w:r>
          </w:p>
        </w:tc>
      </w:tr>
      <w:tr>
        <w:trPr>
          <w:trHeight w:val="26"/>
        </w:trPr>
        <w:tc>
          <w:tcPr>
            <w:tcW w:w="6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373"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44" w:lineRule="exact"/>
        <w:rPr>
          <w:sz w:val="20"/>
          <w:szCs w:val="20"/>
          <w:color w:val="auto"/>
        </w:rPr>
      </w:pPr>
    </w:p>
    <w:p>
      <w:pPr>
        <w:ind w:right="8080" w:firstLine="8"/>
        <w:spacing w:after="0" w:line="469" w:lineRule="auto"/>
        <w:tabs>
          <w:tab w:leader="none" w:pos="28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ind w:right="240"/>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18" w:lineRule="exact"/>
        <w:rPr>
          <w:sz w:val="20"/>
          <w:szCs w:val="20"/>
          <w:color w:val="auto"/>
        </w:rPr>
      </w:pPr>
    </w:p>
    <w:p>
      <w:pPr>
        <w:ind w:right="340"/>
        <w:spacing w:after="0" w:line="328"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w:t>
      </w:r>
    </w:p>
    <w:p>
      <w:pPr>
        <w:spacing w:after="0" w:line="8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within these notes to the Consolidated Financial Statements refer to Remitly Global, Inc. and its wholly-owned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71"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In September 2021, the Company completed its initial public offering (the “IPO”), in which the Company issued and sold 7,000,000 shares of its common stock at $43.00 per share. Concurrently, 5,162,777 shares were sold by certain of the Company’s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09" w:lineRule="exact"/>
        <w:rPr>
          <w:sz w:val="20"/>
          <w:szCs w:val="20"/>
          <w:color w:val="auto"/>
        </w:rPr>
      </w:pPr>
    </w:p>
    <w:p>
      <w:pPr>
        <w:ind w:right="6120" w:firstLine="8"/>
        <w:spacing w:after="0" w:line="469" w:lineRule="auto"/>
        <w:tabs>
          <w:tab w:leader="none" w:pos="28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w:t>
      </w:r>
    </w:p>
    <w:p>
      <w:pPr>
        <w:ind w:right="380"/>
        <w:spacing w:after="0" w:line="310"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(“GAAP”) and applicable rules and regulations of the U.S. Securities and Exchange Commission (the “SEC”) regarding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7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Consolidated Financial Statements include the accounts of Remitly Global, Inc. and its wholly-owned subsidiaries. All intercompany transactions and balances have been eliminated in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Out-of-Period Adjustment</w:t>
      </w:r>
    </w:p>
    <w:p>
      <w:pPr>
        <w:spacing w:after="0" w:line="171"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The Consolidated Financial Statements include an adjustment of $4.4 million to stock-based compensation expense and additional paid-in capital, to correct for an error identified by management during the preparation of the prior quarter’s financial statements for the three months ended June 30, 2022. This adjustment is to reflect the straight-lining of expense over the full service period for graded-vested stock-based compensation awards under ASC 718, and relates to prior annual fiscal periods. 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was considered material, the impact to results for the year ended December 31, 2022 is not material. As such, management recorded the correction as an out-of-period adjustment in the three months ended June 30, 2022, as disclosed in the Quarterly Report on Form 10-Q for the three months ended June 30, 2022. Substantially all of the cumulative adjustment was related to stock-based compensation for personnel who support the Company’s general and administrative functions and was recorded to ‘</w:t>
      </w:r>
      <w:r>
        <w:rPr>
          <w:rFonts w:ascii="Arial" w:cs="Arial" w:eastAsia="Arial" w:hAnsi="Arial"/>
          <w:sz w:val="15"/>
          <w:szCs w:val="15"/>
          <w:i w:val="1"/>
          <w:iCs w:val="1"/>
          <w:color w:val="auto"/>
        </w:rPr>
        <w:t>General and administrative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expenses’ </w:t>
      </w:r>
      <w:r>
        <w:rPr>
          <w:rFonts w:ascii="Arial" w:cs="Arial" w:eastAsia="Arial" w:hAnsi="Arial"/>
          <w:sz w:val="15"/>
          <w:szCs w:val="15"/>
          <w:color w:val="auto"/>
        </w:rPr>
        <w:t>within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preparation of the accompanying Consolidated Financial Statements in conformity with GAAP requires management to make estimates and assumptions that affect the amounts reported and disclosed within the Consolidated Financial Statements and accompanying notes. These estimates and assumptions include, but are not limited to, revenue recognition including the treatment of sales incentive programs, reserves for transaction losses, stock-based 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Consolidated Balance Sheets, typically as disbursement prefunding balances. Cash and cash equivalents consist of cash on hand and various deposit accounts.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both December 31, 2022 and 2021, the Company had $0.1 million of restricted cash.</w:t>
      </w:r>
    </w:p>
    <w:p>
      <w:pPr>
        <w:spacing w:after="0" w:line="123" w:lineRule="exact"/>
        <w:rPr>
          <w:sz w:val="20"/>
          <w:szCs w:val="20"/>
          <w:color w:val="auto"/>
        </w:rPr>
      </w:pPr>
    </w:p>
    <w:p>
      <w:pPr>
        <w:ind w:right="220"/>
        <w:spacing w:after="0" w:line="466" w:lineRule="auto"/>
        <w:rPr>
          <w:sz w:val="20"/>
          <w:szCs w:val="20"/>
          <w:color w:val="auto"/>
        </w:rPr>
      </w:pPr>
      <w:r>
        <w:rPr>
          <w:rFonts w:ascii="Arial" w:cs="Arial" w:eastAsia="Arial" w:hAnsi="Arial"/>
          <w:sz w:val="16"/>
          <w:szCs w:val="16"/>
          <w:color w:val="auto"/>
        </w:rPr>
        <w:t xml:space="preserve">Restricted cash has been classified as a non-current asset on the Consolidated Balance Sheets as it is not expected to be released within one year of the balance sheet date. </w:t>
      </w:r>
      <w:r>
        <w:rPr>
          <w:rFonts w:ascii="Arial" w:cs="Arial" w:eastAsia="Arial" w:hAnsi="Arial"/>
          <w:sz w:val="16"/>
          <w:szCs w:val="16"/>
          <w:b w:val="1"/>
          <w:bCs w:val="1"/>
          <w:color w:val="auto"/>
        </w:rPr>
        <w:t>Disbursement Prefunding</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Company maintains relationships with disbursement partners in various countries. These partners are responsible for disbursing funds to recipients. The Company may maintain prefunding balances with these disbursement partners so that they are able to fulfill customer requests. The Company is exposed to the risk of loss in the event the Company’s disbursement partners fail, for any reason, to disburse funds to recipients according to the Company’s instructions. However, historical losses for the disbursement funding accounts have been immaterial.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earn interest on these balances. The balances are not compensating balances and are not legally restricted.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Funds Receivable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 xml:space="preserve">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Included in customer funds receivable are amounts due from customers from the Company’s business-to-business remittance services. The Company evaluates the collectability of its customer funds receivable on a number of factors, including historical losses, aging, payment processor risks, and forecasted losses. At December 31, 2022 and 2021, the Company’s reserve recorded for uncollectible customer funds receivable was immaterial. The Reserve for Transaction Losses, which includes fraud losses, is further discussed in Note 14.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functional currencies of the Company’s international subsidiaries includes, but is not limited to the Canadian dollar, Euro, and British pound.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within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13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13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Inputs are unadjusted quoted prices in active markets for identical assets or liabilities.</w:t>
      </w:r>
    </w:p>
    <w:p>
      <w:pPr>
        <w:spacing w:after="0" w:line="167" w:lineRule="exact"/>
        <w:rPr>
          <w:sz w:val="20"/>
          <w:szCs w:val="20"/>
          <w:color w:val="auto"/>
        </w:rPr>
      </w:pPr>
    </w:p>
    <w:p>
      <w:pPr>
        <w:ind w:left="980" w:right="100" w:hanging="647"/>
        <w:spacing w:after="0" w:line="275" w:lineRule="auto"/>
        <w:tabs>
          <w:tab w:leader="none" w:pos="960" w:val="left"/>
        </w:tabs>
        <w:rPr>
          <w:sz w:val="20"/>
          <w:szCs w:val="20"/>
          <w:color w:val="auto"/>
        </w:rPr>
      </w:pPr>
      <w:r>
        <w:rPr>
          <w:rFonts w:ascii="Arial" w:cs="Arial" w:eastAsia="Arial" w:hAnsi="Arial"/>
          <w:sz w:val="16"/>
          <w:szCs w:val="16"/>
          <w:color w:val="auto"/>
        </w:rPr>
        <w:t>Level 2</w:t>
        <w:tab/>
        <w:t>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32" w:lineRule="exact"/>
        <w:rPr>
          <w:sz w:val="20"/>
          <w:szCs w:val="20"/>
          <w:color w:val="auto"/>
        </w:rPr>
      </w:pPr>
    </w:p>
    <w:p>
      <w:pPr>
        <w:ind w:left="980" w:right="260" w:hanging="647"/>
        <w:spacing w:after="0" w:line="275" w:lineRule="auto"/>
        <w:tabs>
          <w:tab w:leader="none" w:pos="960" w:val="left"/>
        </w:tabs>
        <w:rPr>
          <w:sz w:val="20"/>
          <w:szCs w:val="20"/>
          <w:color w:val="auto"/>
        </w:rPr>
      </w:pPr>
      <w:r>
        <w:rPr>
          <w:rFonts w:ascii="Arial" w:cs="Arial" w:eastAsia="Arial" w:hAnsi="Arial"/>
          <w:sz w:val="16"/>
          <w:szCs w:val="16"/>
          <w:color w:val="auto"/>
        </w:rPr>
        <w:t>Level 3</w:t>
        <w:tab/>
        <w:t>Inputs are unobservable inputs based on the Company’s own assumptions used to measure assets and liabilities at fair value. The inputs require significant management judgment or estimation.</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years ended December 31, 2022, 2021, and 2020.</w:t>
      </w:r>
    </w:p>
    <w:p>
      <w:pPr>
        <w:spacing w:after="0" w:line="14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For the years ended December 31, 2022, 2021, and 2020, no individual customer represented 10% or more of the Company’s total revenues. As of December 31, 2022 and December 31, 2021, no individual customer represented 10% or more of the Company’s customer funds receivable.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is stated at cost, less accumulated depreciation and amortization.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are calculated using the straight-line method over the estimated useful lives of the assets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800" w:type="dxa"/>
            <w:vAlign w:val="bottom"/>
          </w:tcPr>
          <w:p>
            <w:pPr>
              <w:jc w:val="right"/>
              <w:ind w:right="1101"/>
              <w:spacing w:after="0"/>
              <w:rPr>
                <w:sz w:val="20"/>
                <w:szCs w:val="20"/>
                <w:color w:val="auto"/>
              </w:rPr>
            </w:pPr>
            <w:r>
              <w:rPr>
                <w:rFonts w:ascii="Arial" w:cs="Arial" w:eastAsia="Arial" w:hAnsi="Arial"/>
                <w:sz w:val="14"/>
                <w:szCs w:val="14"/>
                <w:b w:val="1"/>
                <w:bCs w:val="1"/>
                <w:color w:val="auto"/>
              </w:rPr>
              <w:t>Estimated Useful Lives</w:t>
            </w:r>
          </w:p>
        </w:tc>
      </w:tr>
      <w:tr>
        <w:trPr>
          <w:trHeight w:val="39"/>
        </w:trPr>
        <w:tc>
          <w:tcPr>
            <w:tcW w:w="7440" w:type="dxa"/>
            <w:vAlign w:val="bottom"/>
            <w:tcBorders>
              <w:bottom w:val="single" w:sz="8" w:color="CCEEFF"/>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r>
        <w:trPr>
          <w:trHeight w:val="23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38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5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24"/>
        </w:trPr>
        <w:tc>
          <w:tcPr>
            <w:tcW w:w="744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800" w:type="dxa"/>
            <w:vAlign w:val="bottom"/>
          </w:tcPr>
          <w:p>
            <w:pPr>
              <w:jc w:val="right"/>
              <w:spacing w:after="0"/>
              <w:rPr>
                <w:sz w:val="20"/>
                <w:szCs w:val="20"/>
                <w:color w:val="auto"/>
              </w:rPr>
            </w:pPr>
            <w:r>
              <w:rPr>
                <w:rFonts w:ascii="Arial" w:cs="Arial" w:eastAsia="Arial" w:hAnsi="Arial"/>
                <w:sz w:val="16"/>
                <w:szCs w:val="16"/>
                <w:color w:val="auto"/>
              </w:rPr>
              <w:t>Lesser of useful life or remaining lease term</w:t>
            </w:r>
          </w:p>
        </w:tc>
      </w:tr>
    </w:tbl>
    <w:p>
      <w:pPr>
        <w:spacing w:after="0" w:line="253"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When assets are retired or disposed of, the cost and accumulated depreciation are removed from the accounts, and any resulting gains or losses are included within the Consolidated Statements of Operations in the period of disposition. Maintenance and repairs that do not improve or extend the lives of the respective assets are charged to expense in the period incurred.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6"/>
          <w:szCs w:val="16"/>
          <w:i w:val="1"/>
          <w:iCs w:val="1"/>
          <w:color w:val="auto"/>
        </w:rPr>
        <w:t>. 2016-02 “Leases - Topic 842”</w:t>
      </w:r>
      <w:r>
        <w:rPr>
          <w:rFonts w:ascii="Arial" w:cs="Arial" w:eastAsia="Arial" w:hAnsi="Arial"/>
          <w:sz w:val="16"/>
          <w:szCs w:val="16"/>
          <w:color w:val="auto"/>
        </w:rPr>
        <w:t xml:space="preserve"> (“ASC 842”) and all subsequent ASUs that modified ASC 842 on January 1, 2020 and elected to apply the guidance to the comparative period. The Company’s lease commitments consist primarily of real estate property under various non-cancellable operating leases that expire between 2023 and 2025. The majority of the leases contain renewal options and provisions for increases in rental rates based on a predetermined schedule or an agreed upon index. If, at lease inception, the Company considers the exercise of a renewal option to be reasonably certain, the Company will include the extended term in the calculation of the right-of-use asset and lease liability.</w:t>
      </w:r>
    </w:p>
    <w:p>
      <w:pPr>
        <w:spacing w:after="0" w:line="132" w:lineRule="exact"/>
        <w:rPr>
          <w:sz w:val="20"/>
          <w:szCs w:val="20"/>
          <w:color w:val="auto"/>
        </w:rPr>
      </w:pPr>
    </w:p>
    <w:p>
      <w:pPr>
        <w:jc w:val="both"/>
        <w:ind w:right="120"/>
        <w:spacing w:after="0" w:line="369" w:lineRule="auto"/>
        <w:rPr>
          <w:sz w:val="20"/>
          <w:szCs w:val="20"/>
          <w:color w:val="auto"/>
        </w:rPr>
      </w:pPr>
      <w:r>
        <w:rPr>
          <w:rFonts w:ascii="Arial" w:cs="Arial" w:eastAsia="Arial" w:hAnsi="Arial"/>
          <w:sz w:val="14"/>
          <w:szCs w:val="14"/>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pacing w:after="0" w:line="58"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or terminate the lease when it is reasonably certain that the Company will exercise that option. 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138"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Lease expense for operating leases is recognized on a straight-line basis over the lease term, which is the non-cancelable term adjusted for any renewal and termination options that are considered reasonably certain. Operating leases are included in ‘</w:t>
      </w:r>
      <w:r>
        <w:rPr>
          <w:rFonts w:ascii="Arial" w:cs="Arial" w:eastAsia="Arial" w:hAnsi="Arial"/>
          <w:sz w:val="16"/>
          <w:szCs w:val="16"/>
          <w:i w:val="1"/>
          <w:iCs w:val="1"/>
          <w:color w:val="auto"/>
        </w:rPr>
        <w:t>Operating lease right-of-use assets</w:t>
      </w:r>
      <w:r>
        <w:rPr>
          <w:rFonts w:ascii="Arial" w:cs="Arial" w:eastAsia="Arial" w:hAnsi="Arial"/>
          <w:sz w:val="16"/>
          <w:szCs w:val="16"/>
          <w:color w:val="auto"/>
        </w:rPr>
        <w:t>’, ‘</w:t>
      </w:r>
      <w:r>
        <w:rPr>
          <w:rFonts w:ascii="Arial" w:cs="Arial" w:eastAsia="Arial" w:hAnsi="Arial"/>
          <w:sz w:val="16"/>
          <w:szCs w:val="16"/>
          <w:i w:val="1"/>
          <w:iCs w:val="1"/>
          <w:color w:val="auto"/>
        </w:rPr>
        <w:t>Operating lease liabilities</w:t>
      </w:r>
      <w:r>
        <w:rPr>
          <w:rFonts w:ascii="Arial" w:cs="Arial" w:eastAsia="Arial" w:hAnsi="Arial"/>
          <w:sz w:val="16"/>
          <w:szCs w:val="16"/>
          <w:color w:val="auto"/>
        </w:rPr>
        <w:t>’, and ‘</w:t>
      </w:r>
      <w:r>
        <w:rPr>
          <w:rFonts w:ascii="Arial" w:cs="Arial" w:eastAsia="Arial" w:hAnsi="Arial"/>
          <w:sz w:val="16"/>
          <w:szCs w:val="16"/>
          <w:i w:val="1"/>
          <w:iCs w:val="1"/>
          <w:color w:val="auto"/>
        </w:rPr>
        <w:t>Operating lease</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non-current</w:t>
      </w:r>
      <w:r>
        <w:rPr>
          <w:rFonts w:ascii="Arial" w:cs="Arial" w:eastAsia="Arial" w:hAnsi="Arial"/>
          <w:sz w:val="16"/>
          <w:szCs w:val="16"/>
          <w:color w:val="auto"/>
        </w:rPr>
        <w:t>’ on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2022, 2021, and 2020, the Company did not have any material finance leases.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 and Asset Acquisitions</w:t>
      </w:r>
    </w:p>
    <w:p>
      <w:pPr>
        <w:spacing w:after="0" w:line="171" w:lineRule="exact"/>
        <w:rPr>
          <w:sz w:val="20"/>
          <w:szCs w:val="20"/>
          <w:color w:val="auto"/>
        </w:rPr>
      </w:pPr>
    </w:p>
    <w:p>
      <w:pPr>
        <w:jc w:val="both"/>
        <w:ind w:right="40"/>
        <w:spacing w:after="0" w:line="325" w:lineRule="auto"/>
        <w:rPr>
          <w:sz w:val="20"/>
          <w:szCs w:val="20"/>
          <w:color w:val="auto"/>
        </w:rPr>
      </w:pPr>
      <w:r>
        <w:rPr>
          <w:rFonts w:ascii="Arial" w:cs="Arial" w:eastAsia="Arial" w:hAnsi="Arial"/>
          <w:sz w:val="14"/>
          <w:szCs w:val="14"/>
          <w:color w:val="auto"/>
        </w:rPr>
        <w:t>The Company evaluates acquisitions to determine if they meet the definition of a business. If the acquisition does meet the definition of a business, it is accounted for as a business combination. For a business combination, assets acquired and liabilities assumed are generally recorded at their fair value at the date of acquisition. Any excess of the fair value of consideration transferred for the business, over the fair values of the identifiable assets acquired and liabilities assumed is recognized as goodwill.</w:t>
      </w:r>
    </w:p>
    <w:p>
      <w:pPr>
        <w:spacing w:after="0" w:line="102" w:lineRule="exact"/>
        <w:rPr>
          <w:sz w:val="20"/>
          <w:szCs w:val="20"/>
          <w:color w:val="auto"/>
        </w:rPr>
      </w:pPr>
    </w:p>
    <w:p>
      <w:pPr>
        <w:jc w:val="both"/>
        <w:ind w:right="340"/>
        <w:spacing w:after="0" w:line="261" w:lineRule="auto"/>
        <w:rPr>
          <w:sz w:val="20"/>
          <w:szCs w:val="20"/>
          <w:color w:val="auto"/>
        </w:rPr>
      </w:pPr>
      <w:r>
        <w:rPr>
          <w:rFonts w:ascii="Arial" w:cs="Arial" w:eastAsia="Arial" w:hAnsi="Arial"/>
          <w:sz w:val="16"/>
          <w:szCs w:val="16"/>
          <w:color w:val="auto"/>
        </w:rPr>
        <w:t>Acquisitions that do not meet the criteria to be accounted for as a business combination are accounted for as an asset acquisition. In an asset acquisition, the cost of the acquisition, including transaction costs, is allocated to the acquired assets and assumed liabilities based upon their relative fair values as of the acquisition date, and no goodwill is recognized.</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Transaction costs related to business combinations are expensed as incurred and are included in ‘</w:t>
      </w: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xml:space="preserve">’ within the Consolidated Statements of Operations. Transaction costs primarily include external legal, accounting, valuation, and due diligence costs, as well as advisory and other professional services fees necessary to integrate acquired businesses. Transaction costs totaled $3.8 million for the year ended December 31, 2022. Such costs are primarily related to the Company’s acquisition of Rewire completed on January 5, 2023. See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 There were no transaction costs incurred for the years ended December 31, 2021 and 2020.</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2022, 2021, and 2020, no material impairment of long-lived assets was recorded.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Liabilities</w:t>
      </w:r>
    </w:p>
    <w:p>
      <w:pPr>
        <w:spacing w:after="0" w:line="171" w:lineRule="exact"/>
        <w:rPr>
          <w:sz w:val="20"/>
          <w:szCs w:val="20"/>
          <w:color w:val="auto"/>
        </w:rPr>
      </w:pPr>
    </w:p>
    <w:p>
      <w:pPr>
        <w:jc w:val="both"/>
        <w:ind w:right="220"/>
        <w:spacing w:after="0" w:line="269" w:lineRule="auto"/>
        <w:rPr>
          <w:sz w:val="20"/>
          <w:szCs w:val="20"/>
          <w:color w:val="auto"/>
        </w:rPr>
      </w:pPr>
      <w:r>
        <w:rPr>
          <w:rFonts w:ascii="Arial" w:cs="Arial" w:eastAsia="Arial" w:hAnsi="Arial"/>
          <w:sz w:val="16"/>
          <w:szCs w:val="16"/>
          <w:color w:val="auto"/>
        </w:rPr>
        <w:t>The Company recognizes transactions processed from customers but not yet disbursed to recipients as ‘</w:t>
      </w:r>
      <w:r>
        <w:rPr>
          <w:rFonts w:ascii="Arial" w:cs="Arial" w:eastAsia="Arial" w:hAnsi="Arial"/>
          <w:sz w:val="16"/>
          <w:szCs w:val="16"/>
          <w:i w:val="1"/>
          <w:iCs w:val="1"/>
          <w:color w:val="auto"/>
        </w:rPr>
        <w:t>Customer liabilities</w:t>
      </w:r>
      <w:r>
        <w:rPr>
          <w:rFonts w:ascii="Arial" w:cs="Arial" w:eastAsia="Arial" w:hAnsi="Arial"/>
          <w:sz w:val="16"/>
          <w:szCs w:val="16"/>
          <w:color w:val="auto"/>
        </w:rPr>
        <w:t xml:space="preserve">’ on the accompanying Consolidated Balance Sheets. Customer liabilities are typically funds in-transit and the duration is typically one to two days. The Reserve for Transaction Losses, which includes disbursement losses, is further discussed in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Settlement Liabilities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The Company’s trade settlement liability represents the total of book overdrafts and disbursement postfunding liabilities owed to its disbursement partners. Book overdrafts are created when the sum of outstanding checks related to a specific bank account are in excess of funds on deposit for the respective bank account. Disbursement postfunding liabilities are created when the sum of customer transactions related to a specific account held with a disbursement partner are in excess of funds on deposit for the respective account. Book overdrafts and disbursement postfunding liabilities are included within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Consolidated Balance Sheets. See Note 15.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for the book overdrafts and disbursement postfunding liabilities balances. The Company’s policy is to report the change in book overdrafts and postfunding liabilities as an operating activity in the Consolidated Statements of Cash Flows based on the underlying nature of the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information related to the Company’s revenue recognition policy.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85" w:lineRule="exact"/>
        <w:rPr>
          <w:sz w:val="20"/>
          <w:szCs w:val="20"/>
          <w:color w:val="auto"/>
        </w:rPr>
      </w:pPr>
    </w:p>
    <w:p>
      <w:pPr>
        <w:jc w:val="both"/>
        <w:ind w:right="340"/>
        <w:spacing w:after="0" w:line="310" w:lineRule="auto"/>
        <w:rPr>
          <w:sz w:val="20"/>
          <w:szCs w:val="20"/>
          <w:color w:val="auto"/>
        </w:rPr>
      </w:pPr>
      <w:r>
        <w:rPr>
          <w:rFonts w:ascii="Arial" w:cs="Arial" w:eastAsia="Arial" w:hAnsi="Arial"/>
          <w:sz w:val="14"/>
          <w:szCs w:val="14"/>
          <w:color w:val="auto"/>
        </w:rPr>
        <w:t>The Company provides sales incentives to customers in a variety of forms, which includes promotions, discounts, and other sales incentives. Cash incentives given to customers are accounted for as reductions to revenue, up to the point where net historical cumulative revenue for a given customer is reduced to zero. Those additional incentive costs that would have caused the customer level revenue to be negative are classified as advertising expenses and are included as a component of ‘</w:t>
      </w:r>
      <w:r>
        <w:rPr>
          <w:rFonts w:ascii="Arial" w:cs="Arial" w:eastAsia="Arial" w:hAnsi="Arial"/>
          <w:sz w:val="14"/>
          <w:szCs w:val="14"/>
          <w:i w:val="1"/>
          <w:iCs w:val="1"/>
          <w:color w:val="auto"/>
        </w:rPr>
        <w:t>Marketing</w:t>
      </w:r>
      <w:r>
        <w:rPr>
          <w:rFonts w:ascii="Arial" w:cs="Arial" w:eastAsia="Arial" w:hAnsi="Arial"/>
          <w:sz w:val="14"/>
          <w:szCs w:val="14"/>
          <w:color w:val="auto"/>
        </w:rPr>
        <w:t xml:space="preserve"> </w:t>
      </w:r>
      <w:r>
        <w:rPr>
          <w:rFonts w:ascii="Arial" w:cs="Arial" w:eastAsia="Arial" w:hAnsi="Arial"/>
          <w:sz w:val="14"/>
          <w:szCs w:val="14"/>
          <w:i w:val="1"/>
          <w:iCs w:val="1"/>
          <w:color w:val="auto"/>
        </w:rPr>
        <w:t>expenses</w:t>
      </w:r>
      <w:r>
        <w:rPr>
          <w:rFonts w:ascii="Arial" w:cs="Arial" w:eastAsia="Arial" w:hAnsi="Arial"/>
          <w:sz w:val="14"/>
          <w:szCs w:val="14"/>
          <w:color w:val="auto"/>
        </w:rPr>
        <w:t>’ within the Consolidated Statements of Operations. In addition, referral credits given to a referrer are classified as marketing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Expenses</w:t>
      </w:r>
    </w:p>
    <w:p>
      <w:pPr>
        <w:spacing w:after="0" w:line="171" w:lineRule="exact"/>
        <w:rPr>
          <w:sz w:val="20"/>
          <w:szCs w:val="20"/>
          <w:color w:val="auto"/>
        </w:rPr>
      </w:pPr>
    </w:p>
    <w:p>
      <w:pPr>
        <w:ind w:right="100"/>
        <w:spacing w:after="0" w:line="325" w:lineRule="auto"/>
        <w:rPr>
          <w:sz w:val="20"/>
          <w:szCs w:val="20"/>
          <w:color w:val="auto"/>
        </w:rPr>
      </w:pPr>
      <w:r>
        <w:rPr>
          <w:rFonts w:ascii="Arial" w:cs="Arial" w:eastAsia="Arial" w:hAnsi="Arial"/>
          <w:sz w:val="14"/>
          <w:szCs w:val="14"/>
          <w:color w:val="auto"/>
        </w:rPr>
        <w:t xml:space="preserve">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See Note 14. </w:t>
      </w:r>
      <w:r>
        <w:rPr>
          <w:rFonts w:ascii="Arial" w:cs="Arial" w:eastAsia="Arial" w:hAnsi="Arial"/>
          <w:sz w:val="14"/>
          <w:szCs w:val="14"/>
          <w:i w:val="1"/>
          <w:iCs w:val="1"/>
          <w:color w:val="auto"/>
        </w:rPr>
        <w:t xml:space="preserve">Commitments and Contingencies </w:t>
      </w:r>
      <w:r>
        <w:rPr>
          <w:rFonts w:ascii="Arial" w:cs="Arial" w:eastAsia="Arial" w:hAnsi="Arial"/>
          <w:sz w:val="14"/>
          <w:szCs w:val="14"/>
          <w:color w:val="auto"/>
        </w:rPr>
        <w:t>for a rollforward of the Company’s reserve for transaction losses for the years ended December 31, 2022, 2021, and 2020.</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 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Consolidated Statements of Operations.</w:t>
      </w:r>
    </w:p>
    <w:p>
      <w:pPr>
        <w:sectPr>
          <w:pgSz w:w="11900" w:h="16838" w:orient="portrait"/>
          <w:cols w:equalWidth="0" w:num="1">
            <w:col w:w="11160"/>
          </w:cols>
          <w:pgMar w:left="320" w:top="37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73" w:right="4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Support and Operations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customer protection and risk teams, and investments in tools to effectively service the Company’s customers, and increased customer self-service capabilities. Customer support and operations expenses also include corporate communication costs and professional services fees.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171"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including salaries, benefits, and stock-based compensation, promotions, costs for software subscription services dedicated for use by the Company’s marketing organization, outside services contracted for marketing purposes, and legal fees.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Expense</w:t>
      </w:r>
    </w:p>
    <w:p>
      <w:pPr>
        <w:spacing w:after="0" w:line="185"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Advertising expenses are charged to operations as incurred and are included as a component of ‘</w:t>
      </w:r>
      <w:r>
        <w:rPr>
          <w:rFonts w:ascii="Arial" w:cs="Arial" w:eastAsia="Arial" w:hAnsi="Arial"/>
          <w:sz w:val="16"/>
          <w:szCs w:val="16"/>
          <w:i w:val="1"/>
          <w:iCs w:val="1"/>
          <w:color w:val="auto"/>
        </w:rPr>
        <w:t>Marketing Expenses’</w:t>
      </w:r>
      <w:r>
        <w:rPr>
          <w:rFonts w:ascii="Arial" w:cs="Arial" w:eastAsia="Arial" w:hAnsi="Arial"/>
          <w:sz w:val="16"/>
          <w:szCs w:val="16"/>
          <w:color w:val="auto"/>
        </w:rPr>
        <w:t xml:space="preserve"> within the Consolidated Statements of Operations. Advertising expenses are used primarily to attract new customers. Advertising expenses totaled $139.3 million, $102.9 million and $62.0 million during the years ended December 31, 2022,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Development</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and legal fees. Technology and development expenses also include professional services fees and costs for software subscription services dedicated for use by the Company’s technology and development teams, as well as other company wide technology tools. Technology and development expenses also include product and engineering teams used to support the development of both internal infrastructure and internal-use software, to the extent such costs don't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Arial" w:cs="Arial" w:eastAsia="Arial" w:hAnsi="Arial"/>
          <w:sz w:val="16"/>
          <w:szCs w:val="16"/>
          <w:i w:val="1"/>
          <w:iCs w:val="1"/>
          <w:color w:val="auto"/>
        </w:rPr>
        <w:t>Intangibles - Goodwill and Other-Internal-Use Software</w:t>
      </w:r>
      <w:r>
        <w:rPr>
          <w:rFonts w:ascii="Arial" w:cs="Arial" w:eastAsia="Arial" w:hAnsi="Arial"/>
          <w:sz w:val="16"/>
          <w:szCs w:val="16"/>
          <w:color w:val="auto"/>
        </w:rPr>
        <w:t xml:space="preserve">, are separately presented under the caption </w:t>
      </w: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xml:space="preserve"> 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General and administrative expenses consist primarily of personnel-related expenses for the Company’s finance, legal, corporate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legal fees, and other corporate expenses, including acquisition and integration expenses. Such expenses primarily include external legal, accounting, valuation, and due diligence costs, as well as advisory and other professional services fees necessary to integrate acquired businesses.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jc w:val="both"/>
        <w:ind w:right="220"/>
        <w:spacing w:after="0" w:line="295" w:lineRule="auto"/>
        <w:rPr>
          <w:sz w:val="20"/>
          <w:szCs w:val="20"/>
          <w:color w:val="auto"/>
        </w:rPr>
      </w:pPr>
      <w:r>
        <w:rPr>
          <w:rFonts w:ascii="Arial" w:cs="Arial" w:eastAsia="Arial" w:hAnsi="Arial"/>
          <w:sz w:val="15"/>
          <w:szCs w:val="15"/>
          <w:color w:val="auto"/>
        </w:rPr>
        <w:t xml:space="preserve">The Company accounts for software development costs incurred in connection with its internal-use software in accordance with ASC 350-40, </w:t>
      </w:r>
      <w:r>
        <w:rPr>
          <w:rFonts w:ascii="Arial" w:cs="Arial" w:eastAsia="Arial" w:hAnsi="Arial"/>
          <w:sz w:val="15"/>
          <w:szCs w:val="15"/>
          <w:i w:val="1"/>
          <w:iCs w:val="1"/>
          <w:color w:val="auto"/>
        </w:rPr>
        <w:t>Intangibles - 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Other-Internal-Use Software</w:t>
      </w:r>
      <w:r>
        <w:rPr>
          <w:rFonts w:ascii="Arial" w:cs="Arial" w:eastAsia="Arial" w:hAnsi="Arial"/>
          <w:sz w:val="15"/>
          <w:szCs w:val="15"/>
          <w:color w:val="auto"/>
        </w:rPr>
        <w:t>. Costs incurred in the preliminary stages of development are expensed as incurred. Once an app has reached the development stage,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and external costs, if direct and incremental, are capitalized until the software is substantially complete and ready for its intended use.</w:t>
      </w:r>
    </w:p>
    <w:p>
      <w:pPr>
        <w:spacing w:after="0" w:line="106" w:lineRule="exact"/>
        <w:rPr>
          <w:sz w:val="20"/>
          <w:szCs w:val="20"/>
          <w:color w:val="auto"/>
        </w:rPr>
      </w:pPr>
    </w:p>
    <w:p>
      <w:pPr>
        <w:jc w:val="both"/>
        <w:ind w:right="220"/>
        <w:spacing w:after="0" w:line="328" w:lineRule="auto"/>
        <w:rPr>
          <w:sz w:val="20"/>
          <w:szCs w:val="20"/>
          <w:color w:val="auto"/>
        </w:rPr>
      </w:pPr>
      <w:r>
        <w:rPr>
          <w:rFonts w:ascii="Arial" w:cs="Arial" w:eastAsia="Arial" w:hAnsi="Arial"/>
          <w:sz w:val="15"/>
          <w:szCs w:val="15"/>
          <w:color w:val="auto"/>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171"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The Company incurs costs to implement cloud computing arrangements that are hosted by a third-party vendor. The Company adopted this new standard prospectively during the fiscal year ended December 31, 2021. For cloud computing arrangements that meet the definition of a service contract, the Company capitalizes implementation costs incurred during the application development stage as a prepaid expense or an other non-current asset and amortizes the costs on a straight-line basis over the term of the associated hosting arrangement and recognized as an operating expense within the Consolidated Statements of Operations. The classification of the expense is determined based on the nature of the hosting arrangement to which the implementation costs relate. Costs related to data conversion, training and other maintenance activities are expensed as incurred. Implementation costs for cloud computing arrangements that meet the definition of a software license are accounted for consistent with software developed or obtained for internal use as detailed further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See Note 3.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and Note 4. </w:t>
      </w:r>
      <w:r>
        <w:rPr>
          <w:rFonts w:ascii="Arial" w:cs="Arial" w:eastAsia="Arial" w:hAnsi="Arial"/>
          <w:sz w:val="15"/>
          <w:szCs w:val="15"/>
          <w:i w:val="1"/>
          <w:iCs w:val="1"/>
          <w:color w:val="auto"/>
        </w:rPr>
        <w:t>Property and Equipment</w:t>
      </w:r>
      <w:r>
        <w:rPr>
          <w:rFonts w:ascii="Arial" w:cs="Arial" w:eastAsia="Arial" w:hAnsi="Arial"/>
          <w:sz w:val="15"/>
          <w:szCs w:val="15"/>
          <w:color w:val="auto"/>
        </w:rPr>
        <w:t xml:space="preserve"> for information related to the Company’s geographic information for revenue and long-lived assets,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Share Attributable to Common Stockholders</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Basic and diluted net loss per share attributable to common stockholders is computed using the two-class method required for participating securities. Prior to the automatic conversion of all of its redeemable convertible preferred stock outstanding into common stock upon the completion of the IPO, the Company considered all series of the Company’s redeemable convertible preferred stock and early exercised stock options to be participating securities, as the holders of such stock have the right to</w:t>
      </w:r>
    </w:p>
    <w:p>
      <w:pPr>
        <w:spacing w:after="0" w:line="1" w:lineRule="exact"/>
        <w:rPr>
          <w:sz w:val="20"/>
          <w:szCs w:val="20"/>
          <w:color w:val="auto"/>
        </w:rPr>
      </w:pPr>
    </w:p>
    <w:p>
      <w:pPr>
        <w:ind w:right="580"/>
        <w:spacing w:after="0" w:line="343" w:lineRule="auto"/>
        <w:rPr>
          <w:sz w:val="20"/>
          <w:szCs w:val="20"/>
          <w:color w:val="auto"/>
        </w:rPr>
      </w:pPr>
      <w:r>
        <w:rPr>
          <w:rFonts w:ascii="Arial" w:cs="Arial" w:eastAsia="Arial" w:hAnsi="Arial"/>
          <w:sz w:val="14"/>
          <w:szCs w:val="14"/>
          <w:color w:val="auto"/>
        </w:rPr>
        <w:t>receive dividends on a pari passu basis in the event that a dividend is declared on the common stock. Upon completion of the IPO, all of the Company’s redeemable convertible preferred stock was converted to common stock. After the IPO, the Company’s early exercised stock options continue to be participating in nature.</w:t>
      </w:r>
    </w:p>
    <w:p>
      <w:pPr>
        <w:spacing w:after="0" w:line="89"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restricted stock units (“RSUs”), warrants and redeemable convertible preferred stock. As the Company had losses for the years ended December 31, 2022, 2021, and 2020 all potentially dilutive securities are anti-dilutive, and accordingly, basic net loss per share equaled diluted net loss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Plans and Employee Stock Purchase Plans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grants equity awards under its equity incentive plans, as well as its employee stock purchase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Plans</w:t>
      </w:r>
    </w:p>
    <w:p>
      <w:pPr>
        <w:spacing w:after="0" w:line="167" w:lineRule="exact"/>
        <w:rPr>
          <w:sz w:val="20"/>
          <w:szCs w:val="20"/>
          <w:color w:val="auto"/>
        </w:rPr>
      </w:pPr>
    </w:p>
    <w:p>
      <w:pPr>
        <w:ind w:right="480"/>
        <w:spacing w:after="0" w:line="369" w:lineRule="auto"/>
        <w:rPr>
          <w:sz w:val="20"/>
          <w:szCs w:val="20"/>
          <w:color w:val="auto"/>
        </w:rPr>
      </w:pPr>
      <w:r>
        <w:rPr>
          <w:rFonts w:ascii="Arial" w:cs="Arial" w:eastAsia="Arial" w:hAnsi="Arial"/>
          <w:sz w:val="14"/>
          <w:szCs w:val="14"/>
          <w:color w:val="auto"/>
        </w:rPr>
        <w:t>In 2011, the Company adopted the Equity Incentive Plan (the “2011 Plan”), as amended, which provided for the issuance of up to 43,899,677 incentive stock options, nonqualified stock options, restricted common stock, RSUs and stock appreciation rights to employees, directors, officers, and consultants of the Company.</w:t>
      </w:r>
    </w:p>
    <w:p>
      <w:pPr>
        <w:spacing w:after="0" w:line="58"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In September 2021, the Company adopted the Remitly Global, Inc. 2021 Equity Incentive Plan (the “2021 Plan”, and together with the 2011 Plan, the “Plan”) as a 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addition, in September 2021, the Company adopted the Remitly Global, Inc. 2021 ESPP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Assumptions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Company measures stock-based compensation expense for both stock options granted under its equity incentive plans, and purchase rights issued under its ESPP, by calculating the estimated fair value of each employee and nonemployee award at the grant date or modification date by applying the Black-Scholes option pricing model (the “model”). The model utilizes the fair market value of the Company’s common stock at the measurement date, the expected or contractual term of the option, the expected stock price volatility, risk-free interest rate, and expected dividend yield of the common stock. Stock-based compensation for restricted stock units are measured based on the fair market value of the Company’s common stock on the date of grant.</w:t>
      </w:r>
    </w:p>
    <w:p>
      <w:pPr>
        <w:spacing w:after="0" w:line="132"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10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The Company bases its estimate of expected volatility on the historical volatility of comparable companies from a representative peer group selected based on industry, financial, and market capitalization data.</w:t>
      </w:r>
    </w:p>
    <w:p>
      <w:pPr>
        <w:spacing w:after="0" w:line="132"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color w:val="auto"/>
        </w:rPr>
        <w:t>The Company’s expected dividend yield is zero as it has not declared nor paid any dividends during the years ended December 31, 2022, 2021, and 2020 and does not currently expect to do so in the future. The risk-free interest rate used in the model is based on the implied yield currently available in the U.S. Treasury securities at maturity with an equivalent term.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 Recognition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Stock-based compensation expense is generally recognized on a straight-line basis over the requisite service period, which is typically the vesting period of the respective award; however, in some instances, the vesting percentages differ throughout the service period. In all instances, the amount of compensation cost recognized at any date is at least equal to the portion of the grant-date value of the award that is legally vested (i.e., the “floor” pursuant to ASC 718). Forfeitures are recognized in the period in which they occur.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 xml:space="preserve">Stock options granted under the Plan generally vest over a period from two years to </w:t>
      </w:r>
      <w:r>
        <w:rPr>
          <w:rFonts w:ascii="Arial" w:cs="Arial" w:eastAsia="Arial" w:hAnsi="Arial"/>
          <w:sz w:val="16"/>
          <w:szCs w:val="16"/>
          <w:color w:val="auto"/>
        </w:rPr>
        <w:t>four years</w:t>
      </w:r>
      <w:r>
        <w:rPr>
          <w:rFonts w:ascii="Arial" w:cs="Arial" w:eastAsia="Arial" w:hAnsi="Arial"/>
          <w:sz w:val="15"/>
          <w:szCs w:val="15"/>
          <w:color w:val="auto"/>
        </w:rPr>
        <w:t xml:space="preserve">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Company’s 2011 and 2021 equity plans allow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Consolidated Balance Sheets. This liability is reclassified to additional paid-in capital as the awards vest. Any unvested shares are subject to repurchase by the Company at their original exercise price.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Prior to the IPO, the Company granted performance-based RSUs (“PRSUs”) to employees and directors that contained both service-based and performance-based vesting conditions. The service-based vesting condition for these awards is typically satisfied over four years with a cliff 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is being recognized over the remaining requisite service period.</w:t>
      </w:r>
    </w:p>
    <w:p>
      <w:pPr>
        <w:spacing w:after="0" w:line="135"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167"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The ESPP provides for offering periods during which eligible employees can participate in the ESPP and be granted the right to purchase shares. Except for the first offering period, which commenced on September 22, 2021, offering periods shall commence on each subsequent March 1 and September 1, with each offering period consisting of four six-month purchase periods, for a total of a 24-month offering period. No offering periods may last longer than 27 months. The grant date for accounting purposes is generally the first date of each offering period and expense is recognized over the requisite service period, which is considered to be the 24-month offering period.</w:t>
      </w:r>
    </w:p>
    <w:p>
      <w:pPr>
        <w:spacing w:after="0" w:line="1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within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0"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12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Tax benefits for uncertain tax positions are based upon management’s evaluation of the information available at the reporting date. The Company recognizes and measures uncertain tax positions in accordance with GAAP, pursuant to which it only recognizes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i w:val="1"/>
          <w:iCs w:val="1"/>
          <w:color w:val="auto"/>
        </w:rPr>
        <w:t>(“ASU”)</w:t>
      </w:r>
    </w:p>
    <w:p>
      <w:pPr>
        <w:spacing w:after="0" w:line="167"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 xml:space="preserve">In June 2016, the FASB issued ASU No. 2016-13 and related updates, </w:t>
      </w:r>
      <w:r>
        <w:rPr>
          <w:rFonts w:ascii="Arial" w:cs="Arial" w:eastAsia="Arial" w:hAnsi="Arial"/>
          <w:sz w:val="15"/>
          <w:szCs w:val="15"/>
          <w:i w:val="1"/>
          <w:iCs w:val="1"/>
          <w:color w:val="auto"/>
        </w:rPr>
        <w:t>Financial Instruments-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This ASU replaces the existing incurred loss impairment methodology that recognizes credit losses when a probable loss has been incurred with new</w:t>
      </w:r>
      <w:r>
        <w:rPr>
          <w:rFonts w:ascii="Arial" w:cs="Arial" w:eastAsia="Arial" w:hAnsi="Arial"/>
          <w:sz w:val="15"/>
          <w:szCs w:val="15"/>
          <w:i w:val="1"/>
          <w:iCs w:val="1"/>
          <w:color w:val="auto"/>
        </w:rPr>
        <w:t xml:space="preserve"> </w:t>
      </w:r>
      <w:r>
        <w:rPr>
          <w:rFonts w:ascii="Arial" w:cs="Arial" w:eastAsia="Arial" w:hAnsi="Arial"/>
          <w:sz w:val="15"/>
          <w:szCs w:val="15"/>
          <w:color w:val="auto"/>
        </w:rPr>
        <w:t>methodology pursuant to which loss estimates are based upon lifetime expected credit losses. The amendments in this ASU require a financial asset that is measured at amortized cost to be presented at the net amount expected to be collected. The Consolidated Statements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Given the Company’s recent loss of emerging growth company status on December 31, 2022, the new standard is effective for the Company for fiscal years beginning after December 15, 2021, and interim periods within that fiscal year with early adoption permitted. As such this ASU was adopted on a prospective basis as of the first quarter of 2022. The adoption did not have a significant impact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ASU 2019-12 removes certain exceptions related to the approach for intra 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new standard is effective for fiscal years beginning after December 15, 2021, and interim periods within fiscal years beginning after December 15, 2022 with early adoption permitted. This ASU was adopted on a prospective basis on January 1, 2022. The Company assessed the impact of the guidance to its Consolidated Financial Statements for the year ended December 31, 2022 and concluded that the standard did not have a material impact on its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for public entities and December 15, 2023 for all other entities, with early adoption permitted. The Company is currently evaluating the impact of this ASU on its Consolidated Financial Statements.</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Consolidated Financial Statements or disclosures.</w:t>
      </w:r>
    </w:p>
    <w:p>
      <w:pPr>
        <w:spacing w:after="0" w:line="114"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includes the following steps:</w:t>
      </w:r>
    </w:p>
    <w:p>
      <w:pPr>
        <w:spacing w:after="0" w:line="13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Customers engage the Company to perform one integrated service — collect the customer’s money and deliver funds to the intended recipient in the currency requested.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Payment is generally due from the customer upfront upon initiation of a transaction, when the customer simultaneously agrees to the Company’s terms and conditions.</w:t>
      </w:r>
    </w:p>
    <w:p>
      <w:pPr>
        <w:spacing w:after="0" w:line="178" w:lineRule="exact"/>
        <w:rPr>
          <w:sz w:val="20"/>
          <w:szCs w:val="20"/>
          <w:color w:val="auto"/>
        </w:rPr>
      </w:pPr>
    </w:p>
    <w:p>
      <w:pPr>
        <w:jc w:val="both"/>
        <w:ind w:right="600"/>
        <w:spacing w:after="0" w:line="310" w:lineRule="auto"/>
        <w:rPr>
          <w:sz w:val="20"/>
          <w:szCs w:val="20"/>
          <w:color w:val="auto"/>
        </w:rPr>
      </w:pPr>
      <w:r>
        <w:rPr>
          <w:rFonts w:ascii="Arial" w:cs="Arial" w:eastAsia="Arial" w:hAnsi="Arial"/>
          <w:sz w:val="14"/>
          <w:szCs w:val="14"/>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00"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within the Consolidated Statements of Operations. The Company does not have any capitalized contract acquisition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deferred revenue balances from contracts with customers were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 during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Revenue recognized during the year ended December 31, 2022 and 2021 from amounts included in deferred revenue at the beginning of the period were $0.6 million and</w:t>
      </w:r>
    </w:p>
    <w:p>
      <w:pPr>
        <w:spacing w:after="0" w:line="4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$0.3 million, respectively. Revenue recognized during the year ended December 31, 2020 includes substantially all amounts included in deferred revenue at the beginning of each respective year.</w:t>
      </w:r>
    </w:p>
    <w:p>
      <w:pPr>
        <w:spacing w:after="0" w:line="118" w:lineRule="exact"/>
        <w:rPr>
          <w:sz w:val="20"/>
          <w:szCs w:val="20"/>
          <w:color w:val="auto"/>
        </w:rPr>
      </w:pPr>
    </w:p>
    <w:p>
      <w:pPr>
        <w:ind w:right="300"/>
        <w:spacing w:after="0" w:line="349" w:lineRule="auto"/>
        <w:rPr>
          <w:sz w:val="20"/>
          <w:szCs w:val="20"/>
          <w:color w:val="auto"/>
        </w:rPr>
      </w:pPr>
      <w:r>
        <w:rPr>
          <w:rFonts w:ascii="Arial" w:cs="Arial" w:eastAsia="Arial" w:hAnsi="Arial"/>
          <w:sz w:val="14"/>
          <w:szCs w:val="14"/>
          <w:color w:val="auto"/>
        </w:rPr>
        <w:t>Deferred revenue represents amounts received from customers for which the performance obligations are not yet fulfilled. Deferred revenue is primarily included within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the Consolidated Balance Sheets as the performance obligations are expected to be fulfilled within the next year.</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71" w:lineRule="exact"/>
        <w:rPr>
          <w:sz w:val="20"/>
          <w:szCs w:val="20"/>
          <w:color w:val="auto"/>
        </w:rPr>
      </w:pPr>
    </w:p>
    <w:p>
      <w:pPr>
        <w:ind w:right="860"/>
        <w:spacing w:after="0" w:line="328" w:lineRule="auto"/>
        <w:rPr>
          <w:sz w:val="20"/>
          <w:szCs w:val="20"/>
          <w:color w:val="auto"/>
        </w:rPr>
      </w:pPr>
      <w:r>
        <w:rPr>
          <w:rFonts w:ascii="Arial" w:cs="Arial" w:eastAsia="Arial" w:hAnsi="Arial"/>
          <w:sz w:val="15"/>
          <w:szCs w:val="15"/>
          <w:color w:val="auto"/>
        </w:rPr>
        <w:t>During the years ended December 31, 2022, 2021, and 2020, payments made to customers resulted in reductions to revenue of $24.8 million, $18.1 million, and $15.7 million, respectively, and charges to sales and marketing expense of $17.6 million, $12.0 million, and $9.8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by Geography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primary geographical location: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199,011</w:t>
            </w:r>
          </w:p>
        </w:tc>
      </w:tr>
      <w:tr>
        <w:trPr>
          <w:trHeight w:val="233"/>
        </w:trPr>
        <w:tc>
          <w:tcPr>
            <w:tcW w:w="6420" w:type="dxa"/>
            <w:vAlign w:val="bottom"/>
          </w:tcPr>
          <w:p>
            <w:pPr>
              <w:ind w:left="14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29,871</w:t>
            </w:r>
          </w:p>
        </w:tc>
      </w:tr>
      <w:tr>
        <w:trPr>
          <w:trHeight w:val="24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28,074</w:t>
            </w:r>
          </w:p>
        </w:tc>
      </w:tr>
      <w:tr>
        <w:trPr>
          <w:trHeight w:val="243"/>
        </w:trPr>
        <w:tc>
          <w:tcPr>
            <w:tcW w:w="64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653,560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458,605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256,956</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Revenue is attributed to the country in which the sending customer is located.</w:t>
      </w:r>
    </w:p>
    <w:p>
      <w:pPr>
        <w:spacing w:after="0" w:line="177"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4,700</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Projects in process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3"/>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(13,106)</w:t>
            </w:r>
          </w:p>
        </w:tc>
      </w:tr>
      <w:tr>
        <w:trPr>
          <w:trHeight w:val="243"/>
        </w:trPr>
        <w:tc>
          <w:tcPr>
            <w:tcW w:w="802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9,249</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Depreciation and amortization expense related to property and equipment was $6.7 million, $5.3 million and $4.1 million for the years ended December 31, 2022,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impairment of previously capitalized costs during the years ended December 31, 2022, 2021, and 2020.</w:t>
      </w:r>
    </w:p>
    <w:p>
      <w:pPr>
        <w:spacing w:after="0" w:line="181" w:lineRule="exact"/>
        <w:rPr>
          <w:sz w:val="20"/>
          <w:szCs w:val="20"/>
          <w:color w:val="auto"/>
        </w:rPr>
      </w:pPr>
    </w:p>
    <w:p>
      <w:pPr>
        <w:ind w:right="380"/>
        <w:spacing w:after="0" w:line="310" w:lineRule="auto"/>
        <w:rPr>
          <w:sz w:val="20"/>
          <w:szCs w:val="20"/>
          <w:color w:val="auto"/>
        </w:rPr>
      </w:pPr>
      <w:r>
        <w:rPr>
          <w:rFonts w:ascii="Arial" w:cs="Arial" w:eastAsia="Arial" w:hAnsi="Arial"/>
          <w:sz w:val="14"/>
          <w:szCs w:val="14"/>
          <w:color w:val="auto"/>
        </w:rPr>
        <w:t>The Company capitalized $5.2 million, $2.9 million and $2.3 million for internal-use software costs during the years ended December 31, 2022, 2021, and 2020, respectively. The Company capitalized $1.8 million of stock-based compensation costs to internal-use software for the year ended December 31, 2022. The Company capitalized inconsequential amounts of stock-based compensation costs to internal-use software during the years ended December 31, 2021 and 2020, respectively. The Company recorded amortization expense of $3.3 million, $2.5 million and $1.6 million for the years ended December 31, 2022, 2021, and 2020,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185"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color w:val="auto"/>
        </w:rPr>
        <w:t>The Company capitalized $2.4 million and $1.1 million related to the implementation of cloud computing arrangements during the years ended December 31, 2022 and 2021, respectively and recorded amortization expense of $0.8 million and $0.2 million during the years ended December 31, 2022 and 2021, respectively.</w:t>
      </w:r>
    </w:p>
    <w:p>
      <w:pPr>
        <w:spacing w:after="0" w:line="94" w:lineRule="exact"/>
        <w:rPr>
          <w:sz w:val="20"/>
          <w:szCs w:val="20"/>
          <w:color w:val="auto"/>
        </w:rPr>
      </w:pPr>
    </w:p>
    <w:p>
      <w:pPr>
        <w:ind w:right="580"/>
        <w:spacing w:after="0" w:line="369" w:lineRule="auto"/>
        <w:rPr>
          <w:sz w:val="20"/>
          <w:szCs w:val="20"/>
          <w:color w:val="auto"/>
        </w:rPr>
      </w:pPr>
      <w:r>
        <w:rPr>
          <w:rFonts w:ascii="Arial" w:cs="Arial" w:eastAsia="Arial" w:hAnsi="Arial"/>
          <w:sz w:val="14"/>
          <w:szCs w:val="14"/>
          <w:color w:val="auto"/>
        </w:rPr>
        <w:t xml:space="preserve">As of December 31, 2022, capitalized costs, net of accumulated amortization, were approximately $2.5 million, of which $1.3 million was recorded within </w:t>
      </w:r>
      <w:r>
        <w:rPr>
          <w:rFonts w:ascii="Arial" w:cs="Arial" w:eastAsia="Arial" w:hAnsi="Arial"/>
          <w:sz w:val="14"/>
          <w:szCs w:val="14"/>
          <w:i w:val="1"/>
          <w:iCs w:val="1"/>
          <w:color w:val="auto"/>
        </w:rPr>
        <w:t>‘Prepaid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expenses and other current assets’ </w:t>
      </w:r>
      <w:r>
        <w:rPr>
          <w:rFonts w:ascii="Arial" w:cs="Arial" w:eastAsia="Arial" w:hAnsi="Arial"/>
          <w:sz w:val="14"/>
          <w:szCs w:val="14"/>
          <w:color w:val="auto"/>
        </w:rPr>
        <w:t>and $1.2 million was recorded within</w:t>
      </w:r>
      <w:r>
        <w:rPr>
          <w:rFonts w:ascii="Arial" w:cs="Arial" w:eastAsia="Arial" w:hAnsi="Arial"/>
          <w:sz w:val="14"/>
          <w:szCs w:val="14"/>
          <w:i w:val="1"/>
          <w:iCs w:val="1"/>
          <w:color w:val="auto"/>
        </w:rPr>
        <w:t xml:space="preserve"> ‘Other noncurrent assets, net’ </w:t>
      </w:r>
      <w:r>
        <w:rPr>
          <w:rFonts w:ascii="Arial" w:cs="Arial" w:eastAsia="Arial" w:hAnsi="Arial"/>
          <w:sz w:val="14"/>
          <w:szCs w:val="14"/>
          <w:color w:val="auto"/>
        </w:rPr>
        <w:t>on the Company's Consolidated Balance Sheets.</w:t>
      </w:r>
    </w:p>
    <w:p>
      <w:pPr>
        <w:spacing w:after="0" w:line="58" w:lineRule="exact"/>
        <w:rPr>
          <w:sz w:val="20"/>
          <w:szCs w:val="20"/>
          <w:color w:val="auto"/>
        </w:rPr>
      </w:pPr>
    </w:p>
    <w:p>
      <w:pPr>
        <w:ind w:right="580"/>
        <w:spacing w:after="0" w:line="349" w:lineRule="auto"/>
        <w:rPr>
          <w:sz w:val="20"/>
          <w:szCs w:val="20"/>
          <w:color w:val="auto"/>
        </w:rPr>
      </w:pPr>
      <w:r>
        <w:rPr>
          <w:rFonts w:ascii="Arial" w:cs="Arial" w:eastAsia="Arial" w:hAnsi="Arial"/>
          <w:sz w:val="14"/>
          <w:szCs w:val="14"/>
          <w:color w:val="auto"/>
        </w:rPr>
        <w:t xml:space="preserve">As of December 31, 2021, capitalized costs, net of accumulated amortization, were approximately $0.9 million, of which $0.4 million was recorded within </w:t>
      </w:r>
      <w:r>
        <w:rPr>
          <w:rFonts w:ascii="Arial" w:cs="Arial" w:eastAsia="Arial" w:hAnsi="Arial"/>
          <w:sz w:val="14"/>
          <w:szCs w:val="14"/>
          <w:i w:val="1"/>
          <w:iCs w:val="1"/>
          <w:color w:val="auto"/>
        </w:rPr>
        <w:t>‘Prepaid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expenses and other current assets’ </w:t>
      </w:r>
      <w:r>
        <w:rPr>
          <w:rFonts w:ascii="Arial" w:cs="Arial" w:eastAsia="Arial" w:hAnsi="Arial"/>
          <w:sz w:val="14"/>
          <w:szCs w:val="14"/>
          <w:color w:val="auto"/>
        </w:rPr>
        <w:t>and $0.5 million was recorded within</w:t>
      </w:r>
      <w:r>
        <w:rPr>
          <w:rFonts w:ascii="Arial" w:cs="Arial" w:eastAsia="Arial" w:hAnsi="Arial"/>
          <w:sz w:val="14"/>
          <w:szCs w:val="14"/>
          <w:i w:val="1"/>
          <w:iCs w:val="1"/>
          <w:color w:val="auto"/>
        </w:rPr>
        <w:t xml:space="preserve"> ‘Other noncurrent assets, net’ </w:t>
      </w:r>
      <w:r>
        <w:rPr>
          <w:rFonts w:ascii="Arial" w:cs="Arial" w:eastAsia="Arial" w:hAnsi="Arial"/>
          <w:sz w:val="14"/>
          <w:szCs w:val="14"/>
          <w:color w:val="auto"/>
        </w:rPr>
        <w:t>on the Company's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cloud computing arrangements for the years ended December 31, 2022 and 2021 were as follows:</w:t>
      </w:r>
    </w:p>
    <w:p>
      <w:pPr>
        <w:spacing w:after="0" w:line="21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2040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long-lived assets based on geography, which consist of property and equipment, net and operating lease right-of-use assets:</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7,523</w:t>
            </w:r>
          </w:p>
        </w:tc>
      </w:tr>
      <w:tr>
        <w:trPr>
          <w:trHeight w:val="233"/>
        </w:trPr>
        <w:tc>
          <w:tcPr>
            <w:tcW w:w="8020" w:type="dxa"/>
            <w:vAlign w:val="bottom"/>
          </w:tcPr>
          <w:p>
            <w:pPr>
              <w:ind w:left="140"/>
              <w:spacing w:after="0"/>
              <w:rPr>
                <w:sz w:val="20"/>
                <w:szCs w:val="20"/>
                <w:color w:val="auto"/>
              </w:rPr>
            </w:pPr>
            <w:r>
              <w:rPr>
                <w:rFonts w:ascii="Arial" w:cs="Arial" w:eastAsia="Arial" w:hAnsi="Arial"/>
                <w:sz w:val="16"/>
                <w:szCs w:val="16"/>
                <w:color w:val="auto"/>
              </w:rPr>
              <w:t>Europe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5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Nicaragua</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r>
      <w:tr>
        <w:trPr>
          <w:trHeight w:val="233"/>
        </w:trPr>
        <w:tc>
          <w:tcPr>
            <w:tcW w:w="8020" w:type="dxa"/>
            <w:vAlign w:val="bottom"/>
          </w:tcPr>
          <w:p>
            <w:pPr>
              <w:ind w:left="140"/>
              <w:spacing w:after="0"/>
              <w:rPr>
                <w:sz w:val="20"/>
                <w:szCs w:val="20"/>
                <w:color w:val="auto"/>
              </w:rPr>
            </w:pPr>
            <w:r>
              <w:rPr>
                <w:rFonts w:ascii="Arial" w:cs="Arial" w:eastAsia="Arial" w:hAnsi="Arial"/>
                <w:sz w:val="16"/>
                <w:szCs w:val="16"/>
                <w:color w:val="auto"/>
              </w:rPr>
              <w:t>United Kingdom</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2,229</w:t>
            </w:r>
          </w:p>
        </w:tc>
      </w:tr>
      <w:tr>
        <w:trPr>
          <w:trHeight w:val="25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Philippines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3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long-lived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There were no financial assets and liabilities that were measured at fair value as of December 31, 2022 and 2021. The Company previously invested approximately $80.0 million of its cash and cash equivalents into a Level 2 term deposit during the three months ended March 31, 2022, which had an original maturity of three months or less at the time of purchase. Upon maturity, in the three months ended June 30, 2022, the Company re-invested approximately $50.0 million, into a new term deposit, that was subsequently liquidated during the nine months ended September 30, 2022.</w:t>
      </w:r>
    </w:p>
    <w:p>
      <w:pPr>
        <w:spacing w:after="0" w:line="123"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If these financial instruments were measured at fair value in the financial statements, they would be classified as Level 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Other than as described above, there were no transfers between Level 1 and Level 2 during the years ended December 31, 2022, 2021, and 2020.</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Revolving Credit Facility</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On September 13, 2021, Remitly Global, Inc. and Remitly, Inc., a wholly 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(as defined below). Proceeds under the New Revolving Credit Facility are available for working capital and general corporate purposes. As part of the refinancing, the Company performed a debt modification analysis, utilizing the borrowing capacity test within ASC 470-50, </w:t>
      </w:r>
      <w:r>
        <w:rPr>
          <w:rFonts w:ascii="Arial" w:cs="Arial" w:eastAsia="Arial" w:hAnsi="Arial"/>
          <w:sz w:val="16"/>
          <w:szCs w:val="16"/>
          <w:i w:val="1"/>
          <w:iCs w:val="1"/>
          <w:color w:val="auto"/>
        </w:rPr>
        <w:t>Debt — Modification and Extinguishment</w:t>
      </w:r>
      <w:r>
        <w:rPr>
          <w:rFonts w:ascii="Arial" w:cs="Arial" w:eastAsia="Arial" w:hAnsi="Arial"/>
          <w:sz w:val="16"/>
          <w:szCs w:val="16"/>
          <w:color w:val="auto"/>
        </w:rPr>
        <w:t>, on a lender-by-lender basis, resulting in the capitalization of $1.4 million of new debt issuance costs incurred in connection with the New Revolving Credit Facility during the third quarter of 2021. Such amounts were capitalized and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on the Consolidated Balance Sheets,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continues to amortize $0.4 million of unamortized debt issuance costs over the term of the New Revolving Credit Facility. The remaining $0.1 million was expensed as a debt extinguishment cost within interest expense within the Consolidated Statements of Operations during the third quarter of 2021.</w:t>
      </w:r>
    </w:p>
    <w:p>
      <w:pPr>
        <w:spacing w:after="0" w:line="136"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The New Revolving Credit Facility was used to refinance its existing 2020 Credit Agreement. 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December 31, 2022 and December 31, 2021,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December 31, 2022 and December 31, 2021.</w:t>
      </w:r>
    </w:p>
    <w:p>
      <w:pPr>
        <w:spacing w:after="0" w:line="145"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142" w:lineRule="exact"/>
        <w:rPr>
          <w:sz w:val="20"/>
          <w:szCs w:val="20"/>
          <w:color w:val="auto"/>
        </w:rPr>
      </w:pPr>
    </w:p>
    <w:p>
      <w:pPr>
        <w:ind w:right="220"/>
        <w:spacing w:after="0" w:line="295" w:lineRule="auto"/>
        <w:rPr>
          <w:sz w:val="20"/>
          <w:szCs w:val="20"/>
          <w:color w:val="auto"/>
        </w:rPr>
      </w:pPr>
      <w:r>
        <w:rPr>
          <w:rFonts w:ascii="Arial" w:cs="Arial" w:eastAsia="Arial" w:hAnsi="Arial"/>
          <w:sz w:val="15"/>
          <w:szCs w:val="15"/>
          <w:color w:val="auto"/>
        </w:rPr>
        <w:t>As of December 31, 2022 and December 31, 2021, the Company had no outstanding borrowings under the New Revolving Credit Facility. As of December 31, 2022 and December 31, 2021, the Company had $22.3 million and $18.9 million, respectively, in issued, but undrawn, standby letters of credit. As of December 31, 2022 and December 31, 2021, the Company had unused borrowing capacity of $227.7 million and $231.1 million, respectively, under the New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Credit Agreement</w:t>
      </w:r>
    </w:p>
    <w:p>
      <w:pPr>
        <w:spacing w:after="0" w:line="167"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Since 2013, the Company had access to a variable rate credit facility. In November 2020, Remitly Global, Inc. and Remitly, Inc., a wholly owned subsidiary of Remitly Global, Inc., as borrower, further modified its then-existing credit agreement (the “2020 Credit Agreement”). Following such modification, the 2020 Credit Agreement provided Remitly, Inc. with access up to $150.0 million in revolving credit facility borrowings (including a $30.0 million letter of credit sub-facility) with a maturity date of November 16, 2023. As noted above, in September 2021, the New Revolving Credit Facility was used to refinance the 2020 Credit Agreement. As a result of the refinancing, the 2020 Credit Agreement was terminated and all amounts outstanding, including any accrued interest, were repaid in full.</w:t>
      </w:r>
    </w:p>
    <w:p>
      <w:pPr>
        <w:spacing w:after="0" w:line="113"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Borrowings under the 2020 Credit Agreement were subject to mandatory repayment within 20 business days in an amount necessary to reduce the borrowings, in the aggregate, to an amount less than the Company’s customer funds account maintained with the lender. Interest on borrowings under the 2020 Credit Agreement accrued at a floating rate per annum equal to (i) ABR (defined in the 2020 Credit Agreement as the rate per annum equal to the highest of (a) the Prime Rate in effect on such day, (b)</w:t>
      </w:r>
    </w:p>
    <w:p>
      <w:pPr>
        <w:spacing w:after="0" w:line="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3.25% and (c) the Federal Funds Effective Rate in effect for such day plus 0.50% plus (ii) 1.0%. In addition, an unused revolving line facility fee accrued at a floating rate per annum equal to 0.40% of the unused portion of the line, payable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93" w:lineRule="auto"/>
        <w:rPr>
          <w:sz w:val="20"/>
          <w:szCs w:val="20"/>
          <w:color w:val="auto"/>
        </w:rPr>
      </w:pPr>
      <w:r>
        <w:rPr>
          <w:rFonts w:ascii="Arial" w:cs="Arial" w:eastAsia="Arial" w:hAnsi="Arial"/>
          <w:sz w:val="14"/>
          <w:szCs w:val="14"/>
          <w:color w:val="auto"/>
        </w:rPr>
        <w:t>The 2020 Credit Agreement contained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included the occurrence of a Material Adverse Effect (as defined in the 2020 Credit Agreement) on the business or financial condition of the Company. Financial covenants included (1) a requirement to maintain a minimum Adjusted Quick Ratio of</w:t>
      </w:r>
    </w:p>
    <w:p>
      <w:pPr>
        <w:spacing w:after="0" w:line="1"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1.50:1.00, which was tested monthly and (2) a requirement to maintain minimum trailing twelve month Consolidated Adjusted EBITDA (as defined in the 2020 Credit Agreement), which was tested quarterly.</w:t>
      </w:r>
    </w:p>
    <w:p>
      <w:pPr>
        <w:spacing w:after="0" w:line="12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obligations under the 2020 Credit Agreement were guaranteed by the material subsidiaries of Remitly Global, Inc., subject to customary exceptions, and were secured by substantially all of the assets of the borrowers and guarantors thereunder, other than intellectual property.</w:t>
      </w:r>
    </w:p>
    <w:p>
      <w:pPr>
        <w:spacing w:after="0" w:line="181"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85"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3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64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(114,019)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(32,564)</w:t>
            </w:r>
          </w:p>
        </w:tc>
      </w:tr>
      <w:tr>
        <w:trPr>
          <w:trHeight w:val="25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Arial" w:cs="Arial" w:eastAsia="Arial" w:hAnsi="Arial"/>
                <w:sz w:val="16"/>
                <w:szCs w:val="16"/>
                <w:color w:val="auto"/>
              </w:rPr>
              <w:t>Weighted-average shares used in computing net loss per share attributable to common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6460" w:type="dxa"/>
            <w:vAlign w:val="bottom"/>
          </w:tcPr>
          <w:p>
            <w:pPr>
              <w:ind w:left="14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167,774,123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60,728,748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21,459,062</w:t>
            </w: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6"/>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bl>
    <w:p>
      <w:pPr>
        <w:spacing w:after="0" w:line="24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December 31,</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127,082,605</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Arial" w:cs="Arial" w:eastAsia="Arial" w:hAnsi="Arial"/>
                <w:sz w:val="16"/>
                <w:szCs w:val="16"/>
                <w:color w:val="auto"/>
              </w:rPr>
              <w:t>Common stock warrants</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256,250</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15,988,268</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21,034,424</w:t>
            </w:r>
          </w:p>
        </w:tc>
        <w:tc>
          <w:tcPr>
            <w:tcW w:w="0" w:type="dxa"/>
            <w:vAlign w:val="bottom"/>
          </w:tcPr>
          <w:p>
            <w:pPr>
              <w:spacing w:after="0"/>
              <w:rPr>
                <w:sz w:val="1"/>
                <w:szCs w:val="1"/>
                <w:color w:val="auto"/>
              </w:rPr>
            </w:pPr>
          </w:p>
        </w:tc>
      </w:tr>
      <w:tr>
        <w:trPr>
          <w:trHeight w:val="292"/>
        </w:trPr>
        <w:tc>
          <w:tcPr>
            <w:tcW w:w="6380" w:type="dxa"/>
            <w:vAlign w:val="bottom"/>
          </w:tcPr>
          <w:p>
            <w:pPr>
              <w:ind w:left="20"/>
              <w:spacing w:after="0"/>
              <w:rPr>
                <w:sz w:val="20"/>
                <w:szCs w:val="20"/>
                <w:color w:val="auto"/>
              </w:rPr>
            </w:pPr>
            <w:r>
              <w:rPr>
                <w:rFonts w:ascii="Arial" w:cs="Arial" w:eastAsia="Arial" w:hAnsi="Arial"/>
                <w:sz w:val="16"/>
                <w:szCs w:val="16"/>
                <w:color w:val="auto"/>
              </w:rPr>
              <w:t>RSUs outstanding</w:t>
            </w:r>
            <w:r>
              <w:rPr>
                <w:rFonts w:ascii="Arial" w:cs="Arial" w:eastAsia="Arial" w:hAnsi="Arial"/>
                <w:sz w:val="21"/>
                <w:szCs w:val="21"/>
                <w:color w:val="auto"/>
                <w:vertAlign w:val="superscript"/>
              </w:rPr>
              <w:t>(1)</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23,366,355</w:t>
            </w:r>
          </w:p>
        </w:tc>
        <w:tc>
          <w:tcPr>
            <w:tcW w:w="8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3,496,611</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437,369</w:t>
            </w:r>
          </w:p>
        </w:tc>
        <w:tc>
          <w:tcPr>
            <w:tcW w:w="0" w:type="dxa"/>
            <w:vAlign w:val="bottom"/>
          </w:tcPr>
          <w:p>
            <w:pPr>
              <w:spacing w:after="0"/>
              <w:rPr>
                <w:sz w:val="1"/>
                <w:szCs w:val="1"/>
                <w:color w:val="auto"/>
              </w:rPr>
            </w:pPr>
          </w:p>
        </w:tc>
      </w:tr>
      <w:tr>
        <w:trPr>
          <w:trHeight w:val="103"/>
        </w:trPr>
        <w:tc>
          <w:tcPr>
            <w:tcW w:w="63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1,350,486</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735,282</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subject to repurchase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130,929</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456,294</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1,888,322</w:t>
            </w:r>
          </w:p>
        </w:tc>
        <w:tc>
          <w:tcPr>
            <w:tcW w:w="0" w:type="dxa"/>
            <w:vAlign w:val="bottom"/>
          </w:tcPr>
          <w:p>
            <w:pPr>
              <w:spacing w:after="0"/>
              <w:rPr>
                <w:sz w:val="1"/>
                <w:szCs w:val="1"/>
                <w:color w:val="auto"/>
              </w:rPr>
            </w:pPr>
          </w:p>
        </w:tc>
      </w:tr>
      <w:tr>
        <w:trPr>
          <w:trHeight w:val="26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40,836,038</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28,075,129</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150,698,970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60" w:firstLine="8"/>
        <w:spacing w:after="0" w:line="313" w:lineRule="auto"/>
        <w:tabs>
          <w:tab w:leader="none" w:pos="149" w:val="left"/>
        </w:tabs>
        <w:numPr>
          <w:ilvl w:val="0"/>
          <w:numId w:val="44"/>
        </w:numPr>
        <w:rPr>
          <w:rFonts w:ascii="Arial" w:cs="Arial" w:eastAsia="Arial" w:hAnsi="Arial"/>
          <w:sz w:val="17"/>
          <w:szCs w:val="17"/>
          <w:color w:val="auto"/>
          <w:vertAlign w:val="superscript"/>
        </w:rPr>
      </w:pPr>
      <w:r>
        <w:rPr>
          <w:rFonts w:ascii="Arial" w:cs="Arial" w:eastAsia="Arial" w:hAnsi="Arial"/>
          <w:sz w:val="12"/>
          <w:szCs w:val="12"/>
          <w:color w:val="auto"/>
        </w:rPr>
        <w:t xml:space="preserve">A portion of these RSUs were subject to a performance-based vesting condition until September 22, 2021. See Note </w:t>
      </w:r>
      <w:r>
        <w:rPr>
          <w:rFonts w:ascii="Arial" w:cs="Arial" w:eastAsia="Arial" w:hAnsi="Arial"/>
          <w:sz w:val="13"/>
          <w:szCs w:val="13"/>
          <w:color w:val="auto"/>
        </w:rPr>
        <w:t>2.</w:t>
      </w:r>
      <w:r>
        <w:rPr>
          <w:rFonts w:ascii="Arial" w:cs="Arial" w:eastAsia="Arial" w:hAnsi="Arial"/>
          <w:sz w:val="12"/>
          <w:szCs w:val="12"/>
          <w:color w:val="auto"/>
        </w:rPr>
        <w:t xml:space="preserve"> </w:t>
      </w:r>
      <w:r>
        <w:rPr>
          <w:rFonts w:ascii="Arial" w:cs="Arial" w:eastAsia="Arial" w:hAnsi="Arial"/>
          <w:sz w:val="12"/>
          <w:szCs w:val="12"/>
          <w:i w:val="1"/>
          <w:iCs w:val="1"/>
          <w:color w:val="auto"/>
        </w:rPr>
        <w:t>Basis of Presentation and Summary of Significant Accounting Policies</w:t>
      </w:r>
      <w:r>
        <w:rPr>
          <w:rFonts w:ascii="Arial" w:cs="Arial" w:eastAsia="Arial" w:hAnsi="Arial"/>
          <w:sz w:val="12"/>
          <w:szCs w:val="12"/>
          <w:color w:val="auto"/>
        </w:rPr>
        <w:t xml:space="preserve"> for details on these awards.</w:t>
      </w:r>
    </w:p>
    <w:p>
      <w:pPr>
        <w:spacing w:after="0" w:line="101"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71"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As of December 31, 2022,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December 31, 2022 and December 31, 2021, no dividends have been declared or paid by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Donation to Remitly Philanthropy Fund</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equal installments over ten years. On September 10, 2021, the Company executed the stock donation agreement, pursuant to which it would issue the first installment of the Pledge 1% commitment to Remitly Philanthropy Fund, a donor advised fund that will be administered on its behalf by Rockefeller Philanthropy Advisors, Inc., on the day after consummation of the IPO.</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Company donated 181,961 shares of its common stock to Remitly Philanthropy Fund on September 28, 2022 and 2021, respectively, pursuant to the stock donation agreement, and in connection with the Pledge 1% campaign, which publicly acknowledges the Company’s intent to give back and increase social impact, in order to sustainably fund a portion of its corporate social responsibility goals and further its mission to expand financial inclusion for immigrants. The Company recorded a charge of $2.0 million and $6.9 million to ‘</w:t>
      </w: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within the Consolidated Statements of Operations based on the closing price of its common stock as reported on the Nasdaq Global Select Market (the “NASDAQ”) on September 28, 2022 and 2021,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71"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On September 24, 2021, the holders of these stock warrants provided a notice of exercise and on September 30, 2021, warrants to purchase 256,250 shares of common stock were exercised in a cashless exercise, pursuant to the terms of the original warrant agreement, resulting in the issuance of 254,014 shares. There were no warrants outstanding as of December 31, 2022 and 2021.</w:t>
      </w:r>
    </w:p>
    <w:p>
      <w:pPr>
        <w:spacing w:after="0" w:line="109"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Stock</w:t>
      </w:r>
    </w:p>
    <w:p>
      <w:pPr>
        <w:spacing w:after="0" w:line="185"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Prior to the Company’s IPO, the Company had 127,410,631 shares of redeemable convertible preferred stock outstanding. Upon completion of the IPO, all shares of redeemable convertible preferred stock were automatically converted into an equivalent number of shares of common stock on a one-to-one basis and their carrying value of $390.7 million was reclassified into stockholders’ equity. As of December 31, 2022, there were no shares of redeemable convertible preferred stock issued and outstanding.</w:t>
      </w:r>
    </w:p>
    <w:p>
      <w:pPr>
        <w:spacing w:after="0" w:line="109"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In addition, in connection with the IPO, the Company’s amended and restated certificate of incorporation became effective, which authorized the issuance of 50,000,000 shares of undesignated preferred stock with a par value of $0.0001 per share with rights and preferences, including voting rights, designated from time to time by the Company’s board of directors.</w:t>
      </w:r>
    </w:p>
    <w:p>
      <w:pPr>
        <w:spacing w:after="0" w:line="120" w:lineRule="exact"/>
        <w:rPr>
          <w:sz w:val="20"/>
          <w:szCs w:val="20"/>
          <w:color w:val="auto"/>
        </w:rPr>
      </w:pPr>
    </w:p>
    <w:p>
      <w:pPr>
        <w:ind w:right="8980" w:firstLine="8"/>
        <w:spacing w:after="0" w:line="536" w:lineRule="auto"/>
        <w:tabs>
          <w:tab w:leader="none" w:pos="364"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Shares Available for Issuance</w:t>
      </w:r>
    </w:p>
    <w:p>
      <w:pPr>
        <w:spacing w:after="0"/>
        <w:rPr>
          <w:sz w:val="20"/>
          <w:szCs w:val="20"/>
          <w:color w:val="auto"/>
        </w:rPr>
      </w:pPr>
      <w:r>
        <w:rPr>
          <w:rFonts w:ascii="Arial" w:cs="Arial" w:eastAsia="Arial" w:hAnsi="Arial"/>
          <w:sz w:val="15"/>
          <w:szCs w:val="15"/>
          <w:color w:val="auto"/>
        </w:rPr>
        <w:t>As of December 31, 2022 and December 31, 2021, 10,890,112 and 23,599,005 equity incentive awards remain available for issuance under the 2021 Plan, respectively.</w:t>
      </w:r>
    </w:p>
    <w:p>
      <w:pPr>
        <w:spacing w:after="0" w:line="17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of December 31, 2022, 4,762,721 shares of common stock remain available for issuance under the ESPP. As of December 31, 2021, there were no issuances of shares under the ESPP, therefore all 3,500,000 shares of common stock remained available for issuance.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stock option activity during the year ended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2"/>
          </w:tcPr>
          <w:p>
            <w:pPr>
              <w:jc w:val="right"/>
              <w:ind w:right="1143"/>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 Options</w:t>
            </w:r>
          </w:p>
        </w:tc>
        <w:tc>
          <w:tcPr>
            <w:tcW w:w="240" w:type="dxa"/>
            <w:vAlign w:val="bottom"/>
          </w:tcPr>
          <w:p>
            <w:pPr>
              <w:spacing w:after="0"/>
              <w:rPr>
                <w:sz w:val="15"/>
                <w:szCs w:val="15"/>
                <w:color w:val="auto"/>
              </w:rPr>
            </w:pPr>
          </w:p>
        </w:tc>
        <w:tc>
          <w:tcPr>
            <w:tcW w:w="14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4"/>
              </w:rPr>
              <w:t>Weighted-Average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5"/>
                <w:szCs w:val="15"/>
                <w:color w:val="auto"/>
              </w:rPr>
            </w:pPr>
          </w:p>
        </w:tc>
        <w:tc>
          <w:tcPr>
            <w:tcW w:w="14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395,676</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166,113</w:t>
            </w:r>
          </w:p>
        </w:tc>
        <w:tc>
          <w:tcPr>
            <w:tcW w:w="240" w:type="dxa"/>
            <w:vAlign w:val="bottom"/>
          </w:tcPr>
          <w:p>
            <w:pPr>
              <w:spacing w:after="0"/>
              <w:rPr>
                <w:sz w:val="20"/>
                <w:szCs w:val="20"/>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11.15</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(5,379,722)</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w:t>
            </w:r>
          </w:p>
        </w:tc>
        <w:tc>
          <w:tcPr>
            <w:tcW w:w="1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43,975</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(2,185,065)</w:t>
            </w: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5.08</w:t>
            </w:r>
          </w:p>
        </w:tc>
        <w:tc>
          <w:tcPr>
            <w:tcW w:w="16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15,988,268</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exercisable as of December 31,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9,963,250</w:t>
            </w:r>
          </w:p>
        </w:tc>
        <w:tc>
          <w:tcPr>
            <w:tcW w:w="24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2.53</w:t>
            </w:r>
          </w:p>
        </w:tc>
        <w:tc>
          <w:tcPr>
            <w:tcW w:w="1660" w:type="dxa"/>
            <w:vAlign w:val="bottom"/>
          </w:tcPr>
          <w:p>
            <w:pPr>
              <w:jc w:val="right"/>
              <w:spacing w:after="0"/>
              <w:rPr>
                <w:sz w:val="20"/>
                <w:szCs w:val="20"/>
                <w:color w:val="auto"/>
              </w:rPr>
            </w:pPr>
            <w:r>
              <w:rPr>
                <w:rFonts w:ascii="Arial" w:cs="Arial" w:eastAsia="Arial" w:hAnsi="Arial"/>
                <w:sz w:val="16"/>
                <w:szCs w:val="16"/>
                <w:color w:val="auto"/>
              </w:rPr>
              <w:t>6.01</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88,859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16,074,197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120,057</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stock options and the estimated fair value of the Company’s common stock.</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11"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fair value of each employee stock option granted during the years ended December 31, 2022, 2021, and 2020 was estimated on the date of grant using the Black-Scholes option pricing model with the following assumptions:</w:t>
      </w:r>
    </w:p>
    <w:p>
      <w:pPr>
        <w:spacing w:after="0" w:line="173"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40640</wp:posOffset>
            </wp:positionV>
            <wp:extent cx="3257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r>
      <w:tr>
        <w:trPr>
          <w:trHeight w:val="24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 to 1.19%</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 to 1.47%</w:t>
            </w:r>
          </w:p>
        </w:tc>
      </w:tr>
      <w:tr>
        <w:trPr>
          <w:trHeight w:val="233"/>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6.1 years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3.5 to 6.8 years</w:t>
            </w:r>
          </w:p>
        </w:tc>
        <w:tc>
          <w:tcPr>
            <w:tcW w:w="1660" w:type="dxa"/>
            <w:vAlign w:val="bottom"/>
          </w:tcPr>
          <w:p>
            <w:pPr>
              <w:jc w:val="right"/>
              <w:spacing w:after="0"/>
              <w:rPr>
                <w:sz w:val="20"/>
                <w:szCs w:val="20"/>
                <w:color w:val="auto"/>
              </w:rPr>
            </w:pPr>
            <w:r>
              <w:rPr>
                <w:rFonts w:ascii="Arial" w:cs="Arial" w:eastAsia="Arial" w:hAnsi="Arial"/>
                <w:sz w:val="16"/>
                <w:szCs w:val="16"/>
                <w:color w:val="auto"/>
              </w:rPr>
              <w:t>5.0 to 6.6 years</w:t>
            </w:r>
          </w:p>
        </w:tc>
      </w:tr>
      <w:tr>
        <w:trPr>
          <w:trHeight w:val="25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 to 50.5%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to 54.0%</w:t>
            </w:r>
          </w:p>
        </w:tc>
      </w:tr>
      <w:tr>
        <w:trPr>
          <w:trHeight w:val="224"/>
        </w:trPr>
        <w:tc>
          <w:tcPr>
            <w:tcW w:w="7120" w:type="dxa"/>
            <w:vAlign w:val="bottom"/>
            <w:gridSpan w:val="2"/>
          </w:tcPr>
          <w:p>
            <w:pPr>
              <w:ind w:left="20"/>
              <w:spacing w:after="0"/>
              <w:rPr>
                <w:sz w:val="20"/>
                <w:szCs w:val="20"/>
                <w:color w:val="auto"/>
              </w:rPr>
            </w:pPr>
            <w:r>
              <w:rPr>
                <w:rFonts w:ascii="Arial" w:cs="Arial" w:eastAsia="Arial" w:hAnsi="Arial"/>
                <w:sz w:val="16"/>
                <w:szCs w:val="16"/>
                <w:color w:val="auto"/>
              </w:rPr>
              <w:t>Dividend rate</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53" w:lineRule="exact"/>
        <w:rPr>
          <w:sz w:val="20"/>
          <w:szCs w:val="20"/>
          <w:color w:val="auto"/>
        </w:rPr>
      </w:pPr>
    </w:p>
    <w:p>
      <w:pPr>
        <w:ind w:right="20"/>
        <w:spacing w:after="0" w:line="325" w:lineRule="auto"/>
        <w:rPr>
          <w:sz w:val="20"/>
          <w:szCs w:val="20"/>
          <w:color w:val="auto"/>
        </w:rPr>
      </w:pPr>
      <w:r>
        <w:rPr>
          <w:rFonts w:ascii="Arial" w:cs="Arial" w:eastAsia="Arial" w:hAnsi="Arial"/>
          <w:sz w:val="14"/>
          <w:szCs w:val="14"/>
          <w:color w:val="auto"/>
        </w:rPr>
        <w:t>The weighted-average grant date fair value of options granted during the years ended December 31, 2022, 2021, and 2020 was $6.78, $5.22, and $1.10, respectively. The aggregate grant-date fair value of options vested for the years ended December 31, 2022, 2021, and 2020 was $11.7 million, $7.3 million, and $5.4 million, respectively. The intrinsic value of options exercised for the years ended December 31, 2022, 2021, and 2020 was $44.0 million, $72.2 million, and $2.4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activity, including PRSUs, during the year ended December 31, 2022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15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Number of Shares</w:t>
            </w:r>
          </w:p>
        </w:tc>
        <w:tc>
          <w:tcPr>
            <w:tcW w:w="16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2022</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3,372,585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24,527,052</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(2,955,066)</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(1,578,216)</w:t>
            </w:r>
          </w:p>
        </w:tc>
        <w:tc>
          <w:tcPr>
            <w:tcW w:w="2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2022</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23,366,355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In addition, during the three months ended March 31, 2022, as a result of the expiration of the lock-up agreement related to its IPO, the Company issued 124,026 shares of common stock subject to RSUs that were vested as of December 31, 2021, but not yet settled.</w:t>
      </w:r>
    </w:p>
    <w:p>
      <w:pPr>
        <w:spacing w:after="0" w:line="132"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The weighted-average grant date fair value of RSUs, including PRSUs, granted during the years ended December 31, 2022, 2021, and 2020 was $10.65, $27.16, and $3.54, respectively. The aggregate grant-date fair value of RSUs, including PRSUs, vested for the years ended December 31, 2022 and 2021 was $42.3 million and $0.6 million, respectively. The aggregate grant-date fair value of RSUs, including PRSUs, vested for the year ended December 31, 2020 was inconsequential.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offering period that commenced on September 22, 2021, for which the accounting grant date was met in October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U.S. GAAP in the first quarter of 2022, whereby the fair value of the ESPP offering was measured immediately before and after modification, resulting in incremental stock-based compensation expense of $3.6 million, which will be recognized over the new offering period, which is deemed to be the requisite service period. In addition, a subsequent 24-month offering commenced on September 1, 2022.</w:t>
      </w:r>
    </w:p>
    <w:p>
      <w:pPr>
        <w:spacing w:after="0" w:line="101" w:lineRule="exact"/>
        <w:rPr>
          <w:sz w:val="20"/>
          <w:szCs w:val="20"/>
          <w:color w:val="auto"/>
        </w:rPr>
      </w:pPr>
    </w:p>
    <w:p>
      <w:pPr>
        <w:jc w:val="both"/>
        <w:ind w:right="40"/>
        <w:spacing w:after="0" w:line="295" w:lineRule="auto"/>
        <w:rPr>
          <w:sz w:val="20"/>
          <w:szCs w:val="20"/>
          <w:color w:val="auto"/>
        </w:rPr>
      </w:pPr>
      <w:r>
        <w:rPr>
          <w:rFonts w:ascii="Arial" w:cs="Arial" w:eastAsia="Arial" w:hAnsi="Arial"/>
          <w:sz w:val="15"/>
          <w:szCs w:val="15"/>
          <w:color w:val="auto"/>
        </w:rPr>
        <w:t>The fair value of the ESPP offerings was estimated using the Black-Scholes option-pricing model as of the respective offering dates, using the following assumptions. These assumptions represent the grant date fair value inputs for new offerings during the years ended December 31, 2022 and 2021, as well as updated valuation information as of the modification date, for any offerings for which a modification occurred, requiring incremental expense to be measured at the modification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Years Ended December 31,</w:t>
            </w:r>
          </w:p>
        </w:tc>
      </w:tr>
      <w:tr>
        <w:trPr>
          <w:trHeight w:val="236"/>
        </w:trPr>
        <w:tc>
          <w:tcPr>
            <w:tcW w:w="7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0.60% to 3.48%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 to 0.30%</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0.5 to 2.0 years</w:t>
            </w:r>
          </w:p>
        </w:tc>
        <w:tc>
          <w:tcPr>
            <w:tcW w:w="1680" w:type="dxa"/>
            <w:vAlign w:val="bottom"/>
          </w:tcPr>
          <w:p>
            <w:pPr>
              <w:jc w:val="right"/>
              <w:spacing w:after="0"/>
              <w:rPr>
                <w:sz w:val="20"/>
                <w:szCs w:val="20"/>
                <w:color w:val="auto"/>
              </w:rPr>
            </w:pPr>
            <w:r>
              <w:rPr>
                <w:rFonts w:ascii="Arial" w:cs="Arial" w:eastAsia="Arial" w:hAnsi="Arial"/>
                <w:sz w:val="16"/>
                <w:szCs w:val="16"/>
                <w:color w:val="auto"/>
              </w:rPr>
              <w:t>0.4 to 1.9 years</w:t>
            </w:r>
          </w:p>
        </w:tc>
      </w:tr>
      <w:tr>
        <w:trPr>
          <w:trHeight w:val="25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58.3% to 73.0%</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 to 56.0%</w:t>
            </w: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349" w:lineRule="auto"/>
        <w:rPr>
          <w:sz w:val="20"/>
          <w:szCs w:val="20"/>
          <w:color w:val="auto"/>
        </w:rPr>
      </w:pPr>
      <w:r>
        <w:rPr>
          <w:rFonts w:ascii="Arial" w:cs="Arial" w:eastAsia="Arial" w:hAnsi="Arial"/>
          <w:sz w:val="14"/>
          <w:szCs w:val="14"/>
          <w:color w:val="auto"/>
        </w:rPr>
        <w:t>As the March 1, 2022 offering was accounted for as a modification to the October 2021 offering, the ESPP was fair valued immediately before and after modification on March 1, 2022 to assess the incremental fair value provided as a result of the modification. The inputs to the incremental fair value are included in the table above.</w:t>
      </w:r>
    </w:p>
    <w:p>
      <w:pPr>
        <w:spacing w:after="0" w:line="85" w:lineRule="exact"/>
        <w:rPr>
          <w:sz w:val="20"/>
          <w:szCs w:val="20"/>
          <w:color w:val="auto"/>
        </w:rPr>
      </w:pPr>
    </w:p>
    <w:p>
      <w:pPr>
        <w:ind w:right="1980"/>
        <w:spacing w:after="0" w:line="466" w:lineRule="auto"/>
        <w:rPr>
          <w:sz w:val="20"/>
          <w:szCs w:val="20"/>
          <w:color w:val="auto"/>
        </w:rPr>
      </w:pPr>
      <w:r>
        <w:rPr>
          <w:rFonts w:ascii="Arial" w:cs="Arial" w:eastAsia="Arial" w:hAnsi="Arial"/>
          <w:sz w:val="16"/>
          <w:szCs w:val="16"/>
          <w:color w:val="auto"/>
        </w:rPr>
        <w:t xml:space="preserve">The Company’s ESPP began in 2021, therefore there were no awards were granted under the ESPP during the year ended December 31, 2020. </w:t>
      </w:r>
      <w:r>
        <w:rPr>
          <w:rFonts w:ascii="Arial" w:cs="Arial" w:eastAsia="Arial" w:hAnsi="Arial"/>
          <w:sz w:val="16"/>
          <w:szCs w:val="16"/>
          <w:b w:val="1"/>
          <w:bCs w:val="1"/>
          <w:color w:val="auto"/>
        </w:rPr>
        <w:t>Stock-Based Compensation Expense</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Stock-based compensation expense for stock options, RSUs, PRSUs, and the ESPP, included within the Consolidated Statements of Operations, net of amounts capitalized to internal-use software, as described in Note 4. </w:t>
      </w:r>
      <w:r>
        <w:rPr>
          <w:rFonts w:ascii="Arial" w:cs="Arial" w:eastAsia="Arial" w:hAnsi="Arial"/>
          <w:sz w:val="16"/>
          <w:szCs w:val="16"/>
          <w:i w:val="1"/>
          <w:iCs w:val="1"/>
          <w:color w:val="auto"/>
        </w:rPr>
        <w:t>Property and Equipment</w:t>
      </w:r>
      <w:r>
        <w:rPr>
          <w:rFonts w:ascii="Arial" w:cs="Arial" w:eastAsia="Arial" w:hAnsi="Arial"/>
          <w:sz w:val="16"/>
          <w:szCs w:val="16"/>
          <w:color w:val="auto"/>
        </w:rPr>
        <w:t>, was as follows: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89"/>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r>
      <w:tr>
        <w:trPr>
          <w:trHeight w:val="23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37,545</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As of December 31, 2022, the total unamortized compensation cost related to all non-vested equity awards, including options, RSUs, and PRSUs was $258.8 million, which will be amortized over a weighted-average remaining requisite service period of approximately 2.9 years. As of December 31, 2022, the total unrecognized compensation expense related to the ESPP was $4.3 million, which is expected to be amortized over the next 1.7 years.</w:t>
      </w:r>
    </w:p>
    <w:p>
      <w:pPr>
        <w:spacing w:after="0" w:line="124"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The Company did not record a material income tax benefit related to stock-based compensation expense and stock option exercises, during the years ended December 31, 2022, 2021, and 2020, since the Company currently maintains a full valuation allowance against its net deferred tax assets in the jurisdictions where material stock-compensation expense charges are incurred, and stock option exercises occurred.</w:t>
      </w:r>
    </w:p>
    <w:p>
      <w:pPr>
        <w:spacing w:after="0" w:line="120"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new significant related party transactions for the year ended December 31, 2022.</w:t>
      </w:r>
    </w:p>
    <w:p>
      <w:pPr>
        <w:spacing w:after="0" w:line="167"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The Company entered into promissory note agreements in October 2018 which were fully repaid in August 2021. The promissory note agreements were entered into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w:t>
      </w:r>
    </w:p>
    <w:p>
      <w:pPr>
        <w:spacing w:after="0" w:line="113"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The associated shares are legally outstanding and included in shares of common stock outstanding within the Consolidated Financial Statements, but were historically excluded from the Company’s net loss per common share calculations, as these shares of common stock were considered unvested until the underlying promissory notes were repaid.</w:t>
      </w:r>
    </w:p>
    <w:p>
      <w:pPr>
        <w:spacing w:after="0" w:line="12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On August 23, 2021, the promissory notes were paid in full, including all accrued interest. After repayment of the loan, these shares are now considered outstanding for purposes of the Company’s net loss per common share calculations to the extent the shares are vested.</w:t>
      </w:r>
    </w:p>
    <w:p>
      <w:pPr>
        <w:spacing w:after="0" w:line="100"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loss before provision for income taxes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(35,542)</w:t>
            </w:r>
          </w:p>
        </w:tc>
      </w:tr>
      <w:tr>
        <w:trPr>
          <w:trHeight w:val="23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w:t>
            </w:r>
          </w:p>
        </w:tc>
      </w:tr>
      <w:tr>
        <w:trPr>
          <w:trHeight w:val="26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(112,976)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provision for income taxes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6"/>
                <w:szCs w:val="16"/>
                <w:b w:val="1"/>
                <w:bCs w:val="1"/>
                <w:color w:val="auto"/>
              </w:rPr>
              <w:t>Years Ended December 31,</w:t>
            </w:r>
          </w:p>
        </w:tc>
        <w:tc>
          <w:tcPr>
            <w:tcW w:w="1240" w:type="dxa"/>
            <w:vAlign w:val="bottom"/>
            <w:tcBorders>
              <w:bottom w:val="single" w:sz="8" w:color="auto"/>
            </w:tcBorders>
          </w:tcPr>
          <w:p>
            <w:pPr>
              <w:spacing w:after="0"/>
              <w:rPr>
                <w:sz w:val="19"/>
                <w:szCs w:val="19"/>
                <w:color w:val="auto"/>
              </w:rPr>
            </w:pPr>
          </w:p>
        </w:tc>
      </w:tr>
      <w:tr>
        <w:trPr>
          <w:trHeight w:val="23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 benefit (expense)</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6300" w:type="dxa"/>
            <w:vAlign w:val="bottom"/>
          </w:tcPr>
          <w:p>
            <w:pPr>
              <w:ind w:left="20"/>
              <w:spacing w:after="0"/>
              <w:rPr>
                <w:sz w:val="20"/>
                <w:szCs w:val="20"/>
                <w:color w:val="auto"/>
              </w:rPr>
            </w:pPr>
            <w:r>
              <w:rPr>
                <w:rFonts w:ascii="Arial" w:cs="Arial" w:eastAsia="Arial" w:hAnsi="Arial"/>
                <w:sz w:val="16"/>
                <w:szCs w:val="16"/>
                <w:color w:val="auto"/>
              </w:rPr>
              <w:t>Federal</w:t>
            </w:r>
          </w:p>
        </w:tc>
        <w:tc>
          <w:tcPr>
            <w:tcW w:w="1040" w:type="dxa"/>
            <w:vAlign w:val="bottom"/>
            <w:gridSpan w:val="2"/>
          </w:tcPr>
          <w:p>
            <w:pPr>
              <w:jc w:val="right"/>
              <w:ind w:right="940"/>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(2,449)</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(2,458)</w:t>
            </w:r>
          </w:p>
        </w:tc>
        <w:tc>
          <w:tcPr>
            <w:tcW w:w="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Deferred tax benefit (expense)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300" w:type="dxa"/>
            <w:vAlign w:val="bottom"/>
          </w:tcPr>
          <w:p>
            <w:pPr>
              <w:ind w:left="20"/>
              <w:spacing w:after="0"/>
              <w:rPr>
                <w:sz w:val="20"/>
                <w:szCs w:val="20"/>
                <w:color w:val="auto"/>
              </w:rPr>
            </w:pPr>
            <w:r>
              <w:rPr>
                <w:rFonts w:ascii="Arial" w:cs="Arial" w:eastAsia="Arial" w:hAnsi="Arial"/>
                <w:sz w:val="16"/>
                <w:szCs w:val="16"/>
                <w:color w:val="auto"/>
              </w:rPr>
              <w:t>State</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benefit (expense)</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6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40" w:type="dxa"/>
            <w:vAlign w:val="bottom"/>
            <w:tcBorders>
              <w:bottom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(1,043)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7940" w:type="dxa"/>
            <w:vAlign w:val="bottom"/>
            <w:gridSpan w:val="5"/>
          </w:tcPr>
          <w:p>
            <w:pPr>
              <w:spacing w:after="0"/>
              <w:rPr>
                <w:sz w:val="20"/>
                <w:szCs w:val="20"/>
                <w:color w:val="auto"/>
              </w:rPr>
            </w:pPr>
            <w:r>
              <w:rPr>
                <w:rFonts w:ascii="Arial" w:cs="Arial" w:eastAsia="Arial" w:hAnsi="Arial"/>
                <w:sz w:val="16"/>
                <w:szCs w:val="16"/>
                <w:color w:val="auto"/>
                <w:w w:val="98"/>
              </w:rPr>
              <w:t>A reconciliation at the applicable federal statutory rate to the Company’s effective income tax rate were as follows: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6"/>
                <w:szCs w:val="16"/>
                <w:b w:val="1"/>
                <w:bCs w:val="1"/>
                <w:color w:val="auto"/>
                <w:w w:val="90"/>
              </w:rPr>
              <w:t>Years Ended December 31,</w:t>
            </w:r>
          </w:p>
        </w:tc>
        <w:tc>
          <w:tcPr>
            <w:tcW w:w="1240" w:type="dxa"/>
            <w:vAlign w:val="bottom"/>
            <w:tcBorders>
              <w:bottom w:val="single" w:sz="8" w:color="auto"/>
            </w:tcBorders>
          </w:tcPr>
          <w:p>
            <w:pPr>
              <w:spacing w:after="0"/>
              <w:rPr>
                <w:sz w:val="24"/>
                <w:szCs w:val="24"/>
                <w:color w:val="auto"/>
              </w:rPr>
            </w:pPr>
          </w:p>
        </w:tc>
      </w:tr>
      <w:tr>
        <w:trPr>
          <w:trHeight w:val="237"/>
        </w:trPr>
        <w:tc>
          <w:tcPr>
            <w:tcW w:w="6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income taxes at statutory rate</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21.00 %</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21.00 %</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21.00 %</w:t>
            </w:r>
          </w:p>
        </w:tc>
      </w:tr>
      <w:tr>
        <w:trPr>
          <w:trHeight w:val="233"/>
        </w:trPr>
        <w:tc>
          <w:tcPr>
            <w:tcW w:w="6300" w:type="dxa"/>
            <w:vAlign w:val="bottom"/>
          </w:tcPr>
          <w:p>
            <w:pPr>
              <w:ind w:left="20"/>
              <w:spacing w:after="0"/>
              <w:rPr>
                <w:sz w:val="20"/>
                <w:szCs w:val="20"/>
                <w:color w:val="auto"/>
              </w:rPr>
            </w:pPr>
            <w:r>
              <w:rPr>
                <w:rFonts w:ascii="Arial" w:cs="Arial" w:eastAsia="Arial" w:hAnsi="Arial"/>
                <w:sz w:val="16"/>
                <w:szCs w:val="16"/>
                <w:color w:val="auto"/>
              </w:rPr>
              <w:t>State income tax, net of federal benefit</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11.37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valuation allowance</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(66.51)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33"/>
        </w:trPr>
        <w:tc>
          <w:tcPr>
            <w:tcW w:w="6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31.08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tax on foreign earnings</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(0.79)</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0.29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6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(0.92) %</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(2.77)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220"/>
        <w:spacing w:after="0" w:line="269" w:lineRule="auto"/>
        <w:rPr>
          <w:sz w:val="20"/>
          <w:szCs w:val="20"/>
          <w:color w:val="auto"/>
        </w:rPr>
      </w:pPr>
      <w:r>
        <w:rPr>
          <w:rFonts w:ascii="Arial" w:cs="Arial" w:eastAsia="Arial" w:hAnsi="Arial"/>
          <w:sz w:val="16"/>
          <w:szCs w:val="16"/>
          <w:color w:val="auto"/>
        </w:rPr>
        <w:t>As of December 31, 2022, the Company has U.S. net operating loss (“NOL”) carryforwards of $230.3 million and state NOL carryforwards of $128.7 million. Such NOL carryforwards will begin to expire between 2032 and 2042. NOL carryforwards are subject to possible limitation should a change in ownership of the Company occur, as defined by Internal Revenue Code Section 382.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spacing w:after="0"/>
              <w:rPr>
                <w:sz w:val="20"/>
                <w:szCs w:val="20"/>
                <w:color w:val="auto"/>
              </w:rPr>
            </w:pPr>
            <w:r>
              <w:rPr>
                <w:rFonts w:ascii="Arial" w:cs="Arial" w:eastAsia="Arial" w:hAnsi="Arial"/>
                <w:sz w:val="16"/>
                <w:szCs w:val="16"/>
                <w:color w:val="auto"/>
                <w:w w:val="98"/>
              </w:rPr>
              <w:t>The tax effects of the temporary differences and carryforwards that give rise to deferred tax assets were as follows: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32"/>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As of December 31,</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58,798</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67,253</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4,272</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Capitalized research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r>
      <w:tr>
        <w:trPr>
          <w:trHeight w:val="233"/>
        </w:trPr>
        <w:tc>
          <w:tcPr>
            <w:tcW w:w="8020" w:type="dxa"/>
            <w:vAlign w:val="bottom"/>
          </w:tcPr>
          <w:p>
            <w:pPr>
              <w:ind w:left="180"/>
              <w:spacing w:after="0"/>
              <w:rPr>
                <w:sz w:val="20"/>
                <w:szCs w:val="20"/>
                <w:color w:val="auto"/>
              </w:rPr>
            </w:pPr>
            <w:r>
              <w:rPr>
                <w:rFonts w:ascii="Arial" w:cs="Arial" w:eastAsia="Arial" w:hAnsi="Arial"/>
                <w:sz w:val="16"/>
                <w:szCs w:val="16"/>
                <w:color w:val="auto"/>
              </w:rPr>
              <w:t>Gross deferred tax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106,779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76,593</w:t>
            </w:r>
          </w:p>
        </w:tc>
      </w:tr>
      <w:tr>
        <w:trPr>
          <w:trHeight w:val="266"/>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and intangible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r>
      <w:tr>
        <w:trPr>
          <w:trHeight w:val="233"/>
        </w:trPr>
        <w:tc>
          <w:tcPr>
            <w:tcW w:w="8020" w:type="dxa"/>
            <w:vAlign w:val="bottom"/>
          </w:tcPr>
          <w:p>
            <w:pPr>
              <w:ind w:left="180"/>
              <w:spacing w:after="0"/>
              <w:rPr>
                <w:sz w:val="20"/>
                <w:szCs w:val="20"/>
                <w:color w:val="auto"/>
              </w:rPr>
            </w:pPr>
            <w:r>
              <w:rPr>
                <w:rFonts w:ascii="Arial" w:cs="Arial" w:eastAsia="Arial" w:hAnsi="Arial"/>
                <w:sz w:val="16"/>
                <w:szCs w:val="16"/>
                <w:color w:val="auto"/>
              </w:rPr>
              <w:t>Gross deferred tax liabilities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66"/>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(101,446)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(74,244)</w:t>
            </w:r>
          </w:p>
        </w:tc>
      </w:tr>
      <w:tr>
        <w:trPr>
          <w:trHeight w:val="26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 maintains a full valuation allowance against the U.S. net deferred tax assets, as it believes that these deferred tax assets do not meet the more likely than not threshold.</w:t>
      </w:r>
    </w:p>
    <w:p>
      <w:pPr>
        <w:spacing w:after="0" w:line="132" w:lineRule="exact"/>
        <w:rPr>
          <w:sz w:val="20"/>
          <w:szCs w:val="20"/>
          <w:color w:val="auto"/>
        </w:rPr>
      </w:pPr>
    </w:p>
    <w:p>
      <w:pPr>
        <w:ind w:right="240"/>
        <w:spacing w:after="0" w:line="349" w:lineRule="auto"/>
        <w:rPr>
          <w:sz w:val="20"/>
          <w:szCs w:val="20"/>
          <w:color w:val="auto"/>
        </w:rPr>
      </w:pPr>
      <w:r>
        <w:rPr>
          <w:rFonts w:ascii="Arial" w:cs="Arial" w:eastAsia="Arial" w:hAnsi="Arial"/>
          <w:sz w:val="14"/>
          <w:szCs w:val="14"/>
          <w:color w:val="auto"/>
        </w:rPr>
        <w:t>The net change in the total valuation allowance was an increase of $27.2 million, $25.1 million, and $8.2 million for the years ended December 31, 2022, 2021, and 2020 respectively. The following represents the changes in the Company’s valuation allowance for the years ended December 31, 2022, 2021, and 2020, respectively:</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Balance at the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40,913</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Charged to net income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25,085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w:t>
            </w:r>
          </w:p>
        </w:tc>
        <w:tc>
          <w:tcPr>
            <w:tcW w:w="0" w:type="dxa"/>
            <w:vAlign w:val="bottom"/>
          </w:tcPr>
          <w:p>
            <w:pPr>
              <w:spacing w:after="0"/>
              <w:rPr>
                <w:sz w:val="1"/>
                <w:szCs w:val="1"/>
                <w:color w:val="auto"/>
              </w:rPr>
            </w:pPr>
          </w:p>
        </w:tc>
      </w:tr>
      <w:tr>
        <w:trPr>
          <w:trHeight w:val="26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Balance at the end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101,446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74,244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December 31, 2022, tax years 2012 through 2022 remain open for examination by taxing authorities.</w:t>
      </w:r>
    </w:p>
    <w:p>
      <w:pPr>
        <w:spacing w:after="0" w:line="10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The calculation of the Company’s tax obligations involves dealing with uncertainties in the application of complex tax laws and regulations. 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2021, and 2020.</w:t>
      </w:r>
    </w:p>
    <w:p>
      <w:pPr>
        <w:spacing w:after="0" w:line="132"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The Company recognizes interest and, if applicable, penalties for any uncertain tax positions. Interest and penalties are recorded as a component of income tax expense. In the years ended December 31, 2022 and 2021, the Company did not have any accrued interest or penalties associated with any unrecognized tax benefits.</w:t>
      </w:r>
    </w:p>
    <w:p>
      <w:pPr>
        <w:spacing w:after="0" w:line="5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Coronavirus Aid, Relief, and Economic Security Act (“CARES Act”) was enacted by the United States on March 27, 2020. The CARES Act did not have a material impact on the Company’s provision for income taxes for the years ended December 31, 2022, 2021, and 2020.</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On August 16, 2022, the Inflation Reduction Act of 2022 (“IRA”) was signed into law. The IRA made several changes to the U.S. tax code effective after December 31, 2022, including, but not limited to, a 15% minimum tax on large corporations with average annual financial statement income of more than $1 billion for a three tax-year period and a 1% excise tax on public company stock buybacks, which will be accounted for in treasury stock. The Company does not expect these changes to have a material impact on its provision for income taxes or financial statements.</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401(k) Defined Contribution Plan</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 xml:space="preserve">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$0.3 million to the 401(k) plan during the year ended December 31, 2022 and $0.2 million to the 401(k) plan during each of the years ended December 31, 2021 and 2020, respectively, which represents the current period contribution for the prior plan year. The Company may also make discretionary profit-sharing contributions. No profit-sharing contributions were made during the years ended December 31, 2022, 2021 or 2020. The Company has a retirement savings plan based on the provisions of Republic Act (R.A.) 7641, </w:t>
      </w:r>
      <w:r>
        <w:rPr>
          <w:rFonts w:ascii="Arial" w:cs="Arial" w:eastAsia="Arial" w:hAnsi="Arial"/>
          <w:sz w:val="15"/>
          <w:szCs w:val="15"/>
          <w:i w:val="1"/>
          <w:iCs w:val="1"/>
          <w:color w:val="auto"/>
        </w:rPr>
        <w:t>The Retirement Pay Law</w:t>
      </w:r>
      <w:r>
        <w:rPr>
          <w:rFonts w:ascii="Arial" w:cs="Arial" w:eastAsia="Arial" w:hAnsi="Arial"/>
          <w:sz w:val="15"/>
          <w:szCs w:val="15"/>
          <w:color w:val="auto"/>
        </w:rPr>
        <w:t>, under Philippines Law</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Company does not contribute to the retirement savings plan. The Company incurred costs of $0.6 million and $0.4 million for the retirement savings plan for the years ended December 31, 2022 and 2021, respectively. The Company incurred no costs for the retirement savings plan for the year ended December 31, 2020.</w:t>
      </w:r>
    </w:p>
    <w:p>
      <w:pPr>
        <w:spacing w:after="0" w:line="121" w:lineRule="exact"/>
        <w:rPr>
          <w:sz w:val="20"/>
          <w:szCs w:val="20"/>
          <w:color w:val="auto"/>
        </w:rPr>
      </w:pPr>
    </w:p>
    <w:p>
      <w:pPr>
        <w:ind w:right="8580" w:firstLine="8"/>
        <w:spacing w:after="0" w:line="536" w:lineRule="auto"/>
        <w:tabs>
          <w:tab w:leader="none" w:pos="364"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spacing w:after="0" w:line="262"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181"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December 31, 2022 and 2021.</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 taxes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U.S.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$6.0 million and $3.8 million as of December 31, 2022 and 2021, respectively, reflecting the amount that the Company believes is probable and estimable. The estimated liability is recorded within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on the Company's Consolidated Balance Sheets. Although the Company believes its indirect tax estimates and associated liabilities are reasonable, the final determination of indirect tax audits or settlements could be materially different than the amounts recorded.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reserve for transaction losses for the years ended December 31, 2022,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w w:val="89"/>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Provisions for transaction losses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42,496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19,663</w:t>
            </w:r>
          </w:p>
        </w:tc>
      </w:tr>
      <w:tr>
        <w:trPr>
          <w:trHeight w:val="24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incurred, net of recoveries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(41,868)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(17,211)</w:t>
            </w:r>
          </w:p>
        </w:tc>
      </w:tr>
      <w:tr>
        <w:trPr>
          <w:trHeight w:val="243"/>
        </w:trPr>
        <w:tc>
          <w:tcPr>
            <w:tcW w:w="63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3,762</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3,134</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3,250</w:t>
            </w:r>
          </w:p>
        </w:tc>
      </w:tr>
      <w:tr>
        <w:trPr>
          <w:trHeight w:val="20"/>
        </w:trPr>
        <w:tc>
          <w:tcPr>
            <w:tcW w:w="6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color w:val="auto"/>
        </w:rPr>
        <w:t>Accrued Expenses &amp; Other Current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231"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2057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settlement liability</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18,924</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1,551</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12,639</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10,788</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Accrued salaries and benefits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2,923</w:t>
            </w:r>
          </w:p>
        </w:tc>
      </w:tr>
      <w:tr>
        <w:trPr>
          <w:trHeight w:val="24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16,724</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87,752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40" w:hanging="332"/>
        <w:spacing w:after="0" w:line="275"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The trade settlement liability amount represents the total of book overdrafts and disbursement postfunding liabilities owed to the Company’s disbursement partners. Refer to Note 2.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Presentation and Summary of Significant Accounting Policies </w:t>
      </w:r>
      <w:r>
        <w:rPr>
          <w:rFonts w:ascii="Arial" w:cs="Arial" w:eastAsia="Arial" w:hAnsi="Arial"/>
          <w:sz w:val="14"/>
          <w:szCs w:val="14"/>
          <w:color w:val="auto"/>
        </w:rPr>
        <w:t>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171"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The Company leases office space in all of its locations under non-cancelable operating leases with various expiration dates through 2025. Tenant improvement allowance received for the leases in place as of December 31, 2022 totaled $1.8 million, which were received in cash in a prior period. There were no new tenant improvement allowances received during the year ended December 31, 2022.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lease term, and discount rate for operating leases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1"/>
          </w:tcPr>
          <w:p>
            <w:pPr>
              <w:jc w:val="right"/>
              <w:ind w:right="400"/>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 (in thousands)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4,732</w:t>
            </w:r>
          </w:p>
        </w:tc>
        <w:tc>
          <w:tcPr>
            <w:tcW w:w="80" w:type="dxa"/>
            <w:vAlign w:val="bottom"/>
            <w:shd w:val="clear" w:color="auto" w:fill="CCEEFF"/>
          </w:tcPr>
          <w:p>
            <w:pPr>
              <w:spacing w:after="0"/>
              <w:rPr>
                <w:sz w:val="21"/>
                <w:szCs w:val="21"/>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3,824</w:t>
            </w: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3,202</w:t>
            </w: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453"/>
        </w:trPr>
        <w:tc>
          <w:tcPr>
            <w:tcW w:w="6120" w:type="dxa"/>
            <w:vAlign w:val="bottom"/>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24"/>
                <w:szCs w:val="24"/>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Cash payments, net of receipts, included in the measurement of operating lease liabilities –</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9"/>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cash flows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3,538</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w:t>
            </w:r>
          </w:p>
        </w:tc>
      </w:tr>
      <w:tr>
        <w:trPr>
          <w:trHeight w:val="453"/>
        </w:trPr>
        <w:tc>
          <w:tcPr>
            <w:tcW w:w="6720" w:type="dxa"/>
            <w:vAlign w:val="bottom"/>
            <w:gridSpan w:val="3"/>
          </w:tcPr>
          <w:p>
            <w:pPr>
              <w:spacing w:after="0"/>
              <w:rPr>
                <w:sz w:val="20"/>
                <w:szCs w:val="20"/>
                <w:color w:val="auto"/>
              </w:rPr>
            </w:pPr>
            <w:r>
              <w:rPr>
                <w:rFonts w:ascii="Arial" w:cs="Arial" w:eastAsia="Arial" w:hAnsi="Arial"/>
                <w:sz w:val="16"/>
                <w:szCs w:val="16"/>
                <w:color w:val="auto"/>
                <w:w w:val="92"/>
              </w:rPr>
              <w:t>The following table represents the maturity of lease liabilities as of December 31, 2022 (in thousands):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1"/>
        </w:trPr>
        <w:tc>
          <w:tcPr>
            <w:tcW w:w="6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3,902</w:t>
            </w: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w:t>
            </w: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2027 and Thereafter</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w:t>
            </w: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26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color w:val="auto"/>
        </w:rPr>
        <w:t>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 of Authorized Shares Reserved for Issuance under Equity Plan</w:t>
      </w:r>
    </w:p>
    <w:p>
      <w:pPr>
        <w:spacing w:after="0" w:line="16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January 2023, there was an increase in the shares reserved for issuance under the 2021 Plan, in accordance with the 5% automatic increase provision, effective January 1, 2023.</w:t>
      </w:r>
    </w:p>
    <w:p>
      <w:pPr>
        <w:spacing w:after="0" w:line="104"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In January 2023, there was an increase in the shares reserved for issuance under the 2021 ESPP Plan, in accordance with the 1% automatic increase provision, effective January 1, 2023.</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Rewire Research and Development Ltd.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The Company completed the acquisition of Rewire on January 5, 2023 as discussed in Part I, Item 1 of this Annual Report on Form 10-K. The preliminary acquisition date fair value of consideration transferred is approximately $77.0 million which includes the fair value of cash and equity issued, or to be issued, to selling shareholders. Approximately $12.0 million of these proceeds were held back at closing for any potential indemnity claims, which will be released after a 15-month holdback period, subject to any deductions, the majority of which will be settled in cash. Expected synergies from the acquisition include both revenue synergies, as a result of potential new customer acquisition, and cost synergies, in operating Rewire’s business leveraging Remitly’s global network.</w:t>
      </w:r>
    </w:p>
    <w:p>
      <w:pPr>
        <w:spacing w:after="0" w:line="113"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The Company recognized transaction costs of $3.5 million in the year ended December 31, 2022 for the acquisition of Rewire, which is included within ‘</w:t>
      </w:r>
      <w:r>
        <w:rPr>
          <w:rFonts w:ascii="Arial" w:cs="Arial" w:eastAsia="Arial" w:hAnsi="Arial"/>
          <w:sz w:val="16"/>
          <w:szCs w:val="16"/>
          <w:i w:val="1"/>
          <w:iCs w:val="1"/>
          <w:color w:val="auto"/>
        </w:rPr>
        <w:t>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administrative expenses</w:t>
      </w:r>
      <w:r>
        <w:rPr>
          <w:rFonts w:ascii="Arial" w:cs="Arial" w:eastAsia="Arial" w:hAnsi="Arial"/>
          <w:sz w:val="16"/>
          <w:szCs w:val="16"/>
          <w:color w:val="auto"/>
        </w:rPr>
        <w:t>’ within the Consolidated Statements of Operations.</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accounting for the business combination, including the final purchase price and the purchase price allocation, has not yet been completed, and as such, further disclosure has been omitted.</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540"/>
        <w:spacing w:after="0" w:line="466" w:lineRule="auto"/>
        <w:rPr>
          <w:sz w:val="20"/>
          <w:szCs w:val="20"/>
          <w:color w:val="auto"/>
        </w:rPr>
      </w:pPr>
      <w:r>
        <w:rPr>
          <w:rFonts w:ascii="Arial" w:cs="Arial" w:eastAsia="Arial" w:hAnsi="Arial"/>
          <w:sz w:val="16"/>
          <w:szCs w:val="16"/>
          <w:b w:val="1"/>
          <w:bCs w:val="1"/>
          <w:color w:val="auto"/>
        </w:rPr>
        <w:t xml:space="preserve">Item 9. Changes in and Disagreements with Accountants on Accounting and Financial Disclosure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2022,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15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our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system of controls also is based in part upon certain assumptions about the likelihood of future events, and there can be no assurance that any design will succeed in achieving its stated goals under all potential future conditions, regardless of how remote.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of Previously Identified Material Weaknesses</w:t>
      </w:r>
    </w:p>
    <w:p>
      <w:pPr>
        <w:spacing w:after="0" w:line="181" w:lineRule="exact"/>
        <w:rPr>
          <w:sz w:val="20"/>
          <w:szCs w:val="20"/>
          <w:color w:val="auto"/>
        </w:rPr>
      </w:pPr>
    </w:p>
    <w:p>
      <w:pPr>
        <w:ind w:right="460"/>
        <w:spacing w:after="0" w:line="310" w:lineRule="auto"/>
        <w:rPr>
          <w:sz w:val="20"/>
          <w:szCs w:val="20"/>
          <w:color w:val="auto"/>
        </w:rPr>
      </w:pPr>
      <w:r>
        <w:rPr>
          <w:rFonts w:ascii="Arial" w:cs="Arial" w:eastAsia="Arial" w:hAnsi="Arial"/>
          <w:sz w:val="15"/>
          <w:szCs w:val="15"/>
          <w:b w:val="1"/>
          <w:bCs w:val="1"/>
          <w:i w:val="1"/>
          <w:iCs w:val="1"/>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As previously reported, in connection with preparing our Consolidated Financial Statements as of and for the year ended December 31, 2021, we identified two material weaknesses in our internal control over financial reporting, as described below:</w:t>
      </w:r>
    </w:p>
    <w:p>
      <w:pPr>
        <w:spacing w:after="0" w:line="118" w:lineRule="exact"/>
        <w:rPr>
          <w:sz w:val="20"/>
          <w:szCs w:val="20"/>
          <w:color w:val="auto"/>
        </w:rPr>
      </w:pPr>
    </w:p>
    <w:p>
      <w:pPr>
        <w:ind w:left="660" w:right="140" w:hanging="328"/>
        <w:spacing w:after="0" w:line="262"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29" w:lineRule="exact"/>
        <w:rPr>
          <w:rFonts w:ascii="Arial" w:cs="Arial" w:eastAsia="Arial" w:hAnsi="Arial"/>
          <w:sz w:val="16"/>
          <w:szCs w:val="16"/>
          <w:color w:val="auto"/>
        </w:rPr>
      </w:pPr>
    </w:p>
    <w:p>
      <w:pPr>
        <w:ind w:left="660" w:right="180" w:hanging="328"/>
        <w:spacing w:after="0" w:line="293"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segregation of duties in journal entries. More specifically, certain personnel had the ability to prepare and post journal entries without an independent review performed by someone without this ability.</w:t>
      </w:r>
    </w:p>
    <w:p>
      <w:pPr>
        <w:spacing w:after="0" w:line="104"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In addition, in the second quarter of 2022, we identified a new material weakness. We did not design and maintain controls to monitor the impact of vesting terms on the timing and accuracy of stock-based compensation expense for graded-vesting equity awards. This material weakness resulted in the misstatement of stock-based compensation expense and related financial disclosures for the year ended December 31, 2021 and the interim period ended March 31, 2022, which was corrected in the interim period ended June 30, 2022.</w:t>
      </w:r>
    </w:p>
    <w:p>
      <w:pPr>
        <w:spacing w:after="0" w:line="14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During 2022, we completed the comprehensive risk assessment of the design of existing controls and implemented new controls as needed to remediate the above previously identified material weaknesses. In addition, we completed the testing and evaluation of the operating effectiveness of the controls and concluded that the above previously identified material weaknesses have been remediated as of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management conducted an evaluation of the effectiveness of our internal control over financial reporting as of December 31, 2022 based on the framework in Internal Control - Integrated Framework (2013) issued by the Committee of Sponsoring Organizations of the Treadway Commission. Based on its evaluation our management concluded that our internal control over financial reporting was effective as of December 31, 2022.</w:t>
      </w:r>
    </w:p>
    <w:p>
      <w:pPr>
        <w:spacing w:after="0" w:line="142"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PricewaterhouseCoopers LLP, an independent registered public accounting firm, as stated in their report which appears in Part II, Item 8 of this Annual Report on Form 10-K.</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December 31, 2022 that have materially affected, or are reasonably likely to materially affect, our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73" w:right="67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85" w:lineRule="exact"/>
        <w:rPr>
          <w:sz w:val="20"/>
          <w:szCs w:val="20"/>
          <w:color w:val="auto"/>
        </w:rPr>
      </w:pPr>
    </w:p>
    <w:p>
      <w:pPr>
        <w:ind w:right="360"/>
        <w:spacing w:after="0" w:line="349" w:lineRule="auto"/>
        <w:rPr>
          <w:sz w:val="20"/>
          <w:szCs w:val="20"/>
          <w:color w:val="auto"/>
        </w:rPr>
      </w:pPr>
      <w:r>
        <w:rPr>
          <w:rFonts w:ascii="Arial" w:cs="Arial" w:eastAsia="Arial" w:hAnsi="Arial"/>
          <w:sz w:val="14"/>
          <w:szCs w:val="14"/>
          <w:color w:val="auto"/>
        </w:rPr>
        <w:t>The information required by Item 10 with respect to executive officers will be set forth in our definitive proxy statement for the 2023 Annual Meeting of Shareholders, which will be filed with the SEC pursuant to Regulation 14A within 120 days of the Company’s fiscal year ended December 31, 2022 (the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Item 10 for matters other than executive officers is incorporated by reference to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Board of Directors adopted a Code of Business Conduct and Ethics that applies to all of our employees, officers, including our Chief Executive Officer and principal financial and accounting officer, or persons performing similar functions and agents and representatives, including directors and consultants. The full text of our Code of Business Conduct and Ethics is posted on our website at ir.remitly.com. We intend to disclose future amendments to certain provisions of our Code of Business Conduct and Ethics, or waivers of such provisions applicable to any Chief Executive Officer and principal financial and accounting officer, or persons performing similar functions, and our directors, on our website identified above.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11 will be set forth in the Proxy Statement and is incorporated herein by reference.</w:t>
      </w:r>
    </w:p>
    <w:p>
      <w:pPr>
        <w:spacing w:after="0" w:line="200" w:lineRule="exact"/>
        <w:rPr>
          <w:sz w:val="20"/>
          <w:szCs w:val="20"/>
          <w:color w:val="auto"/>
        </w:rPr>
      </w:pPr>
    </w:p>
    <w:p>
      <w:pPr>
        <w:spacing w:after="0" w:line="368" w:lineRule="exact"/>
        <w:rPr>
          <w:sz w:val="20"/>
          <w:szCs w:val="20"/>
          <w:color w:val="auto"/>
        </w:rPr>
      </w:pPr>
    </w:p>
    <w:p>
      <w:pPr>
        <w:ind w:right="3500"/>
        <w:spacing w:after="0" w:line="596" w:lineRule="auto"/>
        <w:rPr>
          <w:sz w:val="20"/>
          <w:szCs w:val="20"/>
          <w:color w:val="auto"/>
        </w:rPr>
      </w:pPr>
      <w:r>
        <w:rPr>
          <w:rFonts w:ascii="Arial" w:cs="Arial" w:eastAsia="Arial" w:hAnsi="Arial"/>
          <w:sz w:val="14"/>
          <w:szCs w:val="14"/>
          <w:b w:val="1"/>
          <w:bCs w:val="1"/>
          <w:color w:val="auto"/>
        </w:rPr>
        <w:t xml:space="preserve">Item 12. Security Ownership of Certain Beneficial Owners and Management and Related Stockholders Matters </w:t>
      </w:r>
      <w:r>
        <w:rPr>
          <w:rFonts w:ascii="Arial" w:cs="Arial" w:eastAsia="Arial" w:hAnsi="Arial"/>
          <w:sz w:val="14"/>
          <w:szCs w:val="14"/>
          <w:color w:val="auto"/>
        </w:rPr>
        <w:t>The information required by Item 12 will be set forth in the Proxy Statement and is incorporated herein by reference.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13 will be set forth in the Proxy Statement and is incorporated herein by reference.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 (1) The Consolidated Financial Statements and related documents set forth in "Item 8. Financial Statements" are filed as part of this report.</w:t>
      </w:r>
    </w:p>
    <w:p>
      <w:pPr>
        <w:spacing w:after="0" w:line="167" w:lineRule="exact"/>
        <w:rPr>
          <w:sz w:val="20"/>
          <w:szCs w:val="20"/>
          <w:color w:val="auto"/>
        </w:rPr>
      </w:pPr>
    </w:p>
    <w:p>
      <w:pPr>
        <w:ind w:firstLine="8"/>
        <w:spacing w:after="0" w:line="369"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(2) All other schedules to the Consolidated Financial Statements required by Regulation S-X are omitted because they are not applicable, not material or because the information is included within the Consolidated Financial Statements and related notes in “Item 8. Financial Statements and Supplementary Data” of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(3) Exhibits.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documents set forth below are filed herewith or are incorporated herein by reference to the location indicated.</w:t>
      </w:r>
    </w:p>
    <w:p>
      <w:pPr>
        <w:spacing w:after="0" w:line="18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 Schedules.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 thereto.</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73" w:right="6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0"/>
              </w:rPr>
              <w:t>Table of Contents</w:t>
            </w:r>
          </w:p>
        </w:tc>
        <w:tc>
          <w:tcPr>
            <w:tcW w:w="5060" w:type="dxa"/>
            <w:vAlign w:val="bottom"/>
            <w:gridSpan w:val="33"/>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6"/>
        </w:trPr>
        <w:tc>
          <w:tcPr>
            <w:tcW w:w="6220" w:type="dxa"/>
            <w:vAlign w:val="bottom"/>
            <w:gridSpan w:val="36"/>
          </w:tcPr>
          <w:p>
            <w:pPr>
              <w:spacing w:after="0"/>
              <w:rPr>
                <w:sz w:val="20"/>
                <w:szCs w:val="20"/>
                <w:color w:val="auto"/>
              </w:rPr>
            </w:pPr>
            <w:r>
              <w:rPr>
                <w:rFonts w:ascii="Arial" w:cs="Arial" w:eastAsia="Arial" w:hAnsi="Arial"/>
                <w:sz w:val="16"/>
                <w:szCs w:val="16"/>
                <w:b w:val="1"/>
                <w:bCs w:val="1"/>
                <w:color w:val="auto"/>
              </w:rPr>
              <w:t>Exhibit Index</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0" w:type="dxa"/>
            <w:vAlign w:val="bottom"/>
            <w:gridSpan w:val="3"/>
          </w:tcPr>
          <w:p>
            <w:pPr>
              <w:ind w:left="4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gridSpan w:val="34"/>
          </w:tcPr>
          <w:p>
            <w:pPr>
              <w:spacing w:after="0"/>
              <w:rPr>
                <w:sz w:val="20"/>
                <w:szCs w:val="20"/>
                <w:color w:val="auto"/>
              </w:rPr>
            </w:pPr>
            <w:r>
              <w:rPr>
                <w:rFonts w:ascii="Arial" w:cs="Arial" w:eastAsia="Arial" w:hAnsi="Arial"/>
                <w:sz w:val="16"/>
                <w:szCs w:val="16"/>
                <w:b w:val="1"/>
                <w:bCs w:val="1"/>
                <w:color w:val="auto"/>
              </w:rPr>
              <w:t>Description</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60" w:type="dxa"/>
            <w:vAlign w:val="bottom"/>
            <w:tcBorders>
              <w:bottom w:val="single" w:sz="8" w:color="CCEEFF"/>
            </w:tcBorders>
          </w:tcPr>
          <w:p>
            <w:pPr>
              <w:ind w:left="260"/>
              <w:spacing w:after="0"/>
              <w:rPr>
                <w:sz w:val="20"/>
                <w:szCs w:val="20"/>
                <w:color w:val="auto"/>
              </w:rPr>
            </w:pPr>
            <w:r>
              <w:rPr>
                <w:rFonts w:ascii="Arial" w:cs="Arial" w:eastAsia="Arial" w:hAnsi="Arial"/>
                <w:sz w:val="16"/>
                <w:szCs w:val="16"/>
                <w:b w:val="1"/>
                <w:bCs w:val="1"/>
                <w:color w:val="auto"/>
              </w:rPr>
              <w:t>File No.</w:t>
            </w:r>
          </w:p>
        </w:tc>
        <w:tc>
          <w:tcPr>
            <w:tcW w:w="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162"/>
        </w:trPr>
        <w:tc>
          <w:tcPr>
            <w:tcW w:w="8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2.1</w:t>
            </w:r>
          </w:p>
        </w:tc>
        <w:tc>
          <w:tcPr>
            <w:tcW w:w="10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0000FF"/>
            </w:tcBorders>
            <w:gridSpan w:val="24"/>
            <w:shd w:val="clear" w:color="auto" w:fill="CCEEFF"/>
          </w:tcPr>
          <w:p>
            <w:pPr>
              <w:spacing w:after="0" w:line="142" w:lineRule="exact"/>
              <w:rPr>
                <w:rFonts w:ascii="Arial" w:cs="Arial" w:eastAsia="Arial" w:hAnsi="Arial"/>
                <w:sz w:val="16"/>
                <w:szCs w:val="16"/>
                <w:color w:val="0000FF"/>
                <w:w w:val="89"/>
              </w:rPr>
            </w:pPr>
            <w:hyperlink r:id="rId114">
              <w:r>
                <w:rPr>
                  <w:rFonts w:ascii="Arial" w:cs="Arial" w:eastAsia="Arial" w:hAnsi="Arial"/>
                  <w:sz w:val="16"/>
                  <w:szCs w:val="16"/>
                  <w:color w:val="0000FF"/>
                  <w:w w:val="89"/>
                </w:rPr>
                <w:t>Agreement and Plan of Merger, dated as of August 15, 2022, by and among,</w:t>
              </w:r>
            </w:hyperlink>
          </w:p>
        </w:tc>
        <w:tc>
          <w:tcPr>
            <w:tcW w:w="380" w:type="dxa"/>
            <w:vAlign w:val="bottom"/>
            <w:tcBorders>
              <w:left w:val="single" w:sz="8" w:color="CCEEFF"/>
              <w:bottom w:val="single" w:sz="8" w:color="CCEEFF"/>
            </w:tcBorders>
            <w:gridSpan w:val="10"/>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6"/>
              </w:rPr>
              <w:t>8-K</w:t>
            </w:r>
          </w:p>
        </w:tc>
        <w:tc>
          <w:tcPr>
            <w:tcW w:w="106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1"/>
              </w:rPr>
              <w:t>001-40822</w:t>
            </w:r>
          </w:p>
        </w:tc>
        <w:tc>
          <w:tcPr>
            <w:tcW w:w="78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8"/>
              </w:rPr>
              <w:t>2.1</w:t>
            </w:r>
          </w:p>
        </w:tc>
        <w:tc>
          <w:tcPr>
            <w:tcW w:w="156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2"/>
              </w:rPr>
              <w:t>August 16, 2022</w:t>
            </w:r>
          </w:p>
        </w:tc>
        <w:tc>
          <w:tcPr>
            <w:tcW w:w="0" w:type="dxa"/>
            <w:vAlign w:val="bottom"/>
          </w:tcPr>
          <w:p>
            <w:pPr>
              <w:spacing w:after="0"/>
              <w:rPr>
                <w:sz w:val="1"/>
                <w:szCs w:val="1"/>
                <w:color w:val="auto"/>
              </w:rPr>
            </w:pPr>
          </w:p>
        </w:tc>
      </w:tr>
      <w:tr>
        <w:trPr>
          <w:trHeight w:val="169"/>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80" w:type="dxa"/>
            <w:vAlign w:val="bottom"/>
            <w:gridSpan w:val="34"/>
            <w:shd w:val="clear" w:color="auto" w:fill="CCEEFF"/>
          </w:tcPr>
          <w:p>
            <w:pPr>
              <w:spacing w:after="0" w:line="169"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Remitly Global, Inc., Rewire Merger Sub Ltd., Rewire (O.S.G) Research and</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0" w:type="dxa"/>
            <w:vAlign w:val="bottom"/>
            <w:tcBorders>
              <w:top w:val="single" w:sz="8" w:color="0000FF"/>
            </w:tcBorders>
            <w:gridSpan w:val="26"/>
            <w:shd w:val="clear" w:color="auto" w:fill="CCEEFF"/>
          </w:tcPr>
          <w:p>
            <w:pPr>
              <w:spacing w:after="0" w:line="155" w:lineRule="exact"/>
              <w:rPr>
                <w:rFonts w:ascii="Arial" w:cs="Arial" w:eastAsia="Arial" w:hAnsi="Arial"/>
                <w:sz w:val="16"/>
                <w:szCs w:val="16"/>
                <w:color w:val="0000FF"/>
              </w:rPr>
            </w:pPr>
            <w:hyperlink r:id="rId114">
              <w:r>
                <w:rPr>
                  <w:rFonts w:ascii="Arial" w:cs="Arial" w:eastAsia="Arial" w:hAnsi="Arial"/>
                  <w:sz w:val="16"/>
                  <w:szCs w:val="16"/>
                  <w:color w:val="0000FF"/>
                </w:rPr>
                <w:t>Development Ltd. and Fortis Advisors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Amended and Restated Certificate of Incorporation</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89"/>
              </w:rPr>
              <w:t>10-Q</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001-40822</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8"/>
              </w:rPr>
              <w:t>3.3</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3.2</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Restated Bylaws</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10-Q</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001-40822</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8"/>
              </w:rPr>
              <w:t>3.4</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rFonts w:ascii="Arial" w:cs="Arial" w:eastAsia="Arial" w:hAnsi="Arial"/>
                <w:sz w:val="16"/>
                <w:szCs w:val="16"/>
                <w:color w:val="0000FF"/>
              </w:rPr>
            </w:pPr>
            <w:hyperlink r:id="rId117">
              <w:r>
                <w:rPr>
                  <w:rFonts w:ascii="Arial" w:cs="Arial" w:eastAsia="Arial" w:hAnsi="Arial"/>
                  <w:sz w:val="16"/>
                  <w:szCs w:val="16"/>
                  <w:color w:val="0000FF"/>
                </w:rPr>
                <w:t>Form of Common Stock Certificate</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8"/>
              </w:rPr>
              <w:t>4.1</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4.2</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rFonts w:ascii="Arial" w:cs="Arial" w:eastAsia="Arial" w:hAnsi="Arial"/>
                <w:sz w:val="16"/>
                <w:szCs w:val="16"/>
                <w:color w:val="0000FF"/>
                <w:w w:val="95"/>
              </w:rPr>
            </w:pPr>
            <w:hyperlink r:id="rId118">
              <w:r>
                <w:rPr>
                  <w:rFonts w:ascii="Arial" w:cs="Arial" w:eastAsia="Arial" w:hAnsi="Arial"/>
                  <w:sz w:val="16"/>
                  <w:szCs w:val="16"/>
                  <w:color w:val="0000FF"/>
                  <w:w w:val="95"/>
                </w:rPr>
                <w:t>Seventh Amended and Restated Investors’ Rights Agreement dated August 3,</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8"/>
              </w:rPr>
              <w:t>4.2</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69"/>
        </w:trPr>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0000FF"/>
            </w:tcBorders>
            <w:gridSpan w:val="3"/>
            <w:shd w:val="clear" w:color="auto" w:fill="CCEEFF"/>
          </w:tcPr>
          <w:p>
            <w:pPr>
              <w:spacing w:after="0" w:line="169" w:lineRule="exact"/>
              <w:rPr>
                <w:rFonts w:ascii="Arial" w:cs="Arial" w:eastAsia="Arial" w:hAnsi="Arial"/>
                <w:sz w:val="16"/>
                <w:szCs w:val="16"/>
                <w:color w:val="0000FF"/>
              </w:rPr>
            </w:pPr>
            <w:hyperlink r:id="rId118">
              <w:r>
                <w:rPr>
                  <w:rFonts w:ascii="Arial" w:cs="Arial" w:eastAsia="Arial" w:hAnsi="Arial"/>
                  <w:sz w:val="16"/>
                  <w:szCs w:val="16"/>
                  <w:color w:val="0000FF"/>
                </w:rPr>
                <w:t>2020</w:t>
              </w:r>
            </w:hyperlink>
          </w:p>
        </w:tc>
        <w:tc>
          <w:tcPr>
            <w:tcW w:w="8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1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left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sz w:val="20"/>
                <w:szCs w:val="20"/>
                <w:color w:val="auto"/>
              </w:rPr>
            </w:pPr>
            <w:r>
              <w:rPr>
                <w:rFonts w:ascii="Arial" w:cs="Arial" w:eastAsia="Arial" w:hAnsi="Arial"/>
                <w:sz w:val="16"/>
                <w:szCs w:val="16"/>
                <w:color w:val="0000FF"/>
                <w:w w:val="97"/>
              </w:rPr>
              <w:t>Description of Common Stock Registered Under Section 12 of the Securities</w:t>
            </w:r>
          </w:p>
        </w:tc>
        <w:tc>
          <w:tcPr>
            <w:tcW w:w="940" w:type="dxa"/>
            <w:vAlign w:val="bottom"/>
          </w:tcPr>
          <w:p>
            <w:pPr>
              <w:jc w:val="center"/>
              <w:spacing w:after="0" w:line="175" w:lineRule="exact"/>
              <w:rPr>
                <w:sz w:val="20"/>
                <w:szCs w:val="20"/>
                <w:color w:val="auto"/>
              </w:rPr>
            </w:pPr>
            <w:r>
              <w:rPr>
                <w:rFonts w:ascii="Arial" w:cs="Arial" w:eastAsia="Arial" w:hAnsi="Arial"/>
                <w:sz w:val="16"/>
                <w:szCs w:val="16"/>
                <w:color w:val="auto"/>
                <w:w w:val="99"/>
              </w:rPr>
              <w:t>x</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6"/>
                <w:szCs w:val="16"/>
                <w:color w:val="0000FF"/>
              </w:rPr>
              <w:t>Exchange Act of 1934, as amended</w:t>
            </w:r>
          </w:p>
        </w:tc>
        <w:tc>
          <w:tcPr>
            <w:tcW w:w="300" w:type="dxa"/>
            <w:vAlign w:val="bottom"/>
            <w:gridSpan w:val="9"/>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5160" w:type="dxa"/>
            <w:vAlign w:val="bottom"/>
            <w:tcBorders>
              <w:bottom w:val="single" w:sz="8" w:color="0000FF"/>
            </w:tcBorders>
            <w:gridSpan w:val="33"/>
            <w:shd w:val="clear" w:color="auto" w:fill="CCEEFF"/>
          </w:tcPr>
          <w:p>
            <w:pPr>
              <w:spacing w:after="0" w:line="175" w:lineRule="exact"/>
              <w:rPr>
                <w:rFonts w:ascii="Arial" w:cs="Arial" w:eastAsia="Arial" w:hAnsi="Arial"/>
                <w:sz w:val="16"/>
                <w:szCs w:val="16"/>
                <w:color w:val="0000FF"/>
                <w:w w:val="91"/>
              </w:rPr>
            </w:pPr>
            <w:hyperlink r:id="rId119">
              <w:r>
                <w:rPr>
                  <w:rFonts w:ascii="Arial" w:cs="Arial" w:eastAsia="Arial" w:hAnsi="Arial"/>
                  <w:sz w:val="16"/>
                  <w:szCs w:val="16"/>
                  <w:color w:val="0000FF"/>
                  <w:w w:val="91"/>
                </w:rPr>
                <w:t>Form of Indemnification Agreement by and between the Registrant and each of</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10.1</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203"/>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FF"/>
            </w:tcBorders>
            <w:gridSpan w:val="7"/>
            <w:shd w:val="clear" w:color="auto" w:fill="CCEEFF"/>
          </w:tcPr>
          <w:p>
            <w:pPr>
              <w:spacing w:after="0" w:line="169" w:lineRule="exact"/>
              <w:rPr>
                <w:rFonts w:ascii="Arial" w:cs="Arial" w:eastAsia="Arial" w:hAnsi="Arial"/>
                <w:sz w:val="16"/>
                <w:szCs w:val="16"/>
                <w:color w:val="0000FF"/>
                <w:w w:val="92"/>
              </w:rPr>
            </w:pPr>
            <w:hyperlink r:id="rId119">
              <w:r>
                <w:rPr>
                  <w:rFonts w:ascii="Arial" w:cs="Arial" w:eastAsia="Arial" w:hAnsi="Arial"/>
                  <w:sz w:val="16"/>
                  <w:szCs w:val="16"/>
                  <w:color w:val="0000FF"/>
                  <w:w w:val="92"/>
                </w:rPr>
                <w:t>its directors and executive officers</w:t>
              </w:r>
            </w:hyperlink>
          </w:p>
        </w:tc>
        <w:tc>
          <w:tcPr>
            <w:tcW w:w="3040" w:type="dxa"/>
            <w:vAlign w:val="bottom"/>
            <w:tcBorders>
              <w:bottom w:val="single" w:sz="8" w:color="CCEEFF"/>
            </w:tcBorders>
            <w:gridSpan w:val="27"/>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rFonts w:ascii="Arial" w:cs="Arial" w:eastAsia="Arial" w:hAnsi="Arial"/>
                <w:sz w:val="16"/>
                <w:szCs w:val="16"/>
                <w:color w:val="0000FF"/>
              </w:rPr>
            </w:pPr>
            <w:hyperlink r:id="rId120">
              <w:r>
                <w:rPr>
                  <w:rFonts w:ascii="Arial" w:cs="Arial" w:eastAsia="Arial" w:hAnsi="Arial"/>
                  <w:sz w:val="16"/>
                  <w:szCs w:val="16"/>
                  <w:color w:val="0000FF"/>
                </w:rPr>
                <w:t>2011 Equity Incentive Plan, as amended, and forms of equity agreements</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10.3</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120">
              <w:r>
                <w:rPr>
                  <w:rFonts w:ascii="Arial" w:cs="Arial" w:eastAsia="Arial" w:hAnsi="Arial"/>
                  <w:sz w:val="16"/>
                  <w:szCs w:val="16"/>
                  <w:color w:val="0000FF"/>
                </w:rPr>
                <w:t>thereunder</w:t>
              </w:r>
            </w:hyperlink>
          </w:p>
        </w:tc>
        <w:tc>
          <w:tcPr>
            <w:tcW w:w="540" w:type="dxa"/>
            <w:vAlign w:val="bottom"/>
            <w:gridSpan w:val="14"/>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10.3</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rFonts w:ascii="Arial" w:cs="Arial" w:eastAsia="Arial" w:hAnsi="Arial"/>
                <w:sz w:val="16"/>
                <w:szCs w:val="16"/>
                <w:color w:val="0000FF"/>
              </w:rPr>
            </w:pPr>
            <w:hyperlink r:id="rId121">
              <w:r>
                <w:rPr>
                  <w:rFonts w:ascii="Arial" w:cs="Arial" w:eastAsia="Arial" w:hAnsi="Arial"/>
                  <w:sz w:val="16"/>
                  <w:szCs w:val="16"/>
                  <w:color w:val="0000FF"/>
                </w:rPr>
                <w:t>2021 Equity Incentive Plan, and forms of award agreements thereunder</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10.4</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rFonts w:ascii="Arial" w:cs="Arial" w:eastAsia="Arial" w:hAnsi="Arial"/>
                <w:sz w:val="16"/>
                <w:szCs w:val="16"/>
                <w:color w:val="0000FF"/>
                <w:w w:val="98"/>
              </w:rPr>
            </w:pPr>
            <w:hyperlink r:id="rId122">
              <w:r>
                <w:rPr>
                  <w:rFonts w:ascii="Arial" w:cs="Arial" w:eastAsia="Arial" w:hAnsi="Arial"/>
                  <w:sz w:val="16"/>
                  <w:szCs w:val="16"/>
                  <w:color w:val="0000FF"/>
                  <w:w w:val="98"/>
                </w:rPr>
                <w:t>2021 Employee Stock Purchase Plan, and forms of subscription agreement</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10.5</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4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22">
              <w:r>
                <w:rPr>
                  <w:rFonts w:ascii="Arial" w:cs="Arial" w:eastAsia="Arial" w:hAnsi="Arial"/>
                  <w:sz w:val="16"/>
                  <w:szCs w:val="16"/>
                  <w:color w:val="0000FF"/>
                </w:rPr>
                <w:t>thereunder</w:t>
              </w:r>
            </w:hyperlink>
          </w:p>
        </w:tc>
        <w:tc>
          <w:tcPr>
            <w:tcW w:w="440" w:type="dxa"/>
            <w:vAlign w:val="bottom"/>
            <w:gridSpan w:val="12"/>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0000FF"/>
            </w:tcBorders>
            <w:gridSpan w:val="26"/>
            <w:shd w:val="clear" w:color="auto" w:fill="CCEEFF"/>
          </w:tcPr>
          <w:p>
            <w:pPr>
              <w:spacing w:after="0" w:line="175" w:lineRule="exact"/>
              <w:rPr>
                <w:rFonts w:ascii="Arial" w:cs="Arial" w:eastAsia="Arial" w:hAnsi="Arial"/>
                <w:sz w:val="16"/>
                <w:szCs w:val="16"/>
                <w:color w:val="0000FF"/>
                <w:w w:val="91"/>
              </w:rPr>
            </w:pPr>
            <w:hyperlink r:id="rId123">
              <w:r>
                <w:rPr>
                  <w:rFonts w:ascii="Arial" w:cs="Arial" w:eastAsia="Arial" w:hAnsi="Arial"/>
                  <w:sz w:val="16"/>
                  <w:szCs w:val="16"/>
                  <w:color w:val="0000FF"/>
                  <w:w w:val="91"/>
                </w:rPr>
                <w:t>Forms of Change in Control and Severance Agreement for executive officers</w:t>
              </w:r>
            </w:hyperlink>
          </w:p>
        </w:tc>
        <w:tc>
          <w:tcPr>
            <w:tcW w:w="280" w:type="dxa"/>
            <w:vAlign w:val="bottom"/>
            <w:tcBorders>
              <w:bottom w:val="single" w:sz="8" w:color="CCEEFF"/>
            </w:tcBorders>
            <w:gridSpan w:val="8"/>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10.6</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76"/>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10.6</w:t>
            </w:r>
          </w:p>
        </w:tc>
        <w:tc>
          <w:tcPr>
            <w:tcW w:w="100" w:type="dxa"/>
            <w:vAlign w:val="bottom"/>
          </w:tcPr>
          <w:p>
            <w:pPr>
              <w:spacing w:after="0"/>
              <w:rPr>
                <w:sz w:val="15"/>
                <w:szCs w:val="15"/>
                <w:color w:val="auto"/>
              </w:rPr>
            </w:pPr>
          </w:p>
        </w:tc>
        <w:tc>
          <w:tcPr>
            <w:tcW w:w="5140" w:type="dxa"/>
            <w:vAlign w:val="bottom"/>
            <w:tcBorders>
              <w:bottom w:val="single" w:sz="8" w:color="0000FF"/>
            </w:tcBorders>
            <w:gridSpan w:val="32"/>
          </w:tcPr>
          <w:p>
            <w:pPr>
              <w:spacing w:after="0" w:line="175" w:lineRule="exact"/>
              <w:rPr>
                <w:rFonts w:ascii="Arial" w:cs="Arial" w:eastAsia="Arial" w:hAnsi="Arial"/>
                <w:sz w:val="16"/>
                <w:szCs w:val="16"/>
                <w:color w:val="0000FF"/>
                <w:w w:val="90"/>
              </w:rPr>
            </w:pPr>
            <w:hyperlink r:id="rId124">
              <w:r>
                <w:rPr>
                  <w:rFonts w:ascii="Arial" w:cs="Arial" w:eastAsia="Arial" w:hAnsi="Arial"/>
                  <w:sz w:val="16"/>
                  <w:szCs w:val="16"/>
                  <w:color w:val="0000FF"/>
                  <w:w w:val="90"/>
                </w:rPr>
                <w:t>Amended and Restated Offer Letter, effective as of September 13, 2021 by and</w:t>
              </w:r>
            </w:hyperlink>
          </w:p>
        </w:tc>
        <w:tc>
          <w:tcPr>
            <w:tcW w:w="1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10.7</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4"/>
          </w:tcPr>
          <w:p>
            <w:pPr>
              <w:spacing w:after="0" w:line="169" w:lineRule="exact"/>
              <w:rPr>
                <w:rFonts w:ascii="Arial" w:cs="Arial" w:eastAsia="Arial" w:hAnsi="Arial"/>
                <w:sz w:val="16"/>
                <w:szCs w:val="16"/>
                <w:color w:val="0000FF"/>
              </w:rPr>
            </w:pPr>
            <w:hyperlink r:id="rId124">
              <w:r>
                <w:rPr>
                  <w:rFonts w:ascii="Arial" w:cs="Arial" w:eastAsia="Arial" w:hAnsi="Arial"/>
                  <w:sz w:val="16"/>
                  <w:szCs w:val="16"/>
                  <w:color w:val="0000FF"/>
                </w:rPr>
                <w:t>between the Registrant and Matthew Oppenheimer</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0000FF"/>
            </w:tcBorders>
            <w:gridSpan w:val="32"/>
            <w:shd w:val="clear" w:color="auto" w:fill="CCEEFF"/>
          </w:tcPr>
          <w:p>
            <w:pPr>
              <w:spacing w:after="0" w:line="175" w:lineRule="exact"/>
              <w:rPr>
                <w:rFonts w:ascii="Arial" w:cs="Arial" w:eastAsia="Arial" w:hAnsi="Arial"/>
                <w:sz w:val="16"/>
                <w:szCs w:val="16"/>
                <w:color w:val="0000FF"/>
                <w:w w:val="90"/>
              </w:rPr>
            </w:pPr>
            <w:hyperlink r:id="rId125">
              <w:r>
                <w:rPr>
                  <w:rFonts w:ascii="Arial" w:cs="Arial" w:eastAsia="Arial" w:hAnsi="Arial"/>
                  <w:sz w:val="16"/>
                  <w:szCs w:val="16"/>
                  <w:color w:val="0000FF"/>
                  <w:w w:val="90"/>
                </w:rPr>
                <w:t>Amended and Restated Offer Letter, effective as of September 13, 2021 by and</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10.8</w:t>
            </w: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80" w:type="dxa"/>
            <w:vAlign w:val="bottom"/>
            <w:gridSpan w:val="34"/>
            <w:shd w:val="clear" w:color="auto" w:fill="CCEEFF"/>
          </w:tcPr>
          <w:p>
            <w:pPr>
              <w:spacing w:after="0" w:line="169" w:lineRule="exact"/>
              <w:rPr>
                <w:rFonts w:ascii="Arial" w:cs="Arial" w:eastAsia="Arial" w:hAnsi="Arial"/>
                <w:sz w:val="16"/>
                <w:szCs w:val="16"/>
                <w:color w:val="0000FF"/>
              </w:rPr>
            </w:pPr>
            <w:hyperlink r:id="rId125">
              <w:r>
                <w:rPr>
                  <w:rFonts w:ascii="Arial" w:cs="Arial" w:eastAsia="Arial" w:hAnsi="Arial"/>
                  <w:sz w:val="16"/>
                  <w:szCs w:val="16"/>
                  <w:color w:val="0000FF"/>
                </w:rPr>
                <w:t>between the Registrant and Joshua Hug</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10.8</w:t>
            </w:r>
          </w:p>
        </w:tc>
        <w:tc>
          <w:tcPr>
            <w:tcW w:w="100" w:type="dxa"/>
            <w:vAlign w:val="bottom"/>
          </w:tcPr>
          <w:p>
            <w:pPr>
              <w:spacing w:after="0"/>
              <w:rPr>
                <w:sz w:val="15"/>
                <w:szCs w:val="15"/>
                <w:color w:val="auto"/>
              </w:rPr>
            </w:pPr>
          </w:p>
        </w:tc>
        <w:tc>
          <w:tcPr>
            <w:tcW w:w="5140" w:type="dxa"/>
            <w:vAlign w:val="bottom"/>
            <w:tcBorders>
              <w:bottom w:val="single" w:sz="8" w:color="0000FF"/>
            </w:tcBorders>
            <w:gridSpan w:val="32"/>
          </w:tcPr>
          <w:p>
            <w:pPr>
              <w:spacing w:after="0" w:line="175" w:lineRule="exact"/>
              <w:rPr>
                <w:rFonts w:ascii="Arial" w:cs="Arial" w:eastAsia="Arial" w:hAnsi="Arial"/>
                <w:sz w:val="16"/>
                <w:szCs w:val="16"/>
                <w:color w:val="0000FF"/>
                <w:w w:val="90"/>
              </w:rPr>
            </w:pPr>
            <w:hyperlink r:id="rId126">
              <w:r>
                <w:rPr>
                  <w:rFonts w:ascii="Arial" w:cs="Arial" w:eastAsia="Arial" w:hAnsi="Arial"/>
                  <w:sz w:val="16"/>
                  <w:szCs w:val="16"/>
                  <w:color w:val="0000FF"/>
                  <w:w w:val="90"/>
                </w:rPr>
                <w:t>Amended and Restated Offer Letter, effective as of September 13, 2021 by and</w:t>
              </w:r>
            </w:hyperlink>
          </w:p>
        </w:tc>
        <w:tc>
          <w:tcPr>
            <w:tcW w:w="1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10.9</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4"/>
          </w:tcPr>
          <w:p>
            <w:pPr>
              <w:spacing w:after="0" w:line="169" w:lineRule="exact"/>
              <w:rPr>
                <w:rFonts w:ascii="Arial" w:cs="Arial" w:eastAsia="Arial" w:hAnsi="Arial"/>
                <w:sz w:val="16"/>
                <w:szCs w:val="16"/>
                <w:color w:val="0000FF"/>
              </w:rPr>
            </w:pPr>
            <w:hyperlink r:id="rId126">
              <w:r>
                <w:rPr>
                  <w:rFonts w:ascii="Arial" w:cs="Arial" w:eastAsia="Arial" w:hAnsi="Arial"/>
                  <w:sz w:val="16"/>
                  <w:szCs w:val="16"/>
                  <w:color w:val="0000FF"/>
                </w:rPr>
                <w:t>between the Registrant and Susanna Morgan</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10.9</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rFonts w:ascii="Arial" w:cs="Arial" w:eastAsia="Arial" w:hAnsi="Arial"/>
                <w:sz w:val="16"/>
                <w:szCs w:val="16"/>
                <w:color w:val="0000FF"/>
                <w:w w:val="96"/>
              </w:rPr>
            </w:pPr>
            <w:hyperlink r:id="rId127">
              <w:r>
                <w:rPr>
                  <w:rFonts w:ascii="Arial" w:cs="Arial" w:eastAsia="Arial" w:hAnsi="Arial"/>
                  <w:sz w:val="16"/>
                  <w:szCs w:val="16"/>
                  <w:color w:val="0000FF"/>
                  <w:w w:val="96"/>
                </w:rPr>
                <w:t>Revolving Credit and Guaranty Agreement, dated as of September 13, 2021,</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4"/>
              </w:rPr>
              <w:t>10.10</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80" w:type="dxa"/>
            <w:vAlign w:val="bottom"/>
            <w:gridSpan w:val="34"/>
            <w:shd w:val="clear" w:color="auto" w:fill="CCEEFF"/>
          </w:tcPr>
          <w:p>
            <w:pPr>
              <w:spacing w:after="0" w:line="169" w:lineRule="exact"/>
              <w:rPr>
                <w:rFonts w:ascii="Arial" w:cs="Arial" w:eastAsia="Arial" w:hAnsi="Arial"/>
                <w:sz w:val="16"/>
                <w:szCs w:val="16"/>
                <w:color w:val="0000FF"/>
                <w:w w:val="95"/>
              </w:rPr>
            </w:pPr>
            <w:hyperlink r:id="rId127">
              <w:r>
                <w:rPr>
                  <w:rFonts w:ascii="Arial" w:cs="Arial" w:eastAsia="Arial" w:hAnsi="Arial"/>
                  <w:sz w:val="16"/>
                  <w:szCs w:val="16"/>
                  <w:color w:val="0000FF"/>
                  <w:w w:val="95"/>
                </w:rPr>
                <w:t>among Remitly Global, Inc. and Remitly, Inc., the guarantors party thereto, the</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31"/>
            <w:shd w:val="clear" w:color="auto" w:fill="CCEEFF"/>
          </w:tcPr>
          <w:p>
            <w:pPr>
              <w:spacing w:after="0" w:line="155" w:lineRule="exact"/>
              <w:rPr>
                <w:rFonts w:ascii="Arial" w:cs="Arial" w:eastAsia="Arial" w:hAnsi="Arial"/>
                <w:sz w:val="16"/>
                <w:szCs w:val="16"/>
                <w:color w:val="0000FF"/>
                <w:w w:val="95"/>
              </w:rPr>
            </w:pPr>
            <w:hyperlink r:id="rId127">
              <w:r>
                <w:rPr>
                  <w:rFonts w:ascii="Arial" w:cs="Arial" w:eastAsia="Arial" w:hAnsi="Arial"/>
                  <w:sz w:val="16"/>
                  <w:szCs w:val="16"/>
                  <w:color w:val="0000FF"/>
                  <w:w w:val="95"/>
                </w:rPr>
                <w:t>lenders and issuing banks party thereto and J.P. Morgan Chase Bank, N.A.</w:t>
              </w:r>
            </w:hyperlink>
          </w:p>
        </w:tc>
        <w:tc>
          <w:tcPr>
            <w:tcW w:w="160" w:type="dxa"/>
            <w:vAlign w:val="bottom"/>
            <w:tcBorders>
              <w:top w:val="single" w:sz="8" w:color="CCEEFF"/>
            </w:tcBorders>
            <w:gridSpan w:val="3"/>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10.10</w:t>
            </w:r>
          </w:p>
        </w:tc>
        <w:tc>
          <w:tcPr>
            <w:tcW w:w="100" w:type="dxa"/>
            <w:vAlign w:val="bottom"/>
          </w:tcPr>
          <w:p>
            <w:pPr>
              <w:spacing w:after="0"/>
              <w:rPr>
                <w:sz w:val="15"/>
                <w:szCs w:val="15"/>
                <w:color w:val="auto"/>
              </w:rPr>
            </w:pPr>
          </w:p>
        </w:tc>
        <w:tc>
          <w:tcPr>
            <w:tcW w:w="5080" w:type="dxa"/>
            <w:vAlign w:val="bottom"/>
            <w:tcBorders>
              <w:bottom w:val="single" w:sz="8" w:color="0000FF"/>
            </w:tcBorders>
            <w:gridSpan w:val="30"/>
          </w:tcPr>
          <w:p>
            <w:pPr>
              <w:spacing w:after="0" w:line="175" w:lineRule="exact"/>
              <w:rPr>
                <w:rFonts w:ascii="Arial" w:cs="Arial" w:eastAsia="Arial" w:hAnsi="Arial"/>
                <w:sz w:val="16"/>
                <w:szCs w:val="16"/>
                <w:color w:val="0000FF"/>
                <w:w w:val="91"/>
              </w:rPr>
            </w:pPr>
            <w:hyperlink r:id="rId128">
              <w:r>
                <w:rPr>
                  <w:rFonts w:ascii="Arial" w:cs="Arial" w:eastAsia="Arial" w:hAnsi="Arial"/>
                  <w:sz w:val="16"/>
                  <w:szCs w:val="16"/>
                  <w:color w:val="0000FF"/>
                  <w:w w:val="91"/>
                </w:rPr>
                <w:t>Second Amendment to Credit Agreement, dated as of November 16, 2020, by</w:t>
              </w:r>
            </w:hyperlink>
          </w:p>
        </w:tc>
        <w:tc>
          <w:tcPr>
            <w:tcW w:w="20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10.2</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4"/>
          </w:tcPr>
          <w:p>
            <w:pPr>
              <w:spacing w:after="0" w:line="169" w:lineRule="exact"/>
              <w:rPr>
                <w:rFonts w:ascii="Arial" w:cs="Arial" w:eastAsia="Arial" w:hAnsi="Arial"/>
                <w:sz w:val="16"/>
                <w:szCs w:val="16"/>
                <w:color w:val="0000FF"/>
                <w:w w:val="96"/>
              </w:rPr>
            </w:pPr>
            <w:hyperlink r:id="rId128">
              <w:r>
                <w:rPr>
                  <w:rFonts w:ascii="Arial" w:cs="Arial" w:eastAsia="Arial" w:hAnsi="Arial"/>
                  <w:sz w:val="16"/>
                  <w:szCs w:val="16"/>
                  <w:color w:val="0000FF"/>
                  <w:w w:val="96"/>
                </w:rPr>
                <w:t>and among the Registrant, Remitly, Inc., Silicon Valley Bank and other banks</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20" w:type="dxa"/>
            <w:vAlign w:val="bottom"/>
            <w:tcBorders>
              <w:top w:val="single" w:sz="8" w:color="0000FF"/>
            </w:tcBorders>
            <w:gridSpan w:val="27"/>
          </w:tcPr>
          <w:p>
            <w:pPr>
              <w:spacing w:after="0" w:line="155" w:lineRule="exact"/>
              <w:rPr>
                <w:rFonts w:ascii="Arial" w:cs="Arial" w:eastAsia="Arial" w:hAnsi="Arial"/>
                <w:sz w:val="16"/>
                <w:szCs w:val="16"/>
                <w:color w:val="0000FF"/>
                <w:w w:val="93"/>
              </w:rPr>
            </w:pPr>
            <w:hyperlink r:id="rId128">
              <w:r>
                <w:rPr>
                  <w:rFonts w:ascii="Arial" w:cs="Arial" w:eastAsia="Arial" w:hAnsi="Arial"/>
                  <w:sz w:val="16"/>
                  <w:szCs w:val="16"/>
                  <w:color w:val="0000FF"/>
                  <w:w w:val="93"/>
                </w:rPr>
                <w:t>and financial institutions party thereto, including the Amended and Restated</w:t>
              </w:r>
            </w:hyperlink>
          </w:p>
        </w:tc>
        <w:tc>
          <w:tcPr>
            <w:tcW w:w="4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Borders>
              <w:top w:val="single" w:sz="8" w:color="0000FF"/>
            </w:tcBorders>
            <w:gridSpan w:val="24"/>
          </w:tcPr>
          <w:p>
            <w:pPr>
              <w:spacing w:after="0" w:line="169" w:lineRule="exact"/>
              <w:rPr>
                <w:rFonts w:ascii="Arial" w:cs="Arial" w:eastAsia="Arial" w:hAnsi="Arial"/>
                <w:sz w:val="16"/>
                <w:szCs w:val="16"/>
                <w:color w:val="0000FF"/>
                <w:w w:val="98"/>
              </w:rPr>
            </w:pPr>
            <w:hyperlink r:id="rId128">
              <w:r>
                <w:rPr>
                  <w:rFonts w:ascii="Arial" w:cs="Arial" w:eastAsia="Arial" w:hAnsi="Arial"/>
                  <w:sz w:val="16"/>
                  <w:szCs w:val="16"/>
                  <w:color w:val="0000FF"/>
                  <w:w w:val="98"/>
                </w:rPr>
                <w:t>Credit Agreement (amended through November 16, 2020) in Annex A</w:t>
              </w:r>
            </w:hyperlink>
          </w:p>
        </w:tc>
        <w:tc>
          <w:tcPr>
            <w:tcW w:w="380" w:type="dxa"/>
            <w:vAlign w:val="bottom"/>
            <w:gridSpan w:val="10"/>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10.11</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rFonts w:ascii="Arial" w:cs="Arial" w:eastAsia="Arial" w:hAnsi="Arial"/>
                <w:sz w:val="16"/>
                <w:szCs w:val="16"/>
                <w:color w:val="0000FF"/>
              </w:rPr>
            </w:pPr>
            <w:hyperlink r:id="rId129">
              <w:r>
                <w:rPr>
                  <w:rFonts w:ascii="Arial" w:cs="Arial" w:eastAsia="Arial" w:hAnsi="Arial"/>
                  <w:sz w:val="16"/>
                  <w:szCs w:val="16"/>
                  <w:color w:val="0000FF"/>
                </w:rPr>
                <w:t>Amended and Restated Offer Letter, effective as of July 18, 2022 by and</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10-Q</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001-40822</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10.1</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August 10, 2022</w:t>
            </w: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80" w:type="dxa"/>
            <w:vAlign w:val="bottom"/>
            <w:tcBorders>
              <w:top w:val="single" w:sz="8" w:color="0000FF"/>
              <w:bottom w:val="single" w:sz="8" w:color="0000FF"/>
            </w:tcBorders>
            <w:gridSpan w:val="13"/>
            <w:shd w:val="clear" w:color="auto" w:fill="CCEEFF"/>
          </w:tcPr>
          <w:p>
            <w:pPr>
              <w:spacing w:after="0" w:line="169" w:lineRule="exact"/>
              <w:rPr>
                <w:rFonts w:ascii="Arial" w:cs="Arial" w:eastAsia="Arial" w:hAnsi="Arial"/>
                <w:sz w:val="16"/>
                <w:szCs w:val="16"/>
                <w:color w:val="0000FF"/>
                <w:w w:val="91"/>
              </w:rPr>
            </w:pPr>
            <w:hyperlink r:id="rId129">
              <w:r>
                <w:rPr>
                  <w:rFonts w:ascii="Arial" w:cs="Arial" w:eastAsia="Arial" w:hAnsi="Arial"/>
                  <w:sz w:val="16"/>
                  <w:szCs w:val="16"/>
                  <w:color w:val="0000FF"/>
                  <w:w w:val="91"/>
                </w:rPr>
                <w:t>between the Registrant and Hemanth Munipalli</w:t>
              </w:r>
            </w:hyperlink>
          </w:p>
        </w:tc>
        <w:tc>
          <w:tcPr>
            <w:tcW w:w="162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580" w:type="dxa"/>
            <w:vAlign w:val="bottom"/>
            <w:tcBorders>
              <w:top w:val="single" w:sz="8" w:color="CCEEFF"/>
              <w:bottom w:val="single" w:sz="8" w:color="CCEEFF"/>
            </w:tcBorders>
            <w:gridSpan w:val="15"/>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w w:val="89"/>
              </w:rPr>
              <w:t>21.1</w:t>
            </w:r>
          </w:p>
        </w:tc>
        <w:tc>
          <w:tcPr>
            <w:tcW w:w="100" w:type="dxa"/>
            <w:vAlign w:val="bottom"/>
          </w:tcPr>
          <w:p>
            <w:pPr>
              <w:spacing w:after="0"/>
              <w:rPr>
                <w:sz w:val="15"/>
                <w:szCs w:val="15"/>
                <w:color w:val="auto"/>
              </w:rPr>
            </w:pPr>
          </w:p>
        </w:tc>
        <w:tc>
          <w:tcPr>
            <w:tcW w:w="5280" w:type="dxa"/>
            <w:vAlign w:val="bottom"/>
            <w:gridSpan w:val="34"/>
          </w:tcPr>
          <w:p>
            <w:pPr>
              <w:spacing w:after="0" w:line="155" w:lineRule="exact"/>
              <w:rPr>
                <w:sz w:val="20"/>
                <w:szCs w:val="20"/>
                <w:color w:val="auto"/>
              </w:rPr>
            </w:pPr>
            <w:r>
              <w:rPr>
                <w:rFonts w:ascii="Arial" w:cs="Arial" w:eastAsia="Arial" w:hAnsi="Arial"/>
                <w:sz w:val="16"/>
                <w:szCs w:val="16"/>
                <w:color w:val="0000FF"/>
              </w:rPr>
              <w:t>List of Subsidiaries of the Registrant</w:t>
            </w:r>
          </w:p>
        </w:tc>
        <w:tc>
          <w:tcPr>
            <w:tcW w:w="940" w:type="dxa"/>
            <w:vAlign w:val="bottom"/>
          </w:tcPr>
          <w:p>
            <w:pPr>
              <w:jc w:val="center"/>
              <w:spacing w:after="0" w:line="155" w:lineRule="exact"/>
              <w:rPr>
                <w:sz w:val="20"/>
                <w:szCs w:val="20"/>
                <w:color w:val="auto"/>
              </w:rPr>
            </w:pPr>
            <w:r>
              <w:rPr>
                <w:rFonts w:ascii="Arial" w:cs="Arial" w:eastAsia="Arial" w:hAnsi="Arial"/>
                <w:sz w:val="16"/>
                <w:szCs w:val="16"/>
                <w:color w:val="auto"/>
                <w:w w:val="99"/>
              </w:rPr>
              <w:t>x</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23.1</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sz w:val="20"/>
                <w:szCs w:val="20"/>
                <w:color w:val="auto"/>
              </w:rPr>
            </w:pPr>
            <w:r>
              <w:rPr>
                <w:rFonts w:ascii="Arial" w:cs="Arial" w:eastAsia="Arial" w:hAnsi="Arial"/>
                <w:sz w:val="16"/>
                <w:szCs w:val="16"/>
                <w:color w:val="0000FF"/>
              </w:rPr>
              <w:t>Consent of PricewaterhouseCoopers LLP, independent registered public</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0000FF"/>
              <w:bottom w:val="single" w:sz="8" w:color="0000FF"/>
            </w:tcBorders>
            <w:gridSpan w:val="5"/>
            <w:shd w:val="clear" w:color="auto" w:fill="CCEEFF"/>
          </w:tcPr>
          <w:p>
            <w:pPr>
              <w:spacing w:after="0" w:line="169" w:lineRule="exact"/>
              <w:rPr>
                <w:sz w:val="20"/>
                <w:szCs w:val="20"/>
                <w:color w:val="auto"/>
              </w:rPr>
            </w:pPr>
            <w:r>
              <w:rPr>
                <w:rFonts w:ascii="Arial" w:cs="Arial" w:eastAsia="Arial" w:hAnsi="Arial"/>
                <w:sz w:val="16"/>
                <w:szCs w:val="16"/>
                <w:color w:val="0000FF"/>
                <w:w w:val="93"/>
              </w:rPr>
              <w:t>accounting firm</w:t>
            </w:r>
          </w:p>
        </w:tc>
        <w:tc>
          <w:tcPr>
            <w:tcW w:w="362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16"/>
            <w:shd w:val="clear" w:color="auto" w:fill="CCEEFF"/>
          </w:tcPr>
          <w:p>
            <w:pPr>
              <w:spacing w:after="0"/>
              <w:rPr>
                <w:sz w:val="17"/>
                <w:szCs w:val="17"/>
                <w:color w:val="auto"/>
              </w:rPr>
            </w:pPr>
          </w:p>
        </w:tc>
        <w:tc>
          <w:tcPr>
            <w:tcW w:w="94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24.1</w:t>
            </w:r>
          </w:p>
        </w:tc>
        <w:tc>
          <w:tcPr>
            <w:tcW w:w="100" w:type="dxa"/>
            <w:vAlign w:val="bottom"/>
          </w:tcPr>
          <w:p>
            <w:pPr>
              <w:spacing w:after="0"/>
              <w:rPr>
                <w:sz w:val="15"/>
                <w:szCs w:val="15"/>
                <w:color w:val="auto"/>
              </w:rPr>
            </w:pPr>
          </w:p>
        </w:tc>
        <w:tc>
          <w:tcPr>
            <w:tcW w:w="4860" w:type="dxa"/>
            <w:vAlign w:val="bottom"/>
            <w:tcBorders>
              <w:bottom w:val="single" w:sz="8" w:color="0000FF"/>
            </w:tcBorders>
            <w:gridSpan w:val="23"/>
          </w:tcPr>
          <w:p>
            <w:pPr>
              <w:spacing w:after="0" w:line="175" w:lineRule="exact"/>
              <w:rPr>
                <w:sz w:val="20"/>
                <w:szCs w:val="20"/>
                <w:color w:val="auto"/>
              </w:rPr>
            </w:pPr>
            <w:r>
              <w:rPr>
                <w:rFonts w:ascii="Arial" w:cs="Arial" w:eastAsia="Arial" w:hAnsi="Arial"/>
                <w:sz w:val="16"/>
                <w:szCs w:val="16"/>
                <w:color w:val="0000FF"/>
                <w:w w:val="92"/>
              </w:rPr>
              <w:t>Power of Attorney (included in the signature page to the Annual Report on</w:t>
            </w:r>
          </w:p>
        </w:tc>
        <w:tc>
          <w:tcPr>
            <w:tcW w:w="420" w:type="dxa"/>
            <w:vAlign w:val="bottom"/>
            <w:gridSpan w:val="11"/>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9"/>
              </w:rPr>
              <w:t>x</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4"/>
          </w:tcPr>
          <w:p>
            <w:pPr>
              <w:spacing w:after="0" w:line="169" w:lineRule="exact"/>
              <w:rPr>
                <w:sz w:val="20"/>
                <w:szCs w:val="20"/>
                <w:color w:val="auto"/>
              </w:rPr>
            </w:pPr>
            <w:r>
              <w:rPr>
                <w:rFonts w:ascii="Arial" w:cs="Arial" w:eastAsia="Arial" w:hAnsi="Arial"/>
                <w:sz w:val="16"/>
                <w:szCs w:val="16"/>
                <w:color w:val="0000FF"/>
              </w:rPr>
              <w:t>Form 10-K)</w:t>
            </w: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31.1</w:t>
            </w:r>
          </w:p>
        </w:tc>
        <w:tc>
          <w:tcPr>
            <w:tcW w:w="100" w:type="dxa"/>
            <w:vAlign w:val="bottom"/>
            <w:shd w:val="clear" w:color="auto" w:fill="CCEEFF"/>
          </w:tcPr>
          <w:p>
            <w:pPr>
              <w:spacing w:after="0"/>
              <w:rPr>
                <w:sz w:val="15"/>
                <w:szCs w:val="15"/>
                <w:color w:val="auto"/>
              </w:rPr>
            </w:pPr>
          </w:p>
        </w:tc>
        <w:tc>
          <w:tcPr>
            <w:tcW w:w="5280" w:type="dxa"/>
            <w:vAlign w:val="bottom"/>
            <w:gridSpan w:val="34"/>
            <w:shd w:val="clear" w:color="auto" w:fill="CCEEFF"/>
          </w:tcPr>
          <w:p>
            <w:pPr>
              <w:spacing w:after="0" w:line="175" w:lineRule="exact"/>
              <w:rPr>
                <w:sz w:val="20"/>
                <w:szCs w:val="20"/>
                <w:color w:val="auto"/>
              </w:rPr>
            </w:pPr>
            <w:r>
              <w:rPr>
                <w:rFonts w:ascii="Arial" w:cs="Arial" w:eastAsia="Arial" w:hAnsi="Arial"/>
                <w:sz w:val="16"/>
                <w:szCs w:val="16"/>
                <w:color w:val="0000FF"/>
                <w:w w:val="99"/>
              </w:rPr>
              <w:t>Certification of Principal Executive Officer Pursuant to Rules 13a-14(a) and</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80" w:type="dxa"/>
            <w:vAlign w:val="bottom"/>
            <w:gridSpan w:val="13"/>
            <w:shd w:val="clear" w:color="auto" w:fill="0000FF"/>
          </w:tcPr>
          <w:p>
            <w:pPr>
              <w:spacing w:after="0" w:line="20" w:lineRule="exact"/>
              <w:rPr>
                <w:sz w:val="1"/>
                <w:szCs w:val="1"/>
                <w:color w:val="auto"/>
              </w:rPr>
            </w:pPr>
          </w:p>
        </w:tc>
        <w:tc>
          <w:tcPr>
            <w:tcW w:w="1820" w:type="dxa"/>
            <w:vAlign w:val="bottom"/>
            <w:gridSpan w:val="11"/>
            <w:shd w:val="clear" w:color="auto" w:fill="0000FF"/>
          </w:tcPr>
          <w:p>
            <w:pPr>
              <w:spacing w:after="0" w:line="20" w:lineRule="exact"/>
              <w:rPr>
                <w:sz w:val="1"/>
                <w:szCs w:val="1"/>
                <w:color w:val="auto"/>
              </w:rPr>
            </w:pPr>
          </w:p>
        </w:tc>
        <w:tc>
          <w:tcPr>
            <w:tcW w:w="160" w:type="dxa"/>
            <w:vAlign w:val="bottom"/>
            <w:tcBorders>
              <w:left w:val="single" w:sz="8" w:color="CCEEFF"/>
            </w:tcBorders>
            <w:gridSpan w:val="5"/>
            <w:shd w:val="clear" w:color="auto" w:fill="CCEE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80" w:type="dxa"/>
            <w:vAlign w:val="bottom"/>
            <w:gridSpan w:val="34"/>
            <w:shd w:val="clear" w:color="auto" w:fill="CCEEFF"/>
          </w:tcPr>
          <w:p>
            <w:pPr>
              <w:spacing w:after="0" w:line="169" w:lineRule="exact"/>
              <w:rPr>
                <w:sz w:val="20"/>
                <w:szCs w:val="20"/>
                <w:color w:val="auto"/>
              </w:rPr>
            </w:pPr>
            <w:r>
              <w:rPr>
                <w:rFonts w:ascii="Arial" w:cs="Arial" w:eastAsia="Arial" w:hAnsi="Arial"/>
                <w:sz w:val="16"/>
                <w:szCs w:val="16"/>
                <w:color w:val="0000FF"/>
                <w:w w:val="95"/>
              </w:rPr>
              <w:t>15d-14(a) under the Securities Exchange Act of 1934, as Adopted Pursuant to</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x</w:t>
            </w: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80" w:type="dxa"/>
            <w:vAlign w:val="bottom"/>
            <w:tcBorders>
              <w:top w:val="single" w:sz="8" w:color="0000FF"/>
              <w:bottom w:val="single" w:sz="8" w:color="0000FF"/>
            </w:tcBorders>
            <w:gridSpan w:val="13"/>
            <w:shd w:val="clear" w:color="auto" w:fill="CCEEFF"/>
          </w:tcPr>
          <w:p>
            <w:pPr>
              <w:spacing w:after="0" w:line="155" w:lineRule="exact"/>
              <w:rPr>
                <w:sz w:val="20"/>
                <w:szCs w:val="20"/>
                <w:color w:val="auto"/>
              </w:rPr>
            </w:pPr>
            <w:r>
              <w:rPr>
                <w:rFonts w:ascii="Arial" w:cs="Arial" w:eastAsia="Arial" w:hAnsi="Arial"/>
                <w:sz w:val="16"/>
                <w:szCs w:val="16"/>
                <w:color w:val="0000FF"/>
                <w:w w:val="91"/>
              </w:rPr>
              <w:t>Section 302 of the Sarbanes-Oxley Act of 2002</w:t>
            </w:r>
          </w:p>
        </w:tc>
        <w:tc>
          <w:tcPr>
            <w:tcW w:w="198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9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31.2</w:t>
            </w:r>
          </w:p>
        </w:tc>
        <w:tc>
          <w:tcPr>
            <w:tcW w:w="100" w:type="dxa"/>
            <w:vAlign w:val="bottom"/>
          </w:tcPr>
          <w:p>
            <w:pPr>
              <w:spacing w:after="0"/>
              <w:rPr>
                <w:sz w:val="15"/>
                <w:szCs w:val="15"/>
                <w:color w:val="auto"/>
              </w:rPr>
            </w:pPr>
          </w:p>
        </w:tc>
        <w:tc>
          <w:tcPr>
            <w:tcW w:w="5280" w:type="dxa"/>
            <w:vAlign w:val="bottom"/>
            <w:gridSpan w:val="34"/>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 13a-14(a) and</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00" w:type="dxa"/>
            <w:vAlign w:val="bottom"/>
            <w:gridSpan w:val="24"/>
            <w:shd w:val="clear" w:color="auto" w:fill="0000FF"/>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4"/>
          </w:tcPr>
          <w:p>
            <w:pPr>
              <w:spacing w:after="0" w:line="169" w:lineRule="exact"/>
              <w:rPr>
                <w:sz w:val="20"/>
                <w:szCs w:val="20"/>
                <w:color w:val="auto"/>
              </w:rPr>
            </w:pPr>
            <w:r>
              <w:rPr>
                <w:rFonts w:ascii="Arial" w:cs="Arial" w:eastAsia="Arial" w:hAnsi="Arial"/>
                <w:sz w:val="16"/>
                <w:szCs w:val="16"/>
                <w:color w:val="0000FF"/>
                <w:w w:val="95"/>
              </w:rPr>
              <w:t>15d-14(a) under the Securities Exchange Act of 1934, as Adopted Pursuant to</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9"/>
              </w:rPr>
              <w:t>x</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3"/>
          </w:tcPr>
          <w:p>
            <w:pPr>
              <w:spacing w:after="0" w:line="155" w:lineRule="exact"/>
              <w:rPr>
                <w:sz w:val="20"/>
                <w:szCs w:val="20"/>
                <w:color w:val="auto"/>
              </w:rPr>
            </w:pPr>
            <w:r>
              <w:rPr>
                <w:rFonts w:ascii="Arial" w:cs="Arial" w:eastAsia="Arial" w:hAnsi="Arial"/>
                <w:sz w:val="16"/>
                <w:szCs w:val="16"/>
                <w:color w:val="0000FF"/>
                <w:w w:val="91"/>
              </w:rPr>
              <w:t>Section 302 of the Sarbanes-Oxley Act of 2002</w:t>
            </w:r>
          </w:p>
        </w:tc>
        <w:tc>
          <w:tcPr>
            <w:tcW w:w="1980" w:type="dxa"/>
            <w:vAlign w:val="bottom"/>
            <w:tcBorders>
              <w:top w:val="single" w:sz="8" w:color="0000FF"/>
            </w:tcBorders>
            <w:gridSpan w:val="16"/>
          </w:tcPr>
          <w:p>
            <w:pPr>
              <w:spacing w:after="0"/>
              <w:rPr>
                <w:sz w:val="13"/>
                <w:szCs w:val="13"/>
                <w:color w:val="auto"/>
              </w:rPr>
            </w:pPr>
          </w:p>
        </w:tc>
        <w:tc>
          <w:tcPr>
            <w:tcW w:w="220" w:type="dxa"/>
            <w:vAlign w:val="bottom"/>
            <w:gridSpan w:val="5"/>
          </w:tcPr>
          <w:p>
            <w:pPr>
              <w:spacing w:after="0"/>
              <w:rPr>
                <w:sz w:val="13"/>
                <w:szCs w:val="13"/>
                <w:color w:val="auto"/>
              </w:rPr>
            </w:pPr>
          </w:p>
        </w:tc>
        <w:tc>
          <w:tcPr>
            <w:tcW w:w="9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8"/>
        </w:trPr>
        <w:tc>
          <w:tcPr>
            <w:tcW w:w="840" w:type="dxa"/>
            <w:vAlign w:val="bottom"/>
          </w:tcPr>
          <w:p>
            <w:pPr>
              <w:spacing w:after="0"/>
              <w:rPr>
                <w:sz w:val="24"/>
                <w:szCs w:val="24"/>
                <w:color w:val="auto"/>
              </w:rPr>
            </w:pPr>
          </w:p>
        </w:tc>
        <w:tc>
          <w:tcPr>
            <w:tcW w:w="4920" w:type="dxa"/>
            <w:vAlign w:val="bottom"/>
            <w:gridSpan w:val="22"/>
          </w:tcPr>
          <w:p>
            <w:pPr>
              <w:jc w:val="right"/>
              <w:ind w:right="60"/>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jc w:val="center"/>
              <w:ind w:right="139"/>
              <w:spacing w:after="0"/>
              <w:rPr>
                <w:sz w:val="20"/>
                <w:szCs w:val="20"/>
                <w:color w:val="auto"/>
              </w:rPr>
            </w:pPr>
            <w:r>
              <w:rPr>
                <w:rFonts w:ascii="Arial" w:cs="Arial" w:eastAsia="Arial" w:hAnsi="Arial"/>
                <w:sz w:val="16"/>
                <w:szCs w:val="16"/>
                <w:color w:val="auto"/>
                <w:w w:val="96"/>
              </w:rPr>
              <w:t>32.1*</w:t>
            </w:r>
          </w:p>
        </w:tc>
        <w:tc>
          <w:tcPr>
            <w:tcW w:w="5220" w:type="dxa"/>
            <w:vAlign w:val="bottom"/>
            <w:gridSpan w:val="4"/>
          </w:tcPr>
          <w:p>
            <w:pPr>
              <w:spacing w:after="0"/>
              <w:rPr>
                <w:sz w:val="20"/>
                <w:szCs w:val="20"/>
                <w:color w:val="auto"/>
              </w:rPr>
            </w:pPr>
            <w:r>
              <w:rPr>
                <w:rFonts w:ascii="Arial" w:cs="Arial" w:eastAsia="Arial" w:hAnsi="Arial"/>
                <w:sz w:val="16"/>
                <w:szCs w:val="16"/>
                <w:color w:val="0000FF"/>
                <w:w w:val="93"/>
              </w:rPr>
              <w:t>Certification of Principal Executive Officer Pursuant to 18 U.S.C. Section 1350,</w:t>
            </w:r>
          </w:p>
        </w:tc>
      </w:tr>
      <w:tr>
        <w:trPr>
          <w:trHeight w:val="155"/>
        </w:trPr>
        <w:tc>
          <w:tcPr>
            <w:tcW w:w="820" w:type="dxa"/>
            <w:vAlign w:val="bottom"/>
          </w:tcPr>
          <w:p>
            <w:pPr>
              <w:spacing w:after="0"/>
              <w:rPr>
                <w:sz w:val="13"/>
                <w:szCs w:val="13"/>
                <w:color w:val="auto"/>
              </w:rPr>
            </w:pPr>
          </w:p>
        </w:tc>
        <w:tc>
          <w:tcPr>
            <w:tcW w:w="5200" w:type="dxa"/>
            <w:vAlign w:val="bottom"/>
            <w:tcBorders>
              <w:top w:val="single" w:sz="8" w:color="0000FF"/>
            </w:tcBorders>
            <w:gridSpan w:val="3"/>
          </w:tcPr>
          <w:p>
            <w:pPr>
              <w:spacing w:after="0" w:line="155"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20" w:type="dxa"/>
            <w:vAlign w:val="bottom"/>
          </w:tcPr>
          <w:p>
            <w:pPr>
              <w:jc w:val="center"/>
              <w:ind w:right="139"/>
              <w:spacing w:after="0"/>
              <w:rPr>
                <w:sz w:val="20"/>
                <w:szCs w:val="20"/>
                <w:color w:val="auto"/>
              </w:rPr>
            </w:pPr>
            <w:r>
              <w:rPr>
                <w:rFonts w:ascii="Arial" w:cs="Arial" w:eastAsia="Arial" w:hAnsi="Arial"/>
                <w:sz w:val="16"/>
                <w:szCs w:val="16"/>
                <w:color w:val="auto"/>
                <w:w w:val="96"/>
              </w:rPr>
              <w:t>32.2*</w:t>
            </w:r>
          </w:p>
        </w:tc>
        <w:tc>
          <w:tcPr>
            <w:tcW w:w="5220" w:type="dxa"/>
            <w:vAlign w:val="bottom"/>
            <w:gridSpan w:val="4"/>
          </w:tcPr>
          <w:p>
            <w:pPr>
              <w:spacing w:after="0"/>
              <w:rPr>
                <w:sz w:val="20"/>
                <w:szCs w:val="20"/>
                <w:color w:val="auto"/>
              </w:rPr>
            </w:pPr>
            <w:r>
              <w:rPr>
                <w:rFonts w:ascii="Arial" w:cs="Arial" w:eastAsia="Arial" w:hAnsi="Arial"/>
                <w:sz w:val="16"/>
                <w:szCs w:val="16"/>
                <w:color w:val="0000FF"/>
                <w:w w:val="94"/>
              </w:rPr>
              <w:t>Certification of Principal Financial Officer Pursuant to 18 U.S.C. Section 1350,</w:t>
            </w:r>
          </w:p>
        </w:tc>
      </w:tr>
      <w:tr>
        <w:trPr>
          <w:trHeight w:val="156"/>
        </w:trPr>
        <w:tc>
          <w:tcPr>
            <w:tcW w:w="820" w:type="dxa"/>
            <w:vAlign w:val="bottom"/>
          </w:tcPr>
          <w:p>
            <w:pPr>
              <w:spacing w:after="0"/>
              <w:rPr>
                <w:sz w:val="13"/>
                <w:szCs w:val="13"/>
                <w:color w:val="auto"/>
              </w:rPr>
            </w:pPr>
          </w:p>
        </w:tc>
        <w:tc>
          <w:tcPr>
            <w:tcW w:w="516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60" w:type="dxa"/>
            <w:vAlign w:val="bottom"/>
            <w:gridSpan w:val="2"/>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227"/>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3"/>
              </w:rPr>
              <w:t>101.INS</w:t>
            </w:r>
          </w:p>
        </w:tc>
        <w:tc>
          <w:tcPr>
            <w:tcW w:w="5220" w:type="dxa"/>
            <w:vAlign w:val="bottom"/>
            <w:gridSpan w:val="4"/>
          </w:tcPr>
          <w:p>
            <w:pPr>
              <w:spacing w:after="0"/>
              <w:rPr>
                <w:sz w:val="20"/>
                <w:szCs w:val="20"/>
                <w:color w:val="auto"/>
              </w:rPr>
            </w:pPr>
            <w:r>
              <w:rPr>
                <w:rFonts w:ascii="Arial" w:cs="Arial" w:eastAsia="Arial" w:hAnsi="Arial"/>
                <w:sz w:val="16"/>
                <w:szCs w:val="16"/>
                <w:color w:val="auto"/>
                <w:w w:val="92"/>
              </w:rPr>
              <w:t>Inline XBRL Instance Document (the instance document does not appear in the</w:t>
            </w:r>
          </w:p>
        </w:tc>
      </w:tr>
      <w:tr>
        <w:trPr>
          <w:trHeight w:val="189"/>
        </w:trPr>
        <w:tc>
          <w:tcPr>
            <w:tcW w:w="820" w:type="dxa"/>
            <w:vAlign w:val="bottom"/>
          </w:tcPr>
          <w:p>
            <w:pPr>
              <w:spacing w:after="0"/>
              <w:rPr>
                <w:sz w:val="16"/>
                <w:szCs w:val="16"/>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w w:val="97"/>
              </w:rPr>
              <w:t>Interactive Data File because its XBRL tags are embedded within the Inline</w:t>
            </w:r>
          </w:p>
        </w:tc>
      </w:tr>
      <w:tr>
        <w:trPr>
          <w:trHeight w:val="206"/>
        </w:trPr>
        <w:tc>
          <w:tcPr>
            <w:tcW w:w="820" w:type="dxa"/>
            <w:vAlign w:val="bottom"/>
          </w:tcPr>
          <w:p>
            <w:pPr>
              <w:spacing w:after="0"/>
              <w:rPr>
                <w:sz w:val="17"/>
                <w:szCs w:val="17"/>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XBRL document).</w:t>
            </w:r>
          </w:p>
        </w:tc>
      </w:tr>
      <w:tr>
        <w:trPr>
          <w:trHeight w:val="230"/>
        </w:trPr>
        <w:tc>
          <w:tcPr>
            <w:tcW w:w="820" w:type="dxa"/>
            <w:vAlign w:val="bottom"/>
          </w:tcPr>
          <w:p>
            <w:pPr>
              <w:jc w:val="center"/>
              <w:ind w:right="139"/>
              <w:spacing w:after="0"/>
              <w:rPr>
                <w:sz w:val="20"/>
                <w:szCs w:val="20"/>
                <w:color w:val="auto"/>
              </w:rPr>
            </w:pPr>
            <w:r>
              <w:rPr>
                <w:rFonts w:ascii="Arial" w:cs="Arial" w:eastAsia="Arial" w:hAnsi="Arial"/>
                <w:sz w:val="16"/>
                <w:szCs w:val="16"/>
                <w:color w:val="auto"/>
                <w:w w:val="92"/>
              </w:rPr>
              <w:t>101.SCH</w:t>
            </w:r>
          </w:p>
        </w:tc>
        <w:tc>
          <w:tcPr>
            <w:tcW w:w="522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9"/>
              </w:rPr>
              <w:t>101.CAL</w:t>
            </w:r>
          </w:p>
        </w:tc>
        <w:tc>
          <w:tcPr>
            <w:tcW w:w="52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1"/>
              </w:rPr>
              <w:t>101.DEF</w:t>
            </w:r>
          </w:p>
        </w:tc>
        <w:tc>
          <w:tcPr>
            <w:tcW w:w="522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rPr>
              <w:t>101.LAB</w:t>
            </w:r>
          </w:p>
        </w:tc>
        <w:tc>
          <w:tcPr>
            <w:tcW w:w="52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0"/>
              </w:rPr>
              <w:t>101.PRE</w:t>
            </w:r>
          </w:p>
        </w:tc>
        <w:tc>
          <w:tcPr>
            <w:tcW w:w="522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-1127125</wp:posOffset>
            </wp:positionV>
            <wp:extent cx="7132320" cy="377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7" w:lineRule="exact"/>
        <w:rPr>
          <w:sz w:val="20"/>
          <w:szCs w:val="20"/>
          <w:color w:val="auto"/>
        </w:rPr>
      </w:pPr>
    </w:p>
    <w:p>
      <w:pPr>
        <w:ind w:left="940" w:right="180" w:hanging="635"/>
        <w:spacing w:after="0" w:line="258" w:lineRule="auto"/>
        <w:tabs>
          <w:tab w:leader="none" w:pos="9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22" w:lineRule="exact"/>
        <w:rPr>
          <w:sz w:val="20"/>
          <w:szCs w:val="20"/>
          <w:color w:val="auto"/>
        </w:rPr>
      </w:pPr>
    </w:p>
    <w:p>
      <w:pPr>
        <w:sectPr>
          <w:pgSz w:w="11900" w:h="16838" w:orient="portrait"/>
          <w:cols w:equalWidth="0" w:num="2">
            <w:col w:w="6140" w:space="520"/>
            <w:col w:w="4580"/>
          </w:cols>
          <w:pgMar w:left="320" w:top="373" w:right="339" w:bottom="1440" w:gutter="0" w:footer="0" w:header="0"/>
          <w:type w:val="continuous"/>
        </w:sectPr>
      </w:pPr>
    </w:p>
    <w:p>
      <w:pPr>
        <w:spacing w:after="0" w:line="66" w:lineRule="exact"/>
        <w:rPr>
          <w:sz w:val="20"/>
          <w:szCs w:val="20"/>
          <w:color w:val="auto"/>
        </w:rPr>
      </w:pPr>
    </w:p>
    <w:p>
      <w:pPr>
        <w:jc w:val="both"/>
        <w:ind w:firstLine="8"/>
        <w:spacing w:after="0" w:line="261" w:lineRule="auto"/>
        <w:tabs>
          <w:tab w:leader="none" w:pos="138"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10-K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256"/>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800" w:type="dxa"/>
            <w:vAlign w:val="bottom"/>
          </w:tcPr>
          <w:p>
            <w:pPr>
              <w:ind w:left="120"/>
              <w:spacing w:after="0"/>
              <w:rPr>
                <w:sz w:val="20"/>
                <w:szCs w:val="20"/>
                <w:color w:val="auto"/>
              </w:rPr>
            </w:pPr>
            <w:r>
              <w:rPr>
                <w:rFonts w:ascii="Arial" w:cs="Arial" w:eastAsia="Arial" w:hAnsi="Arial"/>
                <w:sz w:val="16"/>
                <w:szCs w:val="16"/>
                <w:color w:val="auto"/>
              </w:rPr>
              <w:t>February 28, 2023</w:t>
            </w:r>
          </w:p>
        </w:tc>
        <w:tc>
          <w:tcPr>
            <w:tcW w:w="2100" w:type="dxa"/>
            <w:vAlign w:val="bottom"/>
          </w:tcPr>
          <w:p>
            <w:pPr>
              <w:ind w:left="148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6"/>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800" w:type="dxa"/>
            <w:vAlign w:val="bottom"/>
          </w:tcPr>
          <w:p>
            <w:pPr>
              <w:ind w:left="120"/>
              <w:spacing w:after="0"/>
              <w:rPr>
                <w:sz w:val="20"/>
                <w:szCs w:val="20"/>
                <w:color w:val="auto"/>
              </w:rPr>
            </w:pPr>
            <w:r>
              <w:rPr>
                <w:rFonts w:ascii="Arial" w:cs="Arial" w:eastAsia="Arial" w:hAnsi="Arial"/>
                <w:sz w:val="16"/>
                <w:szCs w:val="16"/>
                <w:color w:val="auto"/>
              </w:rPr>
              <w:t>February 28, 2023</w:t>
            </w:r>
          </w:p>
        </w:tc>
        <w:tc>
          <w:tcPr>
            <w:tcW w:w="2100" w:type="dxa"/>
            <w:vAlign w:val="bottom"/>
          </w:tcPr>
          <w:p>
            <w:pPr>
              <w:ind w:left="148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Hemanth Munipalli</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Hemanth Munipalli</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3" w:right="49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POWER OF ATTORNEY</w:t>
      </w:r>
    </w:p>
    <w:p>
      <w:pPr>
        <w:spacing w:after="0" w:line="16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the undersigned officers and directors of Remitly Global, Inc., hereby severally and individually constitute and appoint Matthew Oppenheimer and Hemanth Munipalli, jointly and severally, the true and lawful attorney and agent of each of us to execute in the name, place and stead of each of us (individually and in any capacity stated below) any and all amendments to this Annual Report on Form 10-K and all instruments necessary or advisable in connection therewith and to file the same with the Securities and Exchange Commission, each of said attorney and agent to have the power to act with or without the others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or each of them to any and all such amendments and instruments.</w:t>
      </w:r>
    </w:p>
    <w:p>
      <w:pPr>
        <w:spacing w:after="0" w:line="11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73" w:right="359" w:bottom="1440" w:gutter="0" w:footer="0" w:header="0"/>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Matthew Oppenheimer, Chief Executive Officer and Director</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Bora Chung,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Margaret M. Smyth,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Ron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Ron Shah,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Nigel Morris,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28, 2023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Hemanth Munipalli, Chief Financial Officer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Joshua Hug, Chief Operating Officer and Director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Laurent Le Moal,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2023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Phillip Riese,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343535</wp:posOffset>
            </wp:positionV>
            <wp:extent cx="3497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185" w:lineRule="exact"/>
        <w:rPr>
          <w:sz w:val="20"/>
          <w:szCs w:val="20"/>
          <w:color w:val="auto"/>
        </w:rPr>
      </w:pPr>
    </w:p>
    <w:p>
      <w:pPr>
        <w:sectPr>
          <w:pgSz w:w="11900" w:h="16838" w:orient="portrait"/>
          <w:cols w:equalWidth="0" w:num="2">
            <w:col w:w="5040" w:space="720"/>
            <w:col w:w="5460"/>
          </w:cols>
          <w:pgMar w:left="320" w:top="3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20"/>
          </w:cols>
          <w:pgMar w:left="320" w:top="373" w:right="359" w:bottom="1440" w:gutter="0" w:footer="0" w:header="0"/>
          <w:type w:val="continuous"/>
        </w:sectPr>
      </w:pPr>
    </w:p>
    <w:bookmarkStart w:id="98" w:name="page99"/>
    <w:bookmarkEnd w:id="98"/>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PURSUANT TO SECTION 12 OF THE SECURITIES EXCHANGE ACT OF 1934</w:t>
      </w:r>
    </w:p>
    <w:p>
      <w:pPr>
        <w:spacing w:after="0" w:line="200" w:lineRule="exact"/>
        <w:rPr>
          <w:sz w:val="20"/>
          <w:szCs w:val="20"/>
          <w:color w:val="auto"/>
        </w:rPr>
      </w:pPr>
    </w:p>
    <w:p>
      <w:pPr>
        <w:spacing w:after="0" w:line="340" w:lineRule="exact"/>
        <w:rPr>
          <w:sz w:val="20"/>
          <w:szCs w:val="20"/>
          <w:color w:val="auto"/>
        </w:rPr>
      </w:pPr>
    </w:p>
    <w:p>
      <w:pPr>
        <w:ind w:right="300" w:firstLine="324"/>
        <w:spacing w:after="0" w:line="235" w:lineRule="auto"/>
        <w:rPr>
          <w:sz w:val="20"/>
          <w:szCs w:val="20"/>
          <w:color w:val="auto"/>
        </w:rPr>
      </w:pPr>
      <w:r>
        <w:rPr>
          <w:rFonts w:ascii="Arial" w:cs="Arial" w:eastAsia="Arial" w:hAnsi="Arial"/>
          <w:sz w:val="18"/>
          <w:szCs w:val="18"/>
          <w:color w:val="auto"/>
        </w:rPr>
        <w:t>Remitly Global, Inc. (“Remitly,” “we” or “our”) has one class of securities registered under Section 12 of the Securities Exchange Act of 1934: our common stock.</w:t>
      </w:r>
    </w:p>
    <w:p>
      <w:pPr>
        <w:spacing w:after="0" w:line="12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following summary of the terms of our common stock is based upon our Amended and Restated Certificate of Incorporation, our Restated Bylaws, and applicable provisions of the Delaware General Corporation Law (the “DGCL”). The summary is not complete, and is qualified by reference to our Amended and Restated Certificate of Incorporation and our Restated Bylaws, which are filed as exhibits to this Annual Report on Form 10-K and are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incorporated by reference herein. We encourage you to read our Amended and Restated Certificate of Incorporation, our Restated Bylaws, and the applicable provisions of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0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authorized capital stock consists of 775,000,000 shares of capital stock, consisting of two classes: 725,000,000 shares of common stock, $0.0001 par value per share, and 50,000,000 shares of undesignated preferred stock, $0.0001 par value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31" w:lineRule="exact"/>
        <w:rPr>
          <w:sz w:val="20"/>
          <w:szCs w:val="20"/>
          <w:color w:val="auto"/>
        </w:rPr>
      </w:pPr>
    </w:p>
    <w:p>
      <w:pPr>
        <w:ind w:right="140" w:firstLine="324"/>
        <w:spacing w:after="0" w:line="248"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w:t>
      </w:r>
    </w:p>
    <w:p>
      <w:pPr>
        <w:spacing w:after="0"/>
        <w:rPr>
          <w:sz w:val="20"/>
          <w:szCs w:val="20"/>
          <w:color w:val="auto"/>
        </w:rPr>
      </w:pPr>
      <w:r>
        <w:rPr>
          <w:rFonts w:ascii="Arial" w:cs="Arial" w:eastAsia="Arial" w:hAnsi="Arial"/>
          <w:sz w:val="18"/>
          <w:szCs w:val="18"/>
          <w:color w:val="auto"/>
        </w:rPr>
        <w:t>amounts that our board of directors may determine.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Holders of our common stock are entitled to one vote for each share of common stock held on all matters submitted to a vote of stockholders. We have</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not provided for cumulative voting for the election of directors in our Amended and Restated Certificate of Incorporation. Accordingly, the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with the other classes continuing for the remainder of their respective three-year terms.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31" w:lineRule="exact"/>
        <w:rPr>
          <w:sz w:val="20"/>
          <w:szCs w:val="20"/>
          <w:color w:val="auto"/>
        </w:rPr>
      </w:pPr>
    </w:p>
    <w:p>
      <w:pPr>
        <w:ind w:right="120" w:firstLine="324"/>
        <w:spacing w:after="0" w:line="248"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w:t>
      </w:r>
    </w:p>
    <w:p>
      <w:pPr>
        <w:spacing w:after="0"/>
        <w:rPr>
          <w:sz w:val="20"/>
          <w:szCs w:val="20"/>
          <w:color w:val="auto"/>
        </w:rPr>
      </w:pPr>
      <w:r>
        <w:rPr>
          <w:rFonts w:ascii="Arial" w:cs="Arial" w:eastAsia="Arial" w:hAnsi="Arial"/>
          <w:sz w:val="18"/>
          <w:szCs w:val="18"/>
          <w:color w:val="auto"/>
        </w:rPr>
        <w:t>liquidation preferences, if any, on any outstanding shares of preferred stock.</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shares of preferred stock are currently outstanding. Our board of directors is authorized, subject to limitations prescribed by Delaware law, to issue</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w:t>
      </w:r>
    </w:p>
    <w:p>
      <w:pPr>
        <w:spacing w:after="0" w:line="2"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delaying, deferring, or preventing a change in our control and might adversely affect the market price of our common stock and the voting and other rights of the holders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4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6"/>
          <w:szCs w:val="16"/>
          <w:color w:val="auto"/>
        </w:rPr>
        <w:t>The provisions of the DGCL, various state money transmitter laws to which we are subject, our Amended and Restated Certificate of Incorporation, and our Restated Bylaws could have the effect of delaying, deferring, or discouraging another person from acquiring control of our company. These provisions, which are summarized below, may discourage certain types of coercive takeover practices and inadequate takeover bids.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31" w:lineRule="exact"/>
        <w:rPr>
          <w:sz w:val="20"/>
          <w:szCs w:val="20"/>
          <w:color w:val="auto"/>
        </w:rPr>
      </w:pPr>
    </w:p>
    <w:p>
      <w:pPr>
        <w:ind w:right="80" w:firstLine="324"/>
        <w:spacing w:after="0" w:line="248"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of the DGCL prohibits a publicly held Delaware corporation from engaging in a “business combination” with an “interested stockholder” for a three-year period following the time that this</w:t>
      </w:r>
    </w:p>
    <w:p>
      <w:pPr>
        <w:ind w:right="320"/>
        <w:spacing w:after="0" w:line="268" w:lineRule="auto"/>
        <w:rPr>
          <w:sz w:val="20"/>
          <w:szCs w:val="20"/>
          <w:color w:val="auto"/>
        </w:rPr>
      </w:pPr>
      <w:r>
        <w:rPr>
          <w:rFonts w:ascii="Arial" w:cs="Arial" w:eastAsia="Arial" w:hAnsi="Arial"/>
          <w:sz w:val="16"/>
          <w:szCs w:val="16"/>
          <w:color w:val="auto"/>
        </w:rPr>
        <w:t>stockholder becomes an interested stockholder, unless the business combination is approved in a prescribed manner. Under Section 203 of the DGCL, a business combination between a corporation and an interested stockholder is prohibited unless it satisfies one of the following conditions:</w:t>
      </w:r>
    </w:p>
    <w:p>
      <w:pPr>
        <w:spacing w:after="0" w:line="86" w:lineRule="exact"/>
        <w:rPr>
          <w:sz w:val="20"/>
          <w:szCs w:val="20"/>
          <w:color w:val="auto"/>
        </w:rPr>
      </w:pPr>
    </w:p>
    <w:p>
      <w:pPr>
        <w:ind w:left="660" w:right="120" w:hanging="328"/>
        <w:spacing w:after="0" w:line="24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660" w:right="160" w:hanging="328"/>
        <w:spacing w:after="0" w:line="22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8" w:lineRule="exact"/>
        <w:rPr>
          <w:rFonts w:ascii="Arial" w:cs="Arial" w:eastAsia="Arial" w:hAnsi="Arial"/>
          <w:sz w:val="18"/>
          <w:szCs w:val="18"/>
          <w:color w:val="auto"/>
        </w:rPr>
      </w:pPr>
    </w:p>
    <w:p>
      <w:pPr>
        <w:ind w:left="660" w:right="100" w:hanging="328"/>
        <w:spacing w:after="0" w:line="22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of the DGCL defines a business combination to include:</w:t>
      </w:r>
    </w:p>
    <w:p>
      <w:pPr>
        <w:spacing w:after="0" w:line="14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142" w:lineRule="exact"/>
        <w:rPr>
          <w:rFonts w:ascii="Arial" w:cs="Arial" w:eastAsia="Arial" w:hAnsi="Arial"/>
          <w:sz w:val="17"/>
          <w:szCs w:val="17"/>
          <w:color w:val="auto"/>
        </w:rPr>
      </w:pPr>
    </w:p>
    <w:p>
      <w:pPr>
        <w:ind w:left="660" w:right="360" w:hanging="328"/>
        <w:spacing w:after="0" w:line="24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02"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07"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2" w:lineRule="exact"/>
        <w:rPr>
          <w:sz w:val="20"/>
          <w:szCs w:val="20"/>
          <w:color w:val="auto"/>
        </w:rPr>
      </w:pPr>
    </w:p>
    <w:p>
      <w:pPr>
        <w:ind w:right="360" w:firstLine="324"/>
        <w:spacing w:after="0" w:line="235" w:lineRule="auto"/>
        <w:rPr>
          <w:sz w:val="20"/>
          <w:szCs w:val="20"/>
          <w:color w:val="auto"/>
        </w:rPr>
      </w:pPr>
      <w:r>
        <w:rPr>
          <w:rFonts w:ascii="Arial" w:cs="Arial" w:eastAsia="Arial" w:hAnsi="Arial"/>
          <w:sz w:val="18"/>
          <w:szCs w:val="18"/>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40"/>
          </w:cols>
          <w:pgMar w:left="320" w:top="1404" w:right="339" w:bottom="1440" w:gutter="0" w:footer="0" w:header="0"/>
        </w:sectPr>
      </w:pPr>
    </w:p>
    <w:bookmarkStart w:id="100" w:name="page101"/>
    <w:bookmarkEnd w:id="100"/>
    <w:p>
      <w:pPr>
        <w:ind w:left="340"/>
        <w:spacing w:after="0"/>
        <w:rPr>
          <w:sz w:val="20"/>
          <w:szCs w:val="20"/>
          <w:color w:val="auto"/>
        </w:rPr>
      </w:pPr>
      <w:r>
        <w:rPr>
          <w:rFonts w:ascii="Arial" w:cs="Arial" w:eastAsia="Arial" w:hAnsi="Arial"/>
          <w:sz w:val="18"/>
          <w:szCs w:val="18"/>
          <w:b w:val="1"/>
          <w:bCs w:val="1"/>
          <w:i w:val="1"/>
          <w:iCs w:val="1"/>
          <w:color w:val="auto"/>
        </w:rPr>
        <w:t>Money Transmitter Licensing Statutes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of our capital stock above certain thresholds will be subject to prior regulatory notice or approval under state money transmitter licensing</w:t>
      </w:r>
    </w:p>
    <w:p>
      <w:pPr>
        <w:spacing w:after="0" w:line="21" w:lineRule="exact"/>
        <w:rPr>
          <w:sz w:val="20"/>
          <w:szCs w:val="20"/>
          <w:color w:val="auto"/>
        </w:rPr>
      </w:pPr>
    </w:p>
    <w:p>
      <w:pPr>
        <w:jc w:val="both"/>
        <w:ind w:right="120"/>
        <w:spacing w:after="0" w:line="234" w:lineRule="auto"/>
        <w:rPr>
          <w:sz w:val="20"/>
          <w:szCs w:val="20"/>
          <w:color w:val="auto"/>
        </w:rPr>
      </w:pPr>
      <w:r>
        <w:rPr>
          <w:rFonts w:ascii="Arial" w:cs="Arial" w:eastAsia="Arial" w:hAnsi="Arial"/>
          <w:sz w:val="16"/>
          <w:szCs w:val="16"/>
          <w:color w:val="auto"/>
        </w:rPr>
        <w:t>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 prospective investors seeking to acquire 10%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greater ownership of our stock in the aggregate would need to first obtain such regulatory approvals and provide such notices to the relevant regulators.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Restated Bylaw Provisions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and our Restated Bylaws include a number of provisions that may have the effect of deterring</w:t>
      </w:r>
    </w:p>
    <w:p>
      <w:pPr>
        <w:spacing w:after="0" w:line="2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hostile takeovers, or delaying or preventing changes in control of our management team or changes in our board of directors or our governance or policy, including the following:</w:t>
      </w:r>
    </w:p>
    <w:p>
      <w:pPr>
        <w:spacing w:after="0" w:line="103" w:lineRule="exact"/>
        <w:rPr>
          <w:sz w:val="20"/>
          <w:szCs w:val="20"/>
          <w:color w:val="auto"/>
        </w:rPr>
      </w:pPr>
    </w:p>
    <w:p>
      <w:pPr>
        <w:ind w:left="660" w:right="60" w:hanging="328"/>
        <w:spacing w:after="0" w:line="22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Vacancies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Restated Bylaws and Amended and Restated Certificate of Incorporation authorize generally only our board of directors to</w:t>
      </w:r>
      <w:r>
        <w:rPr>
          <w:rFonts w:ascii="Arial" w:cs="Arial" w:eastAsia="Arial" w:hAnsi="Arial"/>
          <w:sz w:val="18"/>
          <w:szCs w:val="18"/>
          <w:b w:val="1"/>
          <w:bCs w:val="1"/>
          <w:color w:val="auto"/>
        </w:rPr>
        <w:t xml:space="preserve"> </w:t>
      </w:r>
      <w:r>
        <w:rPr>
          <w:rFonts w:ascii="Arial" w:cs="Arial" w:eastAsia="Arial" w:hAnsi="Arial"/>
          <w:sz w:val="18"/>
          <w:szCs w:val="18"/>
          <w:color w:val="auto"/>
        </w:rPr>
        <w:t>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58" w:lineRule="exact"/>
        <w:rPr>
          <w:rFonts w:ascii="Arial" w:cs="Arial" w:eastAsia="Arial" w:hAnsi="Arial"/>
          <w:sz w:val="18"/>
          <w:szCs w:val="18"/>
          <w:color w:val="auto"/>
        </w:rPr>
      </w:pPr>
    </w:p>
    <w:p>
      <w:pPr>
        <w:ind w:left="660" w:right="240" w:hanging="328"/>
        <w:spacing w:after="0" w:line="247"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Classified Board</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Amended and Restated Certificate of Incorporation and Restated Bylaws provide that our board of directors is classified</w:t>
      </w:r>
      <w:r>
        <w:rPr>
          <w:rFonts w:ascii="Arial" w:cs="Arial" w:eastAsia="Arial" w:hAnsi="Arial"/>
          <w:sz w:val="17"/>
          <w:szCs w:val="17"/>
          <w:b w:val="1"/>
          <w:bCs w:val="1"/>
          <w:color w:val="auto"/>
        </w:rPr>
        <w:t xml:space="preserve"> </w:t>
      </w:r>
      <w:r>
        <w:rPr>
          <w:rFonts w:ascii="Arial" w:cs="Arial" w:eastAsia="Arial" w:hAnsi="Arial"/>
          <w:sz w:val="17"/>
          <w:szCs w:val="17"/>
          <w:color w:val="auto"/>
        </w:rPr>
        <w:t>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152" w:lineRule="exact"/>
        <w:rPr>
          <w:rFonts w:ascii="Arial" w:cs="Arial" w:eastAsia="Arial" w:hAnsi="Arial"/>
          <w:sz w:val="17"/>
          <w:szCs w:val="17"/>
          <w:color w:val="auto"/>
        </w:rPr>
      </w:pPr>
    </w:p>
    <w:p>
      <w:pPr>
        <w:ind w:left="660" w:right="240" w:hanging="328"/>
        <w:spacing w:after="0" w:line="23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Directors Removed Only for Cause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Amended and Restated Certificate of Incorporation provides that stockholders may remove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only for cause.</w:t>
      </w:r>
    </w:p>
    <w:p>
      <w:pPr>
        <w:spacing w:after="0" w:line="171" w:lineRule="exact"/>
        <w:rPr>
          <w:rFonts w:ascii="Arial" w:cs="Arial" w:eastAsia="Arial" w:hAnsi="Arial"/>
          <w:sz w:val="18"/>
          <w:szCs w:val="18"/>
          <w:color w:val="auto"/>
        </w:rPr>
      </w:pPr>
    </w:p>
    <w:p>
      <w:pPr>
        <w:ind w:left="660" w:right="120" w:hanging="328"/>
        <w:spacing w:after="0" w:line="245"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Supermajority Requirements for Amendments of Our Amended and Restated Certificate of Incorporation and Restated Bylaws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Certificate of Incorporation further provides that the affirmative vote of holders of at least 66 2/3% of our outstanding common stock is required to amend certain provisions of our Amended and Restated Certificate of Incorporation, including provisions relating to the classified board, the size of our board of directors, removal of directors, special meetings, actions by written consent, and designation of our preferred stock. The affirmative vote of holders of at least 66 2/3% of our outstanding common stock is required to amend or repeal our Restated Bylaws, although our Restated Bylaws may be amended by a simple majority vote of our board of directors.</w:t>
      </w:r>
    </w:p>
    <w:p>
      <w:pPr>
        <w:spacing w:after="0" w:line="169" w:lineRule="exact"/>
        <w:rPr>
          <w:rFonts w:ascii="Arial" w:cs="Arial" w:eastAsia="Arial" w:hAnsi="Arial"/>
          <w:sz w:val="16"/>
          <w:szCs w:val="16"/>
          <w:color w:val="auto"/>
        </w:rPr>
      </w:pPr>
    </w:p>
    <w:p>
      <w:pPr>
        <w:ind w:left="660" w:right="140" w:hanging="328"/>
        <w:spacing w:after="0" w:line="245"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 Action; Special Meetings of Stockholders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Amended and Restated Certificate of Incorporation provides that our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56" w:lineRule="exact"/>
        <w:rPr>
          <w:rFonts w:ascii="Arial" w:cs="Arial" w:eastAsia="Arial" w:hAnsi="Arial"/>
          <w:sz w:val="16"/>
          <w:szCs w:val="16"/>
          <w:color w:val="auto"/>
        </w:rPr>
      </w:pPr>
    </w:p>
    <w:p>
      <w:pPr>
        <w:ind w:left="660" w:hanging="328"/>
        <w:spacing w:after="0" w:line="21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Advance Notice Requirements for Stockholder Proposals and Director Nominations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Restated Bylaws provides advance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ectPr>
          <w:pgSz w:w="11900" w:h="16838" w:orient="portrait"/>
          <w:cols w:equalWidth="0" w:num="1">
            <w:col w:w="11240"/>
          </w:cols>
          <w:pgMar w:left="320" w:top="1408" w:right="339" w:bottom="1440" w:gutter="0" w:footer="0" w:header="0"/>
        </w:sectPr>
      </w:pPr>
    </w:p>
    <w:bookmarkStart w:id="101" w:name="page102"/>
    <w:bookmarkEnd w:id="101"/>
    <w:p>
      <w:pPr>
        <w:ind w:left="660" w:right="100" w:hanging="328"/>
        <w:spacing w:after="0" w:line="23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Cumulative Voting</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certificate of incorporation provides otherwise. Our Amended and Restated Certificate of Incorporation and Restated bylaws do not provide for cumulative voting.</w:t>
      </w:r>
    </w:p>
    <w:p>
      <w:pPr>
        <w:spacing w:after="0" w:line="158" w:lineRule="exact"/>
        <w:rPr>
          <w:rFonts w:ascii="Arial" w:cs="Arial" w:eastAsia="Arial" w:hAnsi="Arial"/>
          <w:sz w:val="18"/>
          <w:szCs w:val="18"/>
          <w:color w:val="auto"/>
        </w:rPr>
      </w:pPr>
    </w:p>
    <w:p>
      <w:pPr>
        <w:ind w:left="660" w:right="120" w:hanging="328"/>
        <w:spacing w:after="0" w:line="237"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Undesignated Preferred Stock</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b w:val="1"/>
          <w:bCs w:val="1"/>
          <w:color w:val="auto"/>
        </w:rPr>
        <w:t xml:space="preserve"> </w:t>
      </w:r>
      <w:r>
        <w:rPr>
          <w:rFonts w:ascii="Arial" w:cs="Arial" w:eastAsia="Arial" w:hAnsi="Arial"/>
          <w:sz w:val="17"/>
          <w:szCs w:val="17"/>
          <w:color w:val="auto"/>
        </w:rPr>
        <w:t>500,000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86" w:lineRule="exact"/>
        <w:rPr>
          <w:rFonts w:ascii="Arial" w:cs="Arial" w:eastAsia="Arial" w:hAnsi="Arial"/>
          <w:sz w:val="17"/>
          <w:szCs w:val="17"/>
          <w:color w:val="auto"/>
        </w:rPr>
      </w:pPr>
    </w:p>
    <w:p>
      <w:pPr>
        <w:ind w:left="660" w:hanging="328"/>
        <w:spacing w:after="0" w:line="238"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Choice of Forum</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Amended and Restated Certificate of Incorporation provides that, to the fullest extent permitted by law, the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also provides that the federal district courts of the United States is the exclusive forum for resolving any complaint asserting a cause of action arising under the Securities Act of 1933, as amended (such act, the “Securities Act” and such provision,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Securities and Exchange Act of 1934, as amended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“RELY.”</w:t>
      </w:r>
    </w:p>
    <w:p>
      <w:pPr>
        <w:sectPr>
          <w:pgSz w:w="11900" w:h="16838" w:orient="portrait"/>
          <w:cols w:equalWidth="0" w:num="1">
            <w:col w:w="11220"/>
          </w:cols>
          <w:pgMar w:left="320" w:top="1404"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Subsidiary of Remitly Global, Inc.</w:t>
      </w:r>
    </w:p>
    <w:p>
      <w:pPr>
        <w:sectPr>
          <w:pgSz w:w="11900" w:h="16838" w:orient="portrait"/>
          <w:cols w:equalWidth="0" w:num="1">
            <w:col w:w="11220"/>
          </w:cols>
          <w:pgMar w:left="340" w:top="1431" w:right="3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Remitly,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Remitly Canada,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Remitly U.K.,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Remitly Europe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Remitly Poland Sp. z.o.o.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Remitly Australia,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Remitly Nicaragua,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Remitly Singapore Pte. Ltd.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ectPr>
          <w:pgSz w:w="11900" w:h="16838" w:orient="portrait"/>
          <w:cols w:equalWidth="0" w:num="2">
            <w:col w:w="4900" w:space="720"/>
            <w:col w:w="5600"/>
          </w:cols>
          <w:pgMar w:left="340" w:top="1431" w:right="3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23.1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333-263958, No. 333-259738, and No. 333-259737) of Remitly Global, Inc. of our report dated February 28, 2023 relating to the financial statements and the effectiveness of internal control over financial reporting, which appears in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2023</w:t>
      </w:r>
    </w:p>
    <w:p>
      <w:pPr>
        <w:sectPr>
          <w:pgSz w:w="11900" w:h="16838" w:orient="portrait"/>
          <w:cols w:equalWidth="0" w:num="1">
            <w:col w:w="11240"/>
          </w:cols>
          <w:pgMar w:left="320" w:top="1440"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340" w:hanging="8"/>
        <w:spacing w:after="0" w:line="407" w:lineRule="auto"/>
        <w:tabs>
          <w:tab w:leader="none" w:pos="65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105" w:name="page106"/>
    <w:bookmarkEnd w:id="10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1"/>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2"/>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2"/>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firstLine="8"/>
        <w:spacing w:after="0" w:line="407" w:lineRule="auto"/>
        <w:tabs>
          <w:tab w:leader="none" w:pos="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2"/>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70"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right="940" w:hanging="328"/>
        <w:spacing w:after="0" w:line="30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4"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940" w:hanging="328"/>
        <w:spacing w:after="0" w:line="32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right="240" w:hanging="328"/>
        <w:spacing w:after="0" w:line="32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February 28, 2023</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lowerRoman"/>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3"/>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4"/>
    </w:lvl>
  </w:abstractNum>
  <w:abstractNum w:abstractNumId="40">
    <w:nsid w:val="12E685FB"/>
    <w:multiLevelType w:val="hybridMultilevel"/>
    <w:lvl w:ilvl="0">
      <w:lvlJc w:val="left"/>
      <w:lvlText w:val="%1."/>
      <w:numFmt w:val="decimal"/>
      <w:start w:val="5"/>
    </w:lvl>
  </w:abstractNum>
  <w:abstractNum w:abstractNumId="41">
    <w:nsid w:val="70C6A529"/>
    <w:multiLevelType w:val="hybridMultilevel"/>
    <w:lvl w:ilvl="0">
      <w:lvlJc w:val="left"/>
      <w:lvlText w:val="%1."/>
      <w:numFmt w:val="decimal"/>
      <w:start w:val="6"/>
    </w:lvl>
  </w:abstractNum>
  <w:abstractNum w:abstractNumId="42">
    <w:nsid w:val="520EEDD1"/>
    <w:multiLevelType w:val="hybridMultilevel"/>
    <w:lvl w:ilvl="0">
      <w:lvlJc w:val="left"/>
      <w:lvlText w:val="%1."/>
      <w:numFmt w:val="decimal"/>
      <w:start w:val="7"/>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8"/>
    </w:lvl>
  </w:abstractNum>
  <w:abstractNum w:abstractNumId="45">
    <w:nsid w:val="23F9C13C"/>
    <w:multiLevelType w:val="hybridMultilevel"/>
    <w:lvl w:ilvl="0">
      <w:lvlJc w:val="left"/>
      <w:lvlText w:val="%1."/>
      <w:numFmt w:val="decimal"/>
      <w:start w:val="9"/>
    </w:lvl>
  </w:abstractNum>
  <w:abstractNum w:abstractNumId="46">
    <w:nsid w:val="649BB77C"/>
    <w:multiLevelType w:val="hybridMultilevel"/>
    <w:lvl w:ilvl="0">
      <w:lvlJc w:val="left"/>
      <w:lvlText w:val="%1."/>
      <w:numFmt w:val="decimal"/>
      <w:start w:val="10"/>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1"/>
    </w:lvl>
  </w:abstractNum>
  <w:abstractNum w:abstractNumId="49">
    <w:nsid w:val="1CF10FD8"/>
    <w:multiLevelType w:val="hybridMultilevel"/>
    <w:lvl w:ilvl="0">
      <w:lvlJc w:val="left"/>
      <w:lvlText w:val="%1."/>
      <w:numFmt w:val="decimal"/>
      <w:start w:val="14"/>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decimal"/>
      <w:start w:val="104"/>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abstractNum>
  <w:abstractNum w:abstractNumId="60">
    <w:nsid w:val="7E0C57B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1">
    <w:nsid w:val="77AE35E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14" Type="http://schemas.openxmlformats.org/officeDocument/2006/relationships/hyperlink" Target="https://www.sec.gov/Archives/edgar/data/1782170/000162828022022987/exhibit21-8xk.htm" TargetMode="External"/><Relationship Id="rId115" Type="http://schemas.openxmlformats.org/officeDocument/2006/relationships/hyperlink" Target="https://www.sec.gov/Archives/edgar/data/0001782170/000178217021000011/exhibit33-remitlyglobalxpu.htm" TargetMode="External"/><Relationship Id="rId116" Type="http://schemas.openxmlformats.org/officeDocument/2006/relationships/hyperlink" Target="https://www.sec.gov/Archives/edgar/data/0001782170/000178217021000011/exhibit34-remitlyglobalxpu.htm" TargetMode="External"/><Relationship Id="rId117" Type="http://schemas.openxmlformats.org/officeDocument/2006/relationships/hyperlink" Target="https://www.sec.gov/Archives/edgar/data/0001782170/000162828021018524/exhibit41-sx1a1.htm" TargetMode="External"/><Relationship Id="rId118" Type="http://schemas.openxmlformats.org/officeDocument/2006/relationships/hyperlink" Target="https://www.sec.gov/Archives/edgar/data/0001782170/000162828021017788/exhibit42-sx1.htm" TargetMode="External"/><Relationship Id="rId119" Type="http://schemas.openxmlformats.org/officeDocument/2006/relationships/hyperlink" Target="https://www.sec.gov/Archives/edgar/data/0001782170/000162828021017788/exhibit101-sx1.htm" TargetMode="External"/><Relationship Id="rId120" Type="http://schemas.openxmlformats.org/officeDocument/2006/relationships/hyperlink" Target="https://www.sec.gov/Archives/edgar/data/1782170/000162828021017788/exhibit103-sx1.htm" TargetMode="External"/><Relationship Id="rId121" Type="http://schemas.openxmlformats.org/officeDocument/2006/relationships/hyperlink" Target="https://www.sec.gov/Archives/edgar/data/1782170/000162828021018524/exhibit104-sx1a1.htm" TargetMode="External"/><Relationship Id="rId122" Type="http://schemas.openxmlformats.org/officeDocument/2006/relationships/hyperlink" Target="https://www.sec.gov/Archives/edgar/data/1782170/000162828021018524/exhibit105-sx1a1.htm" TargetMode="External"/><Relationship Id="rId123" Type="http://schemas.openxmlformats.org/officeDocument/2006/relationships/hyperlink" Target="https://www.sec.gov/Archives/edgar/data/1782170/000162828021018524/exhibit106s-1a1.htm" TargetMode="External"/><Relationship Id="rId124" Type="http://schemas.openxmlformats.org/officeDocument/2006/relationships/hyperlink" Target="https://www.sec.gov/Archives/edgar/data/1782170/000162828021018524/exhibit107-sx1a1.htm" TargetMode="External"/><Relationship Id="rId125" Type="http://schemas.openxmlformats.org/officeDocument/2006/relationships/hyperlink" Target="https://www.sec.gov/Archives/edgar/data/1782170/000162828021018524/exhibit108-sx1a1.htm" TargetMode="External"/><Relationship Id="rId126" Type="http://schemas.openxmlformats.org/officeDocument/2006/relationships/hyperlink" Target="https://www.sec.gov/Archives/edgar/data/1782170/000162828021018524/exhibit109-sx1a1.htm" TargetMode="External"/><Relationship Id="rId127" Type="http://schemas.openxmlformats.org/officeDocument/2006/relationships/hyperlink" Target="https://www.sec.gov/Archives/edgar/data/1782170/000162828021018524/exhibit1010-sx1a1.htm" TargetMode="External"/><Relationship Id="rId128" Type="http://schemas.openxmlformats.org/officeDocument/2006/relationships/hyperlink" Target="https://www.sec.gov/Archives/edgar/data/0001782170/000162828021017788/exhibit102-sx1.htm" TargetMode="External"/><Relationship Id="rId129" Type="http://schemas.openxmlformats.org/officeDocument/2006/relationships/hyperlink" Target="https://www.sec.gov/Archives/edgar/data/1782170/000178217022000123/remitly-cfo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2023-02-28T21:15:05Z</dcterms:created>
  <dcterms:modified xsi:type="dcterms:W3CDTF">2023-02-28T21:15:05Z</dcterms:modified>
</cp:coreProperties>
</file>