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2227323.xml.htm"/>
      <w:bookmarkStart w:id="1" w:name="kswkform4_17722273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Smyth Margaret Mary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REMITLY GLOBAL,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UNION STREET,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Remitly Global, Inc.</w:t>
              </w:r>
            </w:hyperlink>
            <w:r>
              <w:rPr/>
              <w:t xml:space="preserve"> [ </w:t>
            </w:r>
            <w:r>
              <w:rPr>
                <w:rFonts w:ascii="Times;serif" w:hAnsi="Times;serif"/>
                <w:color w:val="0000FF"/>
                <w:sz w:val="24"/>
                <w:shd w:fill="FFFFFF" w:val="clear"/>
              </w:rPr>
              <w:t>RELY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714</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85,499</w:t>
            </w:r>
            <w:r>
              <w:rPr>
                <w:rFonts w:ascii="Times;serif" w:hAnsi="Times;serif"/>
                <w:color w:val="008000"/>
                <w:position w:val="7"/>
                <w:sz w:val="16"/>
                <w:sz w:val="20"/>
                <w:shd w:fill="FFFFFF" w:val="clear"/>
              </w:rPr>
              <w:t>(3)</w:t>
            </w:r>
            <w:r>
              <w:rPr/>
              <w:t xml:space="preserve"> </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(RSUs)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(5)</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vesting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has reported prior awards of RSUs in Table II. The total reported in Table I, Column 5, includes 31,193 unvested RSUs previously reported in Table II and 54,306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were granted on June 11, 2025, and will vest in four equal installments on each August 25, November 25, February 25, and May 25 following the grant date and, if not fully vested, shall vest in full on the earlier of (i) the date of the 2026 annual meeting of the Issuer's stockholders or (ii) June 11, 2026,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total reported in Table I, Column 5, includes 715 unvested RSUs remaining under this RSU award previously reported in Table II.</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 Mason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1591" TargetMode="External"/><Relationship Id="rId5" Type="http://schemas.openxmlformats.org/officeDocument/2006/relationships/hyperlink" Target="http://www.sec.gov/cgi-bin/browse-edgar?action=getcompany&amp;CIK=0001782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742</Words>
  <Characters>3895</Characters>
  <CharactersWithSpaces>4565</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